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E2801">
      <w:pPr>
        <w:rPr>
          <w:rFonts w:hint="eastAsia" w:ascii="仿宋_GB2312" w:hAnsi="仿宋_GB2312" w:eastAsia="仿宋" w:cs="仿宋_GB2312"/>
          <w:color w:val="auto"/>
          <w:highlight w:val="none"/>
        </w:rPr>
      </w:pPr>
    </w:p>
    <w:p w14:paraId="76C2E63A">
      <w:pPr>
        <w:rPr>
          <w:rFonts w:hint="eastAsia" w:ascii="仿宋_GB2312" w:hAnsi="仿宋_GB2312" w:eastAsia="仿宋" w:cs="仿宋_GB2312"/>
          <w:color w:val="auto"/>
          <w:highlight w:val="none"/>
        </w:rPr>
      </w:pPr>
    </w:p>
    <w:p w14:paraId="76286147">
      <w:pPr>
        <w:rPr>
          <w:rFonts w:hint="eastAsia" w:ascii="仿宋_GB2312" w:hAnsi="仿宋_GB2312" w:eastAsia="仿宋" w:cs="仿宋_GB2312"/>
          <w:color w:val="auto"/>
          <w:highlight w:val="none"/>
        </w:rPr>
      </w:pPr>
    </w:p>
    <w:p w14:paraId="03AF950F">
      <w:pPr>
        <w:rPr>
          <w:rFonts w:hint="eastAsia" w:ascii="仿宋_GB2312" w:hAnsi="仿宋_GB2312" w:eastAsia="仿宋" w:cs="仿宋_GB2312"/>
          <w:color w:val="auto"/>
          <w:highlight w:val="none"/>
        </w:rPr>
      </w:pPr>
    </w:p>
    <w:p w14:paraId="63C83AB6">
      <w:pPr>
        <w:rPr>
          <w:rFonts w:hint="eastAsia" w:ascii="仿宋_GB2312" w:hAnsi="仿宋_GB2312" w:eastAsia="仿宋" w:cs="仿宋_GB2312"/>
          <w:color w:val="auto"/>
          <w:highlight w:val="none"/>
        </w:rPr>
      </w:pPr>
    </w:p>
    <w:p w14:paraId="267F07C0">
      <w:pPr>
        <w:rPr>
          <w:rFonts w:hint="eastAsia" w:ascii="仿宋_GB2312" w:hAnsi="仿宋_GB2312" w:eastAsia="仿宋" w:cs="仿宋_GB2312"/>
          <w:color w:val="auto"/>
          <w:highlight w:val="none"/>
        </w:rPr>
      </w:pPr>
    </w:p>
    <w:p w14:paraId="1D7B741E">
      <w:pPr>
        <w:jc w:val="center"/>
        <w:rPr>
          <w:rFonts w:hint="default" w:ascii="方正小标宋简体" w:eastAsia="仿宋"/>
          <w:color w:val="auto"/>
          <w:sz w:val="52"/>
          <w:szCs w:val="52"/>
          <w:highlight w:val="none"/>
          <w:lang w:val="en-US" w:eastAsia="zh-CN"/>
        </w:rPr>
      </w:pPr>
      <w:r>
        <w:rPr>
          <w:rFonts w:hint="eastAsia" w:ascii="方正小标宋简体" w:eastAsia="仿宋"/>
          <w:color w:val="auto"/>
          <w:sz w:val="52"/>
          <w:szCs w:val="52"/>
          <w:highlight w:val="none"/>
          <w:lang w:val="en-US" w:eastAsia="zh-CN"/>
        </w:rPr>
        <w:t>广州市净水有限公司2025年在线COD试剂采购项目</w:t>
      </w:r>
    </w:p>
    <w:p w14:paraId="0C0D69B4">
      <w:pPr>
        <w:jc w:val="center"/>
        <w:rPr>
          <w:rFonts w:ascii="方正小标宋简体" w:eastAsia="仿宋"/>
          <w:color w:val="auto"/>
          <w:sz w:val="52"/>
          <w:szCs w:val="52"/>
          <w:highlight w:val="none"/>
        </w:rPr>
      </w:pPr>
      <w:r>
        <w:rPr>
          <w:rFonts w:hint="eastAsia" w:ascii="方正小标宋简体" w:eastAsia="仿宋"/>
          <w:color w:val="auto"/>
          <w:sz w:val="52"/>
          <w:szCs w:val="52"/>
          <w:highlight w:val="none"/>
        </w:rPr>
        <w:t>采购文件</w:t>
      </w:r>
    </w:p>
    <w:p w14:paraId="25DD6960">
      <w:pPr>
        <w:jc w:val="center"/>
        <w:rPr>
          <w:rFonts w:ascii="仿宋_GB2312" w:eastAsia="仿宋"/>
          <w:color w:val="auto"/>
          <w:sz w:val="32"/>
          <w:szCs w:val="32"/>
          <w:highlight w:val="none"/>
        </w:rPr>
      </w:pPr>
    </w:p>
    <w:p w14:paraId="1EDDF6C5">
      <w:pPr>
        <w:jc w:val="center"/>
        <w:rPr>
          <w:rFonts w:ascii="仿宋_GB2312" w:eastAsia="仿宋"/>
          <w:color w:val="auto"/>
          <w:sz w:val="32"/>
          <w:szCs w:val="32"/>
          <w:highlight w:val="none"/>
        </w:rPr>
      </w:pPr>
    </w:p>
    <w:p w14:paraId="6E7D885A">
      <w:pPr>
        <w:jc w:val="center"/>
        <w:rPr>
          <w:rFonts w:ascii="仿宋_GB2312" w:eastAsia="仿宋"/>
          <w:color w:val="auto"/>
          <w:sz w:val="32"/>
          <w:szCs w:val="32"/>
          <w:highlight w:val="none"/>
        </w:rPr>
      </w:pPr>
    </w:p>
    <w:p w14:paraId="3DC5690C">
      <w:pPr>
        <w:jc w:val="center"/>
        <w:rPr>
          <w:rFonts w:ascii="仿宋_GB2312" w:eastAsia="仿宋"/>
          <w:color w:val="auto"/>
          <w:sz w:val="32"/>
          <w:szCs w:val="32"/>
          <w:highlight w:val="none"/>
        </w:rPr>
      </w:pPr>
    </w:p>
    <w:p w14:paraId="6E975591">
      <w:pPr>
        <w:jc w:val="center"/>
        <w:rPr>
          <w:rFonts w:ascii="仿宋_GB2312" w:eastAsia="仿宋"/>
          <w:color w:val="auto"/>
          <w:sz w:val="32"/>
          <w:szCs w:val="32"/>
          <w:highlight w:val="none"/>
        </w:rPr>
      </w:pPr>
    </w:p>
    <w:p w14:paraId="17809C0B">
      <w:pPr>
        <w:jc w:val="center"/>
        <w:rPr>
          <w:rFonts w:ascii="仿宋_GB2312" w:eastAsia="仿宋"/>
          <w:color w:val="auto"/>
          <w:sz w:val="32"/>
          <w:szCs w:val="32"/>
          <w:highlight w:val="none"/>
        </w:rPr>
      </w:pPr>
    </w:p>
    <w:p w14:paraId="67802676">
      <w:pPr>
        <w:jc w:val="center"/>
        <w:rPr>
          <w:rFonts w:ascii="仿宋_GB2312" w:eastAsia="仿宋"/>
          <w:color w:val="auto"/>
          <w:sz w:val="32"/>
          <w:szCs w:val="32"/>
          <w:highlight w:val="none"/>
        </w:rPr>
      </w:pPr>
    </w:p>
    <w:p w14:paraId="45B07301">
      <w:pPr>
        <w:jc w:val="center"/>
        <w:rPr>
          <w:rFonts w:hint="eastAsia" w:ascii="仿宋_GB2312" w:eastAsia="仿宋"/>
          <w:color w:val="auto"/>
          <w:sz w:val="32"/>
          <w:szCs w:val="32"/>
          <w:highlight w:val="none"/>
        </w:rPr>
      </w:pPr>
    </w:p>
    <w:p w14:paraId="73E6FF06">
      <w:pPr>
        <w:jc w:val="center"/>
        <w:rPr>
          <w:rFonts w:ascii="仿宋_GB2312" w:eastAsia="仿宋"/>
          <w:color w:val="auto"/>
          <w:sz w:val="32"/>
          <w:szCs w:val="32"/>
          <w:highlight w:val="none"/>
        </w:rPr>
      </w:pPr>
    </w:p>
    <w:p w14:paraId="7BACCDED">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14:paraId="33BDCF03">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2025</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9</w:t>
      </w:r>
      <w:r>
        <w:rPr>
          <w:rFonts w:hint="eastAsia" w:ascii="黑体" w:hAnsi="黑体" w:eastAsia="黑体" w:cs="仿宋_GB2312"/>
          <w:color w:val="auto"/>
          <w:sz w:val="32"/>
          <w:szCs w:val="32"/>
          <w:highlight w:val="none"/>
        </w:rPr>
        <w:t>月</w:t>
      </w:r>
    </w:p>
    <w:p w14:paraId="73305D7B">
      <w:pPr>
        <w:bidi w:val="0"/>
        <w:jc w:val="center"/>
        <w:rPr>
          <w:rFonts w:hint="eastAsia" w:ascii="方正小标宋简体" w:hAnsi="方正小标宋简体" w:eastAsia="仿宋" w:cs="方正小标宋简体"/>
          <w:sz w:val="44"/>
          <w:szCs w:val="44"/>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14:paraId="7EF94516">
      <w:pPr>
        <w:bidi w:val="0"/>
        <w:jc w:val="center"/>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目   录</w:t>
      </w:r>
    </w:p>
    <w:p w14:paraId="514DF15B">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14:paraId="37C121DC">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14:paraId="6D3DE8AF">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14:paraId="41E82C90">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14:paraId="182A9543">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14:paraId="75A513B8">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14:paraId="6F20D9E3">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14:paraId="46E17273">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14:paraId="38CAC3CF">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14:paraId="39596891">
      <w:pPr>
        <w:pStyle w:val="2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26148"/>
      <w:bookmarkStart w:id="1" w:name="_Toc18145"/>
      <w:bookmarkStart w:id="2" w:name="_Toc1711"/>
      <w:bookmarkStart w:id="3" w:name="_Toc17696"/>
    </w:p>
    <w:p w14:paraId="0AC9E389">
      <w:pPr>
        <w:pStyle w:val="2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14:paraId="49671AA4">
      <w:pPr>
        <w:rPr>
          <w:rFonts w:hint="eastAsia" w:ascii="仿宋_GB2312" w:hAnsi="仿宋_GB2312" w:eastAsia="仿宋" w:cs="仿宋_GB2312"/>
          <w:sz w:val="28"/>
          <w:szCs w:val="28"/>
        </w:rPr>
      </w:pPr>
      <w:bookmarkStart w:id="4" w:name="_Toc11322"/>
      <w:bookmarkStart w:id="5" w:name="_Toc1669"/>
      <w:bookmarkStart w:id="6" w:name="_Toc17801"/>
      <w:bookmarkStart w:id="7" w:name="_Toc31938"/>
      <w:bookmarkStart w:id="8" w:name="_Toc19609"/>
      <w:bookmarkStart w:id="9" w:name="_Toc7519"/>
      <w:bookmarkStart w:id="10" w:name="_Toc4275"/>
    </w:p>
    <w:p w14:paraId="63CF7547">
      <w:pPr>
        <w:rPr>
          <w:rFonts w:hint="eastAsia" w:ascii="仿宋_GB2312" w:hAnsi="仿宋_GB2312" w:eastAsia="仿宋" w:cs="仿宋_GB2312"/>
          <w:sz w:val="28"/>
          <w:szCs w:val="28"/>
        </w:rPr>
      </w:pPr>
    </w:p>
    <w:p w14:paraId="73341541">
      <w:pPr>
        <w:pBdr>
          <w:bottom w:val="none" w:color="auto" w:sz="0" w:space="0"/>
        </w:pBdr>
        <w:rPr>
          <w:rFonts w:hint="eastAsia" w:ascii="仿宋_GB2312" w:hAnsi="仿宋_GB2312" w:eastAsia="仿宋" w:cs="仿宋_GB2312"/>
          <w:sz w:val="28"/>
          <w:szCs w:val="28"/>
        </w:rPr>
      </w:pPr>
    </w:p>
    <w:p w14:paraId="312B637B">
      <w:pPr>
        <w:pBdr>
          <w:top w:val="double" w:color="auto" w:sz="4" w:space="0"/>
          <w:bottom w:val="double" w:color="auto" w:sz="4" w:space="0"/>
        </w:pBdr>
        <w:jc w:val="center"/>
        <w:rPr>
          <w:rFonts w:hint="default" w:ascii="仿宋_GB2312" w:hAnsi="仿宋_GB2312" w:eastAsia="仿宋" w:cs="仿宋_GB2312"/>
          <w:sz w:val="44"/>
          <w:szCs w:val="44"/>
          <w:lang w:val="en-US" w:eastAsia="zh-CN"/>
        </w:rPr>
      </w:pPr>
      <w:r>
        <w:rPr>
          <w:rFonts w:hint="eastAsia" w:ascii="方正小标宋简体" w:hAnsi="方正小标宋简体" w:eastAsia="仿宋"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14:paraId="4E3CA342">
      <w:pPr>
        <w:rPr>
          <w:rFonts w:hint="eastAsia" w:ascii="仿宋_GB2312" w:hAnsi="仿宋_GB2312" w:eastAsia="仿宋" w:cs="仿宋_GB2312"/>
          <w:sz w:val="28"/>
          <w:szCs w:val="28"/>
        </w:rPr>
      </w:pPr>
    </w:p>
    <w:p w14:paraId="2EAE5DE4">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14:paraId="05F0930B">
      <w:pPr>
        <w:adjustRightInd w:val="0"/>
        <w:snapToGrid w:val="0"/>
        <w:spacing w:beforeLines="50" w:afterLines="50" w:line="600" w:lineRule="exact"/>
        <w:jc w:val="center"/>
        <w:rPr>
          <w:rFonts w:ascii="方正小标宋简体" w:eastAsia="仿宋"/>
          <w:color w:val="auto"/>
          <w:sz w:val="44"/>
          <w:szCs w:val="44"/>
          <w:highlight w:val="none"/>
        </w:rPr>
      </w:pPr>
    </w:p>
    <w:p w14:paraId="003CE6EE">
      <w:pPr>
        <w:adjustRightInd w:val="0"/>
        <w:snapToGrid w:val="0"/>
        <w:spacing w:beforeLines="50" w:afterLines="50" w:line="600" w:lineRule="exact"/>
        <w:jc w:val="center"/>
        <w:rPr>
          <w:rFonts w:ascii="方正小标宋简体" w:eastAsia="仿宋"/>
          <w:color w:val="auto"/>
          <w:sz w:val="44"/>
          <w:szCs w:val="44"/>
          <w:highlight w:val="none"/>
        </w:rPr>
      </w:pPr>
    </w:p>
    <w:p w14:paraId="14CE9FF1">
      <w:pPr>
        <w:pStyle w:val="23"/>
        <w:rPr>
          <w:rFonts w:ascii="方正小标宋简体" w:eastAsia="仿宋"/>
          <w:color w:val="auto"/>
          <w:sz w:val="44"/>
          <w:szCs w:val="44"/>
          <w:highlight w:val="none"/>
        </w:rPr>
      </w:pPr>
    </w:p>
    <w:p w14:paraId="48D80A94">
      <w:pPr>
        <w:pStyle w:val="23"/>
        <w:rPr>
          <w:rFonts w:ascii="方正小标宋简体" w:eastAsia="仿宋"/>
          <w:color w:val="auto"/>
          <w:sz w:val="44"/>
          <w:szCs w:val="44"/>
          <w:highlight w:val="none"/>
        </w:rPr>
      </w:pPr>
    </w:p>
    <w:p w14:paraId="50FDDF35">
      <w:pPr>
        <w:pStyle w:val="23"/>
        <w:rPr>
          <w:rFonts w:ascii="方正小标宋简体" w:eastAsia="仿宋"/>
          <w:color w:val="auto"/>
          <w:sz w:val="44"/>
          <w:szCs w:val="44"/>
          <w:highlight w:val="none"/>
        </w:rPr>
      </w:pPr>
    </w:p>
    <w:p w14:paraId="597EA90E">
      <w:pPr>
        <w:pStyle w:val="23"/>
        <w:rPr>
          <w:rFonts w:ascii="方正小标宋简体" w:eastAsia="仿宋"/>
          <w:color w:val="auto"/>
          <w:sz w:val="44"/>
          <w:szCs w:val="44"/>
          <w:highlight w:val="none"/>
        </w:rPr>
      </w:pPr>
    </w:p>
    <w:p w14:paraId="28775BDF">
      <w:pPr>
        <w:pStyle w:val="23"/>
        <w:rPr>
          <w:rFonts w:ascii="仿宋_GB2312" w:eastAsia="仿宋"/>
          <w:color w:val="auto"/>
          <w:sz w:val="28"/>
          <w:szCs w:val="28"/>
          <w:highlight w:val="none"/>
        </w:rPr>
      </w:pPr>
    </w:p>
    <w:p w14:paraId="3430E951">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51E6C717">
      <w:pPr>
        <w:pStyle w:val="2"/>
        <w:rPr>
          <w:rFonts w:hint="eastAsia" w:eastAsia="仿宋"/>
          <w:color w:val="auto"/>
          <w:highlight w:val="none"/>
          <w:lang w:eastAsia="zh-CN"/>
        </w:rPr>
      </w:pPr>
      <w:bookmarkStart w:id="11" w:name="_Toc21373"/>
      <w:bookmarkStart w:id="12" w:name="_Toc9680"/>
      <w:r>
        <w:rPr>
          <w:rFonts w:hint="eastAsia" w:eastAsia="仿宋"/>
          <w:color w:val="auto"/>
          <w:highlight w:val="none"/>
          <w:lang w:eastAsia="zh-CN"/>
        </w:rPr>
        <w:t>采购公告（采购邀请书）</w:t>
      </w:r>
    </w:p>
    <w:bookmarkEnd w:id="11"/>
    <w:bookmarkEnd w:id="12"/>
    <w:p w14:paraId="79241C5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hAnsi="仿宋_GB2312" w:eastAsia="仿宋" w:cs="仿宋_GB2312"/>
          <w:color w:val="auto"/>
          <w:sz w:val="28"/>
          <w:szCs w:val="28"/>
          <w:highlight w:val="none"/>
          <w:u w:val="single"/>
        </w:rPr>
        <w:t xml:space="preserve">   广州市净水有限公司2025年在线COD试剂采购项目</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已具备采购条件，</w:t>
      </w:r>
      <w:r>
        <w:rPr>
          <w:rFonts w:hint="eastAsia" w:ascii="仿宋_GB2312" w:hAnsi="仿宋_GB2312" w:eastAsia="仿宋" w:cs="仿宋_GB2312"/>
          <w:sz w:val="28"/>
          <w:szCs w:val="28"/>
          <w:highlight w:val="none"/>
        </w:rPr>
        <w:t>现</w:t>
      </w:r>
      <w:r>
        <w:rPr>
          <w:rFonts w:hint="eastAsia" w:ascii="仿宋_GB2312" w:hAnsi="仿宋_GB2312" w:eastAsia="仿宋" w:cs="仿宋_GB2312"/>
          <w:sz w:val="28"/>
          <w:szCs w:val="28"/>
          <w:highlight w:val="none"/>
          <w:lang w:val="en-US" w:eastAsia="zh-CN"/>
        </w:rPr>
        <w:t>邀请合格</w:t>
      </w:r>
      <w:r>
        <w:rPr>
          <w:rFonts w:hint="eastAsia" w:ascii="仿宋_GB2312" w:hAnsi="仿宋_GB2312" w:eastAsia="仿宋" w:cs="仿宋_GB2312"/>
          <w:sz w:val="28"/>
          <w:szCs w:val="28"/>
          <w:highlight w:val="none"/>
          <w:u w:val="none"/>
          <w:lang w:val="en-US" w:eastAsia="zh-CN"/>
        </w:rPr>
        <w:t>单位</w:t>
      </w:r>
      <w:r>
        <w:rPr>
          <w:rFonts w:hint="eastAsia" w:ascii="仿宋_GB2312" w:hAnsi="仿宋_GB2312" w:eastAsia="仿宋" w:cs="仿宋_GB2312"/>
          <w:sz w:val="28"/>
          <w:szCs w:val="28"/>
          <w:highlight w:val="none"/>
        </w:rPr>
        <w:t>参加本</w:t>
      </w:r>
      <w:r>
        <w:rPr>
          <w:rFonts w:hint="eastAsia" w:ascii="仿宋_GB2312" w:hAnsi="仿宋_GB2312" w:eastAsia="仿宋" w:cs="仿宋_GB2312"/>
          <w:sz w:val="28"/>
          <w:szCs w:val="28"/>
          <w:highlight w:val="none"/>
          <w:u w:val="single"/>
        </w:rPr>
        <w:t xml:space="preserve">□施工  </w:t>
      </w:r>
      <w:r>
        <w:rPr>
          <w:rFonts w:hint="eastAsia" w:ascii="仿宋_GB2312" w:hAnsi="仿宋_GB2312" w:eastAsia="仿宋" w:cs="仿宋_GB2312"/>
          <w:sz w:val="28"/>
          <w:szCs w:val="28"/>
          <w:highlight w:val="none"/>
          <w:u w:val="single"/>
          <w:lang w:eastAsia="zh-CN"/>
        </w:rPr>
        <w:t>☑</w:t>
      </w:r>
      <w:r>
        <w:rPr>
          <w:rFonts w:hint="eastAsia" w:ascii="仿宋_GB2312" w:hAnsi="仿宋_GB2312" w:eastAsia="仿宋" w:cs="仿宋_GB2312"/>
          <w:sz w:val="28"/>
          <w:szCs w:val="28"/>
          <w:highlight w:val="none"/>
          <w:u w:val="single"/>
        </w:rPr>
        <w:t>货物 □服务</w:t>
      </w:r>
      <w:r>
        <w:rPr>
          <w:rFonts w:hint="eastAsia" w:ascii="仿宋_GB2312" w:hAnsi="仿宋_GB2312" w:eastAsia="仿宋" w:cs="仿宋_GB2312"/>
          <w:sz w:val="28"/>
          <w:szCs w:val="28"/>
          <w:highlight w:val="none"/>
        </w:rPr>
        <w:t>项目采购活动，采用</w:t>
      </w:r>
      <w:r>
        <w:rPr>
          <w:rFonts w:hint="eastAsia" w:ascii="仿宋_GB2312" w:hAnsi="仿宋_GB2312" w:eastAsia="仿宋" w:cs="仿宋_GB2312"/>
          <w:sz w:val="28"/>
          <w:szCs w:val="28"/>
          <w:highlight w:val="none"/>
          <w:u w:val="single"/>
        </w:rPr>
        <w:sym w:font="Wingdings 2" w:char="00A3"/>
      </w:r>
      <w:r>
        <w:rPr>
          <w:rFonts w:hint="eastAsia" w:ascii="仿宋_GB2312" w:hAnsi="仿宋_GB2312" w:eastAsia="仿宋" w:cs="仿宋_GB2312"/>
          <w:sz w:val="28"/>
          <w:szCs w:val="28"/>
          <w:highlight w:val="none"/>
          <w:u w:val="single"/>
          <w:lang w:val="en-US" w:eastAsia="zh-CN"/>
        </w:rPr>
        <w:t xml:space="preserve">邀请采购 </w:t>
      </w:r>
      <w:r>
        <w:rPr>
          <w:rFonts w:hint="eastAsia" w:ascii="仿宋_GB2312" w:hAnsi="仿宋_GB2312" w:eastAsia="仿宋" w:cs="仿宋_GB2312"/>
          <w:sz w:val="28"/>
          <w:szCs w:val="28"/>
          <w:highlight w:val="none"/>
          <w:u w:val="single"/>
          <w:lang w:val="en-US" w:eastAsia="zh-CN"/>
        </w:rPr>
        <w:sym w:font="Wingdings 2" w:char="0052"/>
      </w:r>
      <w:r>
        <w:rPr>
          <w:rFonts w:hint="eastAsia" w:ascii="仿宋_GB2312" w:hAnsi="仿宋_GB2312" w:eastAsia="仿宋" w:cs="仿宋_GB2312"/>
          <w:sz w:val="28"/>
          <w:szCs w:val="28"/>
          <w:highlight w:val="none"/>
          <w:u w:val="single"/>
          <w:lang w:val="en-US" w:eastAsia="zh-CN"/>
        </w:rPr>
        <w:t>公开采购</w:t>
      </w:r>
      <w:r>
        <w:rPr>
          <w:rFonts w:hint="eastAsia" w:ascii="仿宋_GB2312" w:hAnsi="仿宋_GB2312" w:eastAsia="仿宋" w:cs="仿宋_GB2312"/>
          <w:sz w:val="28"/>
          <w:szCs w:val="28"/>
          <w:highlight w:val="none"/>
        </w:rPr>
        <w:t>的方式邀请合格供应商参加本项目采购活动。</w:t>
      </w:r>
    </w:p>
    <w:p w14:paraId="2C87299B">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42B058C3">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u w:val="single"/>
        </w:rPr>
        <w:t xml:space="preserve">广州市净水有限公司2025年在线COD试剂采购项目 </w:t>
      </w:r>
      <w:r>
        <w:rPr>
          <w:rFonts w:hint="eastAsia" w:ascii="仿宋_GB2312" w:eastAsia="仿宋"/>
          <w:color w:val="auto"/>
          <w:sz w:val="28"/>
          <w:szCs w:val="28"/>
          <w:highlight w:val="none"/>
          <w:u w:val="none"/>
          <w:lang w:eastAsia="zh-CN"/>
        </w:rPr>
        <w:t>。</w:t>
      </w:r>
    </w:p>
    <w:p w14:paraId="20EA3F12">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XJ-</w:t>
      </w:r>
      <w:r>
        <w:rPr>
          <w:rFonts w:hint="eastAsia" w:ascii="仿宋_GB2312" w:hAnsi="仿宋_GB2312" w:eastAsia="仿宋" w:cs="仿宋_GB2312"/>
          <w:color w:val="auto"/>
          <w:sz w:val="28"/>
          <w:szCs w:val="28"/>
          <w:highlight w:val="none"/>
          <w:u w:val="single"/>
          <w:shd w:val="clear" w:color="auto" w:fill="auto"/>
          <w:lang w:val="en-US" w:eastAsia="zh-CN"/>
        </w:rPr>
        <w:t>SZZX-</w:t>
      </w:r>
      <w:r>
        <w:rPr>
          <w:rFonts w:hint="eastAsia" w:ascii="仿宋_GB2312" w:eastAsia="仿宋"/>
          <w:color w:val="auto"/>
          <w:sz w:val="28"/>
          <w:szCs w:val="28"/>
          <w:highlight w:val="none"/>
          <w:u w:val="single"/>
          <w:lang w:val="en-US" w:eastAsia="zh-CN"/>
        </w:rPr>
        <w:t>20250911-01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14:paraId="5A950BA6">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 xml:space="preserve">自有资金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14:paraId="09692630">
      <w:pPr>
        <w:adjustRightInd w:val="0"/>
        <w:snapToGrid w:val="0"/>
        <w:spacing w:line="600" w:lineRule="exact"/>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元</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
          <w:color w:val="auto"/>
          <w:sz w:val="28"/>
          <w:szCs w:val="28"/>
          <w:highlight w:val="none"/>
          <w:u w:val="single"/>
        </w:rPr>
        <w:t xml:space="preserve"> 47</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single"/>
        </w:rPr>
        <w:t>25</w:t>
      </w:r>
      <w:r>
        <w:rPr>
          <w:rFonts w:hint="eastAsia" w:ascii="仿宋_GB2312" w:eastAsia="仿宋"/>
          <w:color w:val="auto"/>
          <w:sz w:val="28"/>
          <w:szCs w:val="28"/>
          <w:highlight w:val="none"/>
          <w:u w:val="single"/>
          <w:lang w:val="en-US" w:eastAsia="zh-CN"/>
        </w:rPr>
        <w:t>0.00</w:t>
      </w:r>
      <w:r>
        <w:rPr>
          <w:rFonts w:hint="eastAsia" w:ascii="仿宋_GB2312" w:eastAsia="仿宋"/>
          <w:color w:val="auto"/>
          <w:sz w:val="28"/>
          <w:szCs w:val="28"/>
          <w:highlight w:val="none"/>
          <w:u w:val="single"/>
        </w:rPr>
        <w:t xml:space="preserve">元 </w:t>
      </w:r>
      <w:r>
        <w:rPr>
          <w:rFonts w:hint="eastAsia" w:ascii="仿宋_GB2312" w:eastAsia="仿宋"/>
          <w:color w:val="auto"/>
          <w:sz w:val="28"/>
          <w:szCs w:val="28"/>
          <w:highlight w:val="none"/>
          <w:u w:val="single"/>
          <w:lang w:eastAsia="zh-CN"/>
        </w:rPr>
        <w:t>，限价含全额增值税专用发票</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14:paraId="7AD1E230">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14:paraId="4D9B90AA">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360FBD30">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
          <w:color w:val="auto"/>
          <w:sz w:val="28"/>
          <w:szCs w:val="28"/>
          <w:highlight w:val="none"/>
          <w:u w:val="single"/>
        </w:rPr>
        <w:t xml:space="preserve"> 采购适用于碧兴品牌C310（COD）型号仪器的在线COD试剂，以满足对碧兴品牌C310（COD）仪器日常运行维护，确保设备稳定运行和数据准确有效。  </w:t>
      </w:r>
      <w:r>
        <w:rPr>
          <w:rFonts w:hint="eastAsia" w:ascii="仿宋_GB2312" w:eastAsia="仿宋"/>
          <w:color w:val="auto"/>
          <w:sz w:val="28"/>
          <w:szCs w:val="28"/>
          <w:highlight w:val="none"/>
          <w:u w:val="none"/>
          <w:lang w:eastAsia="zh-CN"/>
        </w:rPr>
        <w:t>。</w:t>
      </w:r>
    </w:p>
    <w:p w14:paraId="1C8A1ABC">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5个月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14:paraId="59A98513">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 xml:space="preserve">交货地点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rPr>
        <w:t xml:space="preserve">  </w:t>
      </w:r>
      <w:r>
        <w:rPr>
          <w:rFonts w:hint="eastAsia" w:ascii="宋体" w:hAnsi="宋体" w:eastAsia="宋体" w:cs="宋体"/>
          <w:bCs/>
          <w:color w:val="auto"/>
          <w:sz w:val="24"/>
          <w:szCs w:val="24"/>
          <w:u w:val="single"/>
        </w:rPr>
        <w:t xml:space="preserve"> </w:t>
      </w:r>
      <w:r>
        <w:rPr>
          <w:rFonts w:hint="eastAsia" w:ascii="仿宋_GB2312" w:eastAsia="仿宋"/>
          <w:color w:val="auto"/>
          <w:sz w:val="28"/>
          <w:szCs w:val="28"/>
          <w:highlight w:val="none"/>
          <w:u w:val="single"/>
          <w:lang w:val="en-US" w:eastAsia="zh-CN"/>
        </w:rPr>
        <w:t>广州市净水有限公司水质中心及其分公司</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14:paraId="294231C6">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货物质量标准或主要技术性能指标 □服务质量要求或服务标准如下：</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 xml:space="preserve">满足采购需求及合同草案要求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14:paraId="209B52D4">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安全目标如下：</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 xml:space="preserve">满足采购需求及合同草案要求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14:paraId="09C3DECE">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0E08FB77">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14:paraId="1A32E31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7FD508D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供应商应当具备</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 xml:space="preserve">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资质。</w:t>
      </w:r>
    </w:p>
    <w:p w14:paraId="11E0AE2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2022年1月1日至今，供应商最少具有一项报价清单的在线监测试剂供货项目的业绩。业绩时间以合同时间为准，提供合同复印件及对应发票复印件证明，包括但不限于项目名称、金额及实施内容、合同盖章、签订日期，加盖单位公章。同一合同存在多张发票的，提供其一即可。</w:t>
      </w:r>
    </w:p>
    <w:p w14:paraId="278DB0A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）项目负责人应当具备</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 xml:space="preserve"> / </w:t>
      </w:r>
      <w:r>
        <w:rPr>
          <w:rFonts w:hint="eastAsia" w:ascii="仿宋_GB2312" w:eastAsia="仿宋"/>
          <w:color w:val="auto"/>
          <w:sz w:val="28"/>
          <w:szCs w:val="28"/>
          <w:highlight w:val="none"/>
        </w:rPr>
        <w:t>资格条件。</w:t>
      </w:r>
    </w:p>
    <w:p w14:paraId="00CD77B8">
      <w:pPr>
        <w:pStyle w:val="23"/>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）其他要求：</w:t>
      </w:r>
      <w:r>
        <w:rPr>
          <w:rFonts w:hint="eastAsia" w:ascii="仿宋_GB2312" w:eastAsia="仿宋"/>
          <w:color w:val="auto"/>
          <w:sz w:val="28"/>
          <w:szCs w:val="28"/>
          <w:highlight w:val="none"/>
          <w:u w:val="single"/>
        </w:rPr>
        <w:t xml:space="preserve"> </w:t>
      </w:r>
      <w:r>
        <w:rPr>
          <w:rFonts w:hint="eastAsia" w:ascii="仿宋" w:hAnsi="仿宋" w:eastAsia="仿宋" w:cs="仿宋"/>
          <w:color w:val="auto"/>
          <w:sz w:val="28"/>
          <w:szCs w:val="28"/>
          <w:highlight w:val="none"/>
          <w:u w:val="single"/>
        </w:rPr>
        <w:t>供应商须出具承诺函，承诺中选后所提供的货物必须</w:t>
      </w:r>
      <w:r>
        <w:rPr>
          <w:rFonts w:hint="eastAsia" w:ascii="仿宋" w:hAnsi="仿宋" w:eastAsia="仿宋" w:cs="仿宋"/>
          <w:color w:val="auto"/>
          <w:sz w:val="28"/>
          <w:szCs w:val="28"/>
          <w:highlight w:val="none"/>
          <w:u w:val="single"/>
          <w:lang w:val="en-US" w:eastAsia="zh-CN"/>
        </w:rPr>
        <w:t>是符合采购需求要求的质量上乘、性能稳定、全新、合格的</w:t>
      </w:r>
      <w:r>
        <w:rPr>
          <w:rFonts w:hint="eastAsia" w:ascii="仿宋" w:hAnsi="仿宋" w:eastAsia="仿宋" w:cs="仿宋"/>
          <w:color w:val="auto"/>
          <w:sz w:val="28"/>
          <w:szCs w:val="28"/>
          <w:highlight w:val="none"/>
          <w:u w:val="single"/>
        </w:rPr>
        <w:t>产品，能安装适配至</w:t>
      </w:r>
      <w:r>
        <w:rPr>
          <w:rFonts w:hint="eastAsia" w:ascii="仿宋" w:hAnsi="仿宋" w:eastAsia="仿宋" w:cs="仿宋"/>
          <w:color w:val="auto"/>
          <w:sz w:val="28"/>
          <w:szCs w:val="28"/>
          <w:highlight w:val="none"/>
          <w:u w:val="single"/>
          <w:lang w:val="en-US" w:eastAsia="zh-CN"/>
        </w:rPr>
        <w:t>采购文件中相应品牌型号的</w:t>
      </w:r>
      <w:r>
        <w:rPr>
          <w:rFonts w:hint="eastAsia" w:ascii="仿宋" w:hAnsi="仿宋" w:eastAsia="仿宋" w:cs="仿宋"/>
          <w:color w:val="auto"/>
          <w:sz w:val="28"/>
          <w:szCs w:val="28"/>
          <w:highlight w:val="none"/>
          <w:u w:val="single"/>
        </w:rPr>
        <w:t>在线监测</w:t>
      </w:r>
      <w:r>
        <w:rPr>
          <w:rFonts w:hint="eastAsia" w:ascii="仿宋" w:hAnsi="仿宋" w:eastAsia="仿宋" w:cs="仿宋"/>
          <w:color w:val="auto"/>
          <w:sz w:val="28"/>
          <w:szCs w:val="28"/>
          <w:highlight w:val="none"/>
          <w:u w:val="single"/>
          <w:lang w:val="en-US" w:eastAsia="zh-CN"/>
        </w:rPr>
        <w:t>设备</w:t>
      </w:r>
      <w:r>
        <w:rPr>
          <w:rFonts w:hint="eastAsia" w:ascii="仿宋" w:hAnsi="仿宋" w:eastAsia="仿宋" w:cs="仿宋"/>
          <w:color w:val="auto"/>
          <w:sz w:val="28"/>
          <w:szCs w:val="28"/>
          <w:highlight w:val="none"/>
          <w:u w:val="single"/>
        </w:rPr>
        <w:t>中</w:t>
      </w:r>
      <w:r>
        <w:rPr>
          <w:rFonts w:hint="eastAsia" w:ascii="仿宋" w:hAnsi="仿宋" w:eastAsia="仿宋" w:cs="仿宋"/>
          <w:color w:val="auto"/>
          <w:sz w:val="28"/>
          <w:szCs w:val="28"/>
          <w:highlight w:val="none"/>
          <w:u w:val="single"/>
          <w:lang w:val="en-US" w:eastAsia="zh-CN"/>
        </w:rPr>
        <w:t>并</w:t>
      </w:r>
      <w:r>
        <w:rPr>
          <w:rFonts w:hint="eastAsia" w:ascii="仿宋" w:hAnsi="仿宋" w:eastAsia="仿宋" w:cs="仿宋"/>
          <w:color w:val="auto"/>
          <w:sz w:val="28"/>
          <w:szCs w:val="28"/>
          <w:highlight w:val="none"/>
          <w:u w:val="single"/>
        </w:rPr>
        <w:t>能让</w:t>
      </w:r>
      <w:r>
        <w:rPr>
          <w:rFonts w:hint="eastAsia" w:ascii="仿宋" w:hAnsi="仿宋" w:eastAsia="仿宋" w:cs="仿宋"/>
          <w:color w:val="auto"/>
          <w:sz w:val="28"/>
          <w:szCs w:val="28"/>
          <w:highlight w:val="none"/>
          <w:u w:val="single"/>
          <w:lang w:val="en-US" w:eastAsia="zh-CN"/>
        </w:rPr>
        <w:t>该设备</w:t>
      </w:r>
      <w:r>
        <w:rPr>
          <w:rFonts w:hint="eastAsia" w:ascii="仿宋" w:hAnsi="仿宋" w:eastAsia="仿宋" w:cs="仿宋"/>
          <w:color w:val="auto"/>
          <w:sz w:val="28"/>
          <w:szCs w:val="28"/>
          <w:highlight w:val="none"/>
          <w:u w:val="single"/>
        </w:rPr>
        <w:t>正常运行</w:t>
      </w:r>
      <w:r>
        <w:rPr>
          <w:rFonts w:hint="eastAsia" w:ascii="仿宋" w:hAnsi="仿宋" w:eastAsia="仿宋" w:cs="仿宋"/>
          <w:color w:val="auto"/>
          <w:sz w:val="28"/>
          <w:szCs w:val="28"/>
          <w:highlight w:val="none"/>
          <w:u w:val="single"/>
          <w:lang w:val="en-US" w:eastAsia="zh-CN"/>
        </w:rPr>
        <w:t>且数据准确有效</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并接受违约处罚条款</w:t>
      </w:r>
      <w:r>
        <w:rPr>
          <w:rFonts w:hint="eastAsia" w:ascii="仿宋" w:hAnsi="仿宋" w:eastAsia="仿宋" w:cs="仿宋"/>
          <w:color w:val="auto"/>
          <w:sz w:val="28"/>
          <w:szCs w:val="28"/>
          <w:highlight w:val="none"/>
          <w:u w:val="single"/>
        </w:rPr>
        <w:t>（加盖单位公章）</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14:paraId="7D07F101">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14:paraId="62FD3EB1">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14:paraId="769D1C38">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14:paraId="47A52680">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14:paraId="7C8E03DD">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14:paraId="55D3F5F2">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14:paraId="62C56F46">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14:paraId="21CBF7D5">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14:paraId="12B3BA52">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14:paraId="31BA7E46">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）供应商发生不履约行为的情形，并相应被暂停参与投标活动的。</w:t>
      </w:r>
    </w:p>
    <w:p w14:paraId="4460EE22">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其他违法违纪行为，经审查认为不宜被邀请参加采购活动的。</w:t>
      </w:r>
    </w:p>
    <w:p w14:paraId="1F054D42">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rPr>
        <w:t>）其他禁止情形：</w:t>
      </w:r>
      <w:r>
        <w:rPr>
          <w:rFonts w:hint="eastAsia" w:ascii="仿宋_GB2312" w:eastAsia="仿宋"/>
          <w:color w:val="auto"/>
          <w:sz w:val="28"/>
          <w:szCs w:val="28"/>
          <w:highlight w:val="none"/>
          <w:u w:val="single"/>
          <w:lang w:val="en-US" w:eastAsia="zh-CN"/>
        </w:rPr>
        <w:t xml:space="preserve">  /  </w:t>
      </w:r>
      <w:r>
        <w:rPr>
          <w:rFonts w:hint="eastAsia" w:ascii="仿宋_GB2312" w:eastAsia="仿宋"/>
          <w:color w:val="auto"/>
          <w:sz w:val="28"/>
          <w:szCs w:val="28"/>
          <w:highlight w:val="none"/>
        </w:rPr>
        <w:t>。</w:t>
      </w:r>
    </w:p>
    <w:p w14:paraId="64C51CAC">
      <w:pPr>
        <w:adjustRightInd w:val="0"/>
        <w:snapToGrid w:val="0"/>
        <w:spacing w:line="600" w:lineRule="exact"/>
        <w:jc w:val="left"/>
        <w:rPr>
          <w:rFonts w:ascii="仿宋_GB2312" w:eastAsia="仿宋"/>
          <w:sz w:val="28"/>
          <w:szCs w:val="28"/>
        </w:rPr>
      </w:pPr>
      <w:r>
        <w:rPr>
          <w:rFonts w:hint="eastAsia" w:ascii="仿宋_GB2312" w:eastAsia="仿宋"/>
          <w:color w:val="auto"/>
          <w:sz w:val="28"/>
          <w:szCs w:val="28"/>
          <w:highlight w:val="none"/>
        </w:rPr>
        <w:t>3.3</w:t>
      </w:r>
      <w:r>
        <w:rPr>
          <w:rFonts w:hint="eastAsia" w:ascii="仿宋_GB2312" w:eastAsia="仿宋"/>
          <w:sz w:val="28"/>
          <w:szCs w:val="28"/>
        </w:rPr>
        <w:t xml:space="preserve">本次项目□接受  </w:t>
      </w:r>
      <w:r>
        <w:rPr>
          <w:rFonts w:hint="eastAsia" w:ascii="仿宋_GB2312" w:eastAsia="仿宋"/>
          <w:sz w:val="28"/>
          <w:szCs w:val="28"/>
          <w:lang w:eastAsia="zh-CN"/>
        </w:rPr>
        <w:t>☑</w:t>
      </w:r>
      <w:r>
        <w:rPr>
          <w:rFonts w:hint="eastAsia" w:ascii="仿宋_GB2312" w:eastAsia="仿宋"/>
          <w:sz w:val="28"/>
          <w:szCs w:val="28"/>
        </w:rPr>
        <w:t>不接受联合体参加采购活动</w:t>
      </w:r>
    </w:p>
    <w:p w14:paraId="5BE3356B">
      <w:pPr>
        <w:adjustRightInd w:val="0"/>
        <w:snapToGrid w:val="0"/>
        <w:spacing w:line="600" w:lineRule="exact"/>
        <w:ind w:firstLine="560" w:firstLineChars="200"/>
        <w:jc w:val="left"/>
        <w:rPr>
          <w:rFonts w:ascii="仿宋_GB2312" w:eastAsia="仿宋"/>
          <w:sz w:val="28"/>
          <w:szCs w:val="28"/>
        </w:rPr>
      </w:pPr>
      <w:r>
        <w:rPr>
          <w:rFonts w:hint="eastAsia" w:ascii="仿宋_GB2312" w:eastAsia="仿宋"/>
          <w:sz w:val="28"/>
          <w:szCs w:val="28"/>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14:paraId="6C8AE542">
      <w:pPr>
        <w:adjustRightInd w:val="0"/>
        <w:snapToGrid w:val="0"/>
        <w:spacing w:line="600" w:lineRule="exact"/>
        <w:ind w:firstLine="555"/>
        <w:jc w:val="left"/>
        <w:rPr>
          <w:rFonts w:ascii="仿宋_GB2312" w:eastAsia="仿宋"/>
          <w:sz w:val="28"/>
          <w:szCs w:val="28"/>
          <w:u w:val="single"/>
        </w:rPr>
      </w:pPr>
      <w:r>
        <w:rPr>
          <w:rFonts w:hint="eastAsia" w:ascii="仿宋_GB2312" w:eastAsia="仿宋"/>
          <w:sz w:val="28"/>
          <w:szCs w:val="28"/>
        </w:rPr>
        <w:t>联合体的资格认定标准如下：</w:t>
      </w:r>
      <w:r>
        <w:rPr>
          <w:rFonts w:hint="eastAsia" w:ascii="仿宋_GB2312" w:eastAsia="仿宋"/>
          <w:sz w:val="28"/>
          <w:szCs w:val="28"/>
          <w:u w:val="single"/>
        </w:rPr>
        <w:t xml:space="preserve"> </w:t>
      </w:r>
      <w:r>
        <w:rPr>
          <w:rFonts w:hint="eastAsia" w:ascii="仿宋_GB2312" w:eastAsia="仿宋"/>
          <w:sz w:val="28"/>
          <w:szCs w:val="28"/>
          <w:u w:val="single"/>
          <w:lang w:val="en-US" w:eastAsia="zh-CN"/>
        </w:rPr>
        <w:t>/</w:t>
      </w:r>
      <w:r>
        <w:rPr>
          <w:rFonts w:hint="eastAsia" w:ascii="仿宋_GB2312" w:eastAsia="仿宋"/>
          <w:sz w:val="28"/>
          <w:szCs w:val="28"/>
          <w:u w:val="single"/>
        </w:rPr>
        <w:t xml:space="preserve"> </w:t>
      </w:r>
      <w:r>
        <w:rPr>
          <w:rFonts w:hint="eastAsia" w:ascii="仿宋_GB2312" w:eastAsia="仿宋"/>
          <w:color w:val="auto"/>
          <w:sz w:val="28"/>
          <w:szCs w:val="28"/>
          <w:highlight w:val="none"/>
        </w:rPr>
        <w:t>。</w:t>
      </w:r>
    </w:p>
    <w:p w14:paraId="59013F57">
      <w:pPr>
        <w:adjustRightInd w:val="0"/>
        <w:snapToGrid w:val="0"/>
        <w:spacing w:line="600" w:lineRule="exact"/>
        <w:jc w:val="left"/>
        <w:rPr>
          <w:rFonts w:ascii="仿宋_GB2312" w:eastAsia="仿宋"/>
          <w:color w:val="auto"/>
          <w:sz w:val="28"/>
          <w:szCs w:val="28"/>
          <w:highlight w:val="none"/>
        </w:rPr>
      </w:pPr>
      <w:r>
        <w:rPr>
          <w:rFonts w:hint="eastAsia" w:ascii="仿宋_GB2312" w:eastAsia="仿宋"/>
          <w:szCs w:val="21"/>
        </w:rPr>
        <w:t>（注：此部分应明确由同一专业或不同专业组成的联合体中各专业的资质、业绩、信誉、主要人员等的认定方法，以最终认定联合体的资格。）</w:t>
      </w:r>
    </w:p>
    <w:p w14:paraId="20F1FCED">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52146200">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14:paraId="2D7091D1">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16</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14:paraId="0DA053C8">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14:paraId="306E39C3">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14:paraId="2B4BD85B">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00C0C20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不组织</w:t>
      </w:r>
    </w:p>
    <w:p w14:paraId="494176EC">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79586169">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eastAsia="仿宋"/>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17</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17</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14:paraId="2A486E4B">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17</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时</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00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分</w:t>
      </w:r>
      <w:r>
        <w:rPr>
          <w:rFonts w:hint="eastAsia" w:ascii="仿宋_GB2312" w:eastAsia="仿宋"/>
          <w:color w:val="auto"/>
          <w:sz w:val="28"/>
          <w:szCs w:val="28"/>
          <w:highlight w:val="none"/>
          <w:lang w:val="en-US" w:eastAsia="zh-CN"/>
        </w:rPr>
        <w:t>前</w:t>
      </w:r>
      <w:r>
        <w:rPr>
          <w:rFonts w:hint="eastAsia" w:ascii="仿宋_GB2312" w:eastAsia="仿宋"/>
          <w:color w:val="auto"/>
          <w:sz w:val="28"/>
          <w:szCs w:val="28"/>
          <w:highlight w:val="none"/>
        </w:rPr>
        <w:t>（北京时间）。</w:t>
      </w:r>
    </w:p>
    <w:p w14:paraId="13777414">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广州市荔湾区桥中南路10号广州市净水有限公司水质中心</w:t>
      </w:r>
      <w:r>
        <w:rPr>
          <w:rFonts w:hint="eastAsia" w:ascii="仿宋_GB2312" w:eastAsia="仿宋"/>
          <w:color w:val="auto"/>
          <w:sz w:val="28"/>
          <w:szCs w:val="28"/>
          <w:highlight w:val="none"/>
        </w:rPr>
        <w:t>。</w:t>
      </w:r>
    </w:p>
    <w:p w14:paraId="10A369F1">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14:paraId="0C21EE13">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14:paraId="2EC2D3EC">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14:paraId="1C54D375">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w:t>
      </w:r>
      <w:r>
        <w:rPr>
          <w:rFonts w:hint="eastAsia" w:ascii="仿宋_GB2312" w:eastAsia="仿宋" w:hAnsiTheme="minorHAnsi" w:cstheme="minorBidi"/>
          <w:color w:val="auto"/>
          <w:kern w:val="2"/>
          <w:sz w:val="28"/>
          <w:szCs w:val="28"/>
          <w:highlight w:val="none"/>
          <w:lang w:val="en-US" w:eastAsia="zh-CN"/>
        </w:rPr>
        <w:t>水质检测中心</w:t>
      </w:r>
      <w:r>
        <w:rPr>
          <w:rFonts w:hint="eastAsia" w:ascii="仿宋_GB2312" w:eastAsia="仿宋" w:hAnsiTheme="minorHAnsi" w:cstheme="minorBidi"/>
          <w:color w:val="auto"/>
          <w:kern w:val="2"/>
          <w:sz w:val="28"/>
          <w:szCs w:val="28"/>
          <w:highlight w:val="none"/>
        </w:rPr>
        <w:t>”，“部门”选择“</w:t>
      </w:r>
      <w:r>
        <w:rPr>
          <w:rFonts w:hint="eastAsia" w:ascii="仿宋_GB2312" w:eastAsia="仿宋" w:hAnsiTheme="minorHAnsi" w:cstheme="minorBidi"/>
          <w:color w:val="auto"/>
          <w:kern w:val="2"/>
          <w:sz w:val="28"/>
          <w:szCs w:val="28"/>
          <w:highlight w:val="none"/>
          <w:lang w:val="en-US" w:eastAsia="zh-CN"/>
        </w:rPr>
        <w:t>在线监测部</w:t>
      </w:r>
      <w:r>
        <w:rPr>
          <w:rFonts w:hint="eastAsia" w:ascii="仿宋_GB2312" w:eastAsia="仿宋" w:hAnsiTheme="minorHAnsi" w:cstheme="minorBidi"/>
          <w:color w:val="auto"/>
          <w:kern w:val="2"/>
          <w:sz w:val="28"/>
          <w:szCs w:val="28"/>
          <w:highlight w:val="none"/>
        </w:rPr>
        <w:t>”。</w:t>
      </w:r>
    </w:p>
    <w:p w14:paraId="6334F2D7">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w:t>
      </w:r>
      <w:r>
        <w:rPr>
          <w:rFonts w:hint="eastAsia" w:ascii="仿宋_GB2312" w:eastAsia="仿宋" w:hAnsiTheme="minorHAnsi" w:cstheme="minorBidi"/>
          <w:color w:val="auto"/>
          <w:kern w:val="2"/>
          <w:sz w:val="28"/>
          <w:szCs w:val="28"/>
          <w:highlight w:val="none"/>
          <w:lang w:val="en-US" w:eastAsia="zh-CN"/>
        </w:rPr>
        <w:t>陈志君</w:t>
      </w:r>
      <w:r>
        <w:rPr>
          <w:rFonts w:hint="eastAsia" w:ascii="仿宋_GB2312" w:eastAsia="仿宋" w:hAnsiTheme="minorHAnsi" w:cstheme="minorBidi"/>
          <w:color w:val="auto"/>
          <w:kern w:val="2"/>
          <w:sz w:val="28"/>
          <w:szCs w:val="28"/>
          <w:highlight w:val="none"/>
        </w:rPr>
        <w:t>”，“手机号”：“</w:t>
      </w:r>
      <w:r>
        <w:rPr>
          <w:rFonts w:hint="eastAsia" w:ascii="仿宋_GB2312" w:eastAsia="仿宋" w:hAnsiTheme="minorHAnsi" w:cstheme="minorBidi"/>
          <w:color w:val="auto"/>
          <w:kern w:val="2"/>
          <w:sz w:val="28"/>
          <w:szCs w:val="28"/>
          <w:highlight w:val="none"/>
          <w:lang w:val="en-US" w:eastAsia="zh-CN"/>
        </w:rPr>
        <w:t>13527713110</w:t>
      </w:r>
      <w:r>
        <w:rPr>
          <w:rFonts w:hint="eastAsia" w:ascii="仿宋_GB2312" w:eastAsia="仿宋" w:hAnsiTheme="minorHAnsi" w:cstheme="minorBidi"/>
          <w:color w:val="auto"/>
          <w:kern w:val="2"/>
          <w:sz w:val="28"/>
          <w:szCs w:val="28"/>
          <w:highlight w:val="none"/>
        </w:rPr>
        <w:t>”。</w:t>
      </w:r>
    </w:p>
    <w:p w14:paraId="2B583349">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（4）“详细描述”：递交项目响应文件。</w:t>
      </w:r>
    </w:p>
    <w:p w14:paraId="46BD9246">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19CC0A7C">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14:paraId="6FD26B78">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14:paraId="6BDCAB4B">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14:paraId="195DF7D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14:paraId="12D7953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14:paraId="5DAA4A43">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60E6C0CB">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14:paraId="668A083F">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lang w:val="en-US" w:eastAsia="zh-CN"/>
        </w:rPr>
        <w:t>38890841/</w:t>
      </w:r>
      <w:r>
        <w:rPr>
          <w:rFonts w:hint="eastAsia" w:ascii="仿宋_GB2312" w:hAnsi="仿宋" w:eastAsia="仿宋"/>
          <w:color w:val="auto"/>
          <w:sz w:val="28"/>
          <w:szCs w:val="28"/>
          <w:highlight w:val="none"/>
          <w:u w:val="single"/>
          <w:lang w:val="en-US" w:eastAsia="zh-CN"/>
        </w:rPr>
        <w:t>62315524</w:t>
      </w:r>
      <w:r>
        <w:rPr>
          <w:rFonts w:ascii="仿宋_GB2312" w:hAnsi="仿宋" w:eastAsia="仿宋"/>
          <w:color w:val="auto"/>
          <w:sz w:val="28"/>
          <w:szCs w:val="28"/>
          <w:highlight w:val="none"/>
        </w:rPr>
        <w:t>。</w:t>
      </w:r>
    </w:p>
    <w:p w14:paraId="5536CD6C">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14:paraId="27484E33">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14:paraId="4FA3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55187E2D">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14:paraId="7628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41BC034E">
            <w:pPr>
              <w:adjustRightInd w:val="0"/>
              <w:snapToGrid w:val="0"/>
              <w:spacing w:line="600" w:lineRule="exact"/>
              <w:jc w:val="left"/>
              <w:rPr>
                <w:rFonts w:hint="default" w:ascii="仿宋_GB2312" w:eastAsia="仿宋_GB2312"/>
                <w:color w:val="auto"/>
                <w:sz w:val="28"/>
                <w:szCs w:val="28"/>
                <w:highlight w:val="none"/>
                <w:u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u w:val="none"/>
                <w:lang w:val="en-US" w:eastAsia="zh-CN"/>
              </w:rPr>
              <w:t>广州市荔湾区桥中南路10号</w:t>
            </w:r>
          </w:p>
        </w:tc>
      </w:tr>
      <w:tr w14:paraId="6F4D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20FDFAD5">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陈工</w:t>
            </w:r>
          </w:p>
        </w:tc>
      </w:tr>
      <w:tr w14:paraId="38EC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4F25AE62">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020-81534299</w:t>
            </w:r>
          </w:p>
        </w:tc>
      </w:tr>
      <w:tr w14:paraId="010AC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4E5F4DAE">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bookmarkStart w:id="96" w:name="_GoBack"/>
            <w:bookmarkEnd w:id="96"/>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14:paraId="69A9063F">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14:paraId="2036C0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3" w:name="_Toc10891"/>
    </w:p>
    <w:p w14:paraId="67DD4D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366A4E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41C8CC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59D976E2">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4" w:name="_Toc2324"/>
      <w:bookmarkStart w:id="15" w:name="_Toc9448"/>
      <w:bookmarkStart w:id="16" w:name="_Toc25603"/>
      <w:bookmarkStart w:id="17" w:name="_Toc32588"/>
      <w:bookmarkStart w:id="18" w:name="_Toc7340"/>
      <w:bookmarkStart w:id="19" w:name="_Toc23749"/>
      <w:bookmarkStart w:id="20" w:name="_Toc2331"/>
      <w:bookmarkStart w:id="21" w:name="_Toc16705"/>
      <w:bookmarkStart w:id="22" w:name="_Toc16557"/>
      <w:bookmarkStart w:id="23" w:name="_Toc19295"/>
    </w:p>
    <w:p w14:paraId="50A925AE">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14:paraId="585555B4">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24" w:name="_Toc3416"/>
      <w:bookmarkStart w:id="25" w:name="_Toc2339"/>
    </w:p>
    <w:p w14:paraId="086A2095">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14:paraId="040124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494110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0C196B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078740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0AB244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328156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59AD35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1A755B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56A942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5936F4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35063308">
      <w:pPr>
        <w:rPr>
          <w:rFonts w:hint="eastAsia" w:ascii="仿宋_GB2312" w:hAnsi="仿宋_GB2312" w:eastAsia="仿宋" w:cs="仿宋_GB2312"/>
          <w:sz w:val="28"/>
          <w:szCs w:val="28"/>
        </w:rPr>
      </w:pPr>
      <w:r>
        <w:rPr>
          <w:rFonts w:hint="eastAsia" w:ascii="仿宋_GB2312" w:hAnsi="仿宋_GB2312" w:eastAsia="仿宋" w:cs="仿宋_GB2312"/>
          <w:sz w:val="28"/>
          <w:szCs w:val="28"/>
        </w:rPr>
        <w:br w:type="page"/>
      </w:r>
    </w:p>
    <w:p w14:paraId="61DB0AD8">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14:paraId="12FCB834">
      <w:pPr>
        <w:pStyle w:val="23"/>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14:paraId="0B5AC613">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14:paraId="7EA89836">
      <w:pPr>
        <w:pStyle w:val="23"/>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14:paraId="23FA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14:paraId="1423E4F9">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14:paraId="2C9F3110">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14:paraId="4C2D30AB">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14:paraId="291DEDE9">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14:paraId="446F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14:paraId="381A3F8A">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14:paraId="0FB634F7">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14:paraId="43FF8F04">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14:paraId="2AFDA19C">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14:paraId="22BD2CD0">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14:paraId="634AE9F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14:paraId="2D10CBB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14:paraId="03643A4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14:paraId="235D51A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14:paraId="2536C74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14:paraId="5F512B0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14:paraId="09A2E46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14:paraId="56AEC41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14:paraId="04CF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14:paraId="5631D829">
            <w:pPr>
              <w:jc w:val="center"/>
              <w:rPr>
                <w:rFonts w:ascii="仿宋_GB2312" w:eastAsia="仿宋_GB2312"/>
                <w:color w:val="auto"/>
                <w:sz w:val="24"/>
                <w:szCs w:val="24"/>
                <w:highlight w:val="none"/>
              </w:rPr>
            </w:pPr>
          </w:p>
        </w:tc>
        <w:tc>
          <w:tcPr>
            <w:tcW w:w="748" w:type="dxa"/>
            <w:vAlign w:val="center"/>
          </w:tcPr>
          <w:p w14:paraId="413B862D">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14:paraId="61C7589D">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14:paraId="1ED6386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14:paraId="144F6EC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2A3E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023BBD2E">
            <w:pPr>
              <w:jc w:val="center"/>
              <w:rPr>
                <w:rFonts w:ascii="仿宋_GB2312" w:eastAsia="仿宋_GB2312"/>
                <w:color w:val="auto"/>
                <w:sz w:val="24"/>
                <w:szCs w:val="24"/>
                <w:highlight w:val="none"/>
              </w:rPr>
            </w:pPr>
          </w:p>
        </w:tc>
        <w:tc>
          <w:tcPr>
            <w:tcW w:w="748" w:type="dxa"/>
            <w:vAlign w:val="center"/>
          </w:tcPr>
          <w:p w14:paraId="21C4B24E">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14:paraId="2FDF3FE2">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14:paraId="585ED66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14:paraId="6693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4F7409AC">
            <w:pPr>
              <w:jc w:val="center"/>
              <w:rPr>
                <w:rFonts w:ascii="Calibri" w:hAnsi="Calibri" w:eastAsia="宋体" w:cs="Times New Roman"/>
                <w:b/>
                <w:bCs/>
                <w:color w:val="auto"/>
                <w:sz w:val="24"/>
                <w:szCs w:val="24"/>
                <w:highlight w:val="none"/>
              </w:rPr>
            </w:pPr>
          </w:p>
        </w:tc>
        <w:tc>
          <w:tcPr>
            <w:tcW w:w="748" w:type="dxa"/>
            <w:vAlign w:val="center"/>
          </w:tcPr>
          <w:p w14:paraId="7B37420E">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14:paraId="6DD9FEDF">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14:paraId="6C17DB1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14:paraId="1B66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4E2143B2">
            <w:pPr>
              <w:jc w:val="center"/>
              <w:rPr>
                <w:color w:val="auto"/>
                <w:sz w:val="24"/>
                <w:szCs w:val="24"/>
                <w:highlight w:val="none"/>
              </w:rPr>
            </w:pPr>
          </w:p>
        </w:tc>
        <w:tc>
          <w:tcPr>
            <w:tcW w:w="748" w:type="dxa"/>
            <w:vAlign w:val="center"/>
          </w:tcPr>
          <w:p w14:paraId="3DB08D1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14:paraId="717F3934">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14:paraId="6FD6412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14:paraId="7577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3E30B39F">
            <w:pPr>
              <w:jc w:val="center"/>
              <w:rPr>
                <w:color w:val="auto"/>
                <w:sz w:val="24"/>
                <w:szCs w:val="24"/>
                <w:highlight w:val="none"/>
              </w:rPr>
            </w:pPr>
          </w:p>
        </w:tc>
        <w:tc>
          <w:tcPr>
            <w:tcW w:w="748" w:type="dxa"/>
            <w:vAlign w:val="center"/>
          </w:tcPr>
          <w:p w14:paraId="3E47221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14:paraId="3D9EA453">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14:paraId="26DE617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14:paraId="1425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9A3C963">
            <w:pPr>
              <w:jc w:val="center"/>
              <w:rPr>
                <w:color w:val="auto"/>
                <w:sz w:val="24"/>
                <w:szCs w:val="24"/>
                <w:highlight w:val="none"/>
              </w:rPr>
            </w:pPr>
          </w:p>
        </w:tc>
        <w:tc>
          <w:tcPr>
            <w:tcW w:w="748" w:type="dxa"/>
            <w:vAlign w:val="center"/>
          </w:tcPr>
          <w:p w14:paraId="0F320B29">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14:paraId="693A953F">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14:paraId="61D1FF4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14:paraId="760E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3C7F0969">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14:paraId="113EFCFB">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14:paraId="2288E577">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14:paraId="67FC5C3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14:paraId="1ABDC993">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14:paraId="4C978FB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14:paraId="367C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14:paraId="2E1D56F7">
            <w:pPr>
              <w:adjustRightInd w:val="0"/>
              <w:snapToGrid w:val="0"/>
              <w:jc w:val="center"/>
              <w:rPr>
                <w:rFonts w:ascii="仿宋_GB2312" w:eastAsia="仿宋_GB2312"/>
                <w:color w:val="auto"/>
                <w:sz w:val="24"/>
                <w:szCs w:val="24"/>
                <w:highlight w:val="none"/>
              </w:rPr>
            </w:pPr>
          </w:p>
        </w:tc>
        <w:tc>
          <w:tcPr>
            <w:tcW w:w="748" w:type="dxa"/>
            <w:vAlign w:val="center"/>
          </w:tcPr>
          <w:p w14:paraId="74FD711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14:paraId="5B9E1291">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14:paraId="0AAE61F2">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14:paraId="530AF5A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14:paraId="1C6F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7CAE731A">
            <w:pPr>
              <w:adjustRightInd w:val="0"/>
              <w:snapToGrid w:val="0"/>
              <w:jc w:val="center"/>
              <w:rPr>
                <w:rFonts w:ascii="仿宋_GB2312" w:eastAsia="仿宋_GB2312"/>
                <w:color w:val="auto"/>
                <w:sz w:val="24"/>
                <w:szCs w:val="24"/>
                <w:highlight w:val="none"/>
              </w:rPr>
            </w:pPr>
          </w:p>
        </w:tc>
        <w:tc>
          <w:tcPr>
            <w:tcW w:w="748" w:type="dxa"/>
            <w:vAlign w:val="center"/>
          </w:tcPr>
          <w:p w14:paraId="00F41E7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14:paraId="29048089">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14:paraId="2B90799D">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14:paraId="3572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14:paraId="6F54888D">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14:paraId="09E8704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14:paraId="1BF5CCFC">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14:paraId="56885191">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14:paraId="136331E5">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14:paraId="0E5D6433">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14:paraId="719D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79040388">
            <w:pPr>
              <w:adjustRightInd w:val="0"/>
              <w:snapToGrid w:val="0"/>
              <w:jc w:val="center"/>
              <w:rPr>
                <w:rFonts w:ascii="仿宋_GB2312" w:eastAsia="仿宋_GB2312"/>
                <w:color w:val="auto"/>
                <w:sz w:val="24"/>
                <w:szCs w:val="24"/>
                <w:highlight w:val="none"/>
              </w:rPr>
            </w:pPr>
          </w:p>
        </w:tc>
        <w:tc>
          <w:tcPr>
            <w:tcW w:w="748" w:type="dxa"/>
            <w:vAlign w:val="center"/>
          </w:tcPr>
          <w:p w14:paraId="0F6E104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14:paraId="1A002356">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14:paraId="278F73C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14:paraId="7C2D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13A12D84">
            <w:pPr>
              <w:adjustRightInd w:val="0"/>
              <w:snapToGrid w:val="0"/>
              <w:jc w:val="center"/>
              <w:rPr>
                <w:rFonts w:ascii="仿宋_GB2312" w:eastAsia="仿宋_GB2312"/>
                <w:color w:val="auto"/>
                <w:sz w:val="24"/>
                <w:szCs w:val="24"/>
                <w:highlight w:val="none"/>
              </w:rPr>
            </w:pPr>
          </w:p>
        </w:tc>
        <w:tc>
          <w:tcPr>
            <w:tcW w:w="748" w:type="dxa"/>
            <w:vAlign w:val="center"/>
          </w:tcPr>
          <w:p w14:paraId="11C67202">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14:paraId="015BEC19">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14:paraId="596E0E31">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5人</w:t>
            </w:r>
            <w:r>
              <w:rPr>
                <w:rFonts w:hint="eastAsia" w:ascii="仿宋_GB2312" w:eastAsia="仿宋" w:hAnsiTheme="minorEastAsia"/>
                <w:color w:val="auto"/>
                <w:sz w:val="24"/>
                <w:szCs w:val="24"/>
                <w:highlight w:val="none"/>
                <w:lang w:val="en-US" w:eastAsia="zh-CN"/>
              </w:rPr>
              <w:t>。</w:t>
            </w:r>
          </w:p>
        </w:tc>
      </w:tr>
      <w:tr w14:paraId="7698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07EB7D83">
            <w:pPr>
              <w:adjustRightInd w:val="0"/>
              <w:snapToGrid w:val="0"/>
              <w:jc w:val="center"/>
              <w:rPr>
                <w:rFonts w:ascii="仿宋_GB2312" w:eastAsia="仿宋_GB2312"/>
                <w:color w:val="auto"/>
                <w:sz w:val="24"/>
                <w:szCs w:val="24"/>
                <w:highlight w:val="none"/>
              </w:rPr>
            </w:pPr>
          </w:p>
        </w:tc>
        <w:tc>
          <w:tcPr>
            <w:tcW w:w="748" w:type="dxa"/>
            <w:vAlign w:val="center"/>
          </w:tcPr>
          <w:p w14:paraId="265DD0C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14:paraId="593A8BB3">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14:paraId="49796A12">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14:paraId="601A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6AD14AB">
            <w:pPr>
              <w:adjustRightInd w:val="0"/>
              <w:snapToGrid w:val="0"/>
              <w:jc w:val="center"/>
              <w:rPr>
                <w:rFonts w:ascii="仿宋_GB2312" w:eastAsia="仿宋_GB2312"/>
                <w:color w:val="auto"/>
                <w:sz w:val="24"/>
                <w:szCs w:val="24"/>
                <w:highlight w:val="none"/>
              </w:rPr>
            </w:pPr>
          </w:p>
        </w:tc>
        <w:tc>
          <w:tcPr>
            <w:tcW w:w="748" w:type="dxa"/>
            <w:vAlign w:val="center"/>
          </w:tcPr>
          <w:p w14:paraId="49D5CAB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14:paraId="666F3E5C">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14:paraId="6A79D1C6">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14:paraId="1C50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7B9C2663">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14:paraId="687CAF0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14:paraId="55DD89B6">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14:paraId="6F741472">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14:paraId="42BC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1B7B2528">
            <w:pPr>
              <w:adjustRightInd w:val="0"/>
              <w:snapToGrid w:val="0"/>
              <w:jc w:val="center"/>
              <w:rPr>
                <w:rFonts w:ascii="仿宋_GB2312" w:eastAsia="仿宋_GB2312"/>
                <w:color w:val="auto"/>
                <w:sz w:val="24"/>
                <w:szCs w:val="24"/>
                <w:highlight w:val="none"/>
              </w:rPr>
            </w:pPr>
          </w:p>
        </w:tc>
        <w:tc>
          <w:tcPr>
            <w:tcW w:w="748" w:type="dxa"/>
            <w:vMerge w:val="restart"/>
            <w:vAlign w:val="center"/>
          </w:tcPr>
          <w:p w14:paraId="26E917B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14:paraId="5888B07C">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14:paraId="53795F7A">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14:paraId="7541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972714C">
            <w:pPr>
              <w:adjustRightInd w:val="0"/>
              <w:snapToGrid w:val="0"/>
              <w:jc w:val="center"/>
              <w:rPr>
                <w:rFonts w:ascii="仿宋_GB2312" w:eastAsia="仿宋_GB2312"/>
                <w:color w:val="auto"/>
                <w:sz w:val="24"/>
                <w:szCs w:val="24"/>
                <w:highlight w:val="none"/>
              </w:rPr>
            </w:pPr>
          </w:p>
        </w:tc>
        <w:tc>
          <w:tcPr>
            <w:tcW w:w="748" w:type="dxa"/>
            <w:vMerge w:val="continue"/>
            <w:vAlign w:val="center"/>
          </w:tcPr>
          <w:p w14:paraId="5F3C5AFF">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14:paraId="27CC12E1">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14:paraId="7D106245">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14:paraId="221B75FC">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14:paraId="26D6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74512CD">
            <w:pPr>
              <w:adjustRightInd w:val="0"/>
              <w:snapToGrid w:val="0"/>
              <w:jc w:val="center"/>
              <w:rPr>
                <w:rFonts w:ascii="仿宋_GB2312" w:eastAsia="仿宋_GB2312"/>
                <w:color w:val="auto"/>
                <w:sz w:val="24"/>
                <w:szCs w:val="24"/>
                <w:highlight w:val="none"/>
              </w:rPr>
            </w:pPr>
          </w:p>
        </w:tc>
        <w:tc>
          <w:tcPr>
            <w:tcW w:w="748" w:type="dxa"/>
            <w:vMerge w:val="continue"/>
            <w:vAlign w:val="center"/>
          </w:tcPr>
          <w:p w14:paraId="57F1DF44">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14:paraId="24F73D69">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14:paraId="71198692">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14:paraId="6985DDEC">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14:paraId="4A553C2F">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14:paraId="6E28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933FA7C">
            <w:pPr>
              <w:adjustRightInd w:val="0"/>
              <w:snapToGrid w:val="0"/>
              <w:jc w:val="center"/>
              <w:rPr>
                <w:rFonts w:ascii="仿宋_GB2312" w:eastAsia="仿宋_GB2312"/>
                <w:color w:val="auto"/>
                <w:sz w:val="24"/>
                <w:szCs w:val="24"/>
                <w:highlight w:val="none"/>
              </w:rPr>
            </w:pPr>
          </w:p>
        </w:tc>
        <w:tc>
          <w:tcPr>
            <w:tcW w:w="748" w:type="dxa"/>
            <w:vAlign w:val="center"/>
          </w:tcPr>
          <w:p w14:paraId="318CE96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14:paraId="7F371A14">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14:paraId="7097D396">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14:paraId="361E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4BC7A252">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14:paraId="2E61AA55">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14:paraId="46E620B3">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14:paraId="3503AB3A">
            <w:pPr>
              <w:adjustRightInd w:val="0"/>
              <w:snapToGrid w:val="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1.合同签订阶段，如采购文件需求内容与采购文件响应文件格式报价表存在不一致情形，则以采购文件响应文件格式报价表为准。</w:t>
            </w:r>
          </w:p>
          <w:p w14:paraId="1DE6677E">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2.合同签订阶段，除报价表外，如采购文件条款与合同存在不一致情形，则以合同为准。</w:t>
            </w:r>
          </w:p>
        </w:tc>
      </w:tr>
      <w:tr w14:paraId="5A9F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14:paraId="3906EB7B">
            <w:pPr>
              <w:adjustRightInd w:val="0"/>
              <w:snapToGrid w:val="0"/>
              <w:jc w:val="center"/>
              <w:rPr>
                <w:rFonts w:ascii="仿宋_GB2312" w:eastAsia="仿宋_GB2312"/>
                <w:color w:val="auto"/>
                <w:sz w:val="24"/>
                <w:szCs w:val="24"/>
                <w:highlight w:val="none"/>
              </w:rPr>
            </w:pPr>
          </w:p>
        </w:tc>
        <w:tc>
          <w:tcPr>
            <w:tcW w:w="748" w:type="dxa"/>
            <w:vAlign w:val="center"/>
          </w:tcPr>
          <w:p w14:paraId="7A6FC8A2">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14:paraId="0B4686CF">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14:paraId="47127886">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14:paraId="4DF1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14:paraId="5D478B4C">
            <w:pPr>
              <w:adjustRightInd w:val="0"/>
              <w:snapToGrid w:val="0"/>
              <w:jc w:val="center"/>
              <w:rPr>
                <w:rFonts w:ascii="仿宋_GB2312" w:eastAsia="仿宋_GB2312"/>
                <w:color w:val="auto"/>
                <w:sz w:val="24"/>
                <w:szCs w:val="24"/>
                <w:highlight w:val="none"/>
              </w:rPr>
            </w:pPr>
          </w:p>
        </w:tc>
        <w:tc>
          <w:tcPr>
            <w:tcW w:w="748" w:type="dxa"/>
            <w:vAlign w:val="center"/>
          </w:tcPr>
          <w:p w14:paraId="320A8E55">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14:paraId="5693844C">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14:paraId="1086C656">
            <w:pPr>
              <w:adjustRightInd w:val="0"/>
              <w:snapToGrid w:val="0"/>
              <w:ind w:left="360" w:hanging="360" w:hangingChars="150"/>
              <w:rPr>
                <w:rFonts w:ascii="仿宋_GB2312" w:eastAsia="仿宋"/>
                <w:color w:val="auto"/>
                <w:sz w:val="24"/>
                <w:szCs w:val="24"/>
              </w:rPr>
            </w:pPr>
            <w:r>
              <w:rPr>
                <w:rFonts w:hint="eastAsia" w:ascii="仿宋_GB2312" w:eastAsia="仿宋" w:hAnsiTheme="minorEastAsia"/>
                <w:color w:val="auto"/>
                <w:sz w:val="24"/>
                <w:szCs w:val="24"/>
                <w:lang w:eastAsia="zh-CN"/>
              </w:rPr>
              <w:t>☑</w:t>
            </w:r>
            <w:r>
              <w:rPr>
                <w:rFonts w:hint="eastAsia" w:ascii="仿宋_GB2312" w:eastAsia="仿宋"/>
                <w:color w:val="auto"/>
                <w:sz w:val="24"/>
                <w:szCs w:val="24"/>
              </w:rPr>
              <w:t>无</w:t>
            </w:r>
          </w:p>
          <w:p w14:paraId="01551CF7">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rPr>
              <w:t>□</w:t>
            </w:r>
            <w:r>
              <w:rPr>
                <w:rFonts w:hint="eastAsia" w:ascii="仿宋_GB2312" w:eastAsia="仿宋" w:hAnsiTheme="minorEastAsia"/>
                <w:color w:val="auto"/>
                <w:sz w:val="24"/>
                <w:szCs w:val="24"/>
                <w:u w:val="single"/>
              </w:rPr>
              <w:t>（</w:t>
            </w:r>
            <w:r>
              <w:rPr>
                <w:rFonts w:hint="eastAsia" w:ascii="仿宋_GB2312" w:eastAsia="仿宋"/>
                <w:color w:val="auto"/>
                <w:sz w:val="24"/>
                <w:szCs w:val="24"/>
                <w:u w:val="single"/>
              </w:rPr>
              <w:t>招标采购代理费金额、支付人、支付方式等</w:t>
            </w:r>
            <w:r>
              <w:rPr>
                <w:rFonts w:hint="eastAsia" w:ascii="仿宋_GB2312" w:eastAsia="仿宋" w:hAnsiTheme="minorEastAsia"/>
                <w:color w:val="auto"/>
                <w:sz w:val="24"/>
                <w:szCs w:val="24"/>
                <w:u w:val="single"/>
              </w:rPr>
              <w:t>）</w:t>
            </w:r>
          </w:p>
        </w:tc>
      </w:tr>
    </w:tbl>
    <w:p w14:paraId="3BA25F0C">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14:paraId="587EEA8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14:paraId="6FD30CD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14:paraId="31EE5C13">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14:paraId="20B0636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14:paraId="3AE9B4B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14:paraId="295134C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14:paraId="01E357B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14:paraId="69EBDEB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14:paraId="3D2B943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14:paraId="0279422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14:paraId="5027D08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14:paraId="4114869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14:paraId="29C6C4A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14:paraId="733EF9CA">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14:paraId="2F71C17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14:paraId="3779DA81">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14:paraId="41BB5BC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14:paraId="52BA72A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14:paraId="3B2E705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14:paraId="7FDC0C2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14:paraId="029D9CC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14:paraId="2878330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14:paraId="5C6675B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14:paraId="454E49BB">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14:paraId="3015F42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14:paraId="2F68EED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14:paraId="1E4FC00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14:paraId="39051B2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14:paraId="763A04C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36C7344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14:paraId="771B4387">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14:paraId="0FD37AA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14:paraId="40CD6FB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14:paraId="6E5DBD0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14:paraId="2B04406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14:paraId="1AC0630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14:paraId="6D17F3B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附件6：关于**项目投诉书</w:t>
      </w:r>
    </w:p>
    <w:p w14:paraId="4E7BC0A3">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014A62A8">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14:paraId="72EF4DA9">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14:paraId="62FE4BEB">
      <w:pPr>
        <w:pStyle w:val="37"/>
        <w:rPr>
          <w:rFonts w:hint="eastAsia" w:ascii="仿宋_GB2312" w:hAnsi="仿宋_GB2312" w:eastAsia="仿宋" w:cs="仿宋_GB2312"/>
          <w:color w:val="auto"/>
          <w:sz w:val="28"/>
          <w:szCs w:val="32"/>
          <w:highlight w:val="none"/>
        </w:rPr>
      </w:pPr>
    </w:p>
    <w:p w14:paraId="32776E60">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14:paraId="6260E30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14:paraId="1BB8DE39">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14:paraId="615A5E66">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14:paraId="2836C91D">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14:paraId="3B806B9A">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14:paraId="0C2E6A18">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14:paraId="221899B3">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14:paraId="4D2DFF89">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14:paraId="4A1018E2">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14:paraId="05E430F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14:paraId="092DBEA5">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14:paraId="46786C96">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14:paraId="2385A1DB">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14:paraId="4DFCC9EB">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14:paraId="489E0351">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14:paraId="6C3F0F15">
            <w:pPr>
              <w:adjustRightInd w:val="0"/>
              <w:snapToGrid w:val="0"/>
              <w:spacing w:line="600" w:lineRule="exact"/>
              <w:jc w:val="center"/>
              <w:rPr>
                <w:rFonts w:ascii="仿宋_GB2312" w:eastAsia="仿宋_GB2312"/>
                <w:color w:val="auto"/>
                <w:sz w:val="24"/>
                <w:szCs w:val="24"/>
                <w:highlight w:val="none"/>
              </w:rPr>
            </w:pPr>
          </w:p>
        </w:tc>
      </w:tr>
      <w:tr w14:paraId="52E7569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30160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49F8D9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2FBAA8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1C2100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392827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57B9A0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54F3548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7039B3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5A6472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79C522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0403F8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1285A7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738791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2C89258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2F88B1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176335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710EBE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120B41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210ABC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45ED9B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276EA6D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06E59B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600C10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73991E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58BDEC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685171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7CEEA9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5992D77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671F35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791FEE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30BD90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473DFA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387263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32228D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22B9915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14:paraId="7D095F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14:paraId="490E26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14:paraId="1EA335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14:paraId="58E5F6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14:paraId="09B884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14:paraId="683A72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3FBDAF5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14:paraId="548C4D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14:paraId="320B4F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14:paraId="7F2C34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14:paraId="4CA1F7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14:paraId="147D18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14:paraId="4F52D8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14:paraId="64A5F7CF">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14:paraId="7398D8FC">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14:paraId="4475F98D">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14:paraId="631E7D08">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14:paraId="7D4F87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14:paraId="1E59E13B">
      <w:pPr>
        <w:pStyle w:val="37"/>
        <w:rPr>
          <w:rFonts w:hint="eastAsia" w:ascii="仿宋_GB2312" w:hAnsi="仿宋_GB2312" w:eastAsia="仿宋" w:cs="仿宋_GB2312"/>
          <w:color w:val="auto"/>
          <w:highlight w:val="none"/>
        </w:rPr>
      </w:pPr>
    </w:p>
    <w:p w14:paraId="3814275D">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14:paraId="14719949">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14:paraId="001CCE2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14:paraId="0C1C8B3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14:paraId="6F78BF9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14:paraId="5FE944E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14:paraId="7484B551">
      <w:pPr>
        <w:adjustRightInd w:val="0"/>
        <w:snapToGrid w:val="0"/>
        <w:spacing w:line="600" w:lineRule="exact"/>
        <w:jc w:val="left"/>
        <w:rPr>
          <w:rFonts w:hint="eastAsia" w:ascii="仿宋_GB2312" w:hAnsi="仿宋_GB2312" w:eastAsia="仿宋" w:cs="仿宋_GB2312"/>
          <w:b/>
          <w:color w:val="auto"/>
          <w:sz w:val="28"/>
          <w:szCs w:val="28"/>
          <w:highlight w:val="none"/>
        </w:rPr>
      </w:pPr>
    </w:p>
    <w:p w14:paraId="2B90CC08">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14:paraId="197D56EA">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14:paraId="5944BE12">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14:paraId="415BC9DA">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0525A108">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14:paraId="73DE4F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14:paraId="26C50D4B">
      <w:pPr>
        <w:pStyle w:val="37"/>
        <w:rPr>
          <w:color w:val="auto"/>
          <w:highlight w:val="none"/>
        </w:rPr>
      </w:pPr>
    </w:p>
    <w:p w14:paraId="40AF0C87">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14:paraId="01F696B2">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14:paraId="5040C95C">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14:paraId="0C4325CB">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14:paraId="4537544C">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14:paraId="40D3B4B3">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45B20EE5">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14:paraId="1F2A4277">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14:paraId="23857110">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14:paraId="3F60B2DD">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14:paraId="768FCFEC">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14:paraId="31597A18">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14:paraId="7ECE2D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14:paraId="40B367E1">
      <w:pPr>
        <w:pStyle w:val="37"/>
        <w:rPr>
          <w:color w:val="auto"/>
          <w:highlight w:val="none"/>
        </w:rPr>
      </w:pPr>
    </w:p>
    <w:p w14:paraId="6CDA74E8">
      <w:pPr>
        <w:pStyle w:val="37"/>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14:paraId="55F557DF">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14:paraId="2A85B10C">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14:paraId="33AE65E4">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14:paraId="796DEB51">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14:paraId="1ECB0AD2">
      <w:pPr>
        <w:adjustRightInd w:val="0"/>
        <w:snapToGrid w:val="0"/>
        <w:spacing w:line="600" w:lineRule="exact"/>
        <w:jc w:val="left"/>
        <w:rPr>
          <w:rFonts w:asciiTheme="majorEastAsia" w:hAnsiTheme="majorEastAsia" w:eastAsiaTheme="majorEastAsia"/>
          <w:b/>
          <w:color w:val="auto"/>
          <w:sz w:val="28"/>
          <w:szCs w:val="28"/>
          <w:highlight w:val="none"/>
        </w:rPr>
      </w:pPr>
    </w:p>
    <w:p w14:paraId="7820EAE4">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14:paraId="1AD27A6A">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14:paraId="29456588">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24602237">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14:paraId="272347FD">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14:paraId="24411CA5">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3A9008A6">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项目名称：</w:t>
      </w:r>
    </w:p>
    <w:p w14:paraId="0114697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异议人：</w:t>
      </w:r>
    </w:p>
    <w:p w14:paraId="12EF9D3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住所地：</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 邮编：</w:t>
      </w:r>
    </w:p>
    <w:p w14:paraId="65CFAB9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法定代表人：</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r>
        <w:rPr>
          <w:rFonts w:hint="eastAsia" w:ascii="仿宋" w:hAnsi="仿宋" w:eastAsia="仿宋" w:cs="仿宋"/>
          <w:kern w:val="0"/>
          <w:sz w:val="32"/>
          <w:szCs w:val="32"/>
          <w:highlight w:val="none"/>
          <w:lang w:eastAsia="zh-CN"/>
        </w:rPr>
        <w:t>：</w:t>
      </w:r>
    </w:p>
    <w:p w14:paraId="7339DAD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异议人授权代表：</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 </w:t>
      </w:r>
    </w:p>
    <w:p w14:paraId="180A57F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住址：</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p>
    <w:p w14:paraId="423D92D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lang w:val="en-US" w:eastAsia="zh-CN"/>
        </w:rPr>
        <w:t>一、</w:t>
      </w:r>
      <w:r>
        <w:rPr>
          <w:rFonts w:hint="eastAsia" w:ascii="仿宋" w:hAnsi="仿宋" w:eastAsia="仿宋" w:cs="仿宋"/>
          <w:bCs/>
          <w:kern w:val="0"/>
          <w:sz w:val="32"/>
          <w:szCs w:val="32"/>
          <w:highlight w:val="none"/>
        </w:rPr>
        <w:t>提起异议事项的基本事实：</w:t>
      </w:r>
    </w:p>
    <w:p w14:paraId="1F46405F">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086BE769">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14:paraId="01AC04F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lang w:val="en-US" w:eastAsia="zh-CN"/>
        </w:rPr>
        <w:t>二、</w:t>
      </w:r>
      <w:r>
        <w:rPr>
          <w:rFonts w:hint="eastAsia" w:ascii="仿宋" w:hAnsi="仿宋" w:eastAsia="仿宋" w:cs="仿宋"/>
          <w:bCs/>
          <w:kern w:val="0"/>
          <w:sz w:val="32"/>
          <w:szCs w:val="32"/>
          <w:highlight w:val="none"/>
        </w:rPr>
        <w:t>相关请求及主张：</w:t>
      </w:r>
    </w:p>
    <w:p w14:paraId="3E0BF9A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091F4FA3">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465D61CA">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附件：1.提起异议的有效线索和相关证明材料</w:t>
      </w:r>
    </w:p>
    <w:p w14:paraId="538A8737">
      <w:pPr>
        <w:pStyle w:val="5"/>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异议人与项目有利害关系的其他证明材料</w:t>
      </w:r>
    </w:p>
    <w:p w14:paraId="427FEA94">
      <w:pPr>
        <w:pStyle w:val="5"/>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法定代表人证明书</w:t>
      </w:r>
    </w:p>
    <w:p w14:paraId="3A7A9E74">
      <w:pPr>
        <w:pStyle w:val="5"/>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授权委托书原件</w:t>
      </w:r>
    </w:p>
    <w:p w14:paraId="3B7A4B6F">
      <w:pPr>
        <w:pStyle w:val="5"/>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被授权人身份证复印件</w:t>
      </w:r>
    </w:p>
    <w:p w14:paraId="04A60BA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14:paraId="0011EC7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5D677AFF">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  此致</w:t>
      </w:r>
    </w:p>
    <w:p w14:paraId="218953A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u w:val="single"/>
        </w:rPr>
        <w:t>（采购人）</w:t>
      </w:r>
    </w:p>
    <w:p w14:paraId="532CF2B1">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14:paraId="4A376154">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14:paraId="60C68CFC">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异议人（公章）：</w:t>
      </w:r>
    </w:p>
    <w:p w14:paraId="7A73928E">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rPr>
      </w:pPr>
    </w:p>
    <w:p w14:paraId="44A487AD">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r>
        <w:rPr>
          <w:rFonts w:hint="eastAsia" w:ascii="仿宋" w:hAnsi="仿宋" w:eastAsia="仿宋" w:cs="仿宋"/>
          <w:kern w:val="0"/>
          <w:sz w:val="32"/>
          <w:szCs w:val="32"/>
          <w:highlight w:val="none"/>
        </w:rPr>
        <w:t>法定代表人或授权代表（签字）</w:t>
      </w:r>
    </w:p>
    <w:p w14:paraId="077AC610">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p>
    <w:p w14:paraId="587603CA">
      <w:pPr>
        <w:keepNext w:val="0"/>
        <w:keepLines w:val="0"/>
        <w:pageBreakBefore w:val="0"/>
        <w:widowControl/>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                                     年    月   日</w:t>
      </w:r>
    </w:p>
    <w:p w14:paraId="076A05E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kern w:val="0"/>
          <w:sz w:val="32"/>
          <w:szCs w:val="32"/>
          <w:highlight w:val="none"/>
        </w:rPr>
      </w:pPr>
    </w:p>
    <w:p w14:paraId="3B1CB957">
      <w:pPr>
        <w:rPr>
          <w:rFonts w:hAnsi="仿宋"/>
          <w:sz w:val="24"/>
          <w:highlight w:val="none"/>
        </w:rPr>
      </w:pPr>
      <w:r>
        <w:rPr>
          <w:rFonts w:hint="eastAsia" w:hAnsi="仿宋"/>
          <w:sz w:val="24"/>
          <w:highlight w:val="none"/>
        </w:rPr>
        <w:t>说明：</w:t>
      </w:r>
    </w:p>
    <w:p w14:paraId="113F885D">
      <w:pPr>
        <w:rPr>
          <w:rFonts w:hAnsi="仿宋"/>
          <w:sz w:val="24"/>
          <w:highlight w:val="none"/>
        </w:rPr>
      </w:pPr>
    </w:p>
    <w:p w14:paraId="0B2BF2BA">
      <w:pPr>
        <w:rPr>
          <w:rFonts w:hAnsi="仿宋"/>
          <w:sz w:val="24"/>
          <w:highlight w:val="none"/>
        </w:rPr>
      </w:pPr>
      <w:r>
        <w:rPr>
          <w:rFonts w:hAnsi="仿宋"/>
          <w:sz w:val="24"/>
          <w:highlight w:val="none"/>
        </w:rPr>
        <w:t>1.异议提起人是法人的，异议书</w:t>
      </w:r>
      <w:r>
        <w:rPr>
          <w:rFonts w:hint="eastAsia" w:hAnsi="仿宋"/>
          <w:sz w:val="24"/>
          <w:highlight w:val="none"/>
          <w:lang w:val="en-US" w:eastAsia="zh-CN"/>
        </w:rPr>
        <w:t>应当</w:t>
      </w:r>
      <w:r>
        <w:rPr>
          <w:rFonts w:hAnsi="仿宋"/>
          <w:sz w:val="24"/>
          <w:highlight w:val="none"/>
        </w:rPr>
        <w:t>由其法定代表人或者授权代表签字并盖章；其他组织或者自然人提出异议的，异议书</w:t>
      </w:r>
      <w:r>
        <w:rPr>
          <w:rFonts w:hint="eastAsia" w:hAnsi="仿宋"/>
          <w:sz w:val="24"/>
          <w:highlight w:val="none"/>
          <w:lang w:val="en-US" w:eastAsia="zh-CN"/>
        </w:rPr>
        <w:t>应当</w:t>
      </w:r>
      <w:r>
        <w:rPr>
          <w:rFonts w:hAnsi="仿宋"/>
          <w:sz w:val="24"/>
          <w:highlight w:val="none"/>
        </w:rPr>
        <w:t>由其主要负责人或者异议提起人本人签字，并附有效身份证明复印件。</w:t>
      </w:r>
    </w:p>
    <w:p w14:paraId="5F58039C">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3C701ADA">
      <w:pPr>
        <w:rPr>
          <w:rFonts w:hAnsi="仿宋"/>
          <w:sz w:val="24"/>
          <w:highlight w:val="none"/>
        </w:rPr>
      </w:pPr>
      <w:r>
        <w:rPr>
          <w:rFonts w:hAnsi="仿宋"/>
          <w:sz w:val="24"/>
          <w:highlight w:val="none"/>
        </w:rPr>
        <w:t>3.为证明与异议项目有利害关系，投标人以外的其他异议提起人应当提供相应证明材料：</w:t>
      </w:r>
    </w:p>
    <w:p w14:paraId="71AF6BFB">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175EA588">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p>
    <w:p w14:paraId="605F30DD">
      <w:pPr>
        <w:rPr>
          <w:rFonts w:hAnsi="仿宋"/>
          <w:sz w:val="24"/>
          <w:highlight w:val="none"/>
        </w:rPr>
      </w:pPr>
      <w:r>
        <w:rPr>
          <w:rFonts w:hAnsi="仿宋"/>
          <w:sz w:val="24"/>
          <w:highlight w:val="none"/>
        </w:rPr>
        <w:br w:type="page"/>
      </w:r>
    </w:p>
    <w:p w14:paraId="74F9BA44">
      <w:pPr>
        <w:adjustRightInd w:val="0"/>
        <w:snapToGrid w:val="0"/>
        <w:spacing w:line="600" w:lineRule="exact"/>
        <w:jc w:val="left"/>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附件6</w:t>
      </w:r>
    </w:p>
    <w:p w14:paraId="35D68BEE">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项目投诉书</w:t>
      </w:r>
    </w:p>
    <w:p w14:paraId="167A40AD">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466175CB">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项目名称：</w:t>
      </w:r>
    </w:p>
    <w:p w14:paraId="2CD2DFE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投诉人：</w:t>
      </w:r>
    </w:p>
    <w:p w14:paraId="0DA3FF8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住所地：</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邮编：</w:t>
      </w:r>
    </w:p>
    <w:p w14:paraId="22F5651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法定代表人：</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r>
        <w:rPr>
          <w:rFonts w:hint="eastAsia" w:ascii="仿宋" w:hAnsi="仿宋" w:eastAsia="仿宋" w:cs="仿宋"/>
          <w:kern w:val="0"/>
          <w:sz w:val="32"/>
          <w:szCs w:val="32"/>
          <w:highlight w:val="none"/>
          <w:lang w:eastAsia="zh-CN"/>
        </w:rPr>
        <w:t>：</w:t>
      </w:r>
    </w:p>
    <w:p w14:paraId="67F6FD2E">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投诉人</w:t>
      </w:r>
      <w:r>
        <w:rPr>
          <w:rFonts w:hint="eastAsia" w:ascii="仿宋" w:hAnsi="仿宋" w:eastAsia="仿宋" w:cs="仿宋"/>
          <w:kern w:val="0"/>
          <w:sz w:val="32"/>
          <w:szCs w:val="32"/>
          <w:highlight w:val="none"/>
        </w:rPr>
        <w:t>授权代表：</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 性别：</w:t>
      </w:r>
    </w:p>
    <w:p w14:paraId="0A181BE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r>
        <w:rPr>
          <w:rFonts w:hint="eastAsia" w:ascii="仿宋" w:hAnsi="仿宋" w:eastAsia="仿宋" w:cs="仿宋"/>
          <w:kern w:val="0"/>
          <w:sz w:val="32"/>
          <w:szCs w:val="32"/>
          <w:highlight w:val="none"/>
        </w:rPr>
        <w:t>住址：</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p>
    <w:p w14:paraId="3AFB021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被投诉人：</w:t>
      </w:r>
    </w:p>
    <w:p w14:paraId="65EAF2D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通讯地址（如有）：</w:t>
      </w:r>
    </w:p>
    <w:p w14:paraId="7D6977F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提起投诉事项的基本事实：</w:t>
      </w:r>
    </w:p>
    <w:p w14:paraId="14CC534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0DA78E0A">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14:paraId="2DF41C5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相关请求及主张：</w:t>
      </w:r>
    </w:p>
    <w:p w14:paraId="475B078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276D425E">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6B2017EF">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有效线索和相关证明材料（包括主要证据）：</w:t>
      </w:r>
    </w:p>
    <w:p w14:paraId="36195A4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14:paraId="129DE4E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6CCC6C8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投诉人与提起项目有利害关系的证明材料（见说明）：</w:t>
      </w:r>
    </w:p>
    <w:p w14:paraId="6479BC09">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14:paraId="23984E46">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14:paraId="07E1BB44">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投诉人（公章）：</w:t>
      </w:r>
    </w:p>
    <w:p w14:paraId="669F00A2">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rPr>
      </w:pPr>
    </w:p>
    <w:p w14:paraId="16CE441D">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r>
        <w:rPr>
          <w:rFonts w:hint="eastAsia" w:ascii="仿宋" w:hAnsi="仿宋" w:eastAsia="仿宋" w:cs="仿宋"/>
          <w:kern w:val="0"/>
          <w:sz w:val="32"/>
          <w:szCs w:val="32"/>
          <w:highlight w:val="none"/>
        </w:rPr>
        <w:t>法定代表人或授权代表（签字）</w:t>
      </w:r>
    </w:p>
    <w:p w14:paraId="67A3E16D">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p>
    <w:p w14:paraId="5E3034B6">
      <w:pPr>
        <w:keepNext w:val="0"/>
        <w:keepLines w:val="0"/>
        <w:pageBreakBefore w:val="0"/>
        <w:widowControl/>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                                     年    月   日</w:t>
      </w:r>
    </w:p>
    <w:p w14:paraId="29C4B4F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kern w:val="0"/>
          <w:sz w:val="32"/>
          <w:szCs w:val="32"/>
          <w:highlight w:val="none"/>
        </w:rPr>
      </w:pPr>
    </w:p>
    <w:p w14:paraId="3494E6F7">
      <w:pPr>
        <w:rPr>
          <w:rFonts w:hAnsi="仿宋"/>
          <w:sz w:val="24"/>
          <w:highlight w:val="none"/>
        </w:rPr>
      </w:pPr>
      <w:r>
        <w:rPr>
          <w:rFonts w:hint="eastAsia" w:hAnsi="仿宋"/>
          <w:sz w:val="24"/>
          <w:highlight w:val="none"/>
        </w:rPr>
        <w:t>说明：</w:t>
      </w:r>
    </w:p>
    <w:p w14:paraId="0B961C3A">
      <w:pPr>
        <w:rPr>
          <w:rFonts w:hAnsi="仿宋"/>
          <w:sz w:val="24"/>
          <w:highlight w:val="none"/>
        </w:rPr>
      </w:pPr>
    </w:p>
    <w:p w14:paraId="7EDF4C30">
      <w:pPr>
        <w:rPr>
          <w:rFonts w:hAnsi="仿宋"/>
          <w:sz w:val="24"/>
          <w:highlight w:val="none"/>
        </w:rPr>
      </w:pPr>
      <w:r>
        <w:rPr>
          <w:rFonts w:hAnsi="仿宋"/>
          <w:sz w:val="24"/>
          <w:highlight w:val="none"/>
        </w:rPr>
        <w:t>1.投诉人是法人的，投诉书必须由其法定代表人或者授权代表签字并盖章；其他组织或者自然人提出投诉的，投诉书必须由其主要负责人或者投诉提起人本人签字，并附有效身份证明复印件。</w:t>
      </w:r>
    </w:p>
    <w:p w14:paraId="00DBD9E0">
      <w:pPr>
        <w:rPr>
          <w:rFonts w:hAnsi="仿宋"/>
          <w:sz w:val="24"/>
          <w:highlight w:val="none"/>
        </w:rPr>
      </w:pPr>
      <w:r>
        <w:rPr>
          <w:rFonts w:hAnsi="仿宋"/>
          <w:sz w:val="24"/>
          <w:highlight w:val="none"/>
        </w:rPr>
        <w:t xml:space="preserve">2. </w:t>
      </w:r>
      <w:r>
        <w:rPr>
          <w:rFonts w:hint="eastAsia" w:hAnsi="仿宋"/>
          <w:sz w:val="24"/>
          <w:highlight w:val="none"/>
        </w:rPr>
        <w:t>投诉人可以自己直接提交投诉书，也可以委托代理人办理投诉事务。代理人办理投诉事务时，应当将授权委托书连同投诉书一并提交给招标人。授权委托书应当明确有关委托代理权限和事项。</w:t>
      </w:r>
    </w:p>
    <w:p w14:paraId="05ECF671">
      <w:pPr>
        <w:rPr>
          <w:rFonts w:hAnsi="仿宋"/>
          <w:sz w:val="24"/>
          <w:highlight w:val="none"/>
        </w:rPr>
      </w:pPr>
      <w:r>
        <w:rPr>
          <w:rFonts w:hAnsi="仿宋"/>
          <w:sz w:val="24"/>
          <w:highlight w:val="none"/>
        </w:rPr>
        <w:t>3.为证明与投诉项目有利害关系，投标人以外的其他投诉人应当提供相应证明材料：</w:t>
      </w:r>
    </w:p>
    <w:p w14:paraId="11F64F2F">
      <w:pPr>
        <w:outlineLvl w:val="0"/>
        <w:rPr>
          <w:rFonts w:hAnsi="仿宋"/>
          <w:sz w:val="24"/>
          <w:highlight w:val="none"/>
        </w:rPr>
      </w:pPr>
      <w:r>
        <w:rPr>
          <w:rFonts w:hAnsi="仿宋"/>
          <w:sz w:val="24"/>
          <w:highlight w:val="none"/>
        </w:rPr>
        <w:t xml:space="preserve">    （1）属潜在投标人的，提交符合法定有关资格要求的证明文件；</w:t>
      </w:r>
    </w:p>
    <w:p w14:paraId="410408F0">
      <w:pPr>
        <w:widowControl/>
        <w:spacing w:line="360" w:lineRule="auto"/>
        <w:ind w:firstLine="480" w:firstLineChars="200"/>
        <w:jc w:val="left"/>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p>
    <w:p w14:paraId="7A800491">
      <w:r>
        <w:rPr>
          <w:rFonts w:hint="eastAsia" w:hAnsi="仿宋"/>
          <w:sz w:val="24"/>
          <w:highlight w:val="none"/>
        </w:rPr>
        <w:t>（</w:t>
      </w:r>
      <w:r>
        <w:rPr>
          <w:rFonts w:hAnsi="仿宋"/>
          <w:sz w:val="24"/>
          <w:highlight w:val="none"/>
        </w:rPr>
        <w:t>3）可证明与投诉项目有利害关系的其他证明文件。</w:t>
      </w:r>
      <w:r>
        <w:br w:type="page"/>
      </w:r>
    </w:p>
    <w:p w14:paraId="7B3A87A7">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064FDD9F">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7147A0C0">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07B5BA44">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43F5C38D">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03DDFE18">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14:paraId="573D59FC">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14:paraId="19F7B1BD">
      <w:pPr>
        <w:pStyle w:val="3"/>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7303"/>
      <w:bookmarkStart w:id="27" w:name="_Toc88209934"/>
      <w:bookmarkStart w:id="28" w:name="_Toc87616371"/>
      <w:bookmarkStart w:id="29" w:name="_Toc7040"/>
      <w:r>
        <w:rPr>
          <w:rFonts w:hint="eastAsia" w:eastAsia="仿宋"/>
          <w:color w:val="auto"/>
          <w:sz w:val="44"/>
          <w:szCs w:val="40"/>
          <w:highlight w:val="none"/>
        </w:rPr>
        <w:t>采购方法</w:t>
      </w:r>
      <w:bookmarkEnd w:id="26"/>
      <w:bookmarkEnd w:id="27"/>
      <w:bookmarkEnd w:id="28"/>
      <w:bookmarkEnd w:id="29"/>
    </w:p>
    <w:p w14:paraId="504E21F8">
      <w:pPr>
        <w:rPr>
          <w:rFonts w:ascii="仿宋_GB2312" w:eastAsia="仿宋"/>
          <w:color w:val="auto"/>
          <w:sz w:val="28"/>
          <w:szCs w:val="28"/>
          <w:highlight w:val="none"/>
        </w:rPr>
      </w:pPr>
      <w:r>
        <w:rPr>
          <w:rFonts w:ascii="仿宋_GB2312" w:eastAsia="仿宋"/>
          <w:color w:val="auto"/>
          <w:sz w:val="28"/>
          <w:szCs w:val="28"/>
          <w:highlight w:val="none"/>
        </w:rPr>
        <w:br w:type="page"/>
      </w:r>
    </w:p>
    <w:p w14:paraId="3D6607A5">
      <w:pPr>
        <w:pStyle w:val="3"/>
        <w:jc w:val="center"/>
        <w:rPr>
          <w:rFonts w:eastAsia="仿宋"/>
          <w:color w:val="auto"/>
          <w:highlight w:val="none"/>
        </w:rPr>
      </w:pPr>
      <w:bookmarkStart w:id="30" w:name="_Toc3789"/>
      <w:bookmarkStart w:id="31" w:name="_Toc24895"/>
      <w:r>
        <w:rPr>
          <w:rFonts w:hint="eastAsia" w:eastAsia="仿宋"/>
          <w:color w:val="auto"/>
          <w:highlight w:val="none"/>
        </w:rPr>
        <w:t>询比采购</w:t>
      </w:r>
      <w:bookmarkEnd w:id="30"/>
      <w:bookmarkEnd w:id="31"/>
    </w:p>
    <w:p w14:paraId="06FA3F65">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14:paraId="567F655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14:paraId="10F83B4B">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14:paraId="2BBE0B39">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14:paraId="37643D52">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14:paraId="7AD7093E">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14:paraId="784A4E6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14:paraId="3E6AB758">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14:paraId="2E509166">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14:paraId="6058DD6D">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14:paraId="26061519">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14:paraId="469E146F">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14:paraId="7F612984">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14:paraId="7A83533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14:paraId="16D4551C">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14:paraId="44764A17">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14:paraId="5C559825">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14:paraId="584C9AF5">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14:paraId="5084D12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14:paraId="599D8A9D">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14:paraId="58C5651A">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14:paraId="6681F3E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14:paraId="63F413F7">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14:paraId="28723A2A">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14:paraId="4FCFA07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14:paraId="24E6F602">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14:paraId="1C992231">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14:paraId="229BB4B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14:paraId="3E2BD80B">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14:paraId="4802FF3C">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14:paraId="2E174D98">
      <w:pPr>
        <w:adjustRightInd w:val="0"/>
        <w:snapToGrid w:val="0"/>
        <w:spacing w:line="600" w:lineRule="exact"/>
        <w:ind w:firstLine="560" w:firstLineChars="200"/>
        <w:jc w:val="left"/>
        <w:rPr>
          <w:rFonts w:ascii="仿宋_GB2312" w:eastAsia="仿宋"/>
          <w:color w:val="auto"/>
          <w:sz w:val="28"/>
          <w:szCs w:val="28"/>
          <w:highlight w:val="none"/>
        </w:rPr>
      </w:pPr>
    </w:p>
    <w:p w14:paraId="4D190E0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3A397E7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23AAE6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14473B7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5C4F28BC">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42C367A6">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14:paraId="6B7D75D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14:paraId="20DB91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2" w:name="_Toc29345"/>
      <w:bookmarkStart w:id="33" w:name="_Toc6308"/>
      <w:bookmarkStart w:id="34" w:name="_Toc29484"/>
      <w:bookmarkStart w:id="35" w:name="_Toc7831"/>
      <w:bookmarkStart w:id="36" w:name="_Toc87616378"/>
      <w:bookmarkStart w:id="37" w:name="_Toc22212"/>
      <w:bookmarkStart w:id="38" w:name="_Toc21079"/>
      <w:bookmarkStart w:id="39" w:name="_Toc30530"/>
      <w:bookmarkStart w:id="40" w:name="_Toc21840"/>
      <w:bookmarkStart w:id="41" w:name="_Toc13898"/>
      <w:bookmarkStart w:id="42" w:name="_Toc88209941"/>
      <w:bookmarkStart w:id="43" w:name="_Toc32607"/>
      <w:bookmarkStart w:id="44" w:name="_Toc12177"/>
      <w:r>
        <w:rPr>
          <w:rFonts w:hint="eastAsia" w:ascii="方正小标宋简体" w:hAnsi="方正小标宋简体" w:eastAsia="仿宋"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14:paraId="24764799">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14:paraId="66C73BB4">
      <w:pPr>
        <w:pStyle w:val="3"/>
        <w:rPr>
          <w:rFonts w:eastAsia="仿宋"/>
          <w:color w:val="auto"/>
          <w:highlight w:val="none"/>
        </w:rPr>
      </w:pPr>
      <w:bookmarkStart w:id="45" w:name="_Toc23033"/>
      <w:bookmarkStart w:id="46" w:name="_Toc26826"/>
      <w:r>
        <w:rPr>
          <w:rFonts w:hint="eastAsia" w:eastAsia="仿宋"/>
          <w:color w:val="auto"/>
          <w:highlight w:val="none"/>
        </w:rPr>
        <w:sym w:font="Wingdings 2" w:char="0052"/>
      </w:r>
      <w:r>
        <w:rPr>
          <w:rFonts w:hint="eastAsia" w:eastAsia="仿宋"/>
          <w:color w:val="auto"/>
          <w:highlight w:val="none"/>
        </w:rPr>
        <w:t>经评审的最低价法</w:t>
      </w:r>
      <w:bookmarkEnd w:id="45"/>
      <w:bookmarkEnd w:id="46"/>
    </w:p>
    <w:p w14:paraId="1F003A9F">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14:paraId="417148D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14:paraId="2B89BDE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14:paraId="47C4BE3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14:paraId="0F39DF8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14:paraId="130BE76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14:paraId="058AF3F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14:paraId="189DAFC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14:paraId="5A41E5F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14:paraId="77B87CA4">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303E8234">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14:paraId="7CD676C0">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56439CF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037913A2">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14:paraId="41367898">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14:paraId="077FC05C">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14:paraId="0741C7E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14:paraId="4CB3E25B">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14:paraId="49076A99">
            <w:pPr>
              <w:adjustRightInd w:val="0"/>
              <w:snapToGrid w:val="0"/>
              <w:jc w:val="center"/>
              <w:rPr>
                <w:rFonts w:ascii="仿宋_GB2312" w:eastAsia="仿宋_GB2312"/>
                <w:color w:val="auto"/>
                <w:sz w:val="24"/>
                <w:szCs w:val="24"/>
                <w:highlight w:val="none"/>
              </w:rPr>
            </w:pPr>
            <w:r>
              <w:rPr>
                <w:rFonts w:ascii="仿宋_GB2312" w:eastAsia="仿宋"/>
                <w:sz w:val="24"/>
                <w:szCs w:val="24"/>
              </w:rPr>
              <w:t>供应商名称</w:t>
            </w:r>
          </w:p>
        </w:tc>
        <w:tc>
          <w:tcPr>
            <w:tcW w:w="5528" w:type="dxa"/>
            <w:tcBorders>
              <w:top w:val="single" w:color="auto" w:sz="4" w:space="0"/>
              <w:bottom w:val="single" w:color="auto" w:sz="4" w:space="0"/>
            </w:tcBorders>
            <w:vAlign w:val="center"/>
          </w:tcPr>
          <w:p w14:paraId="7D865FA5">
            <w:pPr>
              <w:adjustRightInd w:val="0"/>
              <w:snapToGrid w:val="0"/>
              <w:rPr>
                <w:rFonts w:ascii="仿宋_GB2312" w:eastAsia="仿宋_GB2312"/>
                <w:color w:val="auto"/>
                <w:sz w:val="24"/>
                <w:szCs w:val="24"/>
                <w:highlight w:val="none"/>
              </w:rPr>
            </w:pPr>
            <w:r>
              <w:rPr>
                <w:rFonts w:ascii="仿宋_GB2312" w:eastAsia="仿宋"/>
                <w:sz w:val="24"/>
                <w:szCs w:val="24"/>
              </w:rPr>
              <w:t>与营业执照</w:t>
            </w:r>
            <w:r>
              <w:rPr>
                <w:rFonts w:hint="eastAsia" w:ascii="仿宋_GB2312" w:eastAsia="仿宋"/>
                <w:sz w:val="24"/>
                <w:szCs w:val="24"/>
              </w:rPr>
              <w:t>（事业单位法人证书）、资质证书、银行资信证明等证明性证书一致</w:t>
            </w:r>
          </w:p>
        </w:tc>
      </w:tr>
      <w:tr w14:paraId="54042AF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4CF70901">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24C09D35">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14:paraId="761AFF15">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14:paraId="26C8052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7B4280A9">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1ED426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14:paraId="3AA4715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14:paraId="4868531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12CEC4AE">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30A2FD80">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14:paraId="6198A74B">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14:paraId="3698AD2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6FAC89AD">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7C0E0AE7">
            <w:pPr>
              <w:adjustRightInd w:val="0"/>
              <w:snapToGrid w:val="0"/>
              <w:jc w:val="center"/>
              <w:rPr>
                <w:rFonts w:ascii="仿宋_GB2312" w:eastAsia="仿宋_GB2312"/>
                <w:color w:val="auto"/>
                <w:sz w:val="24"/>
                <w:szCs w:val="24"/>
                <w:highlight w:val="none"/>
              </w:rPr>
            </w:pPr>
            <w:r>
              <w:rPr>
                <w:rFonts w:hint="eastAsia" w:ascii="仿宋_GB2312" w:eastAsia="仿宋"/>
                <w:sz w:val="24"/>
                <w:szCs w:val="24"/>
                <w:lang w:eastAsia="zh-CN"/>
              </w:rPr>
              <w:t>法定代表人/负责人</w:t>
            </w:r>
            <w:r>
              <w:rPr>
                <w:rFonts w:hint="eastAsia" w:ascii="仿宋_GB2312" w:eastAsia="仿宋"/>
                <w:sz w:val="24"/>
                <w:szCs w:val="24"/>
              </w:rPr>
              <w:t>授权委托</w:t>
            </w:r>
          </w:p>
        </w:tc>
        <w:tc>
          <w:tcPr>
            <w:tcW w:w="5528" w:type="dxa"/>
            <w:tcBorders>
              <w:top w:val="single" w:color="auto" w:sz="4" w:space="0"/>
            </w:tcBorders>
            <w:vAlign w:val="center"/>
          </w:tcPr>
          <w:p w14:paraId="447859C7">
            <w:pPr>
              <w:adjustRightInd w:val="0"/>
              <w:snapToGrid w:val="0"/>
              <w:rPr>
                <w:rFonts w:ascii="仿宋_GB2312" w:eastAsia="仿宋_GB2312"/>
                <w:color w:val="auto"/>
                <w:sz w:val="24"/>
                <w:szCs w:val="24"/>
                <w:highlight w:val="none"/>
              </w:rPr>
            </w:pPr>
            <w:r>
              <w:rPr>
                <w:rFonts w:hint="eastAsia" w:ascii="仿宋_GB2312" w:eastAsia="仿宋"/>
                <w:sz w:val="24"/>
                <w:szCs w:val="24"/>
              </w:rPr>
              <w:t>有授权书，授权书有</w:t>
            </w:r>
            <w:r>
              <w:rPr>
                <w:rFonts w:hint="eastAsia" w:ascii="仿宋_GB2312" w:eastAsia="仿宋"/>
                <w:sz w:val="24"/>
                <w:szCs w:val="24"/>
                <w:lang w:eastAsia="zh-CN"/>
              </w:rPr>
              <w:t>法定代表人/负责人</w:t>
            </w:r>
            <w:r>
              <w:rPr>
                <w:rFonts w:hint="eastAsia" w:ascii="仿宋_GB2312" w:eastAsia="仿宋"/>
                <w:sz w:val="24"/>
                <w:szCs w:val="24"/>
              </w:rPr>
              <w:t>及其委托代理人签字并加盖单位公章</w:t>
            </w:r>
          </w:p>
        </w:tc>
      </w:tr>
      <w:tr w14:paraId="5844B4B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4EB27429">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14:paraId="5691FFF6">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14:paraId="369FFAC3">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0171446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28722B53">
            <w:pPr>
              <w:adjustRightInd w:val="0"/>
              <w:snapToGrid w:val="0"/>
              <w:jc w:val="center"/>
              <w:rPr>
                <w:rFonts w:ascii="仿宋_GB2312" w:eastAsia="仿宋_GB2312"/>
                <w:color w:val="auto"/>
                <w:sz w:val="24"/>
                <w:szCs w:val="24"/>
                <w:highlight w:val="none"/>
              </w:rPr>
            </w:pPr>
          </w:p>
        </w:tc>
        <w:tc>
          <w:tcPr>
            <w:tcW w:w="2127" w:type="dxa"/>
            <w:vAlign w:val="center"/>
          </w:tcPr>
          <w:p w14:paraId="1BAE6502">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14:paraId="76312D75">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14:paraId="580E4C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58A8E2F2">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14:paraId="304FE424">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14:paraId="320016F0">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14:paraId="4EF964F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3AAB5355">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17759AF2">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14:paraId="313A5B8C">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14:paraId="77157CA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24476B7E">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2C32113F">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3A9127BF">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14:paraId="5E8ED5B0">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14:paraId="1ED6D7F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14:paraId="53BC0DC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0D68161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14:paraId="767EC7E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14:paraId="36E6D8A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14:paraId="7496D03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14:paraId="439D916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14:paraId="114B7879">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14:paraId="236BB359">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0E0EE9D8">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770A0CB9">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068CBD6A">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0CF4A4C8">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171FD2E5">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14:paraId="5EC4E810">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14:paraId="7C60D061">
      <w:pPr>
        <w:pStyle w:val="3"/>
        <w:rPr>
          <w:rFonts w:hint="eastAsia" w:eastAsia="仿宋"/>
          <w:color w:val="auto"/>
          <w:szCs w:val="44"/>
          <w:highlight w:val="none"/>
        </w:rPr>
      </w:pPr>
      <w:r>
        <w:rPr>
          <w:rFonts w:hint="eastAsia" w:eastAsia="仿宋"/>
          <w:color w:val="auto"/>
          <w:szCs w:val="44"/>
          <w:highlight w:val="none"/>
        </w:rPr>
        <w:t>采购需求</w:t>
      </w:r>
    </w:p>
    <w:p w14:paraId="51917CAC">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7" w:name="_Toc88209947"/>
    </w:p>
    <w:p w14:paraId="34A316F7">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14:paraId="34405844">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14:paraId="492EAC42">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bookmarkEnd w:id="47"/>
    <w:p w14:paraId="58E7A857">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一、项目情况介绍</w:t>
      </w:r>
    </w:p>
    <w:p w14:paraId="3BA45113">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本项目采购适用于碧兴品牌C310（COD）型号仪器的在线COD试剂，以满足对碧兴品牌C310（COD）仪器日常运行维护，确保设备稳定运行和数据准确有效。</w:t>
      </w:r>
    </w:p>
    <w:p w14:paraId="3BD49E3B">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二、项目技术要求</w:t>
      </w:r>
    </w:p>
    <w:p w14:paraId="0BC3CE0C">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成交供应商需按采购清单要求进行供货，货物必须是全新的、原装的合格产品，其质量、规格及技术特征符合国家标准、规范及采购文件要求。</w:t>
      </w:r>
    </w:p>
    <w:p w14:paraId="13C0A598">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应提供质量上乘、性能稳定的试剂，以保障监测数据的准确性和可靠性。</w:t>
      </w:r>
    </w:p>
    <w:p w14:paraId="1AFE520B">
      <w:pPr>
        <w:numPr>
          <w:ilvl w:val="0"/>
          <w:numId w:val="0"/>
        </w:num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项目需求清单</w:t>
      </w:r>
    </w:p>
    <w:tbl>
      <w:tblPr>
        <w:tblStyle w:val="24"/>
        <w:tblW w:w="10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1159"/>
        <w:gridCol w:w="1391"/>
        <w:gridCol w:w="1200"/>
        <w:gridCol w:w="2316"/>
        <w:gridCol w:w="859"/>
        <w:gridCol w:w="600"/>
        <w:gridCol w:w="791"/>
        <w:gridCol w:w="1380"/>
      </w:tblGrid>
      <w:tr w14:paraId="6AF1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559" w:type="dxa"/>
            <w:tcBorders>
              <w:top w:val="single" w:color="000000" w:sz="4" w:space="0"/>
              <w:left w:val="single" w:color="000000" w:sz="4" w:space="0"/>
              <w:right w:val="single" w:color="000000" w:sz="4" w:space="0"/>
            </w:tcBorders>
            <w:shd w:val="clear" w:color="auto" w:fill="auto"/>
            <w:noWrap/>
            <w:vAlign w:val="center"/>
          </w:tcPr>
          <w:p w14:paraId="7568A1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159" w:type="dxa"/>
            <w:tcBorders>
              <w:top w:val="single" w:color="000000" w:sz="4" w:space="0"/>
              <w:left w:val="single" w:color="000000" w:sz="4" w:space="0"/>
              <w:right w:val="single" w:color="000000" w:sz="4" w:space="0"/>
            </w:tcBorders>
            <w:shd w:val="clear" w:color="auto" w:fill="auto"/>
            <w:vAlign w:val="center"/>
          </w:tcPr>
          <w:p w14:paraId="2F5C72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试剂名称</w:t>
            </w:r>
          </w:p>
        </w:tc>
        <w:tc>
          <w:tcPr>
            <w:tcW w:w="1391" w:type="dxa"/>
            <w:tcBorders>
              <w:top w:val="single" w:color="000000" w:sz="4" w:space="0"/>
              <w:left w:val="single" w:color="000000" w:sz="4" w:space="0"/>
              <w:right w:val="single" w:color="000000" w:sz="4" w:space="0"/>
            </w:tcBorders>
            <w:shd w:val="clear" w:color="auto" w:fill="auto"/>
            <w:noWrap/>
            <w:vAlign w:val="center"/>
          </w:tcPr>
          <w:p w14:paraId="1CF78C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适用仪器型号</w:t>
            </w:r>
          </w:p>
        </w:tc>
        <w:tc>
          <w:tcPr>
            <w:tcW w:w="1200" w:type="dxa"/>
            <w:tcBorders>
              <w:top w:val="single" w:color="000000" w:sz="4" w:space="0"/>
              <w:left w:val="single" w:color="000000" w:sz="4" w:space="0"/>
              <w:right w:val="single" w:color="000000" w:sz="4" w:space="0"/>
            </w:tcBorders>
            <w:shd w:val="clear" w:color="auto" w:fill="auto"/>
            <w:vAlign w:val="center"/>
          </w:tcPr>
          <w:p w14:paraId="6C9426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试剂品牌要求</w:t>
            </w:r>
          </w:p>
        </w:tc>
        <w:tc>
          <w:tcPr>
            <w:tcW w:w="2316" w:type="dxa"/>
            <w:tcBorders>
              <w:top w:val="single" w:color="000000" w:sz="4" w:space="0"/>
              <w:left w:val="single" w:color="000000" w:sz="4" w:space="0"/>
              <w:right w:val="single" w:color="000000" w:sz="4" w:space="0"/>
            </w:tcBorders>
            <w:shd w:val="clear" w:color="auto" w:fill="auto"/>
            <w:vAlign w:val="center"/>
          </w:tcPr>
          <w:p w14:paraId="681D5D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参考成分规格</w:t>
            </w:r>
          </w:p>
        </w:tc>
        <w:tc>
          <w:tcPr>
            <w:tcW w:w="859" w:type="dxa"/>
            <w:tcBorders>
              <w:top w:val="single" w:color="000000" w:sz="4" w:space="0"/>
              <w:left w:val="single" w:color="000000" w:sz="4" w:space="0"/>
              <w:right w:val="single" w:color="000000" w:sz="4" w:space="0"/>
            </w:tcBorders>
            <w:shd w:val="clear" w:color="auto" w:fill="auto"/>
            <w:noWrap/>
            <w:vAlign w:val="center"/>
          </w:tcPr>
          <w:p w14:paraId="4A792A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参考</w:t>
            </w:r>
          </w:p>
          <w:p w14:paraId="295DBF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w:t>
            </w:r>
          </w:p>
        </w:tc>
        <w:tc>
          <w:tcPr>
            <w:tcW w:w="600" w:type="dxa"/>
            <w:tcBorders>
              <w:top w:val="single" w:color="000000" w:sz="4" w:space="0"/>
              <w:left w:val="single" w:color="000000" w:sz="4" w:space="0"/>
              <w:right w:val="single" w:color="000000" w:sz="4" w:space="0"/>
            </w:tcBorders>
            <w:shd w:val="clear" w:color="auto" w:fill="auto"/>
            <w:noWrap/>
            <w:vAlign w:val="center"/>
          </w:tcPr>
          <w:p w14:paraId="770D57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791" w:type="dxa"/>
            <w:tcBorders>
              <w:top w:val="single" w:color="000000" w:sz="4" w:space="0"/>
              <w:left w:val="single" w:color="000000" w:sz="4" w:space="0"/>
              <w:right w:val="single" w:color="000000" w:sz="4" w:space="0"/>
            </w:tcBorders>
            <w:shd w:val="clear" w:color="auto" w:fill="auto"/>
            <w:vAlign w:val="center"/>
          </w:tcPr>
          <w:p w14:paraId="0A9447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380" w:type="dxa"/>
            <w:tcBorders>
              <w:top w:val="single" w:color="000000" w:sz="4" w:space="0"/>
              <w:left w:val="single" w:color="auto" w:sz="4" w:space="0"/>
              <w:right w:val="single" w:color="000000" w:sz="4" w:space="0"/>
            </w:tcBorders>
            <w:shd w:val="clear" w:color="auto" w:fill="auto"/>
            <w:vAlign w:val="center"/>
          </w:tcPr>
          <w:p w14:paraId="154786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34D3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0C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060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在线COD试剂</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4A6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碧兴物联C310（COD）</w:t>
            </w:r>
          </w:p>
        </w:tc>
        <w:tc>
          <w:tcPr>
            <w:tcW w:w="1200" w:type="dxa"/>
            <w:vMerge w:val="restart"/>
            <w:tcBorders>
              <w:top w:val="single" w:color="000000" w:sz="4" w:space="0"/>
              <w:left w:val="single" w:color="000000" w:sz="4" w:space="0"/>
              <w:right w:val="single" w:color="000000" w:sz="4" w:space="0"/>
            </w:tcBorders>
            <w:shd w:val="clear" w:color="auto" w:fill="auto"/>
            <w:vAlign w:val="center"/>
          </w:tcPr>
          <w:p w14:paraId="17CC4F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不限，适用于碧兴物联C310（COD）仪器</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46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试剂A</w:t>
            </w:r>
          </w:p>
          <w:p w14:paraId="3F0CD1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(硫酸汞硫酸溶液)</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62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500ml</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06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9D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70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62E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试剂B（重铬酸钾硫酸、硫酸银硫酸溶液溶液）需按标准使用耐酸碱和腐蚀的玻璃瓶盛装</w:t>
            </w:r>
          </w:p>
        </w:tc>
      </w:tr>
      <w:tr w14:paraId="5312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C9E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DDFD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75A6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14:paraId="57E871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0E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试剂B</w:t>
            </w:r>
          </w:p>
          <w:p w14:paraId="4B9AB4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（重铬酸钾、硫酸银硫酸溶液）</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B6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1L</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AEF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6A7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0833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370D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20F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3E9A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40CD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14:paraId="162DD1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7A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量程溶液100-500mg/L</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5B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500ml</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5C9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2C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5D5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0C21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91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F938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3960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bottom w:val="single" w:color="000000" w:sz="4" w:space="0"/>
              <w:right w:val="single" w:color="000000" w:sz="4" w:space="0"/>
            </w:tcBorders>
            <w:shd w:val="clear" w:color="auto" w:fill="auto"/>
            <w:vAlign w:val="center"/>
          </w:tcPr>
          <w:p w14:paraId="44D41B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DE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标准溶液1-100mg/L</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43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500ml</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366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3E3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4E52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bl>
    <w:p w14:paraId="3D8C8F27">
      <w:pPr>
        <w:numPr>
          <w:ilvl w:val="0"/>
          <w:numId w:val="5"/>
        </w:num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2EE3BEFC">
      <w:pPr>
        <w:widowControl w:val="0"/>
        <w:spacing w:after="0" w:line="240" w:lineRule="auto"/>
        <w:ind w:firstLine="562" w:firstLineChars="200"/>
        <w:jc w:val="both"/>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项目</w:t>
      </w:r>
      <w:r>
        <w:rPr>
          <w:rFonts w:hint="eastAsia" w:ascii="仿宋" w:hAnsi="仿宋" w:eastAsia="仿宋" w:cs="仿宋"/>
          <w:b/>
          <w:bCs/>
          <w:color w:val="auto"/>
          <w:sz w:val="28"/>
          <w:szCs w:val="28"/>
          <w:highlight w:val="none"/>
          <w:lang w:val="zh-CN"/>
        </w:rPr>
        <w:t>商务要求</w:t>
      </w:r>
    </w:p>
    <w:p w14:paraId="1CD3824D">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（一）服务工期：</w:t>
      </w:r>
      <w:r>
        <w:rPr>
          <w:rFonts w:hint="eastAsia" w:ascii="仿宋" w:hAnsi="仿宋" w:eastAsia="仿宋" w:cs="仿宋"/>
          <w:color w:val="auto"/>
          <w:sz w:val="28"/>
          <w:szCs w:val="28"/>
          <w:highlight w:val="none"/>
          <w:lang w:val="en-US" w:eastAsia="zh-CN"/>
        </w:rPr>
        <w:t>自合同签订之日起5个月</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具体以合同签订为准</w:t>
      </w:r>
      <w:r>
        <w:rPr>
          <w:rFonts w:hint="eastAsia" w:ascii="仿宋" w:hAnsi="仿宋" w:eastAsia="仿宋" w:cs="仿宋"/>
          <w:color w:val="auto"/>
          <w:sz w:val="28"/>
          <w:szCs w:val="28"/>
          <w:highlight w:val="none"/>
        </w:rPr>
        <w:t>），接到订货通知后，10日内到货，分批次供货至指定地点</w:t>
      </w:r>
      <w:r>
        <w:rPr>
          <w:rFonts w:hint="eastAsia" w:ascii="仿宋" w:hAnsi="仿宋" w:eastAsia="仿宋" w:cs="仿宋"/>
          <w:color w:val="auto"/>
          <w:sz w:val="28"/>
          <w:szCs w:val="28"/>
          <w:highlight w:val="none"/>
          <w:lang w:eastAsia="zh-CN"/>
        </w:rPr>
        <w:t>。</w:t>
      </w:r>
    </w:p>
    <w:p w14:paraId="3FE7B6D7">
      <w:pPr>
        <w:autoSpaceDE w:val="0"/>
        <w:autoSpaceDN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供货要求</w:t>
      </w:r>
    </w:p>
    <w:p w14:paraId="69AD312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1.包装:</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所供货物应</w:t>
      </w:r>
      <w:r>
        <w:rPr>
          <w:rFonts w:hint="eastAsia" w:ascii="仿宋" w:hAnsi="仿宋" w:eastAsia="仿宋" w:cs="仿宋"/>
          <w:color w:val="auto"/>
          <w:sz w:val="28"/>
          <w:szCs w:val="28"/>
          <w:highlight w:val="none"/>
          <w:lang w:val="en-US" w:eastAsia="zh-CN"/>
        </w:rPr>
        <w:t>为生产厂家</w:t>
      </w:r>
      <w:r>
        <w:rPr>
          <w:rFonts w:hint="eastAsia" w:ascii="仿宋" w:hAnsi="仿宋" w:eastAsia="仿宋" w:cs="仿宋"/>
          <w:color w:val="auto"/>
          <w:sz w:val="28"/>
          <w:szCs w:val="28"/>
          <w:highlight w:val="none"/>
        </w:rPr>
        <w:t>原装出厂，包装箱号与货物出厂批号一致，包装须符合同等相关标准，应有良好的防湿、防锈、防潮、防雨、防腐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防泄漏</w:t>
      </w:r>
      <w:r>
        <w:rPr>
          <w:rFonts w:hint="eastAsia" w:ascii="仿宋" w:hAnsi="仿宋" w:eastAsia="仿宋" w:cs="仿宋"/>
          <w:color w:val="auto"/>
          <w:sz w:val="28"/>
          <w:szCs w:val="28"/>
          <w:highlight w:val="none"/>
        </w:rPr>
        <w:t>及防碰撞的措施。凡由于包装不良造成的损失和由此产生的费用均由报价人承担。</w:t>
      </w:r>
    </w:p>
    <w:p w14:paraId="119EC55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 运输：</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负责将</w:t>
      </w:r>
      <w:r>
        <w:rPr>
          <w:rFonts w:hint="eastAsia" w:ascii="仿宋" w:hAnsi="仿宋" w:eastAsia="仿宋" w:cs="仿宋"/>
          <w:color w:val="auto"/>
          <w:sz w:val="28"/>
          <w:szCs w:val="28"/>
          <w:highlight w:val="none"/>
          <w:lang w:val="en-US" w:eastAsia="zh-CN"/>
        </w:rPr>
        <w:t>货物</w:t>
      </w:r>
      <w:r>
        <w:rPr>
          <w:rFonts w:hint="eastAsia" w:ascii="仿宋" w:hAnsi="仿宋" w:eastAsia="仿宋" w:cs="仿宋"/>
          <w:color w:val="auto"/>
          <w:sz w:val="28"/>
          <w:szCs w:val="28"/>
          <w:highlight w:val="none"/>
        </w:rPr>
        <w:t>送到现场过程中的全部运输，包括装卸车、货物现场的搬运等。</w:t>
      </w:r>
    </w:p>
    <w:p w14:paraId="047C7F5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3.验收要求：由</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人依国家标</w:t>
      </w:r>
      <w:r>
        <w:rPr>
          <w:rFonts w:hint="eastAsia" w:ascii="仿宋" w:hAnsi="仿宋" w:eastAsia="仿宋" w:cs="仿宋"/>
          <w:color w:val="auto"/>
          <w:sz w:val="28"/>
          <w:szCs w:val="28"/>
          <w:highlight w:val="none"/>
          <w:lang w:val="en-US" w:eastAsia="zh-CN"/>
        </w:rPr>
        <w:t>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行业标准及</w:t>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val="en-US" w:eastAsia="zh-CN"/>
        </w:rPr>
        <w:t>约定对货物</w:t>
      </w:r>
      <w:r>
        <w:rPr>
          <w:rFonts w:hint="eastAsia" w:ascii="仿宋" w:hAnsi="仿宋" w:eastAsia="仿宋" w:cs="仿宋"/>
          <w:color w:val="auto"/>
          <w:sz w:val="28"/>
          <w:szCs w:val="28"/>
          <w:highlight w:val="none"/>
        </w:rPr>
        <w:t>进行验收；</w:t>
      </w:r>
    </w:p>
    <w:p w14:paraId="392D9B5F">
      <w:pPr>
        <w:widowControl w:val="0"/>
        <w:spacing w:after="0" w:line="360" w:lineRule="auto"/>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（三）质量要求和售后服务：</w:t>
      </w:r>
    </w:p>
    <w:p w14:paraId="4EBADAB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1.质量要求：</w:t>
      </w:r>
    </w:p>
    <w:p w14:paraId="6AC167A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确保货物为原装未拆封或未使用的</w:t>
      </w:r>
      <w:r>
        <w:rPr>
          <w:rFonts w:hint="eastAsia" w:ascii="仿宋" w:hAnsi="仿宋" w:eastAsia="仿宋" w:cs="仿宋"/>
          <w:color w:val="auto"/>
          <w:sz w:val="28"/>
          <w:szCs w:val="28"/>
          <w:highlight w:val="none"/>
          <w:lang w:val="en-US" w:eastAsia="zh-CN"/>
        </w:rPr>
        <w:t>全新、</w:t>
      </w:r>
      <w:r>
        <w:rPr>
          <w:rFonts w:hint="eastAsia" w:ascii="仿宋" w:hAnsi="仿宋" w:eastAsia="仿宋" w:cs="仿宋"/>
          <w:color w:val="auto"/>
          <w:sz w:val="28"/>
          <w:szCs w:val="28"/>
          <w:highlight w:val="none"/>
        </w:rPr>
        <w:t>合格产品；</w:t>
      </w:r>
    </w:p>
    <w:p w14:paraId="08D3C9B7">
      <w:pPr>
        <w:pStyle w:val="13"/>
        <w:ind w:firstLine="560" w:firstLineChars="200"/>
        <w:rPr>
          <w:rFonts w:hint="eastAsia" w:ascii="仿宋" w:hAnsi="仿宋" w:eastAsia="仿宋" w:cs="仿宋"/>
          <w:sz w:val="28"/>
          <w:szCs w:val="28"/>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货物须是满足清单设备型号使用的合格产品，并能安装适配至现有设备中且能让在线监测设备正常运行和监测数据准确及有效。</w:t>
      </w:r>
    </w:p>
    <w:p w14:paraId="26648C8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2.售后服务：货物如有质量问题或未能适配原有设备时，</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必须</w:t>
      </w:r>
    </w:p>
    <w:p w14:paraId="0D9661B1">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24小时内</w:t>
      </w:r>
      <w:r>
        <w:rPr>
          <w:rFonts w:hint="eastAsia" w:ascii="仿宋" w:hAnsi="仿宋" w:eastAsia="仿宋" w:cs="仿宋"/>
          <w:color w:val="auto"/>
          <w:sz w:val="28"/>
          <w:szCs w:val="28"/>
          <w:highlight w:val="none"/>
          <w:lang w:val="en-US" w:eastAsia="zh-CN"/>
        </w:rPr>
        <w:t>立即</w:t>
      </w:r>
      <w:r>
        <w:rPr>
          <w:rFonts w:hint="eastAsia" w:ascii="仿宋" w:hAnsi="仿宋" w:eastAsia="仿宋" w:cs="仿宋"/>
          <w:color w:val="auto"/>
          <w:sz w:val="28"/>
          <w:szCs w:val="28"/>
          <w:highlight w:val="none"/>
        </w:rPr>
        <w:t>响应。</w:t>
      </w:r>
    </w:p>
    <w:p w14:paraId="516E10FE">
      <w:pPr>
        <w:numPr>
          <w:ilvl w:val="0"/>
          <w:numId w:val="6"/>
        </w:num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付款方式</w:t>
      </w:r>
    </w:p>
    <w:p w14:paraId="7E925835">
      <w:pPr>
        <w:numPr>
          <w:ilvl w:val="0"/>
          <w:numId w:val="0"/>
        </w:num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见合同草案。</w:t>
      </w:r>
    </w:p>
    <w:p w14:paraId="31895A53">
      <w:pPr>
        <w:pStyle w:val="13"/>
        <w:numPr>
          <w:ilvl w:val="0"/>
          <w:numId w:val="6"/>
        </w:num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违约处罚</w:t>
      </w:r>
    </w:p>
    <w:p w14:paraId="5902B115">
      <w:pPr>
        <w:numPr>
          <w:ilvl w:val="0"/>
          <w:numId w:val="0"/>
        </w:num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见合同草案。</w:t>
      </w:r>
    </w:p>
    <w:p w14:paraId="0FF2CD8B">
      <w:pPr>
        <w:pStyle w:val="13"/>
        <w:numPr>
          <w:ilvl w:val="0"/>
          <w:numId w:val="6"/>
        </w:num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t>承包方式：单价包干</w:t>
      </w:r>
    </w:p>
    <w:p w14:paraId="603DFD13">
      <w:pPr>
        <w:widowControl w:val="0"/>
        <w:spacing w:after="0" w:line="360" w:lineRule="auto"/>
        <w:ind w:firstLine="562" w:firstLineChars="200"/>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、其他</w:t>
      </w:r>
    </w:p>
    <w:p w14:paraId="5076EEB3">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不得转包、分包。否则，</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人有权单方面终止合同，拒收其货物，由此而造成的经济损失由</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负责赔偿。</w:t>
      </w:r>
    </w:p>
    <w:p w14:paraId="592F427F">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宋体" w:hAnsi="宋体" w:eastAsia="宋体" w:cs="宋体"/>
          <w:color w:val="auto"/>
          <w:sz w:val="28"/>
          <w:szCs w:val="28"/>
          <w:highlight w:val="none"/>
        </w:rPr>
      </w:pPr>
    </w:p>
    <w:p w14:paraId="73F6CD37">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664EC91E">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0331244C">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71248112">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145E1EB1">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70B4F9B3">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232D0A0B">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6AE0532B">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73E860F8">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1B73D473">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13CA1958">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085835AB">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062CF6A7">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2DC44345">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76F3FEBC">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14:paraId="42BFF586">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14:paraId="163160E9">
      <w:pPr>
        <w:pStyle w:val="2"/>
        <w:rPr>
          <w:rFonts w:eastAsia="仿宋"/>
          <w:color w:val="auto"/>
          <w:highlight w:val="none"/>
        </w:rPr>
      </w:pPr>
      <w:bookmarkStart w:id="48" w:name="_Toc22797"/>
      <w:bookmarkStart w:id="49" w:name="_Toc19686"/>
      <w:bookmarkStart w:id="50" w:name="_Toc323"/>
      <w:bookmarkStart w:id="51" w:name="_Toc87616386"/>
      <w:bookmarkStart w:id="52" w:name="_Toc8183"/>
      <w:bookmarkStart w:id="53" w:name="_Toc22501"/>
      <w:bookmarkStart w:id="54" w:name="_Toc88209949"/>
      <w:bookmarkStart w:id="55" w:name="_Toc13309"/>
      <w:bookmarkStart w:id="56" w:name="_Toc12980"/>
      <w:bookmarkStart w:id="57" w:name="_Toc12721"/>
      <w:bookmarkStart w:id="58" w:name="_Toc1375"/>
      <w:bookmarkStart w:id="59" w:name="_Toc12968"/>
      <w:bookmarkStart w:id="60" w:name="_Toc19088"/>
      <w:r>
        <w:rPr>
          <w:rFonts w:hint="eastAsia" w:eastAsia="仿宋"/>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14:paraId="2F70B983">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14:paraId="36C39985">
      <w:pPr>
        <w:pStyle w:val="23"/>
        <w:rPr>
          <w:rFonts w:ascii="仿宋_GB2312" w:eastAsia="仿宋_GB2312"/>
          <w:color w:val="auto"/>
          <w:sz w:val="28"/>
          <w:szCs w:val="28"/>
          <w:highlight w:val="none"/>
        </w:rPr>
      </w:pPr>
      <w:bookmarkStart w:id="61" w:name="_Hlk47596327"/>
      <w:bookmarkStart w:id="62" w:name="_Toc45532487"/>
    </w:p>
    <w:p w14:paraId="47751F98">
      <w:pPr>
        <w:pStyle w:val="47"/>
        <w:jc w:val="center"/>
        <w:rPr>
          <w:rFonts w:eastAsia="方正小标宋简体"/>
          <w:sz w:val="48"/>
          <w:szCs w:val="48"/>
        </w:rPr>
      </w:pPr>
      <w:r>
        <w:rPr>
          <w:rFonts w:eastAsia="方正小标宋简体"/>
          <w:sz w:val="48"/>
          <w:szCs w:val="48"/>
        </w:rPr>
        <w:t>广州市净水有限公司</w:t>
      </w:r>
    </w:p>
    <w:p w14:paraId="2FDFDBCA">
      <w:pPr>
        <w:pStyle w:val="47"/>
        <w:jc w:val="center"/>
        <w:rPr>
          <w:rFonts w:eastAsia="方正小标宋简体"/>
          <w:sz w:val="48"/>
          <w:szCs w:val="48"/>
        </w:rPr>
      </w:pPr>
      <w:r>
        <w:rPr>
          <w:rFonts w:eastAsia="方正小标宋简体"/>
          <w:sz w:val="48"/>
          <w:szCs w:val="48"/>
        </w:rPr>
        <w:t>货物采购合同</w:t>
      </w:r>
    </w:p>
    <w:p w14:paraId="54D0C775">
      <w:pPr>
        <w:jc w:val="center"/>
        <w:rPr>
          <w:rFonts w:ascii="Times New Roman" w:hAnsi="Times New Roman" w:cs="Times New Roman"/>
          <w:color w:val="auto"/>
          <w:sz w:val="30"/>
        </w:rPr>
      </w:pPr>
    </w:p>
    <w:p w14:paraId="0E9593F9">
      <w:pPr>
        <w:rPr>
          <w:rFonts w:ascii="Times New Roman" w:hAnsi="Times New Roman" w:cs="Times New Roman"/>
          <w:b/>
          <w:bCs/>
          <w:color w:val="auto"/>
          <w:sz w:val="30"/>
        </w:rPr>
      </w:pPr>
    </w:p>
    <w:p w14:paraId="26D95DDF">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rPr>
        <w:t>项目名称：</w:t>
      </w:r>
      <w:r>
        <w:rPr>
          <w:rFonts w:hint="eastAsia" w:ascii="仿宋" w:hAnsi="仿宋" w:eastAsia="仿宋" w:cs="仿宋"/>
          <w:b/>
          <w:color w:val="auto"/>
          <w:sz w:val="32"/>
          <w:szCs w:val="32"/>
          <w:lang w:eastAsia="zh-CN"/>
        </w:rPr>
        <w:t>2025年在线COD试剂采购项目</w:t>
      </w:r>
    </w:p>
    <w:p w14:paraId="7E5D70AB">
      <w:pPr>
        <w:spacing w:line="480" w:lineRule="auto"/>
        <w:rPr>
          <w:rFonts w:hint="eastAsia" w:ascii="仿宋" w:hAnsi="仿宋" w:eastAsia="仿宋" w:cs="仿宋"/>
          <w:b/>
          <w:bCs/>
          <w:color w:val="auto"/>
          <w:sz w:val="30"/>
        </w:rPr>
      </w:pPr>
    </w:p>
    <w:p w14:paraId="269DE5CA">
      <w:pPr>
        <w:spacing w:line="480" w:lineRule="auto"/>
        <w:rPr>
          <w:rFonts w:hint="eastAsia" w:ascii="仿宋" w:hAnsi="仿宋" w:eastAsia="仿宋" w:cs="仿宋"/>
        </w:rPr>
      </w:pPr>
      <w:r>
        <w:rPr>
          <w:rFonts w:hint="eastAsia" w:ascii="仿宋" w:hAnsi="仿宋" w:eastAsia="仿宋" w:cs="仿宋"/>
          <w:b/>
          <w:bCs/>
          <w:color w:val="auto"/>
          <w:sz w:val="30"/>
        </w:rPr>
        <w:t>项目编号：</w:t>
      </w:r>
    </w:p>
    <w:p w14:paraId="5786BE28">
      <w:pPr>
        <w:spacing w:line="480" w:lineRule="auto"/>
        <w:rPr>
          <w:rFonts w:hint="eastAsia" w:ascii="仿宋" w:hAnsi="仿宋" w:eastAsia="仿宋" w:cs="仿宋"/>
          <w:b/>
          <w:bCs/>
          <w:color w:val="auto"/>
          <w:sz w:val="30"/>
        </w:rPr>
      </w:pPr>
    </w:p>
    <w:p w14:paraId="1A8E1179">
      <w:pPr>
        <w:spacing w:line="480" w:lineRule="auto"/>
        <w:rPr>
          <w:rFonts w:hint="eastAsia" w:ascii="仿宋" w:hAnsi="仿宋" w:eastAsia="仿宋" w:cs="仿宋"/>
          <w:b/>
          <w:bCs/>
          <w:color w:val="auto"/>
          <w:sz w:val="30"/>
          <w:szCs w:val="30"/>
        </w:rPr>
      </w:pPr>
      <w:r>
        <w:rPr>
          <w:rFonts w:hint="eastAsia" w:ascii="仿宋" w:hAnsi="仿宋" w:eastAsia="仿宋" w:cs="仿宋"/>
          <w:b/>
          <w:bCs/>
          <w:color w:val="auto"/>
          <w:sz w:val="30"/>
        </w:rPr>
        <w:t>合同编号：</w:t>
      </w:r>
      <w:r>
        <w:rPr>
          <w:rFonts w:hint="eastAsia" w:ascii="仿宋" w:hAnsi="仿宋" w:eastAsia="仿宋" w:cs="仿宋"/>
          <w:b/>
          <w:bCs/>
          <w:color w:val="auto"/>
          <w:sz w:val="30"/>
          <w:szCs w:val="30"/>
        </w:rPr>
        <w:t xml:space="preserve">穗净水合〔   </w:t>
      </w:r>
      <w:r>
        <w:rPr>
          <w:rFonts w:hint="eastAsia" w:ascii="仿宋" w:hAnsi="仿宋" w:eastAsia="仿宋" w:cs="仿宋"/>
          <w:b/>
          <w:bCs/>
          <w:color w:val="auto"/>
          <w:sz w:val="30"/>
          <w:szCs w:val="30"/>
          <w:lang w:val="en-US" w:eastAsia="zh-CN"/>
        </w:rPr>
        <w:t xml:space="preserve">  </w:t>
      </w:r>
      <w:r>
        <w:rPr>
          <w:rFonts w:hint="eastAsia" w:ascii="仿宋" w:hAnsi="仿宋" w:eastAsia="仿宋" w:cs="仿宋"/>
          <w:b/>
          <w:bCs/>
          <w:color w:val="auto"/>
          <w:sz w:val="30"/>
          <w:szCs w:val="30"/>
        </w:rPr>
        <w:t xml:space="preserve">  〕 </w:t>
      </w:r>
      <w:r>
        <w:rPr>
          <w:rFonts w:hint="eastAsia" w:ascii="仿宋" w:hAnsi="仿宋" w:eastAsia="仿宋" w:cs="仿宋"/>
          <w:b/>
          <w:bCs/>
          <w:color w:val="auto"/>
          <w:sz w:val="30"/>
          <w:szCs w:val="30"/>
          <w:lang w:val="en-US" w:eastAsia="zh-CN"/>
        </w:rPr>
        <w:t xml:space="preserve"> </w:t>
      </w:r>
      <w:r>
        <w:rPr>
          <w:rFonts w:hint="eastAsia" w:ascii="仿宋" w:hAnsi="仿宋" w:eastAsia="仿宋" w:cs="仿宋"/>
          <w:b/>
          <w:bCs/>
          <w:color w:val="auto"/>
          <w:sz w:val="30"/>
          <w:szCs w:val="30"/>
        </w:rPr>
        <w:t xml:space="preserve"> </w:t>
      </w:r>
      <w:r>
        <w:rPr>
          <w:rFonts w:hint="eastAsia" w:ascii="仿宋" w:hAnsi="仿宋" w:eastAsia="仿宋" w:cs="仿宋"/>
          <w:b/>
          <w:bCs/>
          <w:color w:val="auto"/>
          <w:sz w:val="30"/>
          <w:szCs w:val="30"/>
          <w:lang w:val="en-US" w:eastAsia="zh-CN"/>
        </w:rPr>
        <w:t xml:space="preserve"> </w:t>
      </w:r>
      <w:r>
        <w:rPr>
          <w:rFonts w:hint="eastAsia" w:ascii="仿宋" w:hAnsi="仿宋" w:eastAsia="仿宋" w:cs="仿宋"/>
          <w:b/>
          <w:bCs/>
          <w:color w:val="auto"/>
          <w:sz w:val="30"/>
          <w:szCs w:val="30"/>
        </w:rPr>
        <w:t xml:space="preserve"> 号</w:t>
      </w:r>
    </w:p>
    <w:p w14:paraId="5FD48904">
      <w:pPr>
        <w:spacing w:line="480" w:lineRule="auto"/>
        <w:rPr>
          <w:rFonts w:hint="eastAsia" w:ascii="仿宋" w:hAnsi="仿宋" w:eastAsia="仿宋" w:cs="仿宋"/>
          <w:b/>
          <w:bCs/>
          <w:color w:val="auto"/>
          <w:sz w:val="30"/>
        </w:rPr>
      </w:pPr>
    </w:p>
    <w:p w14:paraId="4023B109">
      <w:pPr>
        <w:spacing w:line="480" w:lineRule="auto"/>
        <w:rPr>
          <w:rFonts w:hint="eastAsia" w:ascii="仿宋" w:hAnsi="仿宋" w:eastAsia="仿宋" w:cs="仿宋"/>
          <w:b/>
          <w:bCs/>
          <w:color w:val="auto"/>
          <w:sz w:val="30"/>
        </w:rPr>
      </w:pPr>
    </w:p>
    <w:p w14:paraId="778A7634">
      <w:pPr>
        <w:spacing w:line="480" w:lineRule="auto"/>
        <w:rPr>
          <w:rFonts w:hint="eastAsia" w:ascii="仿宋" w:hAnsi="仿宋" w:eastAsia="仿宋" w:cs="仿宋"/>
          <w:b/>
          <w:bCs/>
          <w:color w:val="auto"/>
          <w:sz w:val="30"/>
          <w:u w:val="none"/>
        </w:rPr>
      </w:pPr>
      <w:r>
        <w:rPr>
          <w:rFonts w:hint="eastAsia" w:ascii="仿宋" w:hAnsi="仿宋" w:eastAsia="仿宋" w:cs="仿宋"/>
          <w:b/>
          <w:bCs/>
          <w:color w:val="auto"/>
          <w:sz w:val="30"/>
        </w:rPr>
        <w:t>甲方（买方）：</w:t>
      </w:r>
      <w:r>
        <w:rPr>
          <w:rFonts w:hint="eastAsia" w:ascii="仿宋" w:hAnsi="仿宋" w:eastAsia="仿宋" w:cs="仿宋"/>
          <w:b/>
          <w:bCs/>
          <w:color w:val="auto"/>
          <w:sz w:val="30"/>
          <w:u w:val="none"/>
        </w:rPr>
        <w:t>广州市净水有限公司</w:t>
      </w:r>
    </w:p>
    <w:p w14:paraId="08D35873">
      <w:pPr>
        <w:spacing w:line="480" w:lineRule="auto"/>
        <w:rPr>
          <w:rFonts w:hint="eastAsia" w:ascii="仿宋" w:hAnsi="仿宋" w:eastAsia="仿宋" w:cs="仿宋"/>
          <w:b w:val="0"/>
          <w:bCs w:val="0"/>
          <w:color w:val="auto"/>
          <w:sz w:val="30"/>
          <w:u w:val="none"/>
        </w:rPr>
      </w:pPr>
      <w:r>
        <w:rPr>
          <w:rFonts w:hint="eastAsia" w:ascii="仿宋" w:hAnsi="仿宋" w:eastAsia="仿宋" w:cs="仿宋"/>
          <w:b/>
          <w:bCs/>
          <w:color w:val="auto"/>
          <w:sz w:val="30"/>
          <w:u w:val="none"/>
        </w:rPr>
        <w:t>乙方（卖方）：</w:t>
      </w:r>
      <w:r>
        <w:rPr>
          <w:rFonts w:hint="eastAsia" w:ascii="仿宋" w:hAnsi="仿宋" w:eastAsia="仿宋" w:cs="仿宋"/>
          <w:b w:val="0"/>
          <w:bCs w:val="0"/>
          <w:color w:val="auto"/>
          <w:sz w:val="30"/>
          <w:u w:val="none"/>
        </w:rPr>
        <w:t xml:space="preserve">                    </w:t>
      </w:r>
    </w:p>
    <w:p w14:paraId="60BB0A14">
      <w:pPr>
        <w:spacing w:line="480" w:lineRule="auto"/>
        <w:rPr>
          <w:rFonts w:hint="eastAsia" w:ascii="仿宋" w:hAnsi="仿宋" w:eastAsia="仿宋" w:cs="仿宋"/>
          <w:b/>
          <w:bCs/>
          <w:color w:val="auto"/>
          <w:sz w:val="30"/>
        </w:rPr>
      </w:pPr>
    </w:p>
    <w:p w14:paraId="55A51E9F">
      <w:pPr>
        <w:pStyle w:val="13"/>
        <w:rPr>
          <w:rFonts w:hint="eastAsia" w:ascii="仿宋" w:hAnsi="仿宋" w:eastAsia="仿宋" w:cs="仿宋"/>
        </w:rPr>
      </w:pPr>
    </w:p>
    <w:p w14:paraId="3D691EC5">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rPr>
        <w:t>签订日期：    年  月  日</w:t>
      </w:r>
    </w:p>
    <w:p w14:paraId="0E6F2887">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rPr>
        <w:t>签约地点：广州市</w:t>
      </w:r>
    </w:p>
    <w:p w14:paraId="33D8A7F2">
      <w:pPr>
        <w:spacing w:line="480" w:lineRule="auto"/>
        <w:rPr>
          <w:rFonts w:hint="eastAsia" w:ascii="仿宋" w:hAnsi="仿宋" w:eastAsia="仿宋" w:cs="仿宋"/>
          <w:b/>
          <w:bCs/>
          <w:color w:val="auto"/>
          <w:sz w:val="30"/>
        </w:rPr>
      </w:pPr>
    </w:p>
    <w:p w14:paraId="62641CE4">
      <w:pPr>
        <w:spacing w:line="480" w:lineRule="auto"/>
        <w:rPr>
          <w:rFonts w:hint="eastAsia" w:ascii="仿宋" w:hAnsi="仿宋" w:eastAsia="仿宋" w:cs="仿宋"/>
          <w:b/>
          <w:bCs/>
          <w:color w:val="auto"/>
          <w:sz w:val="30"/>
        </w:rPr>
      </w:pPr>
    </w:p>
    <w:p w14:paraId="3C4090B0">
      <w:pPr>
        <w:keepNext w:val="0"/>
        <w:keepLines w:val="0"/>
        <w:pageBreakBefore w:val="0"/>
        <w:kinsoku/>
        <w:wordWrap/>
        <w:overflowPunct/>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根据《中华人民共和国民法典》及其他有关法律、行政法规，</w:t>
      </w:r>
      <w:r>
        <w:rPr>
          <w:rFonts w:hint="eastAsia" w:ascii="仿宋" w:hAnsi="仿宋" w:eastAsia="仿宋" w:cs="仿宋"/>
          <w:color w:val="auto"/>
          <w:sz w:val="24"/>
          <w:szCs w:val="24"/>
          <w:u w:val="single"/>
        </w:rPr>
        <w:t>广州市净水有限公司</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（以下简称“甲方”）与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（以下简称“乙方”）就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2025年在线COD试剂采购项目</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采购事宜，遵循平等、自愿、公平和诚实信用的原则，双方协商一致，订立本合同。 </w:t>
      </w:r>
    </w:p>
    <w:p w14:paraId="0974EEE7">
      <w:pPr>
        <w:pStyle w:val="8"/>
        <w:keepNext w:val="0"/>
        <w:keepLines w:val="0"/>
        <w:pageBreakBefore w:val="0"/>
        <w:tabs>
          <w:tab w:val="left" w:pos="720"/>
        </w:tabs>
        <w:kinsoku/>
        <w:wordWrap/>
        <w:overflowPunct/>
        <w:bidi w:val="0"/>
        <w:adjustRightInd w:val="0"/>
        <w:snapToGrid w:val="0"/>
        <w:spacing w:line="52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第一条</w:t>
      </w:r>
      <w:r>
        <w:rPr>
          <w:rFonts w:hint="eastAsia" w:ascii="仿宋" w:hAnsi="仿宋" w:eastAsia="仿宋" w:cs="仿宋"/>
          <w:sz w:val="24"/>
          <w:szCs w:val="24"/>
        </w:rPr>
        <w:t xml:space="preserve"> </w:t>
      </w:r>
      <w:r>
        <w:rPr>
          <w:rFonts w:hint="eastAsia" w:ascii="仿宋" w:hAnsi="仿宋" w:eastAsia="仿宋" w:cs="仿宋"/>
          <w:b/>
          <w:bCs/>
          <w:sz w:val="24"/>
          <w:szCs w:val="24"/>
        </w:rPr>
        <w:t>组成合同的文件及优先顺序</w:t>
      </w:r>
    </w:p>
    <w:p w14:paraId="3E32E3A2">
      <w:pPr>
        <w:pStyle w:val="8"/>
        <w:keepNext w:val="0"/>
        <w:keepLines w:val="0"/>
        <w:pageBreakBefore w:val="0"/>
        <w:tabs>
          <w:tab w:val="left" w:pos="720"/>
        </w:tabs>
        <w:kinsoku/>
        <w:wordWrap/>
        <w:overflowPunct/>
        <w:bidi w:val="0"/>
        <w:adjustRightInd w:val="0"/>
        <w:snapToGrid w:val="0"/>
        <w:spacing w:line="52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下列文件（如有）均为本合同的组成部分，可视为能相互说明和补充的，如果合同文件存在歧义或相矛盾的地方，则根据以下次序判断：</w:t>
      </w:r>
    </w:p>
    <w:p w14:paraId="2404E8C5">
      <w:pPr>
        <w:keepNext w:val="0"/>
        <w:keepLines w:val="0"/>
        <w:pageBreakBefore w:val="0"/>
        <w:widowControl w:val="0"/>
        <w:kinsoku/>
        <w:wordWrap/>
        <w:overflowPunct/>
        <w:topLinePunct w:val="0"/>
        <w:autoSpaceDE/>
        <w:autoSpaceDN/>
        <w:bidi w:val="0"/>
        <w:adjustRightInd w:val="0"/>
        <w:snapToGrid w:val="0"/>
        <w:spacing w:line="520" w:lineRule="exact"/>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⑴ 在本合同实施过程双方签署的补充与修正文件；</w:t>
      </w:r>
    </w:p>
    <w:p w14:paraId="2C3467F8">
      <w:pPr>
        <w:keepNext w:val="0"/>
        <w:keepLines w:val="0"/>
        <w:pageBreakBefore w:val="0"/>
        <w:widowControl w:val="0"/>
        <w:kinsoku/>
        <w:wordWrap/>
        <w:overflowPunct/>
        <w:topLinePunct w:val="0"/>
        <w:autoSpaceDE/>
        <w:autoSpaceDN/>
        <w:bidi w:val="0"/>
        <w:adjustRightInd w:val="0"/>
        <w:snapToGrid w:val="0"/>
        <w:spacing w:line="520" w:lineRule="exact"/>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⑵ 本合同书；</w:t>
      </w:r>
    </w:p>
    <w:p w14:paraId="2792C26B">
      <w:pPr>
        <w:keepNext w:val="0"/>
        <w:keepLines w:val="0"/>
        <w:pageBreakBefore w:val="0"/>
        <w:widowControl w:val="0"/>
        <w:kinsoku/>
        <w:wordWrap/>
        <w:overflowPunct/>
        <w:topLinePunct w:val="0"/>
        <w:autoSpaceDE/>
        <w:autoSpaceDN/>
        <w:bidi w:val="0"/>
        <w:adjustRightInd w:val="0"/>
        <w:snapToGrid w:val="0"/>
        <w:spacing w:line="520" w:lineRule="exact"/>
        <w:ind w:firstLine="482"/>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⑶ 发包通知书；</w:t>
      </w:r>
    </w:p>
    <w:p w14:paraId="3BF1A658">
      <w:pPr>
        <w:keepNext w:val="0"/>
        <w:keepLines w:val="0"/>
        <w:pageBreakBefore w:val="0"/>
        <w:widowControl w:val="0"/>
        <w:kinsoku/>
        <w:wordWrap/>
        <w:overflowPunct/>
        <w:topLinePunct w:val="0"/>
        <w:autoSpaceDE/>
        <w:autoSpaceDN/>
        <w:bidi w:val="0"/>
        <w:adjustRightInd w:val="0"/>
        <w:snapToGrid w:val="0"/>
        <w:spacing w:line="520" w:lineRule="exact"/>
        <w:ind w:firstLine="482"/>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⑷ 询价文件；</w:t>
      </w:r>
    </w:p>
    <w:p w14:paraId="38064D84">
      <w:pPr>
        <w:keepNext w:val="0"/>
        <w:keepLines w:val="0"/>
        <w:pageBreakBefore w:val="0"/>
        <w:widowControl w:val="0"/>
        <w:kinsoku/>
        <w:wordWrap/>
        <w:overflowPunct/>
        <w:topLinePunct w:val="0"/>
        <w:autoSpaceDE/>
        <w:autoSpaceDN/>
        <w:bidi w:val="0"/>
        <w:adjustRightInd w:val="0"/>
        <w:snapToGrid w:val="0"/>
        <w:spacing w:line="520" w:lineRule="exact"/>
        <w:ind w:firstLine="482"/>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⑸ 响应文件；</w:t>
      </w:r>
    </w:p>
    <w:p w14:paraId="07E7A4E2">
      <w:pPr>
        <w:keepNext w:val="0"/>
        <w:keepLines w:val="0"/>
        <w:pageBreakBefore w:val="0"/>
        <w:widowControl w:val="0"/>
        <w:kinsoku/>
        <w:wordWrap/>
        <w:overflowPunct/>
        <w:topLinePunct w:val="0"/>
        <w:autoSpaceDE/>
        <w:autoSpaceDN/>
        <w:bidi w:val="0"/>
        <w:adjustRightInd w:val="0"/>
        <w:snapToGrid w:val="0"/>
        <w:spacing w:line="520" w:lineRule="exact"/>
        <w:ind w:firstLine="482"/>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⑹ 标准、规范及有关技术性文件；</w:t>
      </w:r>
    </w:p>
    <w:p w14:paraId="2427CA3C">
      <w:pPr>
        <w:keepNext w:val="0"/>
        <w:keepLines w:val="0"/>
        <w:pageBreakBefore w:val="0"/>
        <w:widowControl w:val="0"/>
        <w:kinsoku/>
        <w:wordWrap/>
        <w:overflowPunct/>
        <w:topLinePunct w:val="0"/>
        <w:autoSpaceDE/>
        <w:autoSpaceDN/>
        <w:bidi w:val="0"/>
        <w:adjustRightInd w:val="0"/>
        <w:snapToGrid w:val="0"/>
        <w:spacing w:line="520" w:lineRule="exact"/>
        <w:ind w:firstLine="482"/>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⑺ 图纸；</w:t>
      </w:r>
    </w:p>
    <w:p w14:paraId="5762028F">
      <w:pPr>
        <w:keepNext w:val="0"/>
        <w:keepLines w:val="0"/>
        <w:pageBreakBefore w:val="0"/>
        <w:widowControl w:val="0"/>
        <w:kinsoku/>
        <w:wordWrap/>
        <w:overflowPunct/>
        <w:topLinePunct w:val="0"/>
        <w:autoSpaceDE/>
        <w:autoSpaceDN/>
        <w:bidi w:val="0"/>
        <w:adjustRightInd w:val="0"/>
        <w:snapToGrid w:val="0"/>
        <w:spacing w:line="520" w:lineRule="exact"/>
        <w:ind w:firstLine="482"/>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⑻ 工程量清单/</w:t>
      </w:r>
      <w:r>
        <w:rPr>
          <w:rFonts w:hint="eastAsia" w:ascii="仿宋" w:hAnsi="仿宋" w:eastAsia="仿宋" w:cs="仿宋"/>
          <w:color w:val="auto"/>
          <w:sz w:val="24"/>
          <w:szCs w:val="24"/>
        </w:rPr>
        <w:t>工程报价单或预算书</w:t>
      </w:r>
    </w:p>
    <w:p w14:paraId="386CA4AE">
      <w:pPr>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jc w:val="both"/>
        <w:textAlignment w:val="auto"/>
        <w:rPr>
          <w:rFonts w:hint="eastAsia" w:ascii="仿宋" w:hAnsi="仿宋" w:eastAsia="仿宋" w:cs="仿宋"/>
          <w:b/>
          <w:color w:val="auto"/>
          <w:sz w:val="24"/>
          <w:szCs w:val="24"/>
        </w:rPr>
      </w:pPr>
      <w:r>
        <w:rPr>
          <w:rFonts w:hint="eastAsia" w:ascii="仿宋" w:hAnsi="仿宋" w:eastAsia="仿宋" w:cs="仿宋"/>
          <w:bCs/>
          <w:color w:val="auto"/>
          <w:sz w:val="24"/>
          <w:szCs w:val="24"/>
        </w:rPr>
        <w:t>⑼ 本合同其他附件；</w:t>
      </w:r>
    </w:p>
    <w:p w14:paraId="0DAFF0EF">
      <w:pPr>
        <w:keepNext w:val="0"/>
        <w:keepLines w:val="0"/>
        <w:pageBreakBefore w:val="0"/>
        <w:numPr>
          <w:ilvl w:val="0"/>
          <w:numId w:val="7"/>
        </w:numPr>
        <w:kinsoku/>
        <w:wordWrap/>
        <w:overflowPunct/>
        <w:bidi w:val="0"/>
        <w:adjustRightInd w:val="0"/>
        <w:snapToGrid w:val="0"/>
        <w:spacing w:line="52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合同标的</w:t>
      </w:r>
    </w:p>
    <w:tbl>
      <w:tblPr>
        <w:tblStyle w:val="24"/>
        <w:tblW w:w="10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1050"/>
        <w:gridCol w:w="872"/>
        <w:gridCol w:w="1792"/>
        <w:gridCol w:w="832"/>
        <w:gridCol w:w="559"/>
        <w:gridCol w:w="614"/>
        <w:gridCol w:w="1036"/>
        <w:gridCol w:w="955"/>
        <w:gridCol w:w="941"/>
        <w:gridCol w:w="1484"/>
      </w:tblGrid>
      <w:tr w14:paraId="6E02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532" w:type="dxa"/>
            <w:tcBorders>
              <w:top w:val="single" w:color="000000" w:sz="4" w:space="0"/>
              <w:left w:val="single" w:color="000000" w:sz="4" w:space="0"/>
              <w:right w:val="single" w:color="000000" w:sz="4" w:space="0"/>
            </w:tcBorders>
            <w:shd w:val="clear" w:color="auto" w:fill="auto"/>
            <w:noWrap/>
            <w:vAlign w:val="center"/>
          </w:tcPr>
          <w:p w14:paraId="432280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1050" w:type="dxa"/>
            <w:tcBorders>
              <w:top w:val="single" w:color="000000" w:sz="4" w:space="0"/>
              <w:left w:val="single" w:color="000000" w:sz="4" w:space="0"/>
              <w:right w:val="single" w:color="000000" w:sz="4" w:space="0"/>
            </w:tcBorders>
            <w:shd w:val="clear" w:color="auto" w:fill="auto"/>
            <w:vAlign w:val="center"/>
          </w:tcPr>
          <w:p w14:paraId="1B4A45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试剂名称</w:t>
            </w:r>
          </w:p>
        </w:tc>
        <w:tc>
          <w:tcPr>
            <w:tcW w:w="872" w:type="dxa"/>
            <w:tcBorders>
              <w:top w:val="single" w:color="000000" w:sz="4" w:space="0"/>
              <w:left w:val="single" w:color="000000" w:sz="4" w:space="0"/>
              <w:right w:val="single" w:color="000000" w:sz="4" w:space="0"/>
            </w:tcBorders>
            <w:shd w:val="clear" w:color="auto" w:fill="auto"/>
            <w:noWrap/>
            <w:vAlign w:val="center"/>
          </w:tcPr>
          <w:p w14:paraId="59896C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18"/>
                <w:szCs w:val="18"/>
                <w:u w:val="none"/>
                <w:lang w:val="en-US"/>
              </w:rPr>
            </w:pPr>
            <w:r>
              <w:rPr>
                <w:rFonts w:hint="eastAsia" w:ascii="仿宋" w:hAnsi="仿宋" w:eastAsia="仿宋" w:cs="仿宋"/>
                <w:b/>
                <w:bCs/>
                <w:i w:val="0"/>
                <w:iCs w:val="0"/>
                <w:color w:val="000000"/>
                <w:kern w:val="0"/>
                <w:sz w:val="18"/>
                <w:szCs w:val="18"/>
                <w:u w:val="none"/>
                <w:lang w:val="en-US" w:eastAsia="zh-CN" w:bidi="ar"/>
              </w:rPr>
              <w:t>适用仪器型号</w:t>
            </w:r>
          </w:p>
        </w:tc>
        <w:tc>
          <w:tcPr>
            <w:tcW w:w="1792" w:type="dxa"/>
            <w:tcBorders>
              <w:top w:val="single" w:color="000000" w:sz="4" w:space="0"/>
              <w:left w:val="single" w:color="000000" w:sz="4" w:space="0"/>
              <w:right w:val="single" w:color="000000" w:sz="4" w:space="0"/>
            </w:tcBorders>
            <w:shd w:val="clear" w:color="auto" w:fill="auto"/>
            <w:vAlign w:val="center"/>
          </w:tcPr>
          <w:p w14:paraId="232D0A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参考成分规格</w:t>
            </w:r>
          </w:p>
        </w:tc>
        <w:tc>
          <w:tcPr>
            <w:tcW w:w="832" w:type="dxa"/>
            <w:tcBorders>
              <w:top w:val="single" w:color="000000" w:sz="4" w:space="0"/>
              <w:left w:val="single" w:color="000000" w:sz="4" w:space="0"/>
              <w:right w:val="single" w:color="000000" w:sz="4" w:space="0"/>
            </w:tcBorders>
            <w:shd w:val="clear" w:color="auto" w:fill="auto"/>
            <w:noWrap/>
            <w:vAlign w:val="center"/>
          </w:tcPr>
          <w:p w14:paraId="7550CD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参考</w:t>
            </w:r>
          </w:p>
          <w:p w14:paraId="19F7A8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w:t>
            </w:r>
          </w:p>
        </w:tc>
        <w:tc>
          <w:tcPr>
            <w:tcW w:w="559" w:type="dxa"/>
            <w:tcBorders>
              <w:top w:val="single" w:color="000000" w:sz="4" w:space="0"/>
              <w:left w:val="single" w:color="000000" w:sz="4" w:space="0"/>
              <w:right w:val="single" w:color="000000" w:sz="4" w:space="0"/>
            </w:tcBorders>
            <w:shd w:val="clear" w:color="auto" w:fill="auto"/>
            <w:noWrap/>
            <w:vAlign w:val="center"/>
          </w:tcPr>
          <w:p w14:paraId="29CAF3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614" w:type="dxa"/>
            <w:tcBorders>
              <w:top w:val="single" w:color="000000" w:sz="4" w:space="0"/>
              <w:left w:val="single" w:color="000000" w:sz="4" w:space="0"/>
              <w:right w:val="single" w:color="000000" w:sz="4" w:space="0"/>
            </w:tcBorders>
            <w:shd w:val="clear" w:color="auto" w:fill="auto"/>
            <w:vAlign w:val="center"/>
          </w:tcPr>
          <w:p w14:paraId="67DC3E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1036" w:type="dxa"/>
            <w:tcBorders>
              <w:top w:val="single" w:color="000000" w:sz="4" w:space="0"/>
              <w:left w:val="single" w:color="000000" w:sz="4" w:space="0"/>
              <w:right w:val="single" w:color="auto" w:sz="4" w:space="0"/>
            </w:tcBorders>
            <w:shd w:val="clear" w:color="auto" w:fill="auto"/>
            <w:vAlign w:val="center"/>
          </w:tcPr>
          <w:p w14:paraId="51A58B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18"/>
                <w:szCs w:val="18"/>
                <w:highlight w:val="none"/>
                <w:u w:val="none"/>
                <w:lang w:val="en-US" w:eastAsia="zh-CN" w:bidi="ar"/>
              </w:rPr>
            </w:pPr>
            <w:r>
              <w:rPr>
                <w:rFonts w:hint="eastAsia" w:ascii="仿宋" w:hAnsi="仿宋" w:eastAsia="仿宋" w:cs="仿宋"/>
                <w:b/>
                <w:bCs/>
                <w:i w:val="0"/>
                <w:iCs w:val="0"/>
                <w:color w:val="auto"/>
                <w:kern w:val="0"/>
                <w:sz w:val="18"/>
                <w:szCs w:val="18"/>
                <w:highlight w:val="none"/>
                <w:u w:val="none"/>
                <w:lang w:val="en-US" w:eastAsia="zh-CN" w:bidi="ar"/>
              </w:rPr>
              <w:t>含税</w:t>
            </w:r>
          </w:p>
          <w:p w14:paraId="7DE892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auto"/>
                <w:kern w:val="0"/>
                <w:sz w:val="18"/>
                <w:szCs w:val="18"/>
                <w:highlight w:val="none"/>
                <w:u w:val="none"/>
                <w:lang w:val="en-US" w:eastAsia="zh-CN" w:bidi="ar"/>
              </w:rPr>
              <w:t>单价（元）</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7F0900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2"/>
                <w:sz w:val="18"/>
                <w:szCs w:val="18"/>
                <w:u w:val="none"/>
                <w:lang w:val="en-US" w:eastAsia="zh-CN" w:bidi="ar-SA"/>
              </w:rPr>
              <w:t>不含税</w:t>
            </w:r>
          </w:p>
          <w:p w14:paraId="5DA9D2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18"/>
                <w:szCs w:val="18"/>
                <w:highlight w:val="none"/>
                <w:u w:val="none"/>
                <w:lang w:val="en-US" w:eastAsia="zh-CN" w:bidi="ar"/>
              </w:rPr>
            </w:pPr>
            <w:r>
              <w:rPr>
                <w:rFonts w:hint="eastAsia" w:ascii="仿宋" w:hAnsi="仿宋" w:eastAsia="仿宋" w:cs="仿宋"/>
                <w:b/>
                <w:bCs/>
                <w:i w:val="0"/>
                <w:iCs w:val="0"/>
                <w:color w:val="000000"/>
                <w:kern w:val="2"/>
                <w:sz w:val="18"/>
                <w:szCs w:val="18"/>
                <w:u w:val="none"/>
                <w:lang w:val="en-US" w:eastAsia="zh-CN" w:bidi="ar-SA"/>
              </w:rPr>
              <w:t>单价（元）</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4E5643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18"/>
                <w:szCs w:val="18"/>
                <w:highlight w:val="none"/>
                <w:u w:val="none"/>
                <w:lang w:val="en-US" w:eastAsia="zh-CN" w:bidi="ar"/>
              </w:rPr>
            </w:pPr>
            <w:r>
              <w:rPr>
                <w:rFonts w:hint="eastAsia" w:ascii="仿宋" w:hAnsi="仿宋" w:eastAsia="仿宋" w:cs="仿宋"/>
                <w:b/>
                <w:bCs/>
                <w:i w:val="0"/>
                <w:iCs w:val="0"/>
                <w:color w:val="auto"/>
                <w:kern w:val="0"/>
                <w:sz w:val="18"/>
                <w:szCs w:val="18"/>
                <w:highlight w:val="none"/>
                <w:u w:val="none"/>
                <w:lang w:val="en-US" w:eastAsia="zh-CN" w:bidi="ar"/>
              </w:rPr>
              <w:t>含税</w:t>
            </w:r>
          </w:p>
          <w:p w14:paraId="01C387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18"/>
                <w:szCs w:val="18"/>
                <w:highlight w:val="none"/>
                <w:u w:val="none"/>
                <w:lang w:val="en-US" w:eastAsia="zh-CN" w:bidi="ar"/>
              </w:rPr>
            </w:pPr>
            <w:r>
              <w:rPr>
                <w:rFonts w:hint="eastAsia" w:ascii="仿宋" w:hAnsi="仿宋" w:eastAsia="仿宋" w:cs="仿宋"/>
                <w:b/>
                <w:bCs/>
                <w:i w:val="0"/>
                <w:iCs w:val="0"/>
                <w:color w:val="auto"/>
                <w:kern w:val="0"/>
                <w:sz w:val="18"/>
                <w:szCs w:val="18"/>
                <w:highlight w:val="none"/>
                <w:u w:val="none"/>
                <w:lang w:val="en-US" w:eastAsia="zh-CN" w:bidi="ar"/>
              </w:rPr>
              <w:t>总价（元）</w:t>
            </w:r>
          </w:p>
        </w:tc>
        <w:tc>
          <w:tcPr>
            <w:tcW w:w="1484" w:type="dxa"/>
            <w:tcBorders>
              <w:top w:val="single" w:color="000000" w:sz="4" w:space="0"/>
              <w:left w:val="single" w:color="auto" w:sz="4" w:space="0"/>
              <w:right w:val="single" w:color="000000" w:sz="4" w:space="0"/>
            </w:tcBorders>
            <w:shd w:val="clear" w:color="auto" w:fill="auto"/>
            <w:vAlign w:val="center"/>
          </w:tcPr>
          <w:p w14:paraId="1F1820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备注</w:t>
            </w:r>
          </w:p>
        </w:tc>
      </w:tr>
      <w:tr w14:paraId="32F52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D7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182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在线COD试剂</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C25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碧兴物联C310（COD）</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0B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试剂A</w:t>
            </w:r>
          </w:p>
          <w:p w14:paraId="586537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(硫酸汞硫酸溶液)</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3D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500ml</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8C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53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70</w:t>
            </w:r>
          </w:p>
        </w:tc>
        <w:tc>
          <w:tcPr>
            <w:tcW w:w="1036" w:type="dxa"/>
            <w:vMerge w:val="restart"/>
            <w:tcBorders>
              <w:top w:val="single" w:color="000000" w:sz="4" w:space="0"/>
              <w:left w:val="single" w:color="000000" w:sz="4" w:space="0"/>
              <w:right w:val="single" w:color="000000" w:sz="4" w:space="0"/>
            </w:tcBorders>
            <w:shd w:val="clear" w:color="auto" w:fill="auto"/>
            <w:vAlign w:val="center"/>
          </w:tcPr>
          <w:p w14:paraId="337317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955" w:type="dxa"/>
            <w:vMerge w:val="restart"/>
            <w:tcBorders>
              <w:top w:val="single" w:color="auto" w:sz="4" w:space="0"/>
              <w:left w:val="single" w:color="000000" w:sz="4" w:space="0"/>
              <w:right w:val="single" w:color="000000" w:sz="4" w:space="0"/>
            </w:tcBorders>
            <w:shd w:val="clear" w:color="auto" w:fill="auto"/>
            <w:vAlign w:val="center"/>
          </w:tcPr>
          <w:p w14:paraId="3D7993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941" w:type="dxa"/>
            <w:vMerge w:val="restart"/>
            <w:tcBorders>
              <w:top w:val="single" w:color="auto" w:sz="4" w:space="0"/>
              <w:left w:val="single" w:color="000000" w:sz="4" w:space="0"/>
              <w:right w:val="single" w:color="000000" w:sz="4" w:space="0"/>
            </w:tcBorders>
            <w:shd w:val="clear" w:color="auto" w:fill="auto"/>
            <w:vAlign w:val="center"/>
          </w:tcPr>
          <w:p w14:paraId="6BEBEB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5DE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试剂B（重铬酸钾硫酸、硫酸银硫酸溶液溶液）需按标准使用耐酸碱和腐蚀的玻璃瓶盛装。</w:t>
            </w:r>
          </w:p>
        </w:tc>
      </w:tr>
      <w:tr w14:paraId="5E53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15C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E3C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99AA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98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试剂B</w:t>
            </w:r>
          </w:p>
          <w:p w14:paraId="021775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（重铬酸钾、硫酸银硫酸溶液）</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5B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1L</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9FA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6B5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036" w:type="dxa"/>
            <w:vMerge w:val="continue"/>
            <w:tcBorders>
              <w:left w:val="single" w:color="000000" w:sz="4" w:space="0"/>
              <w:right w:val="single" w:color="000000" w:sz="4" w:space="0"/>
            </w:tcBorders>
            <w:shd w:val="clear" w:color="auto" w:fill="auto"/>
            <w:vAlign w:val="center"/>
          </w:tcPr>
          <w:p w14:paraId="2B1B2B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2"/>
                <w:sz w:val="18"/>
                <w:szCs w:val="18"/>
                <w:u w:val="none"/>
                <w:lang w:val="en-US" w:eastAsia="zh-CN" w:bidi="ar-SA"/>
              </w:rPr>
            </w:pPr>
          </w:p>
        </w:tc>
        <w:tc>
          <w:tcPr>
            <w:tcW w:w="955" w:type="dxa"/>
            <w:vMerge w:val="continue"/>
            <w:tcBorders>
              <w:left w:val="single" w:color="000000" w:sz="4" w:space="0"/>
              <w:right w:val="single" w:color="000000" w:sz="4" w:space="0"/>
            </w:tcBorders>
            <w:shd w:val="clear" w:color="auto" w:fill="auto"/>
            <w:vAlign w:val="center"/>
          </w:tcPr>
          <w:p w14:paraId="4649C1D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2"/>
                <w:sz w:val="18"/>
                <w:szCs w:val="18"/>
                <w:u w:val="none"/>
                <w:lang w:val="en-US" w:eastAsia="zh-CN" w:bidi="ar-SA"/>
              </w:rPr>
            </w:pPr>
          </w:p>
        </w:tc>
        <w:tc>
          <w:tcPr>
            <w:tcW w:w="941" w:type="dxa"/>
            <w:vMerge w:val="continue"/>
            <w:tcBorders>
              <w:left w:val="single" w:color="000000" w:sz="4" w:space="0"/>
              <w:right w:val="single" w:color="000000" w:sz="4" w:space="0"/>
            </w:tcBorders>
            <w:shd w:val="clear" w:color="auto" w:fill="auto"/>
            <w:vAlign w:val="center"/>
          </w:tcPr>
          <w:p w14:paraId="1971BA9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2"/>
                <w:sz w:val="18"/>
                <w:szCs w:val="18"/>
                <w:u w:val="none"/>
                <w:lang w:val="en-US" w:eastAsia="zh-CN" w:bidi="ar-SA"/>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AF6E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r>
      <w:tr w14:paraId="71E89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04B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D980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E923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E9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量程溶液100-500mg/L</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85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500ml</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92E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973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036" w:type="dxa"/>
            <w:vMerge w:val="continue"/>
            <w:tcBorders>
              <w:left w:val="single" w:color="000000" w:sz="4" w:space="0"/>
              <w:right w:val="single" w:color="000000" w:sz="4" w:space="0"/>
            </w:tcBorders>
            <w:shd w:val="clear" w:color="auto" w:fill="auto"/>
            <w:vAlign w:val="center"/>
          </w:tcPr>
          <w:p w14:paraId="052047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2"/>
                <w:sz w:val="18"/>
                <w:szCs w:val="18"/>
                <w:u w:val="none"/>
                <w:lang w:val="en-US" w:eastAsia="zh-CN" w:bidi="ar-SA"/>
              </w:rPr>
            </w:pPr>
          </w:p>
        </w:tc>
        <w:tc>
          <w:tcPr>
            <w:tcW w:w="955" w:type="dxa"/>
            <w:vMerge w:val="continue"/>
            <w:tcBorders>
              <w:left w:val="single" w:color="000000" w:sz="4" w:space="0"/>
              <w:right w:val="single" w:color="000000" w:sz="4" w:space="0"/>
            </w:tcBorders>
            <w:shd w:val="clear" w:color="auto" w:fill="auto"/>
            <w:vAlign w:val="center"/>
          </w:tcPr>
          <w:p w14:paraId="2DE3ECA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2"/>
                <w:sz w:val="18"/>
                <w:szCs w:val="18"/>
                <w:u w:val="none"/>
                <w:lang w:val="en-US" w:eastAsia="zh-CN" w:bidi="ar-SA"/>
              </w:rPr>
            </w:pPr>
          </w:p>
        </w:tc>
        <w:tc>
          <w:tcPr>
            <w:tcW w:w="941" w:type="dxa"/>
            <w:vMerge w:val="continue"/>
            <w:tcBorders>
              <w:left w:val="single" w:color="000000" w:sz="4" w:space="0"/>
              <w:right w:val="single" w:color="000000" w:sz="4" w:space="0"/>
            </w:tcBorders>
            <w:shd w:val="clear" w:color="auto" w:fill="auto"/>
            <w:vAlign w:val="center"/>
          </w:tcPr>
          <w:p w14:paraId="32F8857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2"/>
                <w:sz w:val="18"/>
                <w:szCs w:val="18"/>
                <w:u w:val="none"/>
                <w:lang w:val="en-US" w:eastAsia="zh-CN" w:bidi="ar-SA"/>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41E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r>
      <w:tr w14:paraId="181C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B2B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4DFC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8785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BF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标准溶液1-100mg/L</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F4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500ml</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B6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AF3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036" w:type="dxa"/>
            <w:vMerge w:val="continue"/>
            <w:tcBorders>
              <w:left w:val="single" w:color="000000" w:sz="4" w:space="0"/>
              <w:bottom w:val="single" w:color="000000" w:sz="4" w:space="0"/>
              <w:right w:val="single" w:color="000000" w:sz="4" w:space="0"/>
            </w:tcBorders>
            <w:shd w:val="clear" w:color="auto" w:fill="auto"/>
            <w:vAlign w:val="center"/>
          </w:tcPr>
          <w:p w14:paraId="16CDA8F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2"/>
                <w:sz w:val="18"/>
                <w:szCs w:val="18"/>
                <w:u w:val="none"/>
                <w:lang w:val="en-US" w:eastAsia="zh-CN" w:bidi="ar-SA"/>
              </w:rPr>
            </w:pPr>
          </w:p>
        </w:tc>
        <w:tc>
          <w:tcPr>
            <w:tcW w:w="955" w:type="dxa"/>
            <w:vMerge w:val="continue"/>
            <w:tcBorders>
              <w:left w:val="single" w:color="000000" w:sz="4" w:space="0"/>
              <w:bottom w:val="single" w:color="auto" w:sz="4" w:space="0"/>
              <w:right w:val="single" w:color="000000" w:sz="4" w:space="0"/>
            </w:tcBorders>
            <w:shd w:val="clear" w:color="auto" w:fill="auto"/>
            <w:vAlign w:val="center"/>
          </w:tcPr>
          <w:p w14:paraId="6B7E562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2"/>
                <w:sz w:val="18"/>
                <w:szCs w:val="18"/>
                <w:u w:val="none"/>
                <w:lang w:val="en-US" w:eastAsia="zh-CN" w:bidi="ar-SA"/>
              </w:rPr>
            </w:pPr>
          </w:p>
        </w:tc>
        <w:tc>
          <w:tcPr>
            <w:tcW w:w="941" w:type="dxa"/>
            <w:vMerge w:val="continue"/>
            <w:tcBorders>
              <w:left w:val="single" w:color="000000" w:sz="4" w:space="0"/>
              <w:bottom w:val="single" w:color="auto" w:sz="4" w:space="0"/>
              <w:right w:val="single" w:color="000000" w:sz="4" w:space="0"/>
            </w:tcBorders>
            <w:shd w:val="clear" w:color="auto" w:fill="auto"/>
            <w:vAlign w:val="center"/>
          </w:tcPr>
          <w:p w14:paraId="02B4C6D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2"/>
                <w:sz w:val="18"/>
                <w:szCs w:val="18"/>
                <w:u w:val="none"/>
                <w:lang w:val="en-US" w:eastAsia="zh-CN" w:bidi="ar-SA"/>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33CE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r>
    </w:tbl>
    <w:p w14:paraId="7193521A">
      <w:pPr>
        <w:keepNext w:val="0"/>
        <w:keepLines w:val="0"/>
        <w:pageBreakBefore w:val="0"/>
        <w:numPr>
          <w:ilvl w:val="0"/>
          <w:numId w:val="7"/>
        </w:numPr>
        <w:kinsoku/>
        <w:wordWrap/>
        <w:overflowPunct/>
        <w:bidi w:val="0"/>
        <w:adjustRightInd w:val="0"/>
        <w:snapToGrid w:val="0"/>
        <w:spacing w:line="520" w:lineRule="exact"/>
        <w:ind w:firstLine="482" w:firstLineChars="200"/>
        <w:textAlignment w:val="auto"/>
        <w:rPr>
          <w:rFonts w:hint="eastAsia" w:ascii="仿宋" w:hAnsi="仿宋" w:eastAsia="仿宋" w:cs="仿宋"/>
          <w:b/>
          <w:bCs/>
          <w:color w:val="auto"/>
          <w:kern w:val="0"/>
          <w:sz w:val="24"/>
          <w:szCs w:val="24"/>
          <w:lang w:val="zh-CN"/>
        </w:rPr>
      </w:pPr>
      <w:r>
        <w:rPr>
          <w:rFonts w:hint="eastAsia" w:ascii="仿宋" w:hAnsi="仿宋" w:eastAsia="仿宋" w:cs="仿宋"/>
          <w:b/>
          <w:bCs/>
          <w:color w:val="auto"/>
          <w:kern w:val="0"/>
          <w:sz w:val="24"/>
          <w:szCs w:val="24"/>
          <w:lang w:val="zh-CN"/>
        </w:rPr>
        <w:t xml:space="preserve"> 交货日期、地点</w:t>
      </w:r>
      <w:r>
        <w:rPr>
          <w:rFonts w:hint="eastAsia" w:ascii="仿宋" w:hAnsi="仿宋" w:eastAsia="仿宋" w:cs="仿宋"/>
          <w:b/>
          <w:bCs/>
          <w:color w:val="auto"/>
          <w:kern w:val="0"/>
          <w:sz w:val="24"/>
          <w:szCs w:val="24"/>
          <w:lang w:val="en-US" w:eastAsia="zh-CN"/>
        </w:rPr>
        <w:t>和要求</w:t>
      </w:r>
    </w:p>
    <w:p w14:paraId="6D4EA693">
      <w:pPr>
        <w:keepNext w:val="0"/>
        <w:keepLines w:val="0"/>
        <w:pageBreakBefore w:val="0"/>
        <w:kinsoku/>
        <w:wordWrap/>
        <w:overflowPunct/>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3.1乙方按以下供货期供货。</w:t>
      </w:r>
    </w:p>
    <w:p w14:paraId="6A728C8B">
      <w:pPr>
        <w:keepNext w:val="0"/>
        <w:keepLines w:val="0"/>
        <w:pageBreakBefore w:val="0"/>
        <w:kinsoku/>
        <w:wordWrap/>
        <w:overflowPunct/>
        <w:bidi w:val="0"/>
        <w:adjustRightInd w:val="0"/>
        <w:snapToGrid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乙方按甲方要求，按时间计划逐批（次）供货，并</w:t>
      </w:r>
      <w:r>
        <w:rPr>
          <w:rFonts w:hint="eastAsia" w:ascii="仿宋" w:hAnsi="仿宋" w:eastAsia="仿宋" w:cs="仿宋"/>
          <w:color w:val="auto"/>
          <w:sz w:val="24"/>
          <w:szCs w:val="24"/>
          <w:highlight w:val="none"/>
          <w:u w:val="single"/>
        </w:rPr>
        <w:t>开箱</w:t>
      </w:r>
      <w:r>
        <w:rPr>
          <w:rFonts w:hint="eastAsia" w:ascii="仿宋" w:hAnsi="仿宋" w:eastAsia="仿宋" w:cs="仿宋"/>
          <w:color w:val="auto"/>
          <w:sz w:val="24"/>
          <w:szCs w:val="24"/>
          <w:highlight w:val="none"/>
          <w:u w:val="single"/>
          <w:lang w:val="en-US" w:eastAsia="zh-CN"/>
        </w:rPr>
        <w:t>验</w:t>
      </w:r>
      <w:r>
        <w:rPr>
          <w:rFonts w:hint="eastAsia" w:ascii="仿宋" w:hAnsi="仿宋" w:eastAsia="仿宋" w:cs="仿宋"/>
          <w:color w:val="auto"/>
          <w:sz w:val="24"/>
          <w:szCs w:val="24"/>
          <w:highlight w:val="none"/>
        </w:rPr>
        <w:t>收合格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接到订货通知后，10日内到货，分批次供货至指定地点。</w:t>
      </w:r>
    </w:p>
    <w:p w14:paraId="743847F1">
      <w:pPr>
        <w:keepNext w:val="0"/>
        <w:keepLines w:val="0"/>
        <w:pageBreakBefore w:val="0"/>
        <w:kinsoku/>
        <w:wordWrap/>
        <w:overflowPunct/>
        <w:bidi w:val="0"/>
        <w:adjustRightInd w:val="0"/>
        <w:snapToGrid w:val="0"/>
        <w:spacing w:after="120" w:line="5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合同有效期为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，自合同签订之日起算。若合同到期前实际采购货物金额达到合同暂定总价的，合同提前终止</w:t>
      </w:r>
      <w:r>
        <w:rPr>
          <w:rFonts w:hint="eastAsia" w:ascii="仿宋" w:hAnsi="仿宋" w:eastAsia="仿宋" w:cs="仿宋"/>
          <w:color w:val="auto"/>
          <w:sz w:val="24"/>
          <w:szCs w:val="24"/>
          <w:highlight w:val="none"/>
          <w:lang w:eastAsia="zh-CN"/>
        </w:rPr>
        <w:t>。</w:t>
      </w:r>
    </w:p>
    <w:p w14:paraId="06CE1944">
      <w:pPr>
        <w:keepNext w:val="0"/>
        <w:keepLines w:val="0"/>
        <w:pageBreakBefore w:val="0"/>
        <w:kinsoku/>
        <w:wordWrap/>
        <w:overflowPunct/>
        <w:bidi w:val="0"/>
        <w:adjustRightInd w:val="0"/>
        <w:snapToGrid w:val="0"/>
        <w:spacing w:after="120"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w:t>
      </w:r>
      <w:r>
        <w:rPr>
          <w:rFonts w:hint="eastAsia" w:ascii="仿宋" w:hAnsi="仿宋" w:eastAsia="仿宋" w:cs="仿宋"/>
          <w:bCs/>
          <w:color w:val="auto"/>
          <w:sz w:val="24"/>
          <w:szCs w:val="24"/>
        </w:rPr>
        <w:t>交货地点：</w:t>
      </w:r>
      <w:r>
        <w:rPr>
          <w:rFonts w:hint="eastAsia" w:ascii="仿宋" w:hAnsi="仿宋" w:eastAsia="仿宋" w:cs="仿宋"/>
          <w:bCs/>
          <w:color w:val="auto"/>
          <w:sz w:val="24"/>
          <w:szCs w:val="24"/>
          <w:u w:val="single"/>
        </w:rPr>
        <w:t xml:space="preserve">  广州市净水有限公司</w:t>
      </w:r>
      <w:r>
        <w:rPr>
          <w:rFonts w:hint="eastAsia" w:ascii="仿宋" w:hAnsi="仿宋" w:eastAsia="仿宋" w:cs="仿宋"/>
          <w:bCs/>
          <w:color w:val="auto"/>
          <w:sz w:val="24"/>
          <w:szCs w:val="24"/>
          <w:u w:val="single"/>
          <w:lang w:val="en-US" w:eastAsia="zh-CN"/>
        </w:rPr>
        <w:t>水质中心及其分公司</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，最终具体交货地点以甲方通知为准。</w:t>
      </w:r>
      <w:r>
        <w:rPr>
          <w:rFonts w:hint="eastAsia" w:ascii="仿宋" w:hAnsi="仿宋" w:eastAsia="仿宋" w:cs="仿宋"/>
          <w:color w:val="auto"/>
          <w:sz w:val="24"/>
          <w:szCs w:val="24"/>
        </w:rPr>
        <w:t xml:space="preserve"> </w:t>
      </w:r>
    </w:p>
    <w:p w14:paraId="1F9A8A5E">
      <w:pPr>
        <w:keepNext w:val="0"/>
        <w:keepLines w:val="0"/>
        <w:pageBreakBefore w:val="0"/>
        <w:numPr>
          <w:ilvl w:val="0"/>
          <w:numId w:val="8"/>
        </w:numPr>
        <w:kinsoku/>
        <w:wordWrap/>
        <w:overflowPunct/>
        <w:bidi w:val="0"/>
        <w:adjustRightInd w:val="0"/>
        <w:snapToGrid w:val="0"/>
        <w:spacing w:line="520" w:lineRule="exact"/>
        <w:ind w:firstLine="482" w:firstLineChars="20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合同价格</w:t>
      </w:r>
    </w:p>
    <w:p w14:paraId="0A827A35">
      <w:pPr>
        <w:pStyle w:val="13"/>
        <w:keepNext w:val="0"/>
        <w:keepLines w:val="0"/>
        <w:pageBreakBefore w:val="0"/>
        <w:kinsoku/>
        <w:wordWrap/>
        <w:overflowPunct/>
        <w:bidi w:val="0"/>
        <w:adjustRightInd w:val="0"/>
        <w:snapToGrid w:val="0"/>
        <w:spacing w:line="52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合同暂定总价为：</w:t>
      </w:r>
      <w:r>
        <w:rPr>
          <w:rFonts w:hint="eastAsia" w:ascii="仿宋" w:hAnsi="仿宋" w:eastAsia="仿宋" w:cs="仿宋"/>
          <w:color w:val="auto"/>
          <w:kern w:val="0"/>
          <w:sz w:val="24"/>
          <w:szCs w:val="24"/>
          <w:highlight w:val="none"/>
          <w:u w:val="single"/>
          <w:lang w:val="en-US" w:eastAsia="zh-CN" w:bidi="ar-SA"/>
        </w:rPr>
        <w:t xml:space="preserve">          元</w:t>
      </w:r>
      <w:r>
        <w:rPr>
          <w:rFonts w:hint="eastAsia" w:ascii="仿宋" w:hAnsi="仿宋" w:eastAsia="仿宋" w:cs="仿宋"/>
          <w:color w:val="auto"/>
          <w:kern w:val="0"/>
          <w:sz w:val="24"/>
          <w:szCs w:val="24"/>
          <w:highlight w:val="none"/>
          <w:lang w:val="en-US" w:eastAsia="zh-CN" w:bidi="ar-SA"/>
        </w:rPr>
        <w:t>（含税，税率为</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 ，不含税金额</w:t>
      </w:r>
      <w:r>
        <w:rPr>
          <w:rFonts w:hint="eastAsia" w:ascii="仿宋" w:hAnsi="仿宋" w:eastAsia="仿宋" w:cs="仿宋"/>
          <w:color w:val="auto"/>
          <w:kern w:val="0"/>
          <w:sz w:val="24"/>
          <w:szCs w:val="24"/>
          <w:highlight w:val="none"/>
          <w:u w:val="single"/>
          <w:lang w:val="en-US" w:eastAsia="zh-CN" w:bidi="ar-SA"/>
        </w:rPr>
        <w:t xml:space="preserve">     元 </w:t>
      </w:r>
      <w:r>
        <w:rPr>
          <w:rFonts w:hint="eastAsia" w:ascii="仿宋" w:hAnsi="仿宋" w:eastAsia="仿宋" w:cs="仿宋"/>
          <w:color w:val="auto"/>
          <w:kern w:val="0"/>
          <w:sz w:val="24"/>
          <w:szCs w:val="24"/>
          <w:highlight w:val="none"/>
          <w:lang w:val="en-US" w:eastAsia="zh-CN" w:bidi="ar-SA"/>
        </w:rPr>
        <w:t>），大写：</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w:t>
      </w:r>
    </w:p>
    <w:p w14:paraId="14624441">
      <w:pPr>
        <w:keepNext w:val="0"/>
        <w:keepLines w:val="0"/>
        <w:pageBreakBefore w:val="0"/>
        <w:kinsoku/>
        <w:wordWrap/>
        <w:overflowPunct/>
        <w:bidi w:val="0"/>
        <w:adjustRightInd w:val="0"/>
        <w:snapToGrid w:val="0"/>
        <w:spacing w:line="520" w:lineRule="exact"/>
        <w:ind w:firstLine="480" w:firstLineChars="200"/>
        <w:jc w:val="both"/>
        <w:textAlignment w:val="auto"/>
        <w:rPr>
          <w:rFonts w:hint="eastAsia" w:ascii="仿宋" w:hAnsi="仿宋" w:eastAsia="仿宋" w:cs="仿宋"/>
          <w:b/>
          <w:color w:val="auto"/>
          <w:sz w:val="24"/>
          <w:szCs w:val="24"/>
        </w:rPr>
      </w:pPr>
      <w:r>
        <w:rPr>
          <w:rFonts w:hint="eastAsia" w:ascii="仿宋" w:hAnsi="仿宋" w:eastAsia="仿宋" w:cs="仿宋"/>
          <w:color w:val="auto"/>
          <w:kern w:val="0"/>
          <w:sz w:val="24"/>
          <w:szCs w:val="24"/>
        </w:rPr>
        <w:t>合同</w:t>
      </w:r>
      <w:r>
        <w:rPr>
          <w:rFonts w:hint="eastAsia" w:ascii="仿宋" w:hAnsi="仿宋" w:eastAsia="仿宋" w:cs="仿宋"/>
          <w:color w:val="auto"/>
          <w:sz w:val="24"/>
          <w:szCs w:val="24"/>
        </w:rPr>
        <w:t>单价为综合单价，指货物运到甲方指定地点的交货价，该价格包括但不限于：货物的生产、产品检验（含出厂及到货验收）、运输（含转运）、包装、装卸（含卸车费用）、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14:paraId="57E08F13">
      <w:pPr>
        <w:keepNext w:val="0"/>
        <w:keepLines w:val="0"/>
        <w:pageBreakBefore w:val="0"/>
        <w:kinsoku/>
        <w:wordWrap/>
        <w:overflowPunct/>
        <w:autoSpaceDE w:val="0"/>
        <w:autoSpaceDN w:val="0"/>
        <w:bidi w:val="0"/>
        <w:adjustRightInd w:val="0"/>
        <w:snapToGrid w:val="0"/>
        <w:spacing w:line="520" w:lineRule="exact"/>
        <w:ind w:firstLine="600" w:firstLineChars="2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63" w:name="_Toc107447236"/>
      <w:bookmarkStart w:id="64" w:name="_Toc107446843"/>
    </w:p>
    <w:p w14:paraId="1AC02AA0">
      <w:pPr>
        <w:keepNext w:val="0"/>
        <w:keepLines w:val="0"/>
        <w:pageBreakBefore w:val="0"/>
        <w:kinsoku/>
        <w:wordWrap/>
        <w:overflowPunct/>
        <w:autoSpaceDE w:val="0"/>
        <w:autoSpaceDN w:val="0"/>
        <w:bidi w:val="0"/>
        <w:adjustRightInd w:val="0"/>
        <w:snapToGrid w:val="0"/>
        <w:spacing w:line="520" w:lineRule="exact"/>
        <w:ind w:left="420"/>
        <w:textAlignment w:val="auto"/>
        <w:rPr>
          <w:rFonts w:hint="eastAsia" w:ascii="仿宋" w:hAnsi="仿宋" w:eastAsia="仿宋" w:cs="仿宋"/>
          <w:bCs/>
          <w:color w:val="auto"/>
          <w:sz w:val="24"/>
          <w:szCs w:val="24"/>
        </w:rPr>
      </w:pPr>
      <w:bookmarkStart w:id="65" w:name="_Toc474245213"/>
      <w:bookmarkStart w:id="66" w:name="_Toc518992989"/>
      <w:bookmarkStart w:id="67" w:name="_Toc520190029"/>
      <w:r>
        <w:rPr>
          <w:rFonts w:hint="eastAsia" w:ascii="仿宋" w:hAnsi="仿宋" w:eastAsia="仿宋" w:cs="仿宋"/>
          <w:b/>
          <w:color w:val="auto"/>
          <w:sz w:val="24"/>
          <w:szCs w:val="24"/>
        </w:rPr>
        <w:t>第五条 支付</w:t>
      </w:r>
      <w:bookmarkEnd w:id="65"/>
      <w:bookmarkEnd w:id="66"/>
      <w:bookmarkEnd w:id="67"/>
      <w:r>
        <w:rPr>
          <w:rFonts w:hint="eastAsia" w:ascii="仿宋" w:hAnsi="仿宋" w:eastAsia="仿宋" w:cs="仿宋"/>
          <w:b/>
          <w:color w:val="auto"/>
          <w:sz w:val="24"/>
          <w:szCs w:val="24"/>
        </w:rPr>
        <w:t>方式</w:t>
      </w:r>
    </w:p>
    <w:bookmarkEnd w:id="63"/>
    <w:bookmarkEnd w:id="64"/>
    <w:p w14:paraId="39CC6083">
      <w:pPr>
        <w:keepNext w:val="0"/>
        <w:keepLines w:val="0"/>
        <w:pageBreakBefore w:val="0"/>
        <w:kinsoku/>
        <w:wordWrap/>
        <w:overflowPunct/>
        <w:bidi w:val="0"/>
        <w:adjustRightInd w:val="0"/>
        <w:snapToGrid w:val="0"/>
        <w:spacing w:line="520" w:lineRule="exact"/>
        <w:ind w:firstLine="480" w:firstLineChars="200"/>
        <w:textAlignment w:val="auto"/>
        <w:rPr>
          <w:rFonts w:hint="eastAsia" w:ascii="仿宋" w:hAnsi="仿宋" w:eastAsia="仿宋" w:cs="仿宋"/>
          <w:bCs/>
          <w:color w:val="auto"/>
          <w:sz w:val="24"/>
          <w:szCs w:val="24"/>
        </w:rPr>
      </w:pPr>
      <w:bookmarkStart w:id="68" w:name="_Toc14703"/>
      <w:bookmarkStart w:id="69" w:name="_Toc183666516"/>
      <w:r>
        <w:rPr>
          <w:rFonts w:hint="eastAsia" w:ascii="仿宋" w:hAnsi="仿宋" w:eastAsia="仿宋" w:cs="仿宋"/>
          <w:color w:val="auto"/>
          <w:sz w:val="24"/>
          <w:szCs w:val="24"/>
        </w:rPr>
        <w:t>5.1</w:t>
      </w:r>
      <w:r>
        <w:rPr>
          <w:rFonts w:hint="eastAsia" w:ascii="仿宋" w:hAnsi="仿宋" w:eastAsia="仿宋" w:cs="仿宋"/>
          <w:bCs/>
          <w:color w:val="auto"/>
          <w:sz w:val="24"/>
          <w:szCs w:val="24"/>
        </w:rPr>
        <w:t>预付款支付：无；</w:t>
      </w:r>
    </w:p>
    <w:p w14:paraId="40A139A4">
      <w:pPr>
        <w:keepNext w:val="0"/>
        <w:keepLines w:val="0"/>
        <w:pageBreakBefore w:val="0"/>
        <w:kinsoku/>
        <w:wordWrap/>
        <w:overflowPunct/>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5.2支付方式：</w:t>
      </w:r>
    </w:p>
    <w:p w14:paraId="6B1F6BD1">
      <w:pPr>
        <w:keepNext w:val="0"/>
        <w:keepLines w:val="0"/>
        <w:pageBreakBefore w:val="0"/>
        <w:kinsoku/>
        <w:wordWrap/>
        <w:overflowPunct/>
        <w:bidi w:val="0"/>
        <w:adjustRightInd w:val="0"/>
        <w:snapToGrid w:val="0"/>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5.2.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本合同生效后，乙方按</w:t>
      </w:r>
      <w:r>
        <w:rPr>
          <w:rFonts w:hint="eastAsia" w:ascii="仿宋" w:hAnsi="仿宋" w:eastAsia="仿宋" w:cs="仿宋"/>
          <w:color w:val="auto"/>
          <w:sz w:val="24"/>
          <w:szCs w:val="24"/>
          <w:highlight w:val="none"/>
          <w:lang w:val="en-US" w:eastAsia="zh-CN"/>
        </w:rPr>
        <w:t>甲方需求</w:t>
      </w:r>
      <w:r>
        <w:rPr>
          <w:rFonts w:hint="eastAsia" w:ascii="仿宋" w:hAnsi="仿宋" w:eastAsia="仿宋" w:cs="仿宋"/>
          <w:color w:val="auto"/>
          <w:sz w:val="24"/>
          <w:szCs w:val="24"/>
          <w:highlight w:val="none"/>
        </w:rPr>
        <w:t>分批供货，</w:t>
      </w:r>
      <w:r>
        <w:rPr>
          <w:rFonts w:hint="eastAsia" w:ascii="仿宋" w:hAnsi="仿宋" w:eastAsia="仿宋" w:cs="仿宋"/>
          <w:color w:val="auto"/>
          <w:sz w:val="24"/>
          <w:szCs w:val="24"/>
          <w:highlight w:val="none"/>
          <w:lang w:val="en-US" w:eastAsia="zh-CN"/>
        </w:rPr>
        <w:t>甲方每季度支付费用1次，</w:t>
      </w:r>
      <w:r>
        <w:rPr>
          <w:rFonts w:hint="eastAsia" w:ascii="仿宋" w:hAnsi="仿宋" w:eastAsia="仿宋" w:cs="仿宋"/>
          <w:color w:val="auto"/>
          <w:sz w:val="24"/>
          <w:szCs w:val="24"/>
          <w:highlight w:val="none"/>
        </w:rPr>
        <w:t>货物到齐且经</w:t>
      </w:r>
      <w:r>
        <w:rPr>
          <w:rFonts w:hint="eastAsia" w:ascii="仿宋" w:hAnsi="仿宋" w:eastAsia="仿宋" w:cs="仿宋"/>
          <w:color w:val="auto"/>
          <w:sz w:val="24"/>
          <w:szCs w:val="24"/>
          <w:highlight w:val="none"/>
          <w:u w:val="single"/>
        </w:rPr>
        <w:t>开箱</w:t>
      </w:r>
      <w:r>
        <w:rPr>
          <w:rFonts w:hint="eastAsia" w:ascii="仿宋" w:hAnsi="仿宋" w:eastAsia="仿宋" w:cs="仿宋"/>
          <w:color w:val="auto"/>
          <w:sz w:val="24"/>
          <w:szCs w:val="24"/>
          <w:highlight w:val="none"/>
        </w:rPr>
        <w:t>验收合格后，甲方在收到乙方提交的请款资料及等额增值税专用发票后</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rPr>
        <w:t>个工作日内向乙方支付至该</w:t>
      </w:r>
      <w:r>
        <w:rPr>
          <w:rFonts w:hint="eastAsia" w:ascii="仿宋" w:hAnsi="仿宋" w:eastAsia="仿宋" w:cs="仿宋"/>
          <w:color w:val="auto"/>
          <w:sz w:val="24"/>
          <w:szCs w:val="24"/>
          <w:highlight w:val="none"/>
          <w:lang w:val="en-US" w:eastAsia="zh-CN"/>
        </w:rPr>
        <w:t>季度</w:t>
      </w:r>
      <w:r>
        <w:rPr>
          <w:rFonts w:hint="eastAsia" w:ascii="仿宋" w:hAnsi="仿宋" w:eastAsia="仿宋" w:cs="仿宋"/>
          <w:color w:val="auto"/>
          <w:sz w:val="24"/>
          <w:szCs w:val="24"/>
          <w:highlight w:val="none"/>
        </w:rPr>
        <w:t>货款总额的100%。</w:t>
      </w:r>
    </w:p>
    <w:p w14:paraId="3207A563">
      <w:pPr>
        <w:keepNext w:val="0"/>
        <w:keepLines w:val="0"/>
        <w:pageBreakBefore w:val="0"/>
        <w:kinsoku/>
        <w:wordWrap/>
        <w:overflowPunct/>
        <w:bidi w:val="0"/>
        <w:adjustRightInd w:val="0"/>
        <w:snapToGrid w:val="0"/>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5.2.2 合同有效期内，根据实际情况需求，甲方可要求乙方减少合同清单的货物供应，费用据实计算，合同实际总价不得超出合同暂定总价。</w:t>
      </w:r>
    </w:p>
    <w:p w14:paraId="3880DD2A">
      <w:pPr>
        <w:keepNext w:val="0"/>
        <w:keepLines w:val="0"/>
        <w:pageBreakBefore w:val="0"/>
        <w:kinsoku/>
        <w:wordWrap/>
        <w:overflowPunct/>
        <w:bidi w:val="0"/>
        <w:adjustRightInd w:val="0"/>
        <w:snapToGrid w:val="0"/>
        <w:spacing w:line="52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5.3乙方收款账户：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F08D21C">
      <w:pPr>
        <w:keepNext w:val="0"/>
        <w:keepLines w:val="0"/>
        <w:pageBreakBefore w:val="0"/>
        <w:kinsoku/>
        <w:wordWrap/>
        <w:overflowPunct/>
        <w:bidi w:val="0"/>
        <w:adjustRightInd w:val="0"/>
        <w:snapToGrid w:val="0"/>
        <w:spacing w:line="520" w:lineRule="exact"/>
        <w:ind w:firstLine="960" w:firstLineChars="4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收款账号：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5B0F133A">
      <w:pPr>
        <w:keepNext w:val="0"/>
        <w:keepLines w:val="0"/>
        <w:pageBreakBefore w:val="0"/>
        <w:kinsoku/>
        <w:wordWrap/>
        <w:overflowPunct/>
        <w:bidi w:val="0"/>
        <w:adjustRightInd w:val="0"/>
        <w:snapToGrid w:val="0"/>
        <w:spacing w:line="520" w:lineRule="exact"/>
        <w:ind w:firstLine="960" w:firstLineChars="4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5CFA7821">
      <w:pPr>
        <w:keepNext w:val="0"/>
        <w:keepLines w:val="0"/>
        <w:pageBreakBefore w:val="0"/>
        <w:kinsoku/>
        <w:wordWrap/>
        <w:overflowPunct/>
        <w:bidi w:val="0"/>
        <w:adjustRightInd w:val="0"/>
        <w:snapToGrid w:val="0"/>
        <w:spacing w:line="520" w:lineRule="exact"/>
        <w:ind w:firstLine="960" w:firstLineChars="4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乙方在收款前需向甲方提交等额增值税专用发票，</w:t>
      </w:r>
      <w:r>
        <w:rPr>
          <w:rFonts w:hint="eastAsia" w:ascii="仿宋" w:hAnsi="仿宋" w:eastAsia="仿宋" w:cs="仿宋"/>
          <w:sz w:val="24"/>
          <w:szCs w:val="24"/>
        </w:rPr>
        <w:t>乙方提交的发票被作废或红冲的，在乙方更换有效发票前，甲方有权要求退回该发票对应的已支付款项并不再给予支付后续的全部合同款项，由此造成甲方损失的，由乙方承担赔偿责任。</w:t>
      </w:r>
      <w:r>
        <w:rPr>
          <w:rFonts w:hint="eastAsia" w:ascii="仿宋" w:hAnsi="仿宋" w:eastAsia="仿宋" w:cs="仿宋"/>
          <w:color w:val="auto"/>
          <w:sz w:val="24"/>
          <w:szCs w:val="24"/>
        </w:rPr>
        <w:t>增值税专用发票信息：</w:t>
      </w:r>
    </w:p>
    <w:p w14:paraId="397582B2">
      <w:pPr>
        <w:keepNext w:val="0"/>
        <w:keepLines w:val="0"/>
        <w:pageBreakBefore w:val="0"/>
        <w:kinsoku/>
        <w:wordWrap/>
        <w:overflowPunct/>
        <w:bidi w:val="0"/>
        <w:adjustRightInd w:val="0"/>
        <w:snapToGrid w:val="0"/>
        <w:spacing w:line="520" w:lineRule="exact"/>
        <w:ind w:firstLine="960" w:firstLineChars="4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广州市净水有限公司</w:t>
      </w:r>
    </w:p>
    <w:p w14:paraId="1383FED6">
      <w:pPr>
        <w:keepNext w:val="0"/>
        <w:keepLines w:val="0"/>
        <w:pageBreakBefore w:val="0"/>
        <w:kinsoku/>
        <w:wordWrap/>
        <w:overflowPunct/>
        <w:bidi w:val="0"/>
        <w:adjustRightInd w:val="0"/>
        <w:snapToGrid w:val="0"/>
        <w:spacing w:line="520" w:lineRule="exact"/>
        <w:ind w:firstLine="960" w:firstLineChars="4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税号：</w:t>
      </w:r>
      <w:r>
        <w:rPr>
          <w:rFonts w:hint="eastAsia" w:ascii="仿宋" w:hAnsi="仿宋" w:eastAsia="仿宋" w:cs="仿宋"/>
          <w:color w:val="auto"/>
          <w:sz w:val="24"/>
          <w:szCs w:val="24"/>
          <w:u w:val="single"/>
        </w:rPr>
        <w:t>91440101755584729Q</w:t>
      </w:r>
    </w:p>
    <w:p w14:paraId="1014BAC4">
      <w:pPr>
        <w:keepNext w:val="0"/>
        <w:keepLines w:val="0"/>
        <w:pageBreakBefore w:val="0"/>
        <w:kinsoku/>
        <w:wordWrap/>
        <w:overflowPunct/>
        <w:bidi w:val="0"/>
        <w:adjustRightInd w:val="0"/>
        <w:snapToGrid w:val="0"/>
        <w:spacing w:line="520" w:lineRule="exact"/>
        <w:ind w:firstLine="960" w:firstLineChars="4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地址及电话：</w:t>
      </w:r>
      <w:r>
        <w:rPr>
          <w:rFonts w:hint="eastAsia" w:ascii="仿宋" w:hAnsi="仿宋" w:eastAsia="仿宋" w:cs="仿宋"/>
          <w:color w:val="auto"/>
          <w:sz w:val="24"/>
          <w:szCs w:val="24"/>
          <w:u w:val="single"/>
        </w:rPr>
        <w:t>广州市天河区临江大道501号 020-38890283；</w:t>
      </w:r>
    </w:p>
    <w:p w14:paraId="49708968">
      <w:pPr>
        <w:keepNext w:val="0"/>
        <w:keepLines w:val="0"/>
        <w:pageBreakBefore w:val="0"/>
        <w:kinsoku/>
        <w:wordWrap/>
        <w:overflowPunct/>
        <w:bidi w:val="0"/>
        <w:adjustRightInd w:val="0"/>
        <w:snapToGrid w:val="0"/>
        <w:spacing w:line="520" w:lineRule="exact"/>
        <w:ind w:firstLine="960" w:firstLineChars="4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开户行/账号：</w:t>
      </w:r>
      <w:r>
        <w:rPr>
          <w:rFonts w:hint="eastAsia" w:ascii="仿宋" w:hAnsi="仿宋" w:eastAsia="仿宋" w:cs="仿宋"/>
          <w:color w:val="auto"/>
          <w:sz w:val="24"/>
          <w:szCs w:val="24"/>
          <w:u w:val="single"/>
        </w:rPr>
        <w:t>民生银行广州分行0301014140006932。</w:t>
      </w:r>
      <w:r>
        <w:rPr>
          <w:rFonts w:hint="eastAsia" w:ascii="仿宋" w:hAnsi="仿宋" w:eastAsia="仿宋" w:cs="仿宋"/>
          <w:color w:val="auto"/>
          <w:sz w:val="24"/>
          <w:szCs w:val="24"/>
        </w:rPr>
        <w:t xml:space="preserve">  </w:t>
      </w:r>
    </w:p>
    <w:p w14:paraId="4F3A33F5">
      <w:pPr>
        <w:keepNext w:val="0"/>
        <w:keepLines w:val="0"/>
        <w:pageBreakBefore w:val="0"/>
        <w:kinsoku/>
        <w:wordWrap/>
        <w:overflowPunct/>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5.4付款方式： 网银支付；   </w:t>
      </w:r>
    </w:p>
    <w:bookmarkEnd w:id="68"/>
    <w:bookmarkEnd w:id="69"/>
    <w:p w14:paraId="6E4D2189">
      <w:pPr>
        <w:keepNext w:val="0"/>
        <w:keepLines w:val="0"/>
        <w:pageBreakBefore w:val="0"/>
        <w:kinsoku/>
        <w:wordWrap/>
        <w:overflowPunct/>
        <w:bidi w:val="0"/>
        <w:adjustRightInd w:val="0"/>
        <w:snapToGrid w:val="0"/>
        <w:spacing w:line="52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第六条 违约责任</w:t>
      </w:r>
    </w:p>
    <w:p w14:paraId="50538888">
      <w:pPr>
        <w:keepNext w:val="0"/>
        <w:keepLines w:val="0"/>
        <w:pageBreakBefore w:val="0"/>
        <w:kinsoku/>
        <w:wordWrap/>
        <w:overflowPunct/>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6.1单方面取消合同：任意一方未经对方同意单方面取消合同，应按</w:t>
      </w:r>
      <w:r>
        <w:rPr>
          <w:rFonts w:hint="eastAsia" w:ascii="仿宋" w:hAnsi="仿宋" w:eastAsia="仿宋" w:cs="仿宋"/>
          <w:color w:val="auto"/>
          <w:sz w:val="24"/>
          <w:szCs w:val="24"/>
          <w:u w:val="single"/>
        </w:rPr>
        <w:t>合同暂定总价的</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rPr>
        <w:t>0%</w:t>
      </w:r>
      <w:r>
        <w:rPr>
          <w:rFonts w:hint="eastAsia" w:ascii="仿宋" w:hAnsi="仿宋" w:eastAsia="仿宋" w:cs="仿宋"/>
          <w:color w:val="auto"/>
          <w:sz w:val="24"/>
          <w:szCs w:val="24"/>
        </w:rPr>
        <w:t>向对方赔偿。</w:t>
      </w:r>
    </w:p>
    <w:p w14:paraId="193E6F2F">
      <w:pPr>
        <w:keepNext w:val="0"/>
        <w:keepLines w:val="0"/>
        <w:pageBreakBefore w:val="0"/>
        <w:kinsoku/>
        <w:wordWrap/>
        <w:overflowPunct/>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6.2乙方不能按时交货的，每逾期1日，按</w:t>
      </w:r>
      <w:r>
        <w:rPr>
          <w:rFonts w:hint="eastAsia" w:ascii="仿宋" w:hAnsi="仿宋" w:eastAsia="仿宋" w:cs="仿宋"/>
          <w:color w:val="auto"/>
          <w:sz w:val="24"/>
          <w:szCs w:val="24"/>
          <w:u w:val="single"/>
        </w:rPr>
        <w:t>迟交货物总价的 1%支付违约金</w:t>
      </w:r>
      <w:r>
        <w:rPr>
          <w:rFonts w:hint="eastAsia" w:ascii="仿宋" w:hAnsi="仿宋" w:eastAsia="仿宋" w:cs="仿宋"/>
          <w:color w:val="auto"/>
          <w:sz w:val="24"/>
          <w:szCs w:val="24"/>
        </w:rPr>
        <w:t>，逾期达到</w:t>
      </w:r>
      <w:r>
        <w:rPr>
          <w:rFonts w:hint="eastAsia" w:ascii="仿宋" w:hAnsi="仿宋" w:eastAsia="仿宋" w:cs="仿宋"/>
          <w:color w:val="auto"/>
          <w:sz w:val="24"/>
          <w:szCs w:val="24"/>
          <w:u w:val="single"/>
        </w:rPr>
        <w:t xml:space="preserve"> 15 </w:t>
      </w:r>
      <w:r>
        <w:rPr>
          <w:rFonts w:hint="eastAsia" w:ascii="仿宋" w:hAnsi="仿宋" w:eastAsia="仿宋" w:cs="仿宋"/>
          <w:color w:val="auto"/>
          <w:sz w:val="24"/>
          <w:szCs w:val="24"/>
        </w:rPr>
        <w:t>日及以上的，甲方有权解除合同。</w:t>
      </w:r>
    </w:p>
    <w:p w14:paraId="10AC84D0">
      <w:pPr>
        <w:keepNext w:val="0"/>
        <w:keepLines w:val="0"/>
        <w:pageBreakBefore w:val="0"/>
        <w:kinsoku/>
        <w:wordWrap/>
        <w:overflowPunct/>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6.3 货物</w:t>
      </w:r>
      <w:r>
        <w:rPr>
          <w:rFonts w:hint="eastAsia" w:ascii="仿宋" w:hAnsi="仿宋" w:eastAsia="仿宋" w:cs="仿宋"/>
          <w:color w:val="auto"/>
          <w:sz w:val="24"/>
          <w:szCs w:val="24"/>
          <w:u w:val="single"/>
        </w:rPr>
        <w:t xml:space="preserve"> 开箱  </w:t>
      </w:r>
      <w:r>
        <w:rPr>
          <w:rFonts w:hint="eastAsia" w:ascii="仿宋" w:hAnsi="仿宋" w:eastAsia="仿宋" w:cs="仿宋"/>
          <w:color w:val="auto"/>
          <w:sz w:val="24"/>
          <w:szCs w:val="24"/>
        </w:rPr>
        <w:t>验收不合格或货物在</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开箱 </w:t>
      </w:r>
      <w:r>
        <w:rPr>
          <w:rFonts w:hint="eastAsia" w:ascii="仿宋" w:hAnsi="仿宋" w:eastAsia="仿宋" w:cs="仿宋"/>
          <w:color w:val="auto"/>
          <w:sz w:val="24"/>
          <w:szCs w:val="24"/>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仿宋" w:hAnsi="仿宋" w:eastAsia="仿宋" w:cs="仿宋"/>
          <w:color w:val="auto"/>
          <w:sz w:val="24"/>
          <w:szCs w:val="24"/>
          <w:u w:val="single"/>
        </w:rPr>
        <w:t>更换货物总价的</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rPr>
        <w:t>0%</w:t>
      </w:r>
      <w:r>
        <w:rPr>
          <w:rFonts w:hint="eastAsia" w:ascii="仿宋" w:hAnsi="仿宋" w:eastAsia="仿宋" w:cs="仿宋"/>
          <w:color w:val="auto"/>
          <w:sz w:val="24"/>
          <w:szCs w:val="24"/>
        </w:rPr>
        <w:t>支付违约金，乙方承担由此产生的一切损失和费用。</w:t>
      </w:r>
    </w:p>
    <w:p w14:paraId="61464484">
      <w:pPr>
        <w:keepNext w:val="0"/>
        <w:keepLines w:val="0"/>
        <w:pageBreakBefore w:val="0"/>
        <w:kinsoku/>
        <w:wordWrap/>
        <w:overflowPunct/>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6.4 乙方不履行合同义务、或履行合同义务不符合合同约定、或违反国家、省、市行业标准的，甲方有权要求乙方限期整改。乙方逾期未完成整改的，每项每超过1日支付违约金人民币1万元，超过</w:t>
      </w:r>
      <w:r>
        <w:rPr>
          <w:rFonts w:hint="eastAsia" w:ascii="仿宋" w:hAnsi="仿宋" w:eastAsia="仿宋" w:cs="仿宋"/>
          <w:color w:val="auto"/>
          <w:sz w:val="24"/>
          <w:szCs w:val="24"/>
          <w:u w:val="single"/>
        </w:rPr>
        <w:t xml:space="preserve">  15  </w:t>
      </w:r>
      <w:r>
        <w:rPr>
          <w:rFonts w:hint="eastAsia" w:ascii="仿宋" w:hAnsi="仿宋" w:eastAsia="仿宋" w:cs="仿宋"/>
          <w:color w:val="auto"/>
          <w:sz w:val="24"/>
          <w:szCs w:val="24"/>
        </w:rPr>
        <w:t>日，甲方有权解除合同并要求乙方支付</w:t>
      </w:r>
      <w:r>
        <w:rPr>
          <w:rFonts w:hint="eastAsia" w:ascii="仿宋" w:hAnsi="仿宋" w:eastAsia="仿宋" w:cs="仿宋"/>
          <w:color w:val="auto"/>
          <w:sz w:val="24"/>
          <w:szCs w:val="24"/>
          <w:u w:val="single"/>
        </w:rPr>
        <w:t>合同暂定总价的20%</w:t>
      </w:r>
      <w:r>
        <w:rPr>
          <w:rFonts w:hint="eastAsia" w:ascii="仿宋" w:hAnsi="仿宋" w:eastAsia="仿宋" w:cs="仿宋"/>
          <w:color w:val="auto"/>
          <w:sz w:val="24"/>
          <w:szCs w:val="24"/>
        </w:rPr>
        <w:t>作为违约金（如合同另行约定违约责任，从其约定）。</w:t>
      </w:r>
    </w:p>
    <w:p w14:paraId="48E38F22">
      <w:pPr>
        <w:pStyle w:val="13"/>
        <w:keepNext w:val="0"/>
        <w:keepLines w:val="0"/>
        <w:pageBreakBefore w:val="0"/>
        <w:kinsoku/>
        <w:wordWrap/>
        <w:overflowPunct/>
        <w:bidi w:val="0"/>
        <w:adjustRightInd w:val="0"/>
        <w:snapToGrid w:val="0"/>
        <w:spacing w:line="520" w:lineRule="exact"/>
        <w:ind w:firstLine="480" w:firstLineChars="200"/>
        <w:textAlignment w:val="auto"/>
        <w:rPr>
          <w:rFonts w:hint="eastAsia" w:ascii="仿宋" w:hAnsi="仿宋" w:eastAsia="仿宋" w:cs="仿宋"/>
          <w:bCs w:val="0"/>
          <w:color w:val="auto"/>
          <w:kern w:val="2"/>
          <w:sz w:val="24"/>
          <w:szCs w:val="24"/>
        </w:rPr>
      </w:pPr>
      <w:r>
        <w:rPr>
          <w:rFonts w:hint="eastAsia" w:ascii="仿宋" w:hAnsi="仿宋" w:eastAsia="仿宋" w:cs="仿宋"/>
          <w:color w:val="auto"/>
          <w:kern w:val="2"/>
          <w:sz w:val="24"/>
          <w:szCs w:val="24"/>
          <w:lang w:val="en-US" w:eastAsia="zh-CN"/>
        </w:rPr>
        <w:t xml:space="preserve">6.5 </w:t>
      </w:r>
      <w:r>
        <w:rPr>
          <w:rFonts w:hint="eastAsia" w:ascii="仿宋" w:hAnsi="仿宋" w:eastAsia="仿宋" w:cs="仿宋"/>
          <w:bCs/>
          <w:sz w:val="24"/>
          <w:szCs w:val="24"/>
          <w:lang w:val="en-US" w:eastAsia="zh-CN"/>
        </w:rPr>
        <w:t>在合同有效期内，若乙方发生不履约行为情形的，乙方自愿接受甲方按《广州市净水有限公司经营建设项目参建企业不履约评价管理办法（试行）》处理。具体处理标准详见附件。</w:t>
      </w:r>
    </w:p>
    <w:p w14:paraId="21A6D964">
      <w:pPr>
        <w:pStyle w:val="13"/>
        <w:keepNext w:val="0"/>
        <w:keepLines w:val="0"/>
        <w:pageBreakBefore w:val="0"/>
        <w:kinsoku/>
        <w:wordWrap/>
        <w:overflowPunct/>
        <w:bidi w:val="0"/>
        <w:adjustRightInd w:val="0"/>
        <w:snapToGrid w:val="0"/>
        <w:spacing w:line="520" w:lineRule="exact"/>
        <w:ind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val="0"/>
          <w:color w:val="auto"/>
          <w:kern w:val="2"/>
          <w:sz w:val="24"/>
          <w:szCs w:val="24"/>
          <w:lang w:val="en-US" w:eastAsia="zh-CN"/>
        </w:rPr>
        <w:t xml:space="preserve">6.6 </w:t>
      </w:r>
      <w:r>
        <w:rPr>
          <w:rFonts w:hint="eastAsia" w:ascii="仿宋" w:hAnsi="仿宋" w:eastAsia="仿宋" w:cs="仿宋"/>
          <w:color w:val="auto"/>
          <w:kern w:val="2"/>
          <w:sz w:val="24"/>
          <w:szCs w:val="24"/>
          <w:lang w:val="en-US" w:eastAsia="zh-CN"/>
        </w:rPr>
        <w:t>因乙方提供的货物影响在线监测系统正常运行的，情节较轻的，每次支付违约金人民币1000元，情节严重的（</w:t>
      </w:r>
      <w:r>
        <w:rPr>
          <w:rFonts w:hint="eastAsia" w:ascii="仿宋" w:hAnsi="仿宋" w:eastAsia="仿宋" w:cs="仿宋"/>
          <w:bCs/>
          <w:color w:val="auto"/>
          <w:sz w:val="24"/>
          <w:szCs w:val="24"/>
          <w:highlight w:val="none"/>
          <w:lang w:val="en-US" w:eastAsia="zh-CN"/>
        </w:rPr>
        <w:t>监管部门通报、处罚等</w:t>
      </w:r>
      <w:r>
        <w:rPr>
          <w:rFonts w:hint="eastAsia" w:ascii="仿宋" w:hAnsi="仿宋" w:eastAsia="仿宋" w:cs="仿宋"/>
          <w:color w:val="auto"/>
          <w:kern w:val="2"/>
          <w:sz w:val="24"/>
          <w:szCs w:val="24"/>
          <w:lang w:val="en-US" w:eastAsia="zh-CN"/>
        </w:rPr>
        <w:t>），</w:t>
      </w:r>
      <w:r>
        <w:rPr>
          <w:rFonts w:hint="eastAsia" w:ascii="仿宋" w:hAnsi="仿宋" w:eastAsia="仿宋" w:cs="仿宋"/>
          <w:bCs w:val="0"/>
          <w:color w:val="auto"/>
          <w:kern w:val="2"/>
          <w:sz w:val="24"/>
          <w:szCs w:val="24"/>
        </w:rPr>
        <w:t>赔偿甲方因</w:t>
      </w:r>
      <w:r>
        <w:rPr>
          <w:rFonts w:hint="eastAsia" w:ascii="仿宋" w:hAnsi="仿宋" w:eastAsia="仿宋" w:cs="仿宋"/>
          <w:bCs w:val="0"/>
          <w:color w:val="auto"/>
          <w:kern w:val="2"/>
          <w:sz w:val="24"/>
          <w:szCs w:val="24"/>
          <w:lang w:val="en-US" w:eastAsia="zh-CN"/>
        </w:rPr>
        <w:t>货物</w:t>
      </w:r>
      <w:r>
        <w:rPr>
          <w:rFonts w:hint="eastAsia" w:ascii="仿宋" w:hAnsi="仿宋" w:eastAsia="仿宋" w:cs="仿宋"/>
          <w:bCs w:val="0"/>
          <w:color w:val="auto"/>
          <w:kern w:val="2"/>
          <w:sz w:val="24"/>
          <w:szCs w:val="24"/>
        </w:rPr>
        <w:t>质量问题导致的一切损失。</w:t>
      </w:r>
    </w:p>
    <w:p w14:paraId="28FE56E6">
      <w:pPr>
        <w:keepNext w:val="0"/>
        <w:keepLines w:val="0"/>
        <w:pageBreakBefore w:val="0"/>
        <w:kinsoku/>
        <w:wordWrap/>
        <w:overflowPunct/>
        <w:topLinePunct w:val="0"/>
        <w:bidi w:val="0"/>
        <w:snapToGrid/>
        <w:spacing w:line="360" w:lineRule="auto"/>
        <w:ind w:firstLine="482"/>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6.7</w:t>
      </w:r>
      <w:r>
        <w:rPr>
          <w:rFonts w:hint="eastAsia" w:ascii="仿宋" w:hAnsi="仿宋" w:eastAsia="仿宋" w:cs="仿宋"/>
          <w:bCs/>
          <w:color w:val="000000" w:themeColor="text1"/>
          <w:sz w:val="24"/>
          <w:szCs w:val="24"/>
          <w:highlight w:val="none"/>
        </w:rPr>
        <w:t>乙方</w:t>
      </w:r>
      <w:r>
        <w:rPr>
          <w:rFonts w:hint="eastAsia" w:ascii="仿宋" w:hAnsi="仿宋" w:eastAsia="仿宋" w:cs="仿宋"/>
          <w:bCs/>
          <w:color w:val="000000" w:themeColor="text1"/>
          <w:sz w:val="24"/>
          <w:szCs w:val="24"/>
          <w:highlight w:val="none"/>
          <w:lang w:val="en-US" w:eastAsia="zh-CN"/>
        </w:rPr>
        <w:t>在</w:t>
      </w:r>
      <w:r>
        <w:rPr>
          <w:rFonts w:hint="eastAsia" w:ascii="仿宋" w:hAnsi="仿宋" w:eastAsia="仿宋" w:cs="仿宋"/>
          <w:bCs/>
          <w:color w:val="000000" w:themeColor="text1"/>
          <w:sz w:val="24"/>
          <w:szCs w:val="24"/>
          <w:highlight w:val="none"/>
        </w:rPr>
        <w:t>询价响应过程</w:t>
      </w:r>
      <w:r>
        <w:rPr>
          <w:rFonts w:hint="eastAsia" w:ascii="仿宋" w:hAnsi="仿宋" w:eastAsia="仿宋" w:cs="仿宋"/>
          <w:bCs/>
          <w:color w:val="000000" w:themeColor="text1"/>
          <w:sz w:val="24"/>
          <w:szCs w:val="24"/>
          <w:highlight w:val="none"/>
          <w:lang w:val="en-US" w:eastAsia="zh-CN"/>
        </w:rPr>
        <w:t>中</w:t>
      </w:r>
      <w:r>
        <w:rPr>
          <w:rFonts w:hint="eastAsia" w:ascii="仿宋" w:hAnsi="仿宋" w:eastAsia="仿宋" w:cs="仿宋"/>
          <w:bCs/>
          <w:color w:val="000000" w:themeColor="text1"/>
          <w:sz w:val="24"/>
          <w:szCs w:val="24"/>
          <w:highlight w:val="none"/>
        </w:rPr>
        <w:t>提交的资料不真实，或任何时候发现乙方有违反询价响应过程的承诺和（或）声明的情况</w:t>
      </w:r>
      <w:r>
        <w:rPr>
          <w:rFonts w:hint="eastAsia" w:ascii="仿宋" w:hAnsi="仿宋" w:eastAsia="仿宋" w:cs="仿宋"/>
          <w:bCs/>
          <w:color w:val="000000" w:themeColor="text1"/>
          <w:sz w:val="24"/>
          <w:szCs w:val="24"/>
          <w:highlight w:val="none"/>
          <w:lang w:eastAsia="zh-CN"/>
        </w:rPr>
        <w:t>，</w:t>
      </w:r>
      <w:r>
        <w:rPr>
          <w:rFonts w:hint="eastAsia" w:ascii="仿宋" w:hAnsi="仿宋" w:eastAsia="仿宋" w:cs="仿宋"/>
          <w:color w:val="auto"/>
          <w:sz w:val="24"/>
          <w:szCs w:val="24"/>
        </w:rPr>
        <w:t>甲方有权解除合同并要求乙方支付</w:t>
      </w:r>
      <w:r>
        <w:rPr>
          <w:rFonts w:hint="eastAsia" w:ascii="仿宋" w:hAnsi="仿宋" w:eastAsia="仿宋" w:cs="仿宋"/>
          <w:color w:val="auto"/>
          <w:sz w:val="24"/>
          <w:szCs w:val="24"/>
          <w:u w:val="single"/>
        </w:rPr>
        <w:t>合同暂定总价的20%</w:t>
      </w:r>
      <w:r>
        <w:rPr>
          <w:rFonts w:hint="eastAsia" w:ascii="仿宋" w:hAnsi="仿宋" w:eastAsia="仿宋" w:cs="仿宋"/>
          <w:color w:val="auto"/>
          <w:sz w:val="24"/>
          <w:szCs w:val="24"/>
        </w:rPr>
        <w:t>作为违约金</w:t>
      </w:r>
      <w:r>
        <w:rPr>
          <w:rFonts w:hint="eastAsia" w:ascii="仿宋" w:hAnsi="仿宋" w:eastAsia="仿宋" w:cs="仿宋"/>
          <w:color w:val="auto"/>
          <w:sz w:val="24"/>
          <w:szCs w:val="24"/>
          <w:lang w:eastAsia="zh-CN"/>
        </w:rPr>
        <w:t>。</w:t>
      </w:r>
    </w:p>
    <w:p w14:paraId="1A9B259C">
      <w:pPr>
        <w:keepNext w:val="0"/>
        <w:keepLines w:val="0"/>
        <w:pageBreakBefore w:val="0"/>
        <w:kinsoku/>
        <w:wordWrap/>
        <w:overflowPunct/>
        <w:bidi w:val="0"/>
        <w:adjustRightInd w:val="0"/>
        <w:snapToGrid w:val="0"/>
        <w:spacing w:line="520" w:lineRule="exact"/>
        <w:ind w:firstLine="482" w:firstLineChars="200"/>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第七条 不可抗力</w:t>
      </w:r>
    </w:p>
    <w:p w14:paraId="60F7CD20">
      <w:pPr>
        <w:keepNext w:val="0"/>
        <w:keepLines w:val="0"/>
        <w:pageBreakBefore w:val="0"/>
        <w:widowControl w:val="0"/>
        <w:kinsoku/>
        <w:wordWrap/>
        <w:overflowPunct/>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158875B0">
      <w:pPr>
        <w:keepNext w:val="0"/>
        <w:keepLines w:val="0"/>
        <w:pageBreakBefore w:val="0"/>
        <w:widowControl w:val="0"/>
        <w:kinsoku/>
        <w:wordWrap/>
        <w:overflowPunct/>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（1）地震、火山爆发、滑坡、暴雨（橙色预警及以上）、台风（黄色预警及以上）、海啸、龙卷风、大面积流行病(如：非典型性肺炎等)或瘟疫；</w:t>
      </w:r>
    </w:p>
    <w:p w14:paraId="5E07EB86">
      <w:pPr>
        <w:keepNext w:val="0"/>
        <w:keepLines w:val="0"/>
        <w:pageBreakBefore w:val="0"/>
        <w:widowControl w:val="0"/>
        <w:kinsoku/>
        <w:wordWrap/>
        <w:overflowPunct/>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（2）战争行为、入侵、武装冲突或外敌行为、封锁、暴乱、恐怖行为或军事演习；</w:t>
      </w:r>
    </w:p>
    <w:p w14:paraId="6E1DF96D">
      <w:pPr>
        <w:keepNext w:val="0"/>
        <w:keepLines w:val="0"/>
        <w:pageBreakBefore w:val="0"/>
        <w:widowControl w:val="0"/>
        <w:kinsoku/>
        <w:wordWrap/>
        <w:overflowPunct/>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3169583B">
      <w:pPr>
        <w:keepNext w:val="0"/>
        <w:keepLines w:val="0"/>
        <w:pageBreakBefore w:val="0"/>
        <w:widowControl w:val="0"/>
        <w:kinsoku/>
        <w:wordWrap/>
        <w:overflowPunct/>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36A7FE99">
      <w:pPr>
        <w:keepNext w:val="0"/>
        <w:keepLines w:val="0"/>
        <w:pageBreakBefore w:val="0"/>
        <w:kinsoku/>
        <w:wordWrap/>
        <w:overflowPunct/>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14:paraId="07224260">
      <w:pPr>
        <w:keepNext w:val="0"/>
        <w:keepLines w:val="0"/>
        <w:pageBreakBefore w:val="0"/>
        <w:kinsoku/>
        <w:wordWrap/>
        <w:overflowPunct/>
        <w:bidi w:val="0"/>
        <w:adjustRightInd w:val="0"/>
        <w:snapToGrid w:val="0"/>
        <w:spacing w:line="520" w:lineRule="exact"/>
        <w:ind w:firstLine="482" w:firstLineChars="200"/>
        <w:textAlignment w:val="auto"/>
        <w:rPr>
          <w:rFonts w:hint="eastAsia" w:ascii="仿宋" w:hAnsi="仿宋" w:eastAsia="仿宋" w:cs="仿宋"/>
          <w:bCs/>
          <w:color w:val="auto"/>
          <w:sz w:val="24"/>
          <w:szCs w:val="24"/>
        </w:rPr>
      </w:pPr>
      <w:r>
        <w:rPr>
          <w:rFonts w:hint="eastAsia" w:ascii="仿宋" w:hAnsi="仿宋" w:eastAsia="仿宋" w:cs="仿宋"/>
          <w:b/>
          <w:bCs/>
          <w:color w:val="auto"/>
          <w:sz w:val="24"/>
          <w:szCs w:val="24"/>
        </w:rPr>
        <w:t>第八条 争议解决</w:t>
      </w:r>
    </w:p>
    <w:p w14:paraId="256800DB">
      <w:pPr>
        <w:keepNext w:val="0"/>
        <w:keepLines w:val="0"/>
        <w:pageBreakBefore w:val="0"/>
        <w:kinsoku/>
        <w:wordWrap/>
        <w:overflowPunct/>
        <w:bidi w:val="0"/>
        <w:adjustRightInd w:val="0"/>
        <w:snapToGrid w:val="0"/>
        <w:spacing w:line="520" w:lineRule="exact"/>
        <w:ind w:firstLine="720" w:firstLineChars="3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8.1因本合同引起的或与本合同有关的任何争议，甲乙双方应友好协商解决，如协商不成，任何一方可依法向甲方所在地</w:t>
      </w:r>
      <w:r>
        <w:rPr>
          <w:rFonts w:hint="eastAsia" w:ascii="仿宋" w:hAnsi="仿宋" w:eastAsia="仿宋" w:cs="仿宋"/>
          <w:bCs/>
          <w:color w:val="auto"/>
          <w:sz w:val="24"/>
          <w:szCs w:val="24"/>
          <w:u w:val="single"/>
        </w:rPr>
        <w:t>人民法院</w:t>
      </w:r>
      <w:r>
        <w:rPr>
          <w:rFonts w:hint="eastAsia" w:ascii="仿宋" w:hAnsi="仿宋" w:eastAsia="仿宋" w:cs="仿宋"/>
          <w:bCs/>
          <w:color w:val="auto"/>
          <w:sz w:val="24"/>
          <w:szCs w:val="24"/>
        </w:rPr>
        <w:t>提起诉讼</w:t>
      </w:r>
      <w:r>
        <w:rPr>
          <w:rFonts w:hint="eastAsia" w:ascii="仿宋" w:hAnsi="仿宋" w:eastAsia="仿宋" w:cs="仿宋"/>
          <w:color w:val="auto"/>
          <w:sz w:val="24"/>
          <w:szCs w:val="24"/>
        </w:rPr>
        <w:t>。</w:t>
      </w:r>
    </w:p>
    <w:p w14:paraId="5B0E11FE">
      <w:pPr>
        <w:keepNext w:val="0"/>
        <w:keepLines w:val="0"/>
        <w:pageBreakBefore w:val="0"/>
        <w:kinsoku/>
        <w:wordWrap/>
        <w:overflowPunct/>
        <w:bidi w:val="0"/>
        <w:adjustRightInd w:val="0"/>
        <w:snapToGrid w:val="0"/>
        <w:spacing w:line="520" w:lineRule="exact"/>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8.2在甲方同意的情况下，除有争端之外的合同其它部分在争端解决前应继续执行。</w:t>
      </w:r>
    </w:p>
    <w:p w14:paraId="6A2FE3CC">
      <w:pPr>
        <w:keepNext w:val="0"/>
        <w:keepLines w:val="0"/>
        <w:pageBreakBefore w:val="0"/>
        <w:kinsoku/>
        <w:wordWrap/>
        <w:overflowPunct/>
        <w:bidi w:val="0"/>
        <w:adjustRightInd w:val="0"/>
        <w:snapToGrid w:val="0"/>
        <w:spacing w:line="52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第九条 其他</w:t>
      </w:r>
    </w:p>
    <w:p w14:paraId="37931452">
      <w:pPr>
        <w:keepNext w:val="0"/>
        <w:keepLines w:val="0"/>
        <w:pageBreakBefore w:val="0"/>
        <w:kinsoku/>
        <w:wordWrap/>
        <w:overflowPunct/>
        <w:bidi w:val="0"/>
        <w:adjustRightInd w:val="0"/>
        <w:snapToGrid w:val="0"/>
        <w:spacing w:line="520" w:lineRule="exact"/>
        <w:ind w:firstLine="638" w:firstLineChars="266"/>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9.1本协议未尽事宜，可由甲乙双方另行签订补充协议。补充协议与本合同具有同等法律效力。</w:t>
      </w:r>
    </w:p>
    <w:p w14:paraId="564ABFF1">
      <w:pPr>
        <w:keepNext w:val="0"/>
        <w:keepLines w:val="0"/>
        <w:pageBreakBefore w:val="0"/>
        <w:kinsoku/>
        <w:wordWrap/>
        <w:overflowPunct/>
        <w:bidi w:val="0"/>
        <w:adjustRightInd w:val="0"/>
        <w:snapToGrid w:val="0"/>
        <w:spacing w:line="520" w:lineRule="exact"/>
        <w:ind w:firstLine="638" w:firstLineChars="266"/>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9.2本合同自甲乙双方法定代表人或授权代理人签字并加盖公章之日起生效。</w:t>
      </w:r>
    </w:p>
    <w:p w14:paraId="7F9D0CAD">
      <w:pPr>
        <w:keepNext w:val="0"/>
        <w:keepLines w:val="0"/>
        <w:pageBreakBefore w:val="0"/>
        <w:kinsoku/>
        <w:wordWrap/>
        <w:overflowPunct/>
        <w:bidi w:val="0"/>
        <w:adjustRightInd w:val="0"/>
        <w:snapToGrid w:val="0"/>
        <w:spacing w:line="520" w:lineRule="exact"/>
        <w:ind w:firstLine="638" w:firstLineChars="266"/>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9.3本合同一式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份，甲方执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份，乙方执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份。均具有同等法律效力。</w:t>
      </w:r>
    </w:p>
    <w:p w14:paraId="3C5DF7A3">
      <w:pPr>
        <w:keepNext w:val="0"/>
        <w:keepLines w:val="0"/>
        <w:pageBreakBefore w:val="0"/>
        <w:kinsoku/>
        <w:wordWrap/>
        <w:overflowPunct/>
        <w:bidi w:val="0"/>
        <w:adjustRightInd w:val="0"/>
        <w:snapToGrid w:val="0"/>
        <w:spacing w:line="520" w:lineRule="exact"/>
        <w:ind w:firstLine="638" w:firstLineChars="266"/>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9.4补充条款：</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rPr>
        <w:t xml:space="preserve">    </w:t>
      </w:r>
    </w:p>
    <w:p w14:paraId="01EB72CB">
      <w:pPr>
        <w:keepNext w:val="0"/>
        <w:keepLines w:val="0"/>
        <w:pageBreakBefore w:val="0"/>
        <w:kinsoku/>
        <w:wordWrap/>
        <w:overflowPunct/>
        <w:bidi w:val="0"/>
        <w:adjustRightInd w:val="0"/>
        <w:snapToGrid w:val="0"/>
        <w:spacing w:line="520" w:lineRule="exact"/>
        <w:ind w:firstLine="480"/>
        <w:textAlignment w:val="auto"/>
        <w:rPr>
          <w:rFonts w:hint="eastAsia" w:ascii="仿宋" w:hAnsi="仿宋" w:eastAsia="仿宋" w:cs="仿宋"/>
          <w:color w:val="auto"/>
          <w:sz w:val="24"/>
          <w:szCs w:val="24"/>
        </w:rPr>
      </w:pPr>
    </w:p>
    <w:p w14:paraId="0B1E34A4">
      <w:pPr>
        <w:keepNext w:val="0"/>
        <w:keepLines w:val="0"/>
        <w:pageBreakBefore w:val="0"/>
        <w:kinsoku/>
        <w:wordWrap/>
        <w:overflowPunct/>
        <w:bidi w:val="0"/>
        <w:adjustRightInd w:val="0"/>
        <w:snapToGrid w:val="0"/>
        <w:spacing w:line="520" w:lineRule="exact"/>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w:t>
      </w:r>
    </w:p>
    <w:p w14:paraId="16B8ECFB">
      <w:pPr>
        <w:keepNext w:val="0"/>
        <w:keepLines w:val="0"/>
        <w:pageBreakBefore w:val="0"/>
        <w:kinsoku/>
        <w:wordWrap/>
        <w:overflowPunct/>
        <w:bidi w:val="0"/>
        <w:adjustRightInd w:val="0"/>
        <w:snapToGrid w:val="0"/>
        <w:spacing w:line="520" w:lineRule="exact"/>
        <w:ind w:firstLine="1116" w:firstLineChars="465"/>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1.成交</w:t>
      </w:r>
      <w:r>
        <w:rPr>
          <w:rFonts w:hint="eastAsia" w:ascii="仿宋" w:hAnsi="仿宋" w:eastAsia="仿宋" w:cs="仿宋"/>
          <w:color w:val="auto"/>
          <w:sz w:val="24"/>
          <w:szCs w:val="24"/>
        </w:rPr>
        <w:t>通知书</w:t>
      </w:r>
    </w:p>
    <w:p w14:paraId="2EE83295">
      <w:pPr>
        <w:keepNext w:val="0"/>
        <w:keepLines w:val="0"/>
        <w:pageBreakBefore w:val="0"/>
        <w:kinsoku/>
        <w:wordWrap/>
        <w:overflowPunct/>
        <w:bidi w:val="0"/>
        <w:adjustRightInd w:val="0"/>
        <w:snapToGrid w:val="0"/>
        <w:spacing w:line="520" w:lineRule="exact"/>
        <w:ind w:firstLine="1116" w:firstLineChars="465"/>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廉洁协议</w:t>
      </w:r>
    </w:p>
    <w:p w14:paraId="001A146E">
      <w:pPr>
        <w:keepNext w:val="0"/>
        <w:keepLines w:val="0"/>
        <w:pageBreakBefore w:val="0"/>
        <w:kinsoku/>
        <w:wordWrap/>
        <w:overflowPunct/>
        <w:bidi w:val="0"/>
        <w:adjustRightInd w:val="0"/>
        <w:snapToGrid w:val="0"/>
        <w:spacing w:line="520" w:lineRule="exact"/>
        <w:ind w:firstLine="1116" w:firstLineChars="465"/>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3.营运单位内运输、装（卸）安全及消防安全协议</w:t>
      </w:r>
    </w:p>
    <w:p w14:paraId="406C36E7">
      <w:pPr>
        <w:keepNext w:val="0"/>
        <w:keepLines w:val="0"/>
        <w:pageBreakBefore w:val="0"/>
        <w:kinsoku/>
        <w:wordWrap/>
        <w:overflowPunct/>
        <w:bidi w:val="0"/>
        <w:adjustRightInd w:val="0"/>
        <w:snapToGrid w:val="0"/>
        <w:spacing w:line="520" w:lineRule="exact"/>
        <w:ind w:firstLine="1116" w:firstLineChars="465"/>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4.不履约行为的情形及相应被暂停参与投标活动的处理标准</w:t>
      </w:r>
    </w:p>
    <w:tbl>
      <w:tblPr>
        <w:tblStyle w:val="24"/>
        <w:tblpPr w:leftFromText="180" w:rightFromText="180" w:vertAnchor="text" w:horzAnchor="page" w:tblpX="1359" w:tblpY="256"/>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14:paraId="7DCF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14:paraId="175CED8D">
            <w:pPr>
              <w:keepNext w:val="0"/>
              <w:keepLines w:val="0"/>
              <w:suppressLineNumbers w:val="0"/>
              <w:adjustRightInd w:val="0"/>
              <w:snapToGrid w:val="0"/>
              <w:spacing w:before="0" w:beforeAutospacing="0" w:after="0" w:afterAutospacing="0" w:line="460" w:lineRule="exact"/>
              <w:ind w:left="0" w:right="0"/>
              <w:rPr>
                <w:rFonts w:hint="eastAsia" w:ascii="仿宋" w:hAnsi="仿宋" w:eastAsia="仿宋" w:cs="仿宋"/>
                <w:color w:val="auto"/>
                <w:sz w:val="24"/>
                <w:szCs w:val="24"/>
              </w:rPr>
            </w:pPr>
            <w:r>
              <w:rPr>
                <w:rFonts w:hint="eastAsia" w:ascii="仿宋" w:hAnsi="仿宋" w:eastAsia="仿宋" w:cs="仿宋"/>
                <w:b/>
                <w:color w:val="auto"/>
                <w:sz w:val="24"/>
                <w:szCs w:val="24"/>
              </w:rPr>
              <w:t>甲方</w:t>
            </w:r>
            <w:r>
              <w:rPr>
                <w:rFonts w:hint="eastAsia" w:ascii="仿宋" w:hAnsi="仿宋" w:eastAsia="仿宋" w:cs="仿宋"/>
                <w:color w:val="auto"/>
                <w:sz w:val="24"/>
                <w:szCs w:val="24"/>
              </w:rPr>
              <w:t>：广州市净水有限公司（盖章）</w:t>
            </w:r>
          </w:p>
          <w:p w14:paraId="7941734A">
            <w:pPr>
              <w:keepNext w:val="0"/>
              <w:keepLines w:val="0"/>
              <w:suppressLineNumbers w:val="0"/>
              <w:adjustRightInd w:val="0"/>
              <w:snapToGrid w:val="0"/>
              <w:spacing w:before="0" w:beforeAutospacing="0" w:after="0" w:afterAutospacing="0" w:line="460" w:lineRule="exact"/>
              <w:ind w:left="0" w:right="0"/>
              <w:rPr>
                <w:rFonts w:hint="eastAsia" w:ascii="仿宋" w:hAnsi="仿宋" w:eastAsia="仿宋" w:cs="仿宋"/>
                <w:color w:val="auto"/>
                <w:sz w:val="24"/>
                <w:szCs w:val="24"/>
              </w:rPr>
            </w:pPr>
          </w:p>
        </w:tc>
        <w:tc>
          <w:tcPr>
            <w:tcW w:w="4696" w:type="dxa"/>
            <w:tcBorders>
              <w:top w:val="nil"/>
              <w:left w:val="nil"/>
              <w:bottom w:val="nil"/>
              <w:right w:val="nil"/>
            </w:tcBorders>
            <w:noWrap w:val="0"/>
            <w:vAlign w:val="top"/>
          </w:tcPr>
          <w:p w14:paraId="47F82A4C">
            <w:pPr>
              <w:keepNext w:val="0"/>
              <w:keepLines w:val="0"/>
              <w:suppressLineNumbers w:val="0"/>
              <w:adjustRightInd w:val="0"/>
              <w:snapToGrid w:val="0"/>
              <w:spacing w:before="0" w:beforeAutospacing="0" w:after="0" w:afterAutospacing="0" w:line="460" w:lineRule="exact"/>
              <w:ind w:left="0" w:right="0"/>
              <w:rPr>
                <w:rFonts w:hint="eastAsia" w:ascii="仿宋" w:hAnsi="仿宋" w:eastAsia="仿宋" w:cs="仿宋"/>
                <w:color w:val="auto"/>
                <w:sz w:val="24"/>
                <w:szCs w:val="24"/>
              </w:rPr>
            </w:pPr>
            <w:r>
              <w:rPr>
                <w:rFonts w:hint="eastAsia" w:ascii="仿宋" w:hAnsi="仿宋" w:eastAsia="仿宋" w:cs="仿宋"/>
                <w:b/>
                <w:color w:val="auto"/>
                <w:sz w:val="24"/>
                <w:szCs w:val="24"/>
              </w:rPr>
              <w:t>乙方</w:t>
            </w:r>
            <w:r>
              <w:rPr>
                <w:rFonts w:hint="eastAsia" w:ascii="仿宋" w:hAnsi="仿宋" w:eastAsia="仿宋" w:cs="仿宋"/>
                <w:color w:val="auto"/>
                <w:sz w:val="24"/>
                <w:szCs w:val="24"/>
              </w:rPr>
              <w:t>：                 （盖章）</w:t>
            </w:r>
          </w:p>
          <w:p w14:paraId="20096A68">
            <w:pPr>
              <w:keepNext w:val="0"/>
              <w:keepLines w:val="0"/>
              <w:suppressLineNumbers w:val="0"/>
              <w:adjustRightInd w:val="0"/>
              <w:snapToGrid w:val="0"/>
              <w:spacing w:before="0" w:beforeAutospacing="0" w:after="0" w:afterAutospacing="0" w:line="460" w:lineRule="exact"/>
              <w:ind w:left="0" w:right="0" w:firstLine="240" w:firstLineChars="100"/>
              <w:rPr>
                <w:rFonts w:hint="eastAsia" w:ascii="仿宋" w:hAnsi="仿宋" w:eastAsia="仿宋" w:cs="仿宋"/>
                <w:color w:val="auto"/>
                <w:sz w:val="24"/>
                <w:szCs w:val="24"/>
              </w:rPr>
            </w:pPr>
          </w:p>
        </w:tc>
      </w:tr>
      <w:tr w14:paraId="0802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4812" w:type="dxa"/>
            <w:tcBorders>
              <w:top w:val="nil"/>
              <w:left w:val="nil"/>
              <w:bottom w:val="nil"/>
              <w:right w:val="nil"/>
            </w:tcBorders>
            <w:noWrap w:val="0"/>
            <w:vAlign w:val="top"/>
          </w:tcPr>
          <w:p w14:paraId="69504D64">
            <w:pPr>
              <w:keepNext w:val="0"/>
              <w:keepLines w:val="0"/>
              <w:suppressLineNumbers w:val="0"/>
              <w:adjustRightInd w:val="0"/>
              <w:snapToGrid w:val="0"/>
              <w:spacing w:before="0" w:beforeAutospacing="0" w:after="0" w:afterAutospacing="0" w:line="46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w:t>
            </w:r>
          </w:p>
        </w:tc>
        <w:tc>
          <w:tcPr>
            <w:tcW w:w="4696" w:type="dxa"/>
            <w:tcBorders>
              <w:top w:val="nil"/>
              <w:left w:val="nil"/>
              <w:bottom w:val="nil"/>
              <w:right w:val="nil"/>
            </w:tcBorders>
            <w:noWrap w:val="0"/>
            <w:vAlign w:val="top"/>
          </w:tcPr>
          <w:p w14:paraId="1A39FEE6">
            <w:pPr>
              <w:keepNext w:val="0"/>
              <w:keepLines w:val="0"/>
              <w:suppressLineNumbers w:val="0"/>
              <w:adjustRightInd w:val="0"/>
              <w:snapToGrid w:val="0"/>
              <w:spacing w:before="0" w:beforeAutospacing="0" w:after="0" w:afterAutospacing="0" w:line="46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w:t>
            </w:r>
          </w:p>
        </w:tc>
      </w:tr>
      <w:tr w14:paraId="3E22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812" w:type="dxa"/>
            <w:tcBorders>
              <w:top w:val="nil"/>
              <w:left w:val="nil"/>
              <w:bottom w:val="nil"/>
              <w:right w:val="nil"/>
            </w:tcBorders>
            <w:noWrap w:val="0"/>
            <w:vAlign w:val="top"/>
          </w:tcPr>
          <w:p w14:paraId="2431DF36">
            <w:pPr>
              <w:keepNext w:val="0"/>
              <w:keepLines w:val="0"/>
              <w:suppressLineNumbers w:val="0"/>
              <w:adjustRightInd w:val="0"/>
              <w:snapToGrid w:val="0"/>
              <w:spacing w:before="0" w:beforeAutospacing="0" w:after="0" w:afterAutospacing="0" w:line="46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经办人：</w:t>
            </w:r>
          </w:p>
        </w:tc>
        <w:tc>
          <w:tcPr>
            <w:tcW w:w="4696" w:type="dxa"/>
            <w:tcBorders>
              <w:top w:val="nil"/>
              <w:left w:val="nil"/>
              <w:bottom w:val="nil"/>
              <w:right w:val="nil"/>
            </w:tcBorders>
            <w:noWrap w:val="0"/>
            <w:vAlign w:val="top"/>
          </w:tcPr>
          <w:p w14:paraId="7E09D4FA">
            <w:pPr>
              <w:keepNext w:val="0"/>
              <w:keepLines w:val="0"/>
              <w:suppressLineNumbers w:val="0"/>
              <w:adjustRightInd w:val="0"/>
              <w:snapToGrid w:val="0"/>
              <w:spacing w:before="0" w:beforeAutospacing="0" w:after="0" w:afterAutospacing="0" w:line="46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经办人：</w:t>
            </w:r>
          </w:p>
        </w:tc>
      </w:tr>
      <w:tr w14:paraId="1E63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812" w:type="dxa"/>
            <w:tcBorders>
              <w:top w:val="nil"/>
              <w:left w:val="nil"/>
              <w:bottom w:val="nil"/>
              <w:right w:val="nil"/>
            </w:tcBorders>
            <w:noWrap w:val="0"/>
            <w:vAlign w:val="top"/>
          </w:tcPr>
          <w:p w14:paraId="5B2D5134">
            <w:pPr>
              <w:keepNext w:val="0"/>
              <w:keepLines w:val="0"/>
              <w:suppressLineNumbers w:val="0"/>
              <w:adjustRightInd w:val="0"/>
              <w:snapToGrid w:val="0"/>
              <w:spacing w:before="0" w:beforeAutospacing="0" w:after="0" w:afterAutospacing="0" w:line="46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4696" w:type="dxa"/>
            <w:tcBorders>
              <w:top w:val="nil"/>
              <w:left w:val="nil"/>
              <w:bottom w:val="nil"/>
              <w:right w:val="nil"/>
            </w:tcBorders>
            <w:noWrap w:val="0"/>
            <w:vAlign w:val="top"/>
          </w:tcPr>
          <w:p w14:paraId="7A4038F8">
            <w:pPr>
              <w:keepNext w:val="0"/>
              <w:keepLines w:val="0"/>
              <w:suppressLineNumbers w:val="0"/>
              <w:adjustRightInd w:val="0"/>
              <w:snapToGrid w:val="0"/>
              <w:spacing w:before="0" w:beforeAutospacing="0" w:after="0" w:afterAutospacing="0" w:line="46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r>
      <w:tr w14:paraId="1064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812" w:type="dxa"/>
            <w:tcBorders>
              <w:top w:val="nil"/>
              <w:left w:val="nil"/>
              <w:bottom w:val="nil"/>
              <w:right w:val="nil"/>
            </w:tcBorders>
            <w:noWrap w:val="0"/>
            <w:vAlign w:val="center"/>
          </w:tcPr>
          <w:p w14:paraId="34FD10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签订日期：     年   月   日</w:t>
            </w:r>
          </w:p>
        </w:tc>
        <w:tc>
          <w:tcPr>
            <w:tcW w:w="4696" w:type="dxa"/>
            <w:tcBorders>
              <w:top w:val="nil"/>
              <w:left w:val="nil"/>
              <w:bottom w:val="nil"/>
              <w:right w:val="nil"/>
            </w:tcBorders>
            <w:noWrap w:val="0"/>
            <w:vAlign w:val="center"/>
          </w:tcPr>
          <w:p w14:paraId="1C775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签订日期：     年   月   日</w:t>
            </w:r>
          </w:p>
        </w:tc>
      </w:tr>
    </w:tbl>
    <w:p w14:paraId="6C5E2312">
      <w:pPr>
        <w:spacing w:line="120" w:lineRule="auto"/>
        <w:jc w:val="both"/>
        <w:rPr>
          <w:rFonts w:hint="eastAsia" w:ascii="仿宋" w:hAnsi="仿宋" w:eastAsia="仿宋" w:cs="仿宋"/>
          <w:b/>
          <w:bCs/>
          <w:color w:val="auto"/>
          <w:sz w:val="24"/>
          <w:szCs w:val="24"/>
        </w:rPr>
      </w:pPr>
    </w:p>
    <w:p w14:paraId="7E42DBD3">
      <w:pPr>
        <w:spacing w:line="120" w:lineRule="auto"/>
        <w:jc w:val="both"/>
        <w:rPr>
          <w:rFonts w:hint="eastAsia" w:ascii="仿宋" w:hAnsi="仿宋" w:eastAsia="仿宋" w:cs="仿宋"/>
          <w:b/>
          <w:bCs/>
          <w:color w:val="auto"/>
          <w:sz w:val="24"/>
          <w:szCs w:val="24"/>
        </w:rPr>
      </w:pPr>
    </w:p>
    <w:p w14:paraId="5DEACFF5">
      <w:pPr>
        <w:spacing w:line="120" w:lineRule="auto"/>
        <w:jc w:val="both"/>
        <w:rPr>
          <w:rFonts w:hint="eastAsia" w:ascii="仿宋" w:hAnsi="仿宋" w:eastAsia="仿宋" w:cs="仿宋"/>
          <w:b/>
          <w:bCs/>
          <w:color w:val="auto"/>
          <w:sz w:val="24"/>
          <w:szCs w:val="24"/>
        </w:rPr>
      </w:pPr>
    </w:p>
    <w:p w14:paraId="30AE2D8F">
      <w:pPr>
        <w:spacing w:line="120" w:lineRule="auto"/>
        <w:jc w:val="both"/>
        <w:rPr>
          <w:rFonts w:hint="eastAsia" w:ascii="仿宋" w:hAnsi="仿宋" w:eastAsia="仿宋" w:cs="仿宋"/>
          <w:b/>
          <w:bCs/>
          <w:color w:val="auto"/>
          <w:sz w:val="24"/>
          <w:szCs w:val="24"/>
        </w:rPr>
      </w:pPr>
    </w:p>
    <w:p w14:paraId="352541B2">
      <w:pPr>
        <w:spacing w:line="120" w:lineRule="auto"/>
        <w:jc w:val="both"/>
        <w:rPr>
          <w:rFonts w:hint="eastAsia" w:ascii="仿宋" w:hAnsi="仿宋" w:eastAsia="仿宋" w:cs="仿宋"/>
          <w:b/>
          <w:bCs/>
          <w:color w:val="auto"/>
          <w:sz w:val="24"/>
          <w:szCs w:val="24"/>
        </w:rPr>
      </w:pPr>
    </w:p>
    <w:p w14:paraId="00FE08A9">
      <w:pPr>
        <w:spacing w:line="120" w:lineRule="auto"/>
        <w:jc w:val="both"/>
        <w:rPr>
          <w:rFonts w:hint="eastAsia" w:ascii="仿宋" w:hAnsi="仿宋" w:eastAsia="仿宋" w:cs="仿宋"/>
          <w:b/>
          <w:bCs/>
          <w:color w:val="auto"/>
          <w:sz w:val="24"/>
          <w:szCs w:val="24"/>
        </w:rPr>
      </w:pPr>
    </w:p>
    <w:p w14:paraId="5CAFC5B6">
      <w:pPr>
        <w:spacing w:line="120" w:lineRule="auto"/>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附件1：</w:t>
      </w:r>
      <w:r>
        <w:rPr>
          <w:rFonts w:hint="eastAsia" w:ascii="仿宋" w:hAnsi="仿宋" w:eastAsia="仿宋" w:cs="仿宋"/>
          <w:b/>
          <w:bCs/>
          <w:color w:val="auto"/>
          <w:sz w:val="24"/>
          <w:szCs w:val="24"/>
          <w:lang w:val="en-US" w:eastAsia="zh-CN"/>
        </w:rPr>
        <w:t>成交</w:t>
      </w:r>
      <w:r>
        <w:rPr>
          <w:rFonts w:hint="eastAsia" w:ascii="仿宋" w:hAnsi="仿宋" w:eastAsia="仿宋" w:cs="仿宋"/>
          <w:b/>
          <w:bCs/>
          <w:color w:val="auto"/>
          <w:sz w:val="24"/>
          <w:szCs w:val="24"/>
        </w:rPr>
        <w:t>通知书</w:t>
      </w:r>
    </w:p>
    <w:p w14:paraId="499598AB">
      <w:pPr>
        <w:spacing w:line="120" w:lineRule="auto"/>
        <w:jc w:val="both"/>
        <w:rPr>
          <w:rFonts w:hint="eastAsia" w:ascii="仿宋" w:hAnsi="仿宋" w:eastAsia="仿宋" w:cs="仿宋"/>
          <w:color w:val="auto"/>
          <w:sz w:val="24"/>
          <w:szCs w:val="24"/>
        </w:rPr>
      </w:pP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：廉洁协议</w:t>
      </w:r>
    </w:p>
    <w:p w14:paraId="757F1710">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廉洁协议</w:t>
      </w:r>
    </w:p>
    <w:p w14:paraId="505908BB">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540" w:firstLineChars="225"/>
        <w:textAlignment w:val="auto"/>
        <w:rPr>
          <w:rFonts w:hint="eastAsia" w:ascii="仿宋" w:hAnsi="仿宋" w:eastAsia="仿宋" w:cs="仿宋"/>
          <w:color w:val="auto"/>
          <w:sz w:val="24"/>
        </w:rPr>
      </w:pPr>
      <w:r>
        <w:rPr>
          <w:rFonts w:hint="eastAsia" w:ascii="仿宋" w:hAnsi="仿宋" w:eastAsia="仿宋" w:cs="仿宋"/>
          <w:color w:val="auto"/>
          <w:sz w:val="24"/>
        </w:rPr>
        <w:t>为促进双方诚信经营、廉洁从业，防范商业贿赂，保护国家、集体和当事人的合法权益，根据国家有关法律法规和广东省、广州市廉政建设的规定，</w:t>
      </w:r>
      <w:r>
        <w:rPr>
          <w:rFonts w:hint="eastAsia" w:ascii="仿宋" w:hAnsi="仿宋" w:eastAsia="仿宋" w:cs="仿宋"/>
          <w:color w:val="auto"/>
          <w:sz w:val="24"/>
          <w:u w:val="single"/>
        </w:rPr>
        <w:t>广州市净水有限公司</w:t>
      </w:r>
      <w:r>
        <w:rPr>
          <w:rFonts w:hint="eastAsia" w:ascii="仿宋" w:hAnsi="仿宋" w:eastAsia="仿宋" w:cs="仿宋"/>
          <w:color w:val="auto"/>
          <w:sz w:val="24"/>
        </w:rPr>
        <w:t>(以下称甲方)与</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(以下称乙方)，特此订立本协议共同遵照执行。</w:t>
      </w:r>
    </w:p>
    <w:p w14:paraId="7A70471E">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482" w:firstLineChars="200"/>
        <w:textAlignment w:val="auto"/>
        <w:rPr>
          <w:rFonts w:hint="eastAsia" w:ascii="仿宋" w:hAnsi="仿宋" w:eastAsia="仿宋" w:cs="仿宋"/>
          <w:color w:val="auto"/>
          <w:sz w:val="24"/>
        </w:rPr>
      </w:pPr>
      <w:r>
        <w:rPr>
          <w:rFonts w:hint="eastAsia" w:ascii="仿宋" w:hAnsi="仿宋" w:eastAsia="仿宋" w:cs="仿宋"/>
          <w:b/>
          <w:bCs/>
          <w:color w:val="auto"/>
          <w:sz w:val="24"/>
        </w:rPr>
        <w:t>第一条甲乙双方的权利和义务</w:t>
      </w:r>
    </w:p>
    <w:p w14:paraId="08FEE61D">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360" w:firstLineChars="150"/>
        <w:textAlignment w:val="auto"/>
        <w:rPr>
          <w:rFonts w:hint="eastAsia" w:ascii="仿宋" w:hAnsi="仿宋" w:eastAsia="仿宋" w:cs="仿宋"/>
          <w:color w:val="auto"/>
          <w:sz w:val="24"/>
        </w:rPr>
      </w:pPr>
      <w:r>
        <w:rPr>
          <w:rFonts w:hint="eastAsia" w:ascii="仿宋" w:hAnsi="仿宋" w:eastAsia="仿宋" w:cs="仿宋"/>
          <w:color w:val="auto"/>
          <w:sz w:val="24"/>
        </w:rPr>
        <w:t>（一）甲乙双方严格遵守国家关于市场准入、项目招标投标、市场经营活动等有关法律、法规相关政策及廉政建设的各项规定。</w:t>
      </w:r>
    </w:p>
    <w:p w14:paraId="3448D271">
      <w:pPr>
        <w:keepNext w:val="0"/>
        <w:keepLines w:val="0"/>
        <w:pageBreakBefore w:val="0"/>
        <w:kinsoku/>
        <w:wordWrap/>
        <w:overflowPunct/>
        <w:topLinePunct w:val="0"/>
        <w:autoSpaceDE/>
        <w:autoSpaceDN/>
        <w:bidi w:val="0"/>
        <w:adjustRightInd w:val="0"/>
        <w:snapToGrid w:val="0"/>
        <w:spacing w:beforeAutospacing="0" w:afterAutospacing="0" w:line="520" w:lineRule="exact"/>
        <w:ind w:left="599" w:leftChars="228" w:hanging="120" w:hangingChars="50"/>
        <w:textAlignment w:val="auto"/>
        <w:rPr>
          <w:rFonts w:hint="eastAsia" w:ascii="仿宋" w:hAnsi="仿宋" w:eastAsia="仿宋" w:cs="仿宋"/>
          <w:color w:val="auto"/>
          <w:sz w:val="24"/>
          <w:u w:val="single"/>
        </w:rPr>
      </w:pPr>
      <w:r>
        <w:rPr>
          <w:rFonts w:hint="eastAsia" w:ascii="仿宋" w:hAnsi="仿宋" w:eastAsia="仿宋" w:cs="仿宋"/>
          <w:color w:val="auto"/>
          <w:sz w:val="24"/>
        </w:rPr>
        <w:t>（二）严格执行</w:t>
      </w:r>
      <w:r>
        <w:rPr>
          <w:rFonts w:hint="eastAsia" w:ascii="仿宋" w:hAnsi="仿宋" w:eastAsia="仿宋" w:cs="仿宋"/>
          <w:color w:val="auto"/>
          <w:sz w:val="24"/>
          <w:u w:val="single"/>
          <w:lang w:val="en-US" w:eastAsia="zh-CN"/>
        </w:rPr>
        <w:t>广州市净水有限公司</w:t>
      </w:r>
      <w:r>
        <w:rPr>
          <w:rFonts w:hint="eastAsia" w:ascii="仿宋" w:hAnsi="仿宋" w:eastAsia="仿宋" w:cs="仿宋"/>
          <w:color w:val="auto"/>
          <w:sz w:val="24"/>
          <w:szCs w:val="24"/>
          <w:u w:val="single"/>
          <w:lang w:eastAsia="zh-CN"/>
        </w:rPr>
        <w:t>2025年在线COD试剂采购项目</w:t>
      </w:r>
      <w:r>
        <w:rPr>
          <w:rFonts w:hint="eastAsia" w:ascii="仿宋" w:hAnsi="仿宋" w:eastAsia="仿宋" w:cs="仿宋"/>
          <w:color w:val="auto"/>
          <w:sz w:val="24"/>
          <w:szCs w:val="24"/>
          <w:u w:val="single"/>
          <w:lang w:val="en-US" w:eastAsia="zh-CN"/>
        </w:rPr>
        <w:t>货物采购合同</w:t>
      </w:r>
      <w:r>
        <w:rPr>
          <w:rFonts w:hint="eastAsia" w:ascii="仿宋" w:hAnsi="仿宋" w:eastAsia="仿宋" w:cs="仿宋"/>
          <w:color w:val="auto"/>
          <w:sz w:val="24"/>
          <w:u w:val="single"/>
        </w:rPr>
        <w:t xml:space="preserve">   穗净水合</w:t>
      </w:r>
      <w:r>
        <w:rPr>
          <w:rFonts w:hint="eastAsia" w:ascii="仿宋" w:hAnsi="仿宋" w:eastAsia="仿宋" w:cs="仿宋"/>
          <w:sz w:val="24"/>
          <w:szCs w:val="24"/>
          <w:u w:val="single"/>
        </w:rPr>
        <w:t>〔     〕</w:t>
      </w:r>
      <w:r>
        <w:rPr>
          <w:rFonts w:hint="eastAsia" w:ascii="仿宋" w:hAnsi="仿宋" w:eastAsia="仿宋" w:cs="仿宋"/>
          <w:color w:val="auto"/>
          <w:sz w:val="24"/>
          <w:u w:val="single"/>
        </w:rPr>
        <w:t xml:space="preserve">        号</w:t>
      </w:r>
      <w:r>
        <w:rPr>
          <w:rFonts w:hint="eastAsia" w:ascii="仿宋" w:hAnsi="仿宋" w:eastAsia="仿宋" w:cs="仿宋"/>
          <w:color w:val="auto"/>
          <w:sz w:val="24"/>
        </w:rPr>
        <w:t>合同（以下简称：主合同），自觉履行合同约定的相关义务。</w:t>
      </w:r>
    </w:p>
    <w:p w14:paraId="453685A0">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360" w:firstLineChars="150"/>
        <w:textAlignment w:val="auto"/>
        <w:rPr>
          <w:rFonts w:hint="eastAsia" w:ascii="仿宋" w:hAnsi="仿宋" w:eastAsia="仿宋" w:cs="仿宋"/>
          <w:color w:val="auto"/>
          <w:sz w:val="24"/>
        </w:rPr>
      </w:pPr>
      <w:r>
        <w:rPr>
          <w:rFonts w:hint="eastAsia" w:ascii="仿宋" w:hAnsi="仿宋" w:eastAsia="仿宋" w:cs="仿宋"/>
          <w:color w:val="auto"/>
          <w:sz w:val="24"/>
        </w:rPr>
        <w:t>（三）在业务活动中坚持公开、公正、诚信、透明的原则，不得损害国家、集体利益。</w:t>
      </w:r>
    </w:p>
    <w:p w14:paraId="68BFA383">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360" w:firstLineChars="150"/>
        <w:textAlignment w:val="auto"/>
        <w:rPr>
          <w:rFonts w:hint="eastAsia" w:ascii="仿宋" w:hAnsi="仿宋" w:eastAsia="仿宋" w:cs="仿宋"/>
          <w:color w:val="auto"/>
          <w:sz w:val="24"/>
        </w:rPr>
      </w:pPr>
      <w:r>
        <w:rPr>
          <w:rFonts w:hint="eastAsia" w:ascii="仿宋" w:hAnsi="仿宋" w:eastAsia="仿宋" w:cs="仿宋"/>
          <w:color w:val="auto"/>
          <w:sz w:val="24"/>
        </w:rPr>
        <w:t>（四）建立健全廉洁从业制度，开展廉洁教育，公布举报电话，监督并认真查处不廉洁及违法违纪行为。</w:t>
      </w:r>
    </w:p>
    <w:p w14:paraId="7969E32F">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360" w:firstLineChars="150"/>
        <w:textAlignment w:val="auto"/>
        <w:rPr>
          <w:rFonts w:hint="eastAsia" w:ascii="仿宋" w:hAnsi="仿宋" w:eastAsia="仿宋" w:cs="仿宋"/>
          <w:color w:val="auto"/>
          <w:sz w:val="24"/>
        </w:rPr>
      </w:pPr>
      <w:r>
        <w:rPr>
          <w:rFonts w:hint="eastAsia" w:ascii="仿宋" w:hAnsi="仿宋" w:eastAsia="仿宋" w:cs="仿宋"/>
          <w:color w:val="auto"/>
          <w:sz w:val="24"/>
        </w:rPr>
        <w:t>（五）发现对方在业务活动中有不廉洁行为，应及时提醒对方纠正。情节严重的，</w:t>
      </w:r>
      <w:r>
        <w:rPr>
          <w:rFonts w:hint="eastAsia" w:ascii="仿宋" w:hAnsi="仿宋" w:eastAsia="仿宋" w:cs="仿宋"/>
          <w:b w:val="0"/>
          <w:bCs w:val="0"/>
          <w:color w:val="auto"/>
          <w:sz w:val="24"/>
          <w:szCs w:val="22"/>
          <w:highlight w:val="none"/>
        </w:rPr>
        <w:t>应向其有关监督部门</w:t>
      </w:r>
      <w:r>
        <w:rPr>
          <w:rFonts w:hint="eastAsia" w:ascii="仿宋" w:hAnsi="仿宋" w:eastAsia="仿宋" w:cs="仿宋"/>
          <w:b w:val="0"/>
          <w:bCs w:val="0"/>
          <w:color w:val="auto"/>
          <w:sz w:val="24"/>
          <w:szCs w:val="22"/>
          <w:highlight w:val="none"/>
          <w:lang w:val="en-US" w:eastAsia="zh-CN"/>
        </w:rPr>
        <w:t>检举。</w:t>
      </w:r>
    </w:p>
    <w:p w14:paraId="26624EA9">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482" w:firstLineChars="200"/>
        <w:textAlignment w:val="auto"/>
        <w:rPr>
          <w:rFonts w:hint="eastAsia" w:ascii="仿宋" w:hAnsi="仿宋" w:eastAsia="仿宋" w:cs="仿宋"/>
          <w:color w:val="auto"/>
          <w:sz w:val="24"/>
        </w:rPr>
      </w:pPr>
      <w:r>
        <w:rPr>
          <w:rFonts w:hint="eastAsia" w:ascii="仿宋" w:hAnsi="仿宋" w:eastAsia="仿宋" w:cs="仿宋"/>
          <w:b/>
          <w:bCs/>
          <w:color w:val="auto"/>
          <w:sz w:val="24"/>
        </w:rPr>
        <w:t>第二条甲方的义务</w:t>
      </w:r>
    </w:p>
    <w:p w14:paraId="339542B0">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（一）甲方及其工作人员不得索要或接受乙方的礼金、有价证券和贵重物品，不得在乙方报销任何应由甲方或个人支付的费用等。</w:t>
      </w:r>
    </w:p>
    <w:p w14:paraId="041E5D81">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589448CE">
      <w:pPr>
        <w:keepNext w:val="0"/>
        <w:keepLines w:val="0"/>
        <w:pageBreakBefore w:val="0"/>
        <w:kinsoku/>
        <w:wordWrap/>
        <w:overflowPunct/>
        <w:topLinePunct w:val="0"/>
        <w:autoSpaceDE/>
        <w:autoSpaceDN/>
        <w:bidi w:val="0"/>
        <w:adjustRightInd w:val="0"/>
        <w:snapToGrid w:val="0"/>
        <w:spacing w:beforeAutospacing="0" w:afterAutospacing="0" w:line="520" w:lineRule="exact"/>
        <w:ind w:left="15" w:leftChars="7"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（三）甲方及其工作人员不得要求或者接受乙方为其住房装修、婚丧嫁娶活动、配偶子女工作安排以及出国出境、旅游等提供方便等。</w:t>
      </w:r>
    </w:p>
    <w:p w14:paraId="1805ED52">
      <w:pPr>
        <w:keepNext w:val="0"/>
        <w:keepLines w:val="0"/>
        <w:pageBreakBefore w:val="0"/>
        <w:kinsoku/>
        <w:wordWrap/>
        <w:overflowPunct/>
        <w:topLinePunct w:val="0"/>
        <w:autoSpaceDE/>
        <w:autoSpaceDN/>
        <w:bidi w:val="0"/>
        <w:adjustRightInd w:val="0"/>
        <w:snapToGrid w:val="0"/>
        <w:spacing w:beforeAutospacing="0" w:afterAutospacing="0" w:line="520" w:lineRule="exact"/>
        <w:ind w:left="15" w:leftChars="7"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（四）甲方工作人员不得在乙方或与乙方有股权关联的企业兼职，不得向乙方介绍家属或者亲友从事与甲方业务有关的经济活动。</w:t>
      </w:r>
    </w:p>
    <w:p w14:paraId="2D5C2A22">
      <w:pPr>
        <w:keepNext w:val="0"/>
        <w:keepLines w:val="0"/>
        <w:pageBreakBefore w:val="0"/>
        <w:kinsoku/>
        <w:wordWrap/>
        <w:overflowPunct/>
        <w:topLinePunct w:val="0"/>
        <w:autoSpaceDE/>
        <w:autoSpaceDN/>
        <w:bidi w:val="0"/>
        <w:adjustRightInd w:val="0"/>
        <w:snapToGrid w:val="0"/>
        <w:spacing w:beforeAutospacing="0" w:afterAutospacing="0" w:line="520" w:lineRule="exact"/>
        <w:ind w:left="15" w:leftChars="7"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5E6F5A57">
      <w:pPr>
        <w:keepNext w:val="0"/>
        <w:keepLines w:val="0"/>
        <w:pageBreakBefore w:val="0"/>
        <w:kinsoku/>
        <w:wordWrap/>
        <w:overflowPunct/>
        <w:topLinePunct w:val="0"/>
        <w:autoSpaceDE/>
        <w:autoSpaceDN/>
        <w:bidi w:val="0"/>
        <w:adjustRightInd w:val="0"/>
        <w:snapToGrid w:val="0"/>
        <w:spacing w:beforeAutospacing="0" w:afterAutospacing="0" w:line="520" w:lineRule="exact"/>
        <w:ind w:left="15" w:leftChars="7"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（六）甲方工作人员不得利用职务之便收受乙方以回扣、手续费、加班费、咨询费、劳务费、协调费、辛苦费等各种名义给予或赠送的钱物。</w:t>
      </w:r>
    </w:p>
    <w:p w14:paraId="0B3937A8">
      <w:pPr>
        <w:keepNext w:val="0"/>
        <w:keepLines w:val="0"/>
        <w:pageBreakBefore w:val="0"/>
        <w:kinsoku/>
        <w:wordWrap/>
        <w:overflowPunct/>
        <w:topLinePunct w:val="0"/>
        <w:autoSpaceDE/>
        <w:autoSpaceDN/>
        <w:bidi w:val="0"/>
        <w:adjustRightInd w:val="0"/>
        <w:snapToGrid w:val="0"/>
        <w:spacing w:beforeAutospacing="0" w:afterAutospacing="0" w:line="520" w:lineRule="exact"/>
        <w:ind w:left="15" w:leftChars="7"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（七）甲方工作人员不得接受乙方给予或赠送的干股或红利。</w:t>
      </w:r>
    </w:p>
    <w:p w14:paraId="11BF799B">
      <w:pPr>
        <w:keepNext w:val="0"/>
        <w:keepLines w:val="0"/>
        <w:pageBreakBefore w:val="0"/>
        <w:kinsoku/>
        <w:wordWrap/>
        <w:overflowPunct/>
        <w:topLinePunct w:val="0"/>
        <w:autoSpaceDE/>
        <w:autoSpaceDN/>
        <w:bidi w:val="0"/>
        <w:adjustRightInd w:val="0"/>
        <w:snapToGrid w:val="0"/>
        <w:spacing w:beforeAutospacing="0" w:afterAutospacing="0" w:line="520" w:lineRule="exact"/>
        <w:ind w:left="15" w:leftChars="7"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(八）不得存在其他违反廉洁规定的行为。</w:t>
      </w:r>
    </w:p>
    <w:p w14:paraId="570B1DAB">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482" w:firstLineChars="200"/>
        <w:textAlignment w:val="auto"/>
        <w:rPr>
          <w:rFonts w:hint="eastAsia" w:ascii="仿宋" w:hAnsi="仿宋" w:eastAsia="仿宋" w:cs="仿宋"/>
          <w:color w:val="auto"/>
          <w:sz w:val="24"/>
        </w:rPr>
      </w:pPr>
      <w:r>
        <w:rPr>
          <w:rFonts w:hint="eastAsia" w:ascii="仿宋" w:hAnsi="仿宋" w:eastAsia="仿宋" w:cs="仿宋"/>
          <w:b/>
          <w:bCs/>
          <w:color w:val="auto"/>
          <w:sz w:val="24"/>
        </w:rPr>
        <w:t>第三条乙方的义务</w:t>
      </w:r>
    </w:p>
    <w:p w14:paraId="3153CDB7">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（一）乙方不得以任何理由向甲方及其工作人员行贿或馈赠礼金、有价证券、贵重礼品。</w:t>
      </w:r>
    </w:p>
    <w:p w14:paraId="18A8105F">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（二)乙方不得以任何名义为甲方及其工作人员报销应由甲方单位或个人支付的任何费用。</w:t>
      </w:r>
    </w:p>
    <w:p w14:paraId="4A58317C">
      <w:pPr>
        <w:keepNext w:val="0"/>
        <w:keepLines w:val="0"/>
        <w:pageBreakBefore w:val="0"/>
        <w:kinsoku/>
        <w:wordWrap/>
        <w:overflowPunct/>
        <w:topLinePunct w:val="0"/>
        <w:autoSpaceDE/>
        <w:autoSpaceDN/>
        <w:bidi w:val="0"/>
        <w:adjustRightInd w:val="0"/>
        <w:snapToGrid w:val="0"/>
        <w:spacing w:beforeAutospacing="0" w:afterAutospacing="0" w:line="520" w:lineRule="exact"/>
        <w:ind w:left="25" w:leftChars="12"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（三）乙方不得以任何理由安排甲方工作人员参加可能影响相关业务公开、公正、公平性的宴请及娱乐活动。</w:t>
      </w:r>
    </w:p>
    <w:p w14:paraId="568781A7">
      <w:pPr>
        <w:pStyle w:val="15"/>
        <w:keepNext w:val="0"/>
        <w:keepLines w:val="0"/>
        <w:pageBreakBefore w:val="0"/>
        <w:kinsoku/>
        <w:wordWrap/>
        <w:overflowPunct/>
        <w:topLinePunct w:val="0"/>
        <w:autoSpaceDE/>
        <w:autoSpaceDN/>
        <w:bidi w:val="0"/>
        <w:adjustRightInd w:val="0"/>
        <w:snapToGrid w:val="0"/>
        <w:spacing w:beforeAutospacing="0" w:after="0" w:afterAutospacing="0" w:line="520" w:lineRule="exact"/>
        <w:textAlignment w:val="auto"/>
        <w:rPr>
          <w:rFonts w:hint="eastAsia" w:ascii="仿宋" w:hAnsi="仿宋" w:eastAsia="仿宋" w:cs="仿宋"/>
          <w:sz w:val="24"/>
        </w:rPr>
      </w:pPr>
      <w:r>
        <w:rPr>
          <w:rFonts w:hint="eastAsia" w:ascii="仿宋" w:hAnsi="仿宋" w:eastAsia="仿宋" w:cs="仿宋"/>
          <w:sz w:val="24"/>
        </w:rPr>
        <w:t>（四）乙方不得为甲方单位和个人购置或提供通讯工具和高档办公用品等物品，也不得为甲方提供与工作无关的房屋、汽车等。</w:t>
      </w:r>
    </w:p>
    <w:p w14:paraId="7A8A43D7">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（五）乙方不得擅自与甲方工作人员就合同中的质量、数量、价格、工程量、验收等条款进行私下商谈或者达成默契。</w:t>
      </w:r>
    </w:p>
    <w:p w14:paraId="689A8007">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（六）乙方不得以回扣、手续费、加班费、咨询费、劳务费、协调费、辛苦费等各种名义向甲方工作人员给予或赠送钱物。</w:t>
      </w:r>
    </w:p>
    <w:p w14:paraId="46E6436E">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（七）乙方不得向甲方工作人员提供干股或红利。</w:t>
      </w:r>
    </w:p>
    <w:p w14:paraId="0B9F9DBC">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(八）不得存在其他违反廉洁规定的行为。</w:t>
      </w:r>
    </w:p>
    <w:p w14:paraId="0E97E8C9">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482" w:firstLineChars="200"/>
        <w:textAlignment w:val="auto"/>
        <w:rPr>
          <w:rFonts w:hint="eastAsia" w:ascii="仿宋" w:hAnsi="仿宋" w:eastAsia="仿宋" w:cs="仿宋"/>
          <w:color w:val="auto"/>
          <w:sz w:val="24"/>
        </w:rPr>
      </w:pPr>
      <w:r>
        <w:rPr>
          <w:rFonts w:hint="eastAsia" w:ascii="仿宋" w:hAnsi="仿宋" w:eastAsia="仿宋" w:cs="仿宋"/>
          <w:b/>
          <w:bCs/>
          <w:color w:val="auto"/>
          <w:sz w:val="24"/>
        </w:rPr>
        <w:t>第四条违约责任</w:t>
      </w:r>
    </w:p>
    <w:p w14:paraId="372259E1">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（一）甲方及其工作人员违反本协议第一、二条。甲方按管理权限，对相关责任人依据有关规定给予处理；涉嫌犯罪的，移交司法机关追究刑事责任；给乙方单位造成经济损失的，应予以赔偿。</w:t>
      </w:r>
    </w:p>
    <w:p w14:paraId="03F6D08A">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甲方举报投诉联系部门：广州市净水有限公司</w:t>
      </w:r>
      <w:r>
        <w:rPr>
          <w:rFonts w:hint="eastAsia" w:ascii="仿宋" w:hAnsi="仿宋" w:eastAsia="仿宋" w:cs="仿宋"/>
          <w:color w:val="auto"/>
          <w:sz w:val="24"/>
          <w:u w:val="single"/>
        </w:rPr>
        <w:t>纪检室</w:t>
      </w:r>
      <w:r>
        <w:rPr>
          <w:rFonts w:hint="eastAsia" w:ascii="仿宋" w:hAnsi="仿宋" w:eastAsia="仿宋" w:cs="仿宋"/>
          <w:color w:val="auto"/>
          <w:sz w:val="24"/>
        </w:rPr>
        <w:t>，联系电话：</w:t>
      </w:r>
      <w:r>
        <w:rPr>
          <w:rFonts w:hint="eastAsia" w:ascii="仿宋" w:hAnsi="仿宋" w:eastAsia="仿宋" w:cs="仿宋"/>
          <w:color w:val="auto"/>
          <w:sz w:val="24"/>
          <w:u w:val="single"/>
        </w:rPr>
        <w:t xml:space="preserve"> 020-38890265 </w:t>
      </w:r>
      <w:r>
        <w:rPr>
          <w:rFonts w:hint="eastAsia" w:ascii="仿宋" w:hAnsi="仿宋" w:eastAsia="仿宋" w:cs="仿宋"/>
          <w:color w:val="auto"/>
          <w:sz w:val="24"/>
        </w:rPr>
        <w:t>。</w:t>
      </w:r>
    </w:p>
    <w:p w14:paraId="4ABFB4F3">
      <w:pPr>
        <w:pStyle w:val="21"/>
        <w:keepNext w:val="0"/>
        <w:keepLines w:val="0"/>
        <w:pageBreakBefore w:val="0"/>
        <w:kinsoku/>
        <w:wordWrap/>
        <w:overflowPunct/>
        <w:topLinePunct w:val="0"/>
        <w:autoSpaceDE/>
        <w:autoSpaceDN/>
        <w:bidi w:val="0"/>
        <w:adjustRightInd w:val="0"/>
        <w:snapToGrid w:val="0"/>
        <w:spacing w:beforeAutospacing="0" w:after="0" w:afterAutospacing="0" w:line="520" w:lineRule="exact"/>
        <w:ind w:firstLine="480" w:firstLineChars="200"/>
        <w:textAlignment w:val="auto"/>
        <w:rPr>
          <w:rFonts w:hint="eastAsia" w:ascii="仿宋" w:hAnsi="仿宋" w:eastAsia="仿宋" w:cs="仿宋"/>
          <w:kern w:val="2"/>
        </w:rPr>
      </w:pPr>
      <w:r>
        <w:rPr>
          <w:rFonts w:hint="eastAsia" w:ascii="仿宋" w:hAnsi="仿宋" w:eastAsia="仿宋" w:cs="仿宋"/>
          <w:kern w:val="2"/>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14:paraId="3B1D363F">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firstLine="480" w:firstLineChars="200"/>
        <w:textAlignment w:val="auto"/>
        <w:rPr>
          <w:rFonts w:hint="eastAsia" w:ascii="仿宋" w:hAnsi="仿宋" w:eastAsia="仿宋" w:cs="仿宋"/>
          <w:kern w:val="2"/>
        </w:rPr>
      </w:pPr>
      <w:r>
        <w:rPr>
          <w:rFonts w:hint="eastAsia" w:ascii="仿宋" w:hAnsi="仿宋" w:eastAsia="仿宋" w:cs="仿宋"/>
          <w:kern w:val="2"/>
        </w:rPr>
        <w:t>1</w:t>
      </w:r>
      <w:r>
        <w:rPr>
          <w:rFonts w:hint="eastAsia" w:ascii="仿宋" w:hAnsi="仿宋" w:eastAsia="仿宋" w:cs="仿宋"/>
          <w:kern w:val="2"/>
          <w:lang w:val="en-US" w:eastAsia="zh-CN"/>
        </w:rPr>
        <w:t>.</w:t>
      </w:r>
      <w:r>
        <w:rPr>
          <w:rFonts w:hint="eastAsia" w:ascii="仿宋" w:hAnsi="仿宋" w:eastAsia="仿宋" w:cs="仿宋"/>
          <w:kern w:val="2"/>
        </w:rPr>
        <w:t>扣除主合同的全部履约保证金；</w:t>
      </w:r>
    </w:p>
    <w:p w14:paraId="557CBA83">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firstLine="480" w:firstLineChars="200"/>
        <w:textAlignment w:val="auto"/>
        <w:rPr>
          <w:rFonts w:hint="eastAsia" w:ascii="仿宋" w:hAnsi="仿宋" w:eastAsia="仿宋" w:cs="仿宋"/>
          <w:kern w:val="2"/>
        </w:rPr>
      </w:pPr>
      <w:r>
        <w:rPr>
          <w:rFonts w:hint="eastAsia" w:ascii="仿宋" w:hAnsi="仿宋" w:eastAsia="仿宋" w:cs="仿宋"/>
          <w:kern w:val="2"/>
        </w:rPr>
        <w:t>2</w:t>
      </w:r>
      <w:r>
        <w:rPr>
          <w:rFonts w:hint="eastAsia" w:ascii="仿宋" w:hAnsi="仿宋" w:eastAsia="仿宋" w:cs="仿宋"/>
          <w:kern w:val="2"/>
          <w:lang w:val="en-US" w:eastAsia="zh-CN"/>
        </w:rPr>
        <w:t>.</w:t>
      </w:r>
      <w:r>
        <w:rPr>
          <w:rFonts w:hint="eastAsia" w:ascii="仿宋" w:hAnsi="仿宋" w:eastAsia="仿宋" w:cs="仿宋"/>
          <w:kern w:val="2"/>
        </w:rPr>
        <w:t>解除主合同；</w:t>
      </w:r>
    </w:p>
    <w:p w14:paraId="75C8EF76">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firstLine="480" w:firstLineChars="200"/>
        <w:textAlignment w:val="auto"/>
        <w:rPr>
          <w:rFonts w:hint="eastAsia" w:ascii="仿宋" w:hAnsi="仿宋" w:eastAsia="仿宋" w:cs="仿宋"/>
          <w:kern w:val="2"/>
        </w:rPr>
      </w:pPr>
      <w:r>
        <w:rPr>
          <w:rFonts w:hint="eastAsia" w:ascii="仿宋" w:hAnsi="仿宋" w:eastAsia="仿宋" w:cs="仿宋"/>
          <w:kern w:val="2"/>
        </w:rPr>
        <w:t>3</w:t>
      </w:r>
      <w:r>
        <w:rPr>
          <w:rFonts w:hint="eastAsia" w:ascii="仿宋" w:hAnsi="仿宋" w:eastAsia="仿宋" w:cs="仿宋"/>
          <w:kern w:val="2"/>
          <w:lang w:val="en-US" w:eastAsia="zh-CN"/>
        </w:rPr>
        <w:t>.</w:t>
      </w:r>
      <w:r>
        <w:rPr>
          <w:rFonts w:hint="eastAsia" w:ascii="仿宋" w:hAnsi="仿宋" w:eastAsia="仿宋" w:cs="仿宋"/>
          <w:kern w:val="2"/>
        </w:rPr>
        <w:t>追究乙方其他违约责任；</w:t>
      </w:r>
    </w:p>
    <w:p w14:paraId="6D799D04">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firstLine="480" w:firstLineChars="200"/>
        <w:textAlignment w:val="auto"/>
        <w:rPr>
          <w:rFonts w:hint="eastAsia" w:ascii="仿宋" w:hAnsi="仿宋" w:eastAsia="仿宋" w:cs="仿宋"/>
          <w:kern w:val="2"/>
        </w:rPr>
      </w:pPr>
      <w:r>
        <w:rPr>
          <w:rFonts w:hint="eastAsia" w:ascii="仿宋" w:hAnsi="仿宋" w:eastAsia="仿宋" w:cs="仿宋"/>
          <w:kern w:val="2"/>
        </w:rPr>
        <w:t>4</w:t>
      </w:r>
      <w:r>
        <w:rPr>
          <w:rFonts w:hint="eastAsia" w:ascii="仿宋" w:hAnsi="仿宋" w:eastAsia="仿宋" w:cs="仿宋"/>
          <w:kern w:val="2"/>
          <w:lang w:val="en-US" w:eastAsia="zh-CN"/>
        </w:rPr>
        <w:t>.</w:t>
      </w:r>
      <w:r>
        <w:rPr>
          <w:rFonts w:hint="eastAsia" w:ascii="仿宋" w:hAnsi="仿宋" w:eastAsia="仿宋" w:cs="仿宋"/>
          <w:kern w:val="2"/>
        </w:rPr>
        <w:t>根据甲方的有关规章制度，在一定时间内暂停乙方参与甲方及下属单位所有项目的交易资格；</w:t>
      </w:r>
    </w:p>
    <w:p w14:paraId="7A7AE0F0">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firstLine="480" w:firstLineChars="200"/>
        <w:textAlignment w:val="auto"/>
        <w:rPr>
          <w:rFonts w:hint="eastAsia" w:ascii="仿宋" w:hAnsi="仿宋" w:eastAsia="仿宋" w:cs="仿宋"/>
          <w:kern w:val="2"/>
        </w:rPr>
      </w:pPr>
      <w:r>
        <w:rPr>
          <w:rFonts w:hint="eastAsia" w:ascii="仿宋" w:hAnsi="仿宋" w:eastAsia="仿宋" w:cs="仿宋"/>
          <w:kern w:val="2"/>
        </w:rPr>
        <w:t>5</w:t>
      </w:r>
      <w:r>
        <w:rPr>
          <w:rFonts w:hint="eastAsia" w:ascii="仿宋" w:hAnsi="仿宋" w:eastAsia="仿宋" w:cs="仿宋"/>
          <w:kern w:val="2"/>
          <w:lang w:val="en-US" w:eastAsia="zh-CN"/>
        </w:rPr>
        <w:t>.</w:t>
      </w:r>
      <w:r>
        <w:rPr>
          <w:rFonts w:hint="eastAsia" w:ascii="仿宋" w:hAnsi="仿宋" w:eastAsia="仿宋" w:cs="仿宋"/>
          <w:kern w:val="2"/>
        </w:rPr>
        <w:t>根据甲方的有关规章制度，将乙方清退出甲方相关企业库；</w:t>
      </w:r>
    </w:p>
    <w:p w14:paraId="18DA5FA6">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firstLine="480" w:firstLineChars="200"/>
        <w:textAlignment w:val="auto"/>
        <w:rPr>
          <w:rFonts w:hint="eastAsia" w:ascii="仿宋" w:hAnsi="仿宋" w:eastAsia="仿宋" w:cs="仿宋"/>
          <w:kern w:val="2"/>
        </w:rPr>
      </w:pPr>
      <w:r>
        <w:rPr>
          <w:rFonts w:hint="eastAsia" w:ascii="仿宋" w:hAnsi="仿宋" w:eastAsia="仿宋" w:cs="仿宋"/>
          <w:kern w:val="2"/>
        </w:rPr>
        <w:t>6</w:t>
      </w:r>
      <w:r>
        <w:rPr>
          <w:rFonts w:hint="eastAsia" w:ascii="仿宋" w:hAnsi="仿宋" w:eastAsia="仿宋" w:cs="仿宋"/>
          <w:kern w:val="2"/>
          <w:lang w:val="en-US" w:eastAsia="zh-CN"/>
        </w:rPr>
        <w:t>.</w:t>
      </w:r>
      <w:r>
        <w:rPr>
          <w:rFonts w:hint="eastAsia" w:ascii="仿宋" w:hAnsi="仿宋" w:eastAsia="仿宋" w:cs="仿宋"/>
          <w:kern w:val="2"/>
        </w:rPr>
        <w:t>根据甲方上级单位、行政主管部门的意见、决定执行；</w:t>
      </w:r>
    </w:p>
    <w:p w14:paraId="2BCF378D">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firstLine="480" w:firstLineChars="200"/>
        <w:textAlignment w:val="auto"/>
        <w:rPr>
          <w:rFonts w:hint="eastAsia" w:ascii="仿宋" w:hAnsi="仿宋" w:eastAsia="仿宋" w:cs="仿宋"/>
          <w:kern w:val="2"/>
        </w:rPr>
      </w:pPr>
      <w:r>
        <w:rPr>
          <w:rFonts w:hint="eastAsia" w:ascii="仿宋" w:hAnsi="仿宋" w:eastAsia="仿宋" w:cs="仿宋"/>
          <w:kern w:val="2"/>
        </w:rPr>
        <w:t>7</w:t>
      </w:r>
      <w:r>
        <w:rPr>
          <w:rFonts w:hint="eastAsia" w:ascii="仿宋" w:hAnsi="仿宋" w:eastAsia="仿宋" w:cs="仿宋"/>
          <w:kern w:val="2"/>
          <w:lang w:val="en-US" w:eastAsia="zh-CN"/>
        </w:rPr>
        <w:t>.</w:t>
      </w:r>
      <w:r>
        <w:rPr>
          <w:rFonts w:hint="eastAsia" w:ascii="仿宋" w:hAnsi="仿宋" w:eastAsia="仿宋" w:cs="仿宋"/>
          <w:kern w:val="2"/>
        </w:rPr>
        <w:t>按规定向有关行政监督部门、乙方业务管理部门进行投诉、报告。</w:t>
      </w:r>
    </w:p>
    <w:p w14:paraId="73594FC8">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乙方无条件接受甲方的处理决定并承担给甲方造成的损失，全额返还通过不正当手段获取的非法所得，并承担相应的法律责任。</w:t>
      </w:r>
    </w:p>
    <w:p w14:paraId="391D1828">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482" w:firstLineChars="200"/>
        <w:textAlignment w:val="auto"/>
        <w:rPr>
          <w:rFonts w:hint="eastAsia" w:ascii="仿宋" w:hAnsi="仿宋" w:eastAsia="仿宋" w:cs="仿宋"/>
          <w:color w:val="auto"/>
          <w:kern w:val="0"/>
          <w:sz w:val="24"/>
        </w:rPr>
      </w:pPr>
      <w:r>
        <w:rPr>
          <w:rFonts w:hint="eastAsia" w:ascii="仿宋" w:hAnsi="仿宋" w:eastAsia="仿宋" w:cs="仿宋"/>
          <w:b/>
          <w:bCs/>
          <w:color w:val="auto"/>
          <w:sz w:val="24"/>
        </w:rPr>
        <w:t xml:space="preserve">第五条 </w:t>
      </w:r>
      <w:r>
        <w:rPr>
          <w:rFonts w:hint="eastAsia" w:ascii="仿宋" w:hAnsi="仿宋" w:eastAsia="仿宋" w:cs="仿宋"/>
          <w:color w:val="auto"/>
          <w:kern w:val="0"/>
          <w:sz w:val="24"/>
        </w:rPr>
        <w:t xml:space="preserve">本协议执行情况，接受有管辖权的纪检、监察部门的监督，双方应予以配合检查调查。 </w:t>
      </w:r>
    </w:p>
    <w:p w14:paraId="7C1DEE50">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482" w:firstLineChars="200"/>
        <w:textAlignment w:val="auto"/>
        <w:rPr>
          <w:rFonts w:hint="eastAsia" w:ascii="仿宋" w:hAnsi="仿宋" w:eastAsia="仿宋" w:cs="仿宋"/>
          <w:color w:val="auto"/>
          <w:sz w:val="24"/>
        </w:rPr>
      </w:pPr>
      <w:r>
        <w:rPr>
          <w:rFonts w:hint="eastAsia" w:ascii="仿宋" w:hAnsi="仿宋" w:eastAsia="仿宋" w:cs="仿宋"/>
          <w:b/>
          <w:color w:val="auto"/>
          <w:sz w:val="24"/>
        </w:rPr>
        <w:t>第六条</w:t>
      </w:r>
      <w:r>
        <w:rPr>
          <w:rFonts w:hint="eastAsia" w:ascii="仿宋" w:hAnsi="仿宋" w:eastAsia="仿宋" w:cs="仿宋"/>
          <w:b/>
          <w:color w:val="auto"/>
          <w:sz w:val="24"/>
          <w:lang w:val="en-US" w:eastAsia="zh-CN"/>
        </w:rPr>
        <w:t xml:space="preserve"> </w:t>
      </w:r>
      <w:r>
        <w:rPr>
          <w:rFonts w:hint="eastAsia" w:ascii="仿宋" w:hAnsi="仿宋" w:eastAsia="仿宋" w:cs="仿宋"/>
          <w:color w:val="auto"/>
          <w:sz w:val="24"/>
        </w:rPr>
        <w:t>本协议作为</w:t>
      </w:r>
      <w:r>
        <w:rPr>
          <w:rFonts w:hint="eastAsia" w:ascii="仿宋" w:hAnsi="仿宋" w:eastAsia="仿宋" w:cs="仿宋"/>
          <w:color w:val="auto"/>
          <w:sz w:val="24"/>
          <w:u w:val="single"/>
          <w:lang w:val="en-US" w:eastAsia="zh-CN"/>
        </w:rPr>
        <w:t>广州市净水有限公司</w:t>
      </w:r>
      <w:r>
        <w:rPr>
          <w:rFonts w:hint="eastAsia" w:ascii="仿宋" w:hAnsi="仿宋" w:eastAsia="仿宋" w:cs="仿宋"/>
          <w:color w:val="auto"/>
          <w:sz w:val="24"/>
          <w:szCs w:val="24"/>
          <w:u w:val="single"/>
          <w:lang w:eastAsia="zh-CN"/>
        </w:rPr>
        <w:t>2025年在线COD试剂采购项目</w:t>
      </w:r>
      <w:r>
        <w:rPr>
          <w:rFonts w:hint="eastAsia" w:ascii="仿宋" w:hAnsi="仿宋" w:eastAsia="仿宋" w:cs="仿宋"/>
          <w:color w:val="auto"/>
          <w:sz w:val="24"/>
          <w:szCs w:val="24"/>
          <w:u w:val="single"/>
          <w:lang w:val="en-US" w:eastAsia="zh-CN"/>
        </w:rPr>
        <w:t>货物采购合同</w:t>
      </w:r>
      <w:r>
        <w:rPr>
          <w:rFonts w:hint="eastAsia" w:ascii="仿宋" w:hAnsi="仿宋" w:eastAsia="仿宋" w:cs="仿宋"/>
          <w:color w:val="auto"/>
          <w:sz w:val="24"/>
          <w:u w:val="single"/>
        </w:rPr>
        <w:t xml:space="preserve"> 穗净水合</w:t>
      </w:r>
      <w:r>
        <w:rPr>
          <w:rFonts w:hint="eastAsia" w:ascii="仿宋" w:hAnsi="仿宋" w:eastAsia="仿宋" w:cs="仿宋"/>
          <w:sz w:val="24"/>
          <w:szCs w:val="24"/>
          <w:u w:val="single"/>
        </w:rPr>
        <w:t>〔     〕</w:t>
      </w:r>
      <w:r>
        <w:rPr>
          <w:rFonts w:hint="eastAsia" w:ascii="仿宋" w:hAnsi="仿宋" w:eastAsia="仿宋" w:cs="仿宋"/>
          <w:color w:val="auto"/>
          <w:sz w:val="24"/>
          <w:u w:val="single"/>
        </w:rPr>
        <w:t xml:space="preserve">      号</w:t>
      </w:r>
      <w:r>
        <w:rPr>
          <w:rFonts w:hint="eastAsia" w:ascii="仿宋" w:hAnsi="仿宋" w:eastAsia="仿宋" w:cs="仿宋"/>
          <w:color w:val="auto"/>
          <w:sz w:val="24"/>
        </w:rPr>
        <w:t>合同的附件，并具有同等的法律效力，本协议自双方签字盖章之日起生效，与主合同同时终止。</w:t>
      </w:r>
    </w:p>
    <w:p w14:paraId="5BA8F4A3">
      <w:pPr>
        <w:keepNext w:val="0"/>
        <w:keepLines w:val="0"/>
        <w:pageBreakBefore w:val="0"/>
        <w:kinsoku/>
        <w:wordWrap/>
        <w:overflowPunct/>
        <w:topLinePunct w:val="0"/>
        <w:autoSpaceDE/>
        <w:autoSpaceDN/>
        <w:bidi w:val="0"/>
        <w:adjustRightInd w:val="0"/>
        <w:snapToGrid w:val="0"/>
        <w:spacing w:beforeAutospacing="0" w:afterAutospacing="0" w:line="520" w:lineRule="exact"/>
        <w:ind w:firstLine="482" w:firstLineChars="200"/>
        <w:textAlignment w:val="auto"/>
        <w:rPr>
          <w:rFonts w:hint="eastAsia" w:ascii="仿宋" w:hAnsi="仿宋" w:eastAsia="仿宋" w:cs="仿宋"/>
          <w:color w:val="auto"/>
          <w:sz w:val="24"/>
        </w:rPr>
      </w:pPr>
      <w:r>
        <w:rPr>
          <w:rFonts w:hint="eastAsia" w:ascii="仿宋" w:hAnsi="仿宋" w:eastAsia="仿宋" w:cs="仿宋"/>
          <w:b/>
          <w:color w:val="auto"/>
          <w:sz w:val="24"/>
        </w:rPr>
        <w:t>第七条</w:t>
      </w:r>
      <w:r>
        <w:rPr>
          <w:rFonts w:hint="eastAsia" w:ascii="仿宋" w:hAnsi="仿宋" w:eastAsia="仿宋" w:cs="仿宋"/>
          <w:b/>
          <w:color w:val="auto"/>
          <w:sz w:val="24"/>
          <w:lang w:val="en-US" w:eastAsia="zh-CN"/>
        </w:rPr>
        <w:t xml:space="preserve"> </w:t>
      </w:r>
      <w:r>
        <w:rPr>
          <w:rFonts w:hint="eastAsia" w:ascii="仿宋" w:hAnsi="仿宋" w:eastAsia="仿宋" w:cs="仿宋"/>
          <w:color w:val="auto"/>
          <w:sz w:val="24"/>
        </w:rPr>
        <w:t>本协议甲方、乙方双方执持数量与主合同一致。</w:t>
      </w:r>
    </w:p>
    <w:p w14:paraId="76B4C378">
      <w:pPr>
        <w:spacing w:line="360" w:lineRule="auto"/>
        <w:ind w:firstLine="480" w:firstLineChars="200"/>
        <w:rPr>
          <w:rFonts w:hint="eastAsia" w:ascii="仿宋" w:hAnsi="仿宋" w:eastAsia="仿宋" w:cs="仿宋"/>
          <w:color w:val="auto"/>
          <w:sz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048E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1FB7E9D0">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48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盖章</w:t>
            </w:r>
            <w:r>
              <w:rPr>
                <w:rFonts w:hint="eastAsia" w:ascii="仿宋" w:hAnsi="仿宋" w:eastAsia="仿宋" w:cs="仿宋"/>
                <w:sz w:val="24"/>
                <w:szCs w:val="24"/>
                <w:lang w:eastAsia="zh-CN"/>
              </w:rPr>
              <w:t>）</w:t>
            </w:r>
            <w:r>
              <w:rPr>
                <w:rFonts w:hint="eastAsia" w:ascii="仿宋" w:hAnsi="仿宋" w:eastAsia="仿宋" w:cs="仿宋"/>
                <w:sz w:val="24"/>
                <w:szCs w:val="24"/>
              </w:rPr>
              <w:t>：</w:t>
            </w:r>
          </w:p>
          <w:p w14:paraId="3C68543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48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签约代表：</w:t>
            </w:r>
          </w:p>
          <w:p w14:paraId="30AEBFFF">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480" w:lineRule="auto"/>
              <w:ind w:left="0" w:right="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签订时间：    </w:t>
            </w:r>
            <w:r>
              <w:rPr>
                <w:rFonts w:hint="eastAsia" w:ascii="仿宋" w:hAnsi="仿宋" w:eastAsia="仿宋" w:cs="仿宋"/>
                <w:sz w:val="24"/>
                <w:szCs w:val="24"/>
              </w:rPr>
              <w:t>年    月    日</w:t>
            </w:r>
          </w:p>
        </w:tc>
        <w:tc>
          <w:tcPr>
            <w:tcW w:w="4474" w:type="dxa"/>
          </w:tcPr>
          <w:p w14:paraId="6E3D26B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48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盖章</w:t>
            </w:r>
            <w:r>
              <w:rPr>
                <w:rFonts w:hint="eastAsia" w:ascii="仿宋" w:hAnsi="仿宋" w:eastAsia="仿宋" w:cs="仿宋"/>
                <w:sz w:val="24"/>
                <w:szCs w:val="24"/>
                <w:lang w:eastAsia="zh-CN"/>
              </w:rPr>
              <w:t>）</w:t>
            </w:r>
            <w:r>
              <w:rPr>
                <w:rFonts w:hint="eastAsia" w:ascii="仿宋" w:hAnsi="仿宋" w:eastAsia="仿宋" w:cs="仿宋"/>
                <w:sz w:val="24"/>
                <w:szCs w:val="24"/>
              </w:rPr>
              <w:t>：</w:t>
            </w:r>
          </w:p>
          <w:p w14:paraId="25D7890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48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签约代表：</w:t>
            </w:r>
          </w:p>
          <w:p w14:paraId="29CED54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480" w:lineRule="auto"/>
              <w:ind w:left="0" w:right="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签订时间：     </w:t>
            </w:r>
            <w:r>
              <w:rPr>
                <w:rFonts w:hint="eastAsia" w:ascii="仿宋" w:hAnsi="仿宋" w:eastAsia="仿宋" w:cs="仿宋"/>
                <w:sz w:val="24"/>
                <w:szCs w:val="24"/>
              </w:rPr>
              <w:t>年    月    日</w:t>
            </w:r>
          </w:p>
        </w:tc>
      </w:tr>
    </w:tbl>
    <w:p w14:paraId="375B72E2">
      <w:pPr>
        <w:spacing w:after="0" w:line="240" w:lineRule="auto"/>
        <w:rPr>
          <w:rFonts w:hint="eastAsia" w:ascii="仿宋" w:hAnsi="仿宋" w:eastAsia="仿宋" w:cs="仿宋"/>
        </w:rPr>
      </w:pPr>
    </w:p>
    <w:p w14:paraId="689C06C6">
      <w:pPr>
        <w:pStyle w:val="13"/>
        <w:rPr>
          <w:rFonts w:hint="eastAsia" w:ascii="仿宋" w:hAnsi="仿宋" w:eastAsia="仿宋" w:cs="仿宋"/>
        </w:rPr>
      </w:pPr>
    </w:p>
    <w:p w14:paraId="0127AF81">
      <w:pPr>
        <w:pStyle w:val="14"/>
        <w:rPr>
          <w:rFonts w:hint="eastAsia" w:ascii="仿宋" w:hAnsi="仿宋" w:eastAsia="仿宋" w:cs="仿宋"/>
        </w:rPr>
      </w:pPr>
    </w:p>
    <w:p w14:paraId="385E2882">
      <w:pPr>
        <w:spacing w:line="120" w:lineRule="auto"/>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 营运单位内运输、装（卸）安全及消防安全协议</w:t>
      </w:r>
    </w:p>
    <w:p w14:paraId="052CAF7E">
      <w:pPr>
        <w:keepNext w:val="0"/>
        <w:keepLines w:val="0"/>
        <w:pageBreakBefore w:val="0"/>
        <w:kinsoku/>
        <w:wordWrap/>
        <w:overflowPunct/>
        <w:topLinePunct w:val="0"/>
        <w:autoSpaceDE/>
        <w:autoSpaceDN/>
        <w:bidi w:val="0"/>
        <w:spacing w:line="440" w:lineRule="exact"/>
        <w:jc w:val="center"/>
        <w:textAlignment w:val="auto"/>
        <w:rPr>
          <w:rFonts w:hint="eastAsia" w:ascii="仿宋" w:hAnsi="仿宋" w:eastAsia="仿宋" w:cs="仿宋"/>
          <w:b/>
          <w:bCs/>
          <w:sz w:val="32"/>
          <w:szCs w:val="32"/>
          <w:lang w:val="en-US" w:eastAsia="zh-CN"/>
        </w:rPr>
      </w:pPr>
    </w:p>
    <w:p w14:paraId="37E58951">
      <w:pPr>
        <w:keepNext w:val="0"/>
        <w:keepLines w:val="0"/>
        <w:pageBreakBefore w:val="0"/>
        <w:kinsoku/>
        <w:wordWrap/>
        <w:overflowPunct/>
        <w:topLinePunct w:val="0"/>
        <w:autoSpaceDE/>
        <w:autoSpaceDN/>
        <w:bidi w:val="0"/>
        <w:spacing w:line="44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营运单位内运输、装（卸）安全及消防安全协议书</w:t>
      </w:r>
    </w:p>
    <w:p w14:paraId="05ECA8FB">
      <w:pPr>
        <w:keepNext w:val="0"/>
        <w:keepLines w:val="0"/>
        <w:pageBreakBefore w:val="0"/>
        <w:kinsoku/>
        <w:wordWrap/>
        <w:overflowPunct/>
        <w:topLinePunct w:val="0"/>
        <w:autoSpaceDE/>
        <w:autoSpaceDN/>
        <w:bidi w:val="0"/>
        <w:spacing w:line="440" w:lineRule="exact"/>
        <w:textAlignment w:val="auto"/>
        <w:rPr>
          <w:rFonts w:hint="eastAsia" w:ascii="仿宋" w:hAnsi="仿宋" w:eastAsia="仿宋" w:cs="仿宋"/>
          <w:kern w:val="0"/>
          <w:sz w:val="24"/>
          <w:szCs w:val="24"/>
        </w:rPr>
      </w:pPr>
    </w:p>
    <w:p w14:paraId="62DB52A7">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甲方：</w:t>
      </w:r>
      <w:r>
        <w:rPr>
          <w:rFonts w:hint="eastAsia" w:ascii="仿宋" w:hAnsi="仿宋" w:eastAsia="仿宋" w:cs="仿宋"/>
          <w:sz w:val="24"/>
          <w:szCs w:val="24"/>
        </w:rPr>
        <w:t>广州市净水有限公司</w:t>
      </w:r>
    </w:p>
    <w:p w14:paraId="25210E2E">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乙方： </w:t>
      </w:r>
    </w:p>
    <w:p w14:paraId="0B4FEE5C">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仿宋" w:hAnsi="仿宋" w:eastAsia="仿宋" w:cs="仿宋"/>
          <w:kern w:val="0"/>
          <w:sz w:val="24"/>
          <w:szCs w:val="24"/>
        </w:rPr>
      </w:pPr>
    </w:p>
    <w:p w14:paraId="2BE838E7">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根据《中华人民共和国安全生产法》、</w:t>
      </w:r>
      <w:r>
        <w:rPr>
          <w:rFonts w:hint="eastAsia" w:ascii="仿宋" w:hAnsi="仿宋" w:eastAsia="仿宋" w:cs="仿宋"/>
          <w:kern w:val="0"/>
          <w:sz w:val="24"/>
          <w:szCs w:val="24"/>
          <w:lang w:eastAsia="zh-CN"/>
        </w:rPr>
        <w:t>《中华人民共和国消防法》、</w:t>
      </w:r>
      <w:r>
        <w:rPr>
          <w:rFonts w:hint="eastAsia" w:ascii="仿宋" w:hAnsi="仿宋" w:eastAsia="仿宋" w:cs="仿宋"/>
          <w:kern w:val="0"/>
          <w:sz w:val="24"/>
          <w:szCs w:val="24"/>
        </w:rPr>
        <w:t>《生产安全事故报告和调查处理条例》等国家及地方有关安全生产</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消防安全</w:t>
      </w:r>
      <w:r>
        <w:rPr>
          <w:rFonts w:hint="eastAsia" w:ascii="仿宋" w:hAnsi="仿宋" w:eastAsia="仿宋" w:cs="仿宋"/>
          <w:kern w:val="0"/>
          <w:sz w:val="24"/>
          <w:szCs w:val="24"/>
        </w:rPr>
        <w:t>法律法规，甲乙双方就安全</w:t>
      </w:r>
      <w:r>
        <w:rPr>
          <w:rFonts w:hint="eastAsia" w:ascii="仿宋" w:hAnsi="仿宋" w:eastAsia="仿宋" w:cs="仿宋"/>
          <w:kern w:val="0"/>
          <w:sz w:val="24"/>
          <w:szCs w:val="24"/>
          <w:lang w:val="en-US" w:eastAsia="zh-CN"/>
        </w:rPr>
        <w:t>及消防安全</w:t>
      </w:r>
      <w:r>
        <w:rPr>
          <w:rFonts w:hint="eastAsia" w:ascii="仿宋" w:hAnsi="仿宋" w:eastAsia="仿宋" w:cs="仿宋"/>
          <w:kern w:val="0"/>
          <w:sz w:val="24"/>
          <w:szCs w:val="24"/>
        </w:rPr>
        <w:t>事宜，</w:t>
      </w:r>
      <w:r>
        <w:rPr>
          <w:rFonts w:hint="eastAsia" w:ascii="仿宋" w:hAnsi="仿宋" w:eastAsia="仿宋" w:cs="仿宋"/>
          <w:sz w:val="24"/>
          <w:szCs w:val="24"/>
        </w:rPr>
        <w:t>经双方友好协商，达成如下协议</w:t>
      </w:r>
      <w:r>
        <w:rPr>
          <w:rFonts w:hint="eastAsia" w:ascii="仿宋" w:hAnsi="仿宋" w:eastAsia="仿宋" w:cs="仿宋"/>
          <w:kern w:val="0"/>
          <w:sz w:val="24"/>
          <w:szCs w:val="24"/>
        </w:rPr>
        <w:t>。</w:t>
      </w:r>
    </w:p>
    <w:p w14:paraId="0C0B1651">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一、总则</w:t>
      </w:r>
    </w:p>
    <w:p w14:paraId="33CF3172">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本协议是合同</w:t>
      </w:r>
      <w:r>
        <w:rPr>
          <w:rFonts w:hint="eastAsia" w:ascii="仿宋" w:hAnsi="仿宋" w:eastAsia="仿宋" w:cs="仿宋"/>
          <w:sz w:val="24"/>
          <w:szCs w:val="24"/>
          <w:u w:val="single"/>
        </w:rPr>
        <w:t xml:space="preserve"> </w:t>
      </w:r>
      <w:r>
        <w:rPr>
          <w:rFonts w:hint="eastAsia" w:ascii="仿宋" w:hAnsi="仿宋" w:eastAsia="仿宋" w:cs="仿宋"/>
          <w:color w:val="auto"/>
          <w:sz w:val="24"/>
          <w:u w:val="single"/>
          <w:lang w:val="en-US" w:eastAsia="zh-CN"/>
        </w:rPr>
        <w:t>广州市净水有限公司</w:t>
      </w:r>
      <w:r>
        <w:rPr>
          <w:rFonts w:hint="eastAsia" w:ascii="仿宋" w:hAnsi="仿宋" w:eastAsia="仿宋" w:cs="仿宋"/>
          <w:color w:val="auto"/>
          <w:sz w:val="24"/>
          <w:szCs w:val="24"/>
          <w:u w:val="single"/>
          <w:lang w:eastAsia="zh-CN"/>
        </w:rPr>
        <w:t>2025年在线COD试剂采购项目</w:t>
      </w:r>
      <w:r>
        <w:rPr>
          <w:rFonts w:hint="eastAsia" w:ascii="仿宋" w:hAnsi="仿宋" w:eastAsia="仿宋" w:cs="仿宋"/>
          <w:color w:val="auto"/>
          <w:sz w:val="24"/>
          <w:szCs w:val="24"/>
          <w:u w:val="single"/>
          <w:lang w:val="en-US" w:eastAsia="zh-CN"/>
        </w:rPr>
        <w:t>货物采购合同</w:t>
      </w:r>
      <w:r>
        <w:rPr>
          <w:rFonts w:hint="eastAsia" w:ascii="仿宋" w:hAnsi="仿宋" w:eastAsia="仿宋" w:cs="仿宋"/>
          <w:sz w:val="24"/>
          <w:szCs w:val="24"/>
          <w:u w:val="single"/>
        </w:rPr>
        <w:t xml:space="preserve">（穗净水合〔     〕    号） </w:t>
      </w:r>
      <w:r>
        <w:rPr>
          <w:rFonts w:hint="eastAsia" w:ascii="仿宋" w:hAnsi="仿宋" w:eastAsia="仿宋" w:cs="仿宋"/>
          <w:sz w:val="24"/>
          <w:szCs w:val="24"/>
        </w:rPr>
        <w:t>的组成部分。</w:t>
      </w:r>
    </w:p>
    <w:p w14:paraId="492181F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二</w:t>
      </w:r>
      <w:r>
        <w:rPr>
          <w:rFonts w:hint="eastAsia" w:ascii="仿宋" w:hAnsi="仿宋" w:eastAsia="仿宋" w:cs="仿宋"/>
          <w:kern w:val="0"/>
          <w:sz w:val="24"/>
          <w:szCs w:val="24"/>
          <w:lang w:eastAsia="zh-CN"/>
        </w:rPr>
        <w:t>）</w:t>
      </w:r>
      <w:r>
        <w:rPr>
          <w:rFonts w:hint="eastAsia" w:ascii="仿宋" w:hAnsi="仿宋" w:eastAsia="仿宋" w:cs="仿宋"/>
          <w:color w:val="auto"/>
          <w:kern w:val="0"/>
          <w:sz w:val="24"/>
          <w:szCs w:val="24"/>
        </w:rPr>
        <w:t>甲</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乙双方应遵守国家、省、市有关</w:t>
      </w:r>
      <w:r>
        <w:rPr>
          <w:rFonts w:hint="eastAsia" w:ascii="仿宋" w:hAnsi="仿宋" w:eastAsia="仿宋" w:cs="仿宋"/>
          <w:kern w:val="0"/>
          <w:sz w:val="24"/>
          <w:szCs w:val="24"/>
        </w:rPr>
        <w:t>安全生产</w:t>
      </w:r>
      <w:r>
        <w:rPr>
          <w:rFonts w:hint="eastAsia" w:ascii="仿宋" w:hAnsi="仿宋" w:eastAsia="仿宋" w:cs="仿宋"/>
          <w:kern w:val="0"/>
          <w:sz w:val="24"/>
          <w:szCs w:val="24"/>
          <w:lang w:eastAsia="zh-CN"/>
        </w:rPr>
        <w:t>、</w:t>
      </w:r>
      <w:r>
        <w:rPr>
          <w:rFonts w:hint="eastAsia" w:ascii="仿宋" w:hAnsi="仿宋" w:eastAsia="仿宋" w:cs="仿宋"/>
          <w:color w:val="auto"/>
          <w:kern w:val="0"/>
          <w:sz w:val="24"/>
          <w:szCs w:val="24"/>
        </w:rPr>
        <w:t>消防安全的法律、法规、规章，履行</w:t>
      </w:r>
      <w:r>
        <w:rPr>
          <w:rFonts w:hint="eastAsia" w:ascii="仿宋" w:hAnsi="仿宋" w:eastAsia="仿宋" w:cs="仿宋"/>
          <w:kern w:val="0"/>
          <w:sz w:val="24"/>
          <w:szCs w:val="24"/>
          <w:lang w:val="en-US" w:eastAsia="zh-CN"/>
        </w:rPr>
        <w:t>安全生产、</w:t>
      </w:r>
      <w:r>
        <w:rPr>
          <w:rFonts w:hint="eastAsia" w:ascii="仿宋" w:hAnsi="仿宋" w:eastAsia="仿宋" w:cs="仿宋"/>
          <w:color w:val="auto"/>
          <w:kern w:val="0"/>
          <w:sz w:val="24"/>
          <w:szCs w:val="24"/>
        </w:rPr>
        <w:t>消防安全职责，保障人员生命、财产安全。</w:t>
      </w:r>
    </w:p>
    <w:p w14:paraId="1644AA51">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lang w:eastAsia="zh-CN"/>
        </w:rPr>
        <w:t>）</w:t>
      </w:r>
      <w:r>
        <w:rPr>
          <w:rFonts w:hint="eastAsia" w:ascii="仿宋" w:hAnsi="仿宋" w:eastAsia="仿宋" w:cs="仿宋"/>
          <w:color w:val="auto"/>
          <w:kern w:val="0"/>
          <w:sz w:val="24"/>
          <w:szCs w:val="24"/>
        </w:rPr>
        <w:t>甲</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乙双方应当逐级落实</w:t>
      </w:r>
      <w:r>
        <w:rPr>
          <w:rFonts w:hint="eastAsia" w:ascii="仿宋" w:hAnsi="仿宋" w:eastAsia="仿宋" w:cs="仿宋"/>
          <w:kern w:val="0"/>
          <w:sz w:val="24"/>
          <w:szCs w:val="24"/>
          <w:lang w:val="en-US" w:eastAsia="zh-CN"/>
        </w:rPr>
        <w:t>安全生产、</w:t>
      </w:r>
      <w:r>
        <w:rPr>
          <w:rFonts w:hint="eastAsia" w:ascii="仿宋" w:hAnsi="仿宋" w:eastAsia="仿宋" w:cs="仿宋"/>
          <w:color w:val="auto"/>
          <w:kern w:val="0"/>
          <w:sz w:val="24"/>
          <w:szCs w:val="24"/>
        </w:rPr>
        <w:t>消防安全责任制，明确逐级岗位人员的安全</w:t>
      </w:r>
      <w:r>
        <w:rPr>
          <w:rFonts w:hint="eastAsia" w:ascii="仿宋" w:hAnsi="仿宋" w:eastAsia="仿宋" w:cs="仿宋"/>
          <w:kern w:val="0"/>
          <w:sz w:val="24"/>
          <w:szCs w:val="24"/>
          <w:lang w:val="en-US" w:eastAsia="zh-CN"/>
        </w:rPr>
        <w:t>生产、消防安全</w:t>
      </w:r>
      <w:r>
        <w:rPr>
          <w:rFonts w:hint="eastAsia" w:ascii="仿宋" w:hAnsi="仿宋" w:eastAsia="仿宋" w:cs="仿宋"/>
          <w:color w:val="auto"/>
          <w:kern w:val="0"/>
          <w:sz w:val="24"/>
          <w:szCs w:val="24"/>
        </w:rPr>
        <w:t>职责。</w:t>
      </w:r>
    </w:p>
    <w:p w14:paraId="287AB5B2">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四</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本协议是对在满足法律法规规定的双方安全及消防安全责任的基础上的补充事项。</w:t>
      </w:r>
    </w:p>
    <w:p w14:paraId="30F2216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（五）对乙方租用的第三方车辆，视同为乙方车辆，由乙方承担安全及消防安全责任。</w:t>
      </w:r>
    </w:p>
    <w:p w14:paraId="5EED666E">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六</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乙方的单位、车辆、人员资质（</w:t>
      </w:r>
      <w:r>
        <w:rPr>
          <w:rFonts w:hint="eastAsia" w:ascii="仿宋" w:hAnsi="仿宋" w:eastAsia="仿宋" w:cs="仿宋"/>
          <w:b/>
          <w:bCs w:val="0"/>
          <w:color w:val="auto"/>
          <w:kern w:val="0"/>
          <w:sz w:val="24"/>
          <w:szCs w:val="24"/>
          <w:lang w:val="en-US" w:eastAsia="zh-CN"/>
        </w:rPr>
        <w:t>单项选择并填写</w:t>
      </w:r>
      <w:r>
        <w:rPr>
          <w:rFonts w:hint="eastAsia" w:ascii="仿宋" w:hAnsi="仿宋" w:eastAsia="仿宋" w:cs="仿宋"/>
          <w:color w:val="auto"/>
          <w:kern w:val="0"/>
          <w:sz w:val="24"/>
          <w:szCs w:val="24"/>
          <w:lang w:val="en-US" w:eastAsia="zh-CN"/>
        </w:rPr>
        <w:t>）</w:t>
      </w:r>
    </w:p>
    <w:p w14:paraId="7527B5EA">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u w:val="none"/>
          <w:lang w:val="en-US" w:eastAsia="zh-CN"/>
        </w:rPr>
      </w:pPr>
      <w:r>
        <w:rPr>
          <w:rFonts w:hint="eastAsia" w:ascii="仿宋" w:hAnsi="仿宋" w:eastAsia="仿宋" w:cs="仿宋"/>
          <w:color w:val="auto"/>
          <w:kern w:val="0"/>
          <w:sz w:val="24"/>
          <w:szCs w:val="24"/>
          <w:lang w:val="en-US" w:eastAsia="zh-CN"/>
        </w:rPr>
        <w:sym w:font="Wingdings 2" w:char="00A3"/>
      </w:r>
      <w:r>
        <w:rPr>
          <w:rFonts w:hint="eastAsia" w:ascii="仿宋" w:hAnsi="仿宋" w:eastAsia="仿宋" w:cs="仿宋"/>
          <w:color w:val="auto"/>
          <w:kern w:val="0"/>
          <w:sz w:val="24"/>
          <w:szCs w:val="24"/>
          <w:lang w:val="en-US" w:eastAsia="zh-CN"/>
        </w:rPr>
        <w:t>1.详见合同第</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val="en-US" w:eastAsia="zh-CN"/>
        </w:rPr>
        <w:t>条。</w:t>
      </w:r>
    </w:p>
    <w:p w14:paraId="5EF498B9">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sym w:font="Wingdings 2" w:char="00A3"/>
      </w:r>
      <w:r>
        <w:rPr>
          <w:rFonts w:hint="eastAsia" w:ascii="仿宋" w:hAnsi="仿宋" w:eastAsia="仿宋" w:cs="仿宋"/>
          <w:color w:val="auto"/>
          <w:kern w:val="0"/>
          <w:sz w:val="24"/>
          <w:szCs w:val="24"/>
          <w:lang w:val="en-US" w:eastAsia="zh-CN"/>
        </w:rPr>
        <w:t>2.详见文件《</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lang w:val="en-US" w:eastAsia="zh-CN"/>
        </w:rPr>
        <w:t>》。</w:t>
      </w:r>
    </w:p>
    <w:p w14:paraId="574D7E21">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二、甲方的安全及消防安全责任</w:t>
      </w:r>
    </w:p>
    <w:p w14:paraId="2589A768">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交底告知</w:t>
      </w:r>
      <w:r>
        <w:rPr>
          <w:rFonts w:hint="eastAsia" w:ascii="仿宋" w:hAnsi="仿宋" w:eastAsia="仿宋" w:cs="仿宋"/>
          <w:sz w:val="24"/>
          <w:szCs w:val="24"/>
        </w:rPr>
        <w:t>。</w:t>
      </w:r>
    </w:p>
    <w:p w14:paraId="05B66478">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甲方应对乙方进行交底。交底内容应</w:t>
      </w:r>
      <w:r>
        <w:rPr>
          <w:rFonts w:hint="eastAsia" w:ascii="仿宋" w:hAnsi="仿宋" w:eastAsia="仿宋" w:cs="仿宋"/>
          <w:sz w:val="24"/>
          <w:szCs w:val="24"/>
          <w:lang w:val="en-US" w:eastAsia="zh-CN"/>
        </w:rPr>
        <w:t>向乙方传达</w:t>
      </w:r>
      <w:r>
        <w:rPr>
          <w:rFonts w:hint="eastAsia" w:ascii="仿宋" w:hAnsi="仿宋" w:eastAsia="仿宋" w:cs="仿宋"/>
          <w:sz w:val="24"/>
          <w:szCs w:val="24"/>
        </w:rPr>
        <w:t>的</w:t>
      </w:r>
      <w:r>
        <w:rPr>
          <w:rFonts w:hint="eastAsia" w:ascii="仿宋" w:hAnsi="仿宋" w:eastAsia="仿宋" w:cs="仿宋"/>
          <w:sz w:val="24"/>
          <w:szCs w:val="24"/>
          <w:lang w:val="en-US" w:eastAsia="zh-CN"/>
        </w:rPr>
        <w:t>甲方规定的</w:t>
      </w:r>
      <w:r>
        <w:rPr>
          <w:rFonts w:hint="eastAsia" w:ascii="仿宋" w:hAnsi="仿宋" w:eastAsia="仿宋" w:cs="仿宋"/>
          <w:sz w:val="24"/>
          <w:szCs w:val="24"/>
        </w:rPr>
        <w:t>安全生产及消防安全管理要求。</w:t>
      </w:r>
    </w:p>
    <w:p w14:paraId="230263FD">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2.当乙方提出相关规范或乙方内部管理制度，比甲方规定的</w:t>
      </w:r>
      <w:r>
        <w:rPr>
          <w:rFonts w:hint="eastAsia" w:ascii="仿宋" w:hAnsi="仿宋" w:eastAsia="仿宋" w:cs="仿宋"/>
          <w:sz w:val="24"/>
          <w:szCs w:val="24"/>
        </w:rPr>
        <w:t>安全生产及消防安全管理要求</w:t>
      </w:r>
      <w:r>
        <w:rPr>
          <w:rFonts w:hint="eastAsia" w:ascii="仿宋" w:hAnsi="仿宋" w:eastAsia="仿宋" w:cs="仿宋"/>
          <w:sz w:val="24"/>
          <w:szCs w:val="24"/>
          <w:lang w:val="en-US" w:eastAsia="zh-CN"/>
        </w:rPr>
        <w:t>更严格的，应当接纳乙方的建议。</w:t>
      </w:r>
    </w:p>
    <w:p w14:paraId="42AE0E42">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3.告知乙方车辆允许行驶的区域、限速、限高、限重，允许停车装、卸作业的位置。</w:t>
      </w:r>
    </w:p>
    <w:p w14:paraId="23141727">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（二）现场监管。</w:t>
      </w:r>
    </w:p>
    <w:p w14:paraId="275DBDD8">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1.甲方应在其管辖区域对乙方的运输、装卸等过程的安全生产实行监督，及时纠正乙方人员违章指挥、违章驾驶、违反禁令等行为。</w:t>
      </w:r>
    </w:p>
    <w:p w14:paraId="499486AC">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2.甲方应监督乙方车辆离开营运单位前做好车辆外观检查，确保车牌、反光标志等无被遮挡。</w:t>
      </w:r>
    </w:p>
    <w:p w14:paraId="6C138C78">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（三）事故报告。</w:t>
      </w:r>
    </w:p>
    <w:p w14:paraId="47C47223">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1.乙方在甲方属地范围内发生安全事故及消防安全事故，应当按水投集团有关程序，如实向集团报告。</w:t>
      </w:r>
    </w:p>
    <w:p w14:paraId="5B162DE0">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（四）补充条款</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w:t>
      </w:r>
    </w:p>
    <w:p w14:paraId="1C0B4933">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三、乙方的安全及消防安全责任</w:t>
      </w:r>
    </w:p>
    <w:p w14:paraId="2860745B">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接受交底告知并复核确认安全风险，落实管控措施</w:t>
      </w:r>
      <w:r>
        <w:rPr>
          <w:rFonts w:hint="eastAsia" w:ascii="仿宋" w:hAnsi="仿宋" w:eastAsia="仿宋" w:cs="仿宋"/>
          <w:sz w:val="24"/>
          <w:szCs w:val="24"/>
        </w:rPr>
        <w:t>。</w:t>
      </w:r>
    </w:p>
    <w:p w14:paraId="6368D229">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1.乙方接受甲方交底。</w:t>
      </w:r>
    </w:p>
    <w:p w14:paraId="3538E8F2">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2.当甲方规定的安全生产及消防安全管理要求，比相关规范或乙方内部管理制度严格的，按甲方的执行。</w:t>
      </w:r>
    </w:p>
    <w:p w14:paraId="439CCCA3">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3.当相关规范或乙方内部管理制度，比甲方规定的安全生产及消防安全管理要求严格的，应明确告知甲方确认，并按相关规范或乙方内部管理制度执行。</w:t>
      </w:r>
    </w:p>
    <w:p w14:paraId="6F28B7A5">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在甲方属地范围内的作业与应急</w:t>
      </w:r>
      <w:r>
        <w:rPr>
          <w:rFonts w:hint="eastAsia" w:ascii="仿宋" w:hAnsi="仿宋" w:eastAsia="仿宋" w:cs="仿宋"/>
          <w:sz w:val="24"/>
          <w:szCs w:val="24"/>
          <w:lang w:eastAsia="zh-CN"/>
        </w:rPr>
        <w:t>。</w:t>
      </w:r>
    </w:p>
    <w:p w14:paraId="4F88BAD7">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1.乙方车辆仅允许在甲方指定的区域，按方向行驶、停放以及装卸作业。</w:t>
      </w:r>
    </w:p>
    <w:p w14:paraId="172E7FD5">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2.乙方的车辆限速、限高、限重应符合甲方要求。</w:t>
      </w:r>
    </w:p>
    <w:p w14:paraId="09D3B5E6">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3.乙方在甲方属地范围作业应当配备的个人劳动防护用品，由乙方负责提供，并确保有效。</w:t>
      </w:r>
    </w:p>
    <w:p w14:paraId="1D71317B">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4.乙方在甲方属地范围内发生安全事故及消防安全事故的，必须配合甲方现场人员开展应急工作。</w:t>
      </w:r>
    </w:p>
    <w:p w14:paraId="0140617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在甲方属地范围外的作业与应急</w:t>
      </w:r>
      <w:r>
        <w:rPr>
          <w:rFonts w:hint="eastAsia" w:ascii="仿宋" w:hAnsi="仿宋" w:eastAsia="仿宋" w:cs="仿宋"/>
          <w:sz w:val="24"/>
          <w:szCs w:val="24"/>
          <w:lang w:eastAsia="zh-CN"/>
        </w:rPr>
        <w:t>。</w:t>
      </w:r>
    </w:p>
    <w:p w14:paraId="67C3D93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1.由乙方根据交通运输、危化品、危废、固废等法律法规、行业标准等予以执行。</w:t>
      </w:r>
    </w:p>
    <w:p w14:paraId="6DB7028A">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2.乙方车辆载有甲方货物（含废物料等），在甲方属地范围外发生安全事故及消防安全事故的，除按交通及行业有关要求上报外，应及时告知甲方。</w:t>
      </w:r>
    </w:p>
    <w:p w14:paraId="60841BB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（四）补充条款</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w:t>
      </w:r>
    </w:p>
    <w:p w14:paraId="0185C756">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四、违约责任</w:t>
      </w:r>
    </w:p>
    <w:p w14:paraId="6B7341D0">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在甲方甲方属地范围内，未发生安全事故或消防安全事故的违约责任</w:t>
      </w:r>
    </w:p>
    <w:p w14:paraId="06060622">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1.乙方未履行安全及消防安全责任的，有权按合同相关条款处理。</w:t>
      </w:r>
    </w:p>
    <w:p w14:paraId="65B7A274">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2.因甲方未履行安全及消防安全责任，乙方有权按合同相关条款处理。</w:t>
      </w:r>
    </w:p>
    <w:p w14:paraId="19868934">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（二）在甲方属地范围内，发生安全事故或消防安全事故的违约责任</w:t>
      </w:r>
    </w:p>
    <w:p w14:paraId="29914F8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786ECB66">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2.如甲方未能提供甲方履职证明的，根据责任调查报告（意见）承担责任。</w:t>
      </w:r>
    </w:p>
    <w:p w14:paraId="07377CE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（三）在甲方属地范围外，发生安全事故或消防安全事故的违约责任</w:t>
      </w:r>
    </w:p>
    <w:p w14:paraId="1C5C7959">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1.由乙方承担责任。</w:t>
      </w:r>
    </w:p>
    <w:p w14:paraId="37C74D0D">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2.如对甲方货物造成损失的，根据合同向甲方赔偿。</w:t>
      </w:r>
    </w:p>
    <w:p w14:paraId="73045140">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3.如对甲方造成负面舆情等声誉损失的，乙方应当澄清对甲方的负面影响。拒不执行的，甲方有权向乙方索赔。</w:t>
      </w:r>
    </w:p>
    <w:p w14:paraId="647750F4">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五、附则</w:t>
      </w:r>
    </w:p>
    <w:p w14:paraId="32A7149C">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（一）本协议未尽事宜，依据有关法律、法规、规章处理。法律、法规、规章没有明确规定的，经双方协商处理解决。</w:t>
      </w:r>
    </w:p>
    <w:p w14:paraId="54881547">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（二）在合同（协议）执行期间，因国家、地方、以及广州市净水有限公司印发有关文件，加强安全管理要求的，乙方应按最新要求无条件执行。如不执行，甲方有权根据合同或有关文件进行处理。</w:t>
      </w:r>
    </w:p>
    <w:p w14:paraId="434C6B89">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三</w:t>
      </w:r>
      <w:r>
        <w:rPr>
          <w:rFonts w:hint="eastAsia" w:ascii="仿宋" w:hAnsi="仿宋" w:eastAsia="仿宋" w:cs="仿宋"/>
          <w:sz w:val="24"/>
          <w:szCs w:val="24"/>
        </w:rPr>
        <w:t>）本协议</w:t>
      </w:r>
      <w:r>
        <w:rPr>
          <w:rFonts w:hint="eastAsia" w:ascii="仿宋" w:hAnsi="仿宋" w:eastAsia="仿宋" w:cs="仿宋"/>
          <w:sz w:val="24"/>
          <w:szCs w:val="24"/>
          <w:lang w:val="en-US" w:eastAsia="zh-CN"/>
        </w:rPr>
        <w:t>作为合同的附件</w:t>
      </w:r>
      <w:r>
        <w:rPr>
          <w:rFonts w:hint="eastAsia" w:ascii="仿宋" w:hAnsi="仿宋" w:eastAsia="仿宋" w:cs="仿宋"/>
          <w:sz w:val="24"/>
          <w:szCs w:val="24"/>
        </w:rPr>
        <w:t>同时</w:t>
      </w:r>
      <w:r>
        <w:rPr>
          <w:rFonts w:hint="eastAsia" w:ascii="仿宋" w:hAnsi="仿宋" w:eastAsia="仿宋" w:cs="仿宋"/>
          <w:sz w:val="24"/>
          <w:szCs w:val="24"/>
          <w:lang w:val="en-US" w:eastAsia="zh-CN"/>
        </w:rPr>
        <w:t>签字、同时盖章</w:t>
      </w:r>
      <w:r>
        <w:rPr>
          <w:rFonts w:hint="eastAsia" w:ascii="仿宋" w:hAnsi="仿宋" w:eastAsia="仿宋" w:cs="仿宋"/>
          <w:sz w:val="24"/>
          <w:szCs w:val="24"/>
        </w:rPr>
        <w:t>、同时生效、同时终止，具有</w:t>
      </w:r>
      <w:r>
        <w:rPr>
          <w:rFonts w:hint="eastAsia" w:ascii="仿宋" w:hAnsi="仿宋" w:eastAsia="仿宋" w:cs="仿宋"/>
          <w:sz w:val="24"/>
          <w:szCs w:val="24"/>
          <w:lang w:val="en-US" w:eastAsia="zh-CN"/>
        </w:rPr>
        <w:t>同等</w:t>
      </w:r>
      <w:r>
        <w:rPr>
          <w:rFonts w:hint="eastAsia" w:ascii="仿宋" w:hAnsi="仿宋" w:eastAsia="仿宋" w:cs="仿宋"/>
          <w:sz w:val="24"/>
          <w:szCs w:val="24"/>
        </w:rPr>
        <w:t>的法律效力</w:t>
      </w:r>
      <w:r>
        <w:rPr>
          <w:rFonts w:hint="eastAsia" w:ascii="仿宋" w:hAnsi="仿宋" w:eastAsia="仿宋" w:cs="仿宋"/>
          <w:sz w:val="24"/>
          <w:szCs w:val="24"/>
          <w:lang w:eastAsia="zh-CN"/>
        </w:rPr>
        <w:t>。</w:t>
      </w:r>
      <w:r>
        <w:rPr>
          <w:rFonts w:hint="eastAsia" w:ascii="仿宋" w:hAnsi="仿宋" w:eastAsia="仿宋" w:cs="仿宋"/>
          <w:sz w:val="24"/>
          <w:szCs w:val="24"/>
        </w:rPr>
        <w:t>甲方、乙方双方执持数量与合同一致。</w:t>
      </w:r>
    </w:p>
    <w:p w14:paraId="23DC692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仿宋"/>
          <w:sz w:val="24"/>
          <w:szCs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7D4D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04EB7954">
            <w:pPr>
              <w:keepNext w:val="0"/>
              <w:keepLines w:val="0"/>
              <w:suppressLineNumbers w:val="0"/>
              <w:adjustRightInd w:val="0"/>
              <w:snapToGrid w:val="0"/>
              <w:spacing w:before="0" w:beforeAutospacing="0" w:after="0" w:afterAutospacing="0" w:line="560" w:lineRule="exact"/>
              <w:ind w:left="0" w:right="0"/>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盖章</w:t>
            </w:r>
            <w:r>
              <w:rPr>
                <w:rFonts w:hint="eastAsia" w:ascii="仿宋" w:hAnsi="仿宋" w:eastAsia="仿宋" w:cs="仿宋"/>
                <w:sz w:val="24"/>
                <w:szCs w:val="24"/>
                <w:lang w:eastAsia="zh-CN"/>
              </w:rPr>
              <w:t>）</w:t>
            </w:r>
            <w:r>
              <w:rPr>
                <w:rFonts w:hint="eastAsia" w:ascii="仿宋" w:hAnsi="仿宋" w:eastAsia="仿宋" w:cs="仿宋"/>
                <w:sz w:val="24"/>
                <w:szCs w:val="24"/>
              </w:rPr>
              <w:t>：</w:t>
            </w:r>
          </w:p>
          <w:p w14:paraId="19A53630">
            <w:pPr>
              <w:keepNext w:val="0"/>
              <w:keepLines w:val="0"/>
              <w:suppressLineNumbers w:val="0"/>
              <w:adjustRightInd w:val="0"/>
              <w:snapToGrid w:val="0"/>
              <w:spacing w:before="0" w:beforeAutospacing="0" w:after="0" w:afterAutospacing="0" w:line="560" w:lineRule="exact"/>
              <w:ind w:left="0" w:right="0"/>
              <w:rPr>
                <w:rFonts w:hint="eastAsia" w:ascii="仿宋" w:hAnsi="仿宋" w:eastAsia="仿宋" w:cs="仿宋"/>
                <w:sz w:val="24"/>
                <w:szCs w:val="24"/>
              </w:rPr>
            </w:pPr>
            <w:r>
              <w:rPr>
                <w:rFonts w:hint="eastAsia" w:ascii="仿宋" w:hAnsi="仿宋" w:eastAsia="仿宋" w:cs="仿宋"/>
                <w:sz w:val="24"/>
                <w:szCs w:val="24"/>
              </w:rPr>
              <w:t>签约代表：</w:t>
            </w:r>
          </w:p>
          <w:p w14:paraId="48AE4355">
            <w:pPr>
              <w:keepNext w:val="0"/>
              <w:keepLines w:val="0"/>
              <w:suppressLineNumbers w:val="0"/>
              <w:adjustRightInd w:val="0"/>
              <w:snapToGrid w:val="0"/>
              <w:spacing w:before="0" w:beforeAutospacing="0" w:after="0" w:afterAutospacing="0" w:line="560" w:lineRule="exact"/>
              <w:ind w:left="0" w:right="0"/>
              <w:rPr>
                <w:rFonts w:hint="eastAsia" w:ascii="仿宋" w:hAnsi="仿宋" w:eastAsia="仿宋" w:cs="仿宋"/>
                <w:sz w:val="24"/>
                <w:szCs w:val="24"/>
              </w:rPr>
            </w:pPr>
            <w:r>
              <w:rPr>
                <w:rFonts w:hint="eastAsia" w:ascii="仿宋" w:hAnsi="仿宋" w:eastAsia="仿宋" w:cs="仿宋"/>
                <w:sz w:val="24"/>
                <w:szCs w:val="24"/>
              </w:rPr>
              <w:t>联系电话：</w:t>
            </w:r>
          </w:p>
          <w:p w14:paraId="1E8712DE">
            <w:pPr>
              <w:keepNext w:val="0"/>
              <w:keepLines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签订时间：    </w:t>
            </w:r>
            <w:r>
              <w:rPr>
                <w:rFonts w:hint="eastAsia" w:ascii="仿宋" w:hAnsi="仿宋" w:eastAsia="仿宋" w:cs="仿宋"/>
                <w:sz w:val="24"/>
                <w:szCs w:val="24"/>
              </w:rPr>
              <w:t>年    月    日</w:t>
            </w:r>
          </w:p>
        </w:tc>
        <w:tc>
          <w:tcPr>
            <w:tcW w:w="4474" w:type="dxa"/>
          </w:tcPr>
          <w:p w14:paraId="7F927827">
            <w:pPr>
              <w:keepNext w:val="0"/>
              <w:keepLines w:val="0"/>
              <w:suppressLineNumbers w:val="0"/>
              <w:adjustRightInd w:val="0"/>
              <w:snapToGrid w:val="0"/>
              <w:spacing w:before="0" w:beforeAutospacing="0" w:after="0" w:afterAutospacing="0" w:line="560" w:lineRule="exact"/>
              <w:ind w:left="0" w:right="0"/>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盖章</w:t>
            </w:r>
            <w:r>
              <w:rPr>
                <w:rFonts w:hint="eastAsia" w:ascii="仿宋" w:hAnsi="仿宋" w:eastAsia="仿宋" w:cs="仿宋"/>
                <w:sz w:val="24"/>
                <w:szCs w:val="24"/>
                <w:lang w:eastAsia="zh-CN"/>
              </w:rPr>
              <w:t>）</w:t>
            </w:r>
            <w:r>
              <w:rPr>
                <w:rFonts w:hint="eastAsia" w:ascii="仿宋" w:hAnsi="仿宋" w:eastAsia="仿宋" w:cs="仿宋"/>
                <w:sz w:val="24"/>
                <w:szCs w:val="24"/>
              </w:rPr>
              <w:t>：</w:t>
            </w:r>
          </w:p>
          <w:p w14:paraId="0C342CE4">
            <w:pPr>
              <w:keepNext w:val="0"/>
              <w:keepLines w:val="0"/>
              <w:suppressLineNumbers w:val="0"/>
              <w:adjustRightInd w:val="0"/>
              <w:snapToGrid w:val="0"/>
              <w:spacing w:before="0" w:beforeAutospacing="0" w:after="0" w:afterAutospacing="0" w:line="560" w:lineRule="exact"/>
              <w:ind w:left="0" w:right="0"/>
              <w:rPr>
                <w:rFonts w:hint="eastAsia" w:ascii="仿宋" w:hAnsi="仿宋" w:eastAsia="仿宋" w:cs="仿宋"/>
                <w:sz w:val="24"/>
                <w:szCs w:val="24"/>
              </w:rPr>
            </w:pPr>
            <w:r>
              <w:rPr>
                <w:rFonts w:hint="eastAsia" w:ascii="仿宋" w:hAnsi="仿宋" w:eastAsia="仿宋" w:cs="仿宋"/>
                <w:sz w:val="24"/>
                <w:szCs w:val="24"/>
              </w:rPr>
              <w:t>签约代表：</w:t>
            </w:r>
          </w:p>
          <w:p w14:paraId="670F9C1F">
            <w:pPr>
              <w:keepNext w:val="0"/>
              <w:keepLines w:val="0"/>
              <w:suppressLineNumbers w:val="0"/>
              <w:adjustRightInd w:val="0"/>
              <w:snapToGrid w:val="0"/>
              <w:spacing w:before="0" w:beforeAutospacing="0" w:after="0" w:afterAutospacing="0" w:line="560" w:lineRule="exact"/>
              <w:ind w:left="0" w:right="0"/>
              <w:rPr>
                <w:rFonts w:hint="eastAsia" w:ascii="仿宋" w:hAnsi="仿宋" w:eastAsia="仿宋" w:cs="仿宋"/>
                <w:sz w:val="24"/>
                <w:szCs w:val="24"/>
              </w:rPr>
            </w:pPr>
            <w:r>
              <w:rPr>
                <w:rFonts w:hint="eastAsia" w:ascii="仿宋" w:hAnsi="仿宋" w:eastAsia="仿宋" w:cs="仿宋"/>
                <w:sz w:val="24"/>
                <w:szCs w:val="24"/>
              </w:rPr>
              <w:t>联系电话：</w:t>
            </w:r>
          </w:p>
          <w:p w14:paraId="2EA31EFF">
            <w:pPr>
              <w:keepNext w:val="0"/>
              <w:keepLines w:val="0"/>
              <w:suppressLineNumbers w:val="0"/>
              <w:adjustRightInd w:val="0"/>
              <w:snapToGrid w:val="0"/>
              <w:spacing w:before="0" w:beforeAutospacing="0" w:after="0" w:afterAutospacing="0" w:line="560" w:lineRule="exact"/>
              <w:ind w:left="0" w:right="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签订时间：     </w:t>
            </w:r>
            <w:r>
              <w:rPr>
                <w:rFonts w:hint="eastAsia" w:ascii="仿宋" w:hAnsi="仿宋" w:eastAsia="仿宋" w:cs="仿宋"/>
                <w:sz w:val="24"/>
                <w:szCs w:val="24"/>
              </w:rPr>
              <w:t>年    月    日</w:t>
            </w:r>
          </w:p>
        </w:tc>
      </w:tr>
    </w:tbl>
    <w:p w14:paraId="6AE40678">
      <w:pPr>
        <w:topLinePunct/>
        <w:spacing w:line="500" w:lineRule="exact"/>
        <w:ind w:firstLine="0" w:firstLineChars="0"/>
        <w:rPr>
          <w:rFonts w:hint="eastAsia" w:ascii="仿宋" w:hAnsi="仿宋" w:eastAsia="仿宋" w:cs="仿宋"/>
          <w:bCs/>
          <w:sz w:val="24"/>
          <w:lang w:val="en-US" w:eastAsia="zh-CN"/>
        </w:rPr>
      </w:pPr>
    </w:p>
    <w:p w14:paraId="75B641F2">
      <w:pPr>
        <w:topLinePunct/>
        <w:spacing w:line="500" w:lineRule="exact"/>
        <w:ind w:firstLine="0" w:firstLineChars="0"/>
        <w:rPr>
          <w:rFonts w:hint="eastAsia" w:ascii="仿宋" w:hAnsi="仿宋" w:eastAsia="仿宋" w:cs="仿宋"/>
          <w:bCs/>
          <w:sz w:val="24"/>
          <w:lang w:val="en-US" w:eastAsia="zh-CN"/>
        </w:rPr>
      </w:pPr>
    </w:p>
    <w:p w14:paraId="56FFA7A9">
      <w:pPr>
        <w:topLinePunct/>
        <w:spacing w:line="500" w:lineRule="exact"/>
        <w:ind w:firstLine="0" w:firstLineChars="0"/>
        <w:rPr>
          <w:rFonts w:hint="eastAsia" w:ascii="仿宋" w:hAnsi="仿宋" w:eastAsia="仿宋" w:cs="仿宋"/>
          <w:bCs/>
          <w:sz w:val="24"/>
          <w:lang w:val="en-US" w:eastAsia="zh-CN"/>
        </w:rPr>
      </w:pPr>
    </w:p>
    <w:p w14:paraId="3F71BE6E">
      <w:pPr>
        <w:topLinePunct/>
        <w:spacing w:line="500" w:lineRule="exact"/>
        <w:ind w:firstLine="0" w:firstLineChars="0"/>
        <w:rPr>
          <w:rFonts w:hint="eastAsia" w:ascii="仿宋" w:hAnsi="仿宋" w:eastAsia="仿宋" w:cs="仿宋"/>
          <w:bCs/>
          <w:sz w:val="24"/>
          <w:lang w:val="en-US" w:eastAsia="zh-CN"/>
        </w:rPr>
      </w:pPr>
    </w:p>
    <w:p w14:paraId="43D1C7C3">
      <w:pPr>
        <w:topLinePunct/>
        <w:spacing w:line="500" w:lineRule="exact"/>
        <w:ind w:firstLine="0" w:firstLineChars="0"/>
        <w:rPr>
          <w:rFonts w:hint="eastAsia" w:ascii="仿宋" w:hAnsi="仿宋" w:eastAsia="仿宋" w:cs="仿宋"/>
          <w:bCs/>
          <w:sz w:val="24"/>
          <w:lang w:val="en-US" w:eastAsia="zh-CN"/>
        </w:rPr>
      </w:pPr>
      <w:r>
        <w:rPr>
          <w:rFonts w:hint="eastAsia" w:ascii="仿宋" w:hAnsi="仿宋" w:eastAsia="仿宋" w:cs="仿宋"/>
          <w:bCs/>
          <w:sz w:val="24"/>
          <w:lang w:val="en-US" w:eastAsia="zh-CN"/>
        </w:rPr>
        <w:t>附件4：</w:t>
      </w:r>
    </w:p>
    <w:p w14:paraId="0F6B0A02">
      <w:pPr>
        <w:adjustRightInd w:val="0"/>
        <w:snapToGrid w:val="0"/>
        <w:jc w:val="center"/>
        <w:rPr>
          <w:rFonts w:hint="eastAsia" w:ascii="仿宋" w:hAnsi="仿宋" w:eastAsia="仿宋" w:cs="仿宋"/>
          <w:sz w:val="32"/>
          <w:szCs w:val="32"/>
        </w:rPr>
      </w:pPr>
      <w:r>
        <w:rPr>
          <w:rFonts w:hint="eastAsia" w:ascii="仿宋" w:hAnsi="仿宋" w:eastAsia="仿宋" w:cs="仿宋"/>
          <w:sz w:val="32"/>
          <w:szCs w:val="32"/>
        </w:rPr>
        <w:t>不</w:t>
      </w:r>
      <w:r>
        <w:rPr>
          <w:rFonts w:hint="eastAsia" w:ascii="仿宋" w:hAnsi="仿宋" w:eastAsia="仿宋" w:cs="仿宋"/>
          <w:sz w:val="32"/>
          <w:szCs w:val="32"/>
          <w:lang w:val="en-US" w:eastAsia="zh-CN"/>
        </w:rPr>
        <w:t>履约</w:t>
      </w:r>
      <w:r>
        <w:rPr>
          <w:rFonts w:hint="eastAsia" w:ascii="仿宋" w:hAnsi="仿宋" w:eastAsia="仿宋" w:cs="仿宋"/>
          <w:sz w:val="32"/>
          <w:szCs w:val="32"/>
        </w:rPr>
        <w:t>行为的情形及相应被暂停参与投标活动的处理标准</w:t>
      </w:r>
    </w:p>
    <w:tbl>
      <w:tblPr>
        <w:tblStyle w:val="24"/>
        <w:tblW w:w="10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623"/>
        <w:gridCol w:w="5048"/>
        <w:gridCol w:w="850"/>
        <w:gridCol w:w="2493"/>
        <w:gridCol w:w="1044"/>
      </w:tblGrid>
      <w:tr w14:paraId="11E7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3246F20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14:paraId="399CA9D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不</w:t>
            </w:r>
            <w:r>
              <w:rPr>
                <w:rFonts w:hint="eastAsia" w:ascii="仿宋" w:hAnsi="仿宋" w:eastAsia="仿宋" w:cs="仿宋"/>
                <w:sz w:val="21"/>
                <w:szCs w:val="21"/>
                <w:lang w:val="en-US" w:eastAsia="zh-CN"/>
              </w:rPr>
              <w:t>履约</w:t>
            </w:r>
            <w:r>
              <w:rPr>
                <w:rFonts w:hint="eastAsia" w:ascii="仿宋" w:hAnsi="仿宋" w:eastAsia="仿宋" w:cs="仿宋"/>
                <w:sz w:val="21"/>
                <w:szCs w:val="21"/>
              </w:rPr>
              <w:t>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14:paraId="1DD391E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处理</w:t>
            </w:r>
          </w:p>
          <w:p w14:paraId="6B200E3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期限</w:t>
            </w:r>
          </w:p>
        </w:tc>
        <w:tc>
          <w:tcPr>
            <w:tcW w:w="2493" w:type="dxa"/>
            <w:tcBorders>
              <w:top w:val="single" w:color="auto" w:sz="4" w:space="0"/>
              <w:left w:val="single" w:color="auto" w:sz="4" w:space="0"/>
              <w:bottom w:val="single" w:color="auto" w:sz="4" w:space="0"/>
              <w:right w:val="single" w:color="auto" w:sz="4" w:space="0"/>
            </w:tcBorders>
            <w:noWrap/>
            <w:vAlign w:val="center"/>
          </w:tcPr>
          <w:p w14:paraId="21071C7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情节严重或拒不改正的延长处理期限</w:t>
            </w:r>
          </w:p>
        </w:tc>
        <w:tc>
          <w:tcPr>
            <w:tcW w:w="1044" w:type="dxa"/>
            <w:tcBorders>
              <w:top w:val="single" w:color="auto" w:sz="4" w:space="0"/>
              <w:left w:val="single" w:color="auto" w:sz="4" w:space="0"/>
              <w:bottom w:val="single" w:color="auto" w:sz="4" w:space="0"/>
              <w:right w:val="single" w:color="auto" w:sz="4" w:space="0"/>
            </w:tcBorders>
            <w:noWrap/>
            <w:vAlign w:val="center"/>
          </w:tcPr>
          <w:p w14:paraId="787E9DA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备注</w:t>
            </w:r>
          </w:p>
        </w:tc>
      </w:tr>
      <w:tr w14:paraId="0D16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783D0FC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w:t>
            </w:r>
          </w:p>
        </w:tc>
        <w:tc>
          <w:tcPr>
            <w:tcW w:w="623" w:type="dxa"/>
            <w:vMerge w:val="restart"/>
            <w:tcBorders>
              <w:top w:val="single" w:color="auto" w:sz="4" w:space="0"/>
              <w:left w:val="single" w:color="auto" w:sz="4" w:space="0"/>
              <w:bottom w:val="single" w:color="auto" w:sz="4" w:space="0"/>
              <w:right w:val="single" w:color="auto" w:sz="4" w:space="0"/>
            </w:tcBorders>
            <w:noWrap/>
            <w:vAlign w:val="center"/>
          </w:tcPr>
          <w:p w14:paraId="0CF4EC2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安全不</w:t>
            </w:r>
            <w:r>
              <w:rPr>
                <w:rFonts w:hint="eastAsia" w:ascii="仿宋" w:hAnsi="仿宋" w:eastAsia="仿宋" w:cs="仿宋"/>
                <w:sz w:val="21"/>
                <w:szCs w:val="21"/>
                <w:lang w:val="en-US" w:eastAsia="zh-CN"/>
              </w:rPr>
              <w:t>履约</w:t>
            </w:r>
            <w:r>
              <w:rPr>
                <w:rFonts w:hint="eastAsia" w:ascii="仿宋" w:hAnsi="仿宋" w:eastAsia="仿宋" w:cs="仿宋"/>
                <w:sz w:val="21"/>
                <w:szCs w:val="21"/>
              </w:rPr>
              <w:t>行为</w:t>
            </w:r>
          </w:p>
        </w:tc>
        <w:tc>
          <w:tcPr>
            <w:tcW w:w="5048" w:type="dxa"/>
            <w:tcBorders>
              <w:top w:val="single" w:color="auto" w:sz="4" w:space="0"/>
              <w:left w:val="single" w:color="auto" w:sz="4" w:space="0"/>
              <w:bottom w:val="single" w:color="auto" w:sz="4" w:space="0"/>
              <w:right w:val="single" w:color="auto" w:sz="4" w:space="0"/>
            </w:tcBorders>
            <w:noWrap/>
            <w:vAlign w:val="center"/>
          </w:tcPr>
          <w:p w14:paraId="14CBE005">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（一）建设生产现场发生人员重伤或死亡的。</w:t>
            </w:r>
          </w:p>
        </w:tc>
        <w:tc>
          <w:tcPr>
            <w:tcW w:w="3343" w:type="dxa"/>
            <w:gridSpan w:val="2"/>
            <w:tcBorders>
              <w:top w:val="single" w:color="auto" w:sz="4" w:space="0"/>
              <w:left w:val="single" w:color="auto" w:sz="4" w:space="0"/>
              <w:bottom w:val="single" w:color="auto" w:sz="4" w:space="0"/>
              <w:right w:val="single" w:color="auto" w:sz="4" w:space="0"/>
            </w:tcBorders>
            <w:noWrap/>
            <w:vAlign w:val="center"/>
          </w:tcPr>
          <w:p w14:paraId="10D08704">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发生重伤或死亡1～2人的，暂停投标1年至2年（含）。</w:t>
            </w:r>
          </w:p>
          <w:p w14:paraId="0D9F07E3">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发生重伤或死亡3～9人的，暂停投标2年以上至4年。</w:t>
            </w:r>
          </w:p>
          <w:p w14:paraId="4B814F65">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发生重伤10人以上（含）、或重大及以上事故的，暂停投标4年或以上。</w:t>
            </w:r>
          </w:p>
        </w:tc>
        <w:tc>
          <w:tcPr>
            <w:tcW w:w="1044" w:type="dxa"/>
            <w:tcBorders>
              <w:top w:val="single" w:color="auto" w:sz="4" w:space="0"/>
              <w:left w:val="single" w:color="auto" w:sz="4" w:space="0"/>
              <w:bottom w:val="single" w:color="auto" w:sz="4" w:space="0"/>
              <w:right w:val="single" w:color="auto" w:sz="4" w:space="0"/>
            </w:tcBorders>
            <w:noWrap/>
            <w:vAlign w:val="center"/>
          </w:tcPr>
          <w:p w14:paraId="753B8B27">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政府认定责任事故增加6个月。</w:t>
            </w:r>
          </w:p>
        </w:tc>
      </w:tr>
      <w:tr w14:paraId="5B02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7D1422F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2</w:t>
            </w:r>
          </w:p>
        </w:tc>
        <w:tc>
          <w:tcPr>
            <w:tcW w:w="623" w:type="dxa"/>
            <w:vMerge w:val="continue"/>
            <w:tcBorders>
              <w:top w:val="single" w:color="auto" w:sz="4" w:space="0"/>
              <w:left w:val="single" w:color="auto" w:sz="4" w:space="0"/>
              <w:bottom w:val="single" w:color="auto" w:sz="4" w:space="0"/>
              <w:right w:val="single" w:color="auto" w:sz="4" w:space="0"/>
            </w:tcBorders>
            <w:noWrap/>
            <w:vAlign w:val="center"/>
          </w:tcPr>
          <w:p w14:paraId="255CBF3F">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5048" w:type="dxa"/>
            <w:tcBorders>
              <w:top w:val="single" w:color="auto" w:sz="4" w:space="0"/>
              <w:left w:val="single" w:color="auto" w:sz="4" w:space="0"/>
              <w:bottom w:val="single" w:color="auto" w:sz="4" w:space="0"/>
              <w:right w:val="single" w:color="auto" w:sz="4" w:space="0"/>
            </w:tcBorders>
            <w:noWrap/>
            <w:vAlign w:val="center"/>
          </w:tcPr>
          <w:p w14:paraId="4CFC7DC1">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3343" w:type="dxa"/>
            <w:gridSpan w:val="2"/>
            <w:tcBorders>
              <w:top w:val="single" w:color="auto" w:sz="4" w:space="0"/>
              <w:left w:val="single" w:color="auto" w:sz="4" w:space="0"/>
              <w:bottom w:val="single" w:color="auto" w:sz="4" w:space="0"/>
              <w:right w:val="single" w:color="auto" w:sz="4" w:space="0"/>
            </w:tcBorders>
            <w:noWrap/>
            <w:vAlign w:val="center"/>
          </w:tcPr>
          <w:p w14:paraId="095C0C6A">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视情况暂停投标1至2年。</w:t>
            </w:r>
          </w:p>
        </w:tc>
        <w:tc>
          <w:tcPr>
            <w:tcW w:w="1044" w:type="dxa"/>
            <w:tcBorders>
              <w:top w:val="single" w:color="auto" w:sz="4" w:space="0"/>
              <w:left w:val="single" w:color="auto" w:sz="4" w:space="0"/>
              <w:bottom w:val="single" w:color="auto" w:sz="4" w:space="0"/>
              <w:right w:val="single" w:color="auto" w:sz="4" w:space="0"/>
            </w:tcBorders>
            <w:noWrap/>
            <w:vAlign w:val="center"/>
          </w:tcPr>
          <w:p w14:paraId="5EDAD9BF">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2EB2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55C13E09">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3</w:t>
            </w:r>
          </w:p>
        </w:tc>
        <w:tc>
          <w:tcPr>
            <w:tcW w:w="623" w:type="dxa"/>
            <w:vMerge w:val="continue"/>
            <w:tcBorders>
              <w:top w:val="single" w:color="auto" w:sz="4" w:space="0"/>
              <w:left w:val="single" w:color="auto" w:sz="4" w:space="0"/>
              <w:bottom w:val="single" w:color="auto" w:sz="4" w:space="0"/>
              <w:right w:val="single" w:color="auto" w:sz="4" w:space="0"/>
            </w:tcBorders>
            <w:noWrap/>
            <w:vAlign w:val="center"/>
          </w:tcPr>
          <w:p w14:paraId="551FE61E">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5048" w:type="dxa"/>
            <w:tcBorders>
              <w:top w:val="single" w:color="auto" w:sz="4" w:space="0"/>
              <w:left w:val="single" w:color="auto" w:sz="4" w:space="0"/>
              <w:bottom w:val="single" w:color="auto" w:sz="4" w:space="0"/>
              <w:right w:val="single" w:color="auto" w:sz="4" w:space="0"/>
            </w:tcBorders>
            <w:noWrap/>
            <w:vAlign w:val="center"/>
          </w:tcPr>
          <w:p w14:paraId="562CE6D1">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（三）根据《广州市净水有限公司工程项目承包单位考评细则》安全管理未达标且符合限制投标处罚标准的。</w:t>
            </w:r>
          </w:p>
        </w:tc>
        <w:tc>
          <w:tcPr>
            <w:tcW w:w="3343" w:type="dxa"/>
            <w:gridSpan w:val="2"/>
            <w:tcBorders>
              <w:top w:val="single" w:color="auto" w:sz="4" w:space="0"/>
              <w:left w:val="single" w:color="auto" w:sz="4" w:space="0"/>
              <w:bottom w:val="single" w:color="auto" w:sz="4" w:space="0"/>
              <w:right w:val="single" w:color="auto" w:sz="4" w:space="0"/>
            </w:tcBorders>
            <w:noWrap/>
            <w:vAlign w:val="center"/>
          </w:tcPr>
          <w:p w14:paraId="7B5E59B5">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暂停投标1年。若至下一个自然年度项目尚未完结，仍出现该款情形的，继续暂停投标1年；同理执行至工程建设项目完工验收完成。</w:t>
            </w:r>
          </w:p>
        </w:tc>
        <w:tc>
          <w:tcPr>
            <w:tcW w:w="1044" w:type="dxa"/>
            <w:tcBorders>
              <w:top w:val="single" w:color="auto" w:sz="4" w:space="0"/>
              <w:left w:val="single" w:color="auto" w:sz="4" w:space="0"/>
              <w:bottom w:val="single" w:color="auto" w:sz="4" w:space="0"/>
              <w:right w:val="single" w:color="auto" w:sz="4" w:space="0"/>
            </w:tcBorders>
            <w:noWrap/>
            <w:vAlign w:val="center"/>
          </w:tcPr>
          <w:p w14:paraId="6721F269">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3A6D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4F9507F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4</w:t>
            </w:r>
          </w:p>
        </w:tc>
        <w:tc>
          <w:tcPr>
            <w:tcW w:w="623" w:type="dxa"/>
            <w:vMerge w:val="restart"/>
            <w:tcBorders>
              <w:top w:val="single" w:color="auto" w:sz="4" w:space="0"/>
              <w:left w:val="single" w:color="auto" w:sz="4" w:space="0"/>
              <w:bottom w:val="single" w:color="auto" w:sz="4" w:space="0"/>
              <w:right w:val="single" w:color="auto" w:sz="4" w:space="0"/>
            </w:tcBorders>
            <w:noWrap/>
            <w:vAlign w:val="center"/>
          </w:tcPr>
          <w:p w14:paraId="18F3F03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质量不</w:t>
            </w:r>
            <w:r>
              <w:rPr>
                <w:rFonts w:hint="eastAsia" w:ascii="仿宋" w:hAnsi="仿宋" w:eastAsia="仿宋" w:cs="仿宋"/>
                <w:sz w:val="21"/>
                <w:szCs w:val="21"/>
                <w:lang w:val="en-US" w:eastAsia="zh-CN"/>
              </w:rPr>
              <w:t>履约</w:t>
            </w:r>
            <w:r>
              <w:rPr>
                <w:rFonts w:hint="eastAsia" w:ascii="仿宋" w:hAnsi="仿宋" w:eastAsia="仿宋" w:cs="仿宋"/>
                <w:sz w:val="21"/>
                <w:szCs w:val="21"/>
              </w:rPr>
              <w:t>行为</w:t>
            </w:r>
          </w:p>
        </w:tc>
        <w:tc>
          <w:tcPr>
            <w:tcW w:w="5048" w:type="dxa"/>
            <w:tcBorders>
              <w:top w:val="single" w:color="auto" w:sz="4" w:space="0"/>
              <w:left w:val="single" w:color="auto" w:sz="4" w:space="0"/>
              <w:bottom w:val="single" w:color="auto" w:sz="4" w:space="0"/>
              <w:right w:val="single" w:color="auto" w:sz="4" w:space="0"/>
            </w:tcBorders>
            <w:noWrap/>
            <w:vAlign w:val="center"/>
          </w:tcPr>
          <w:p w14:paraId="10F44D1F">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（一）由于质量问题对建设项目的使用功能造成影响且无法挽回的。</w:t>
            </w:r>
          </w:p>
        </w:tc>
        <w:tc>
          <w:tcPr>
            <w:tcW w:w="3343" w:type="dxa"/>
            <w:gridSpan w:val="2"/>
            <w:tcBorders>
              <w:top w:val="single" w:color="auto" w:sz="4" w:space="0"/>
              <w:left w:val="single" w:color="auto" w:sz="4" w:space="0"/>
              <w:bottom w:val="single" w:color="auto" w:sz="4" w:space="0"/>
              <w:right w:val="single" w:color="auto" w:sz="4" w:space="0"/>
            </w:tcBorders>
            <w:noWrap/>
            <w:vAlign w:val="center"/>
          </w:tcPr>
          <w:p w14:paraId="52F129CB">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暂停投标1年。</w:t>
            </w:r>
          </w:p>
        </w:tc>
        <w:tc>
          <w:tcPr>
            <w:tcW w:w="1044" w:type="dxa"/>
            <w:tcBorders>
              <w:top w:val="single" w:color="auto" w:sz="4" w:space="0"/>
              <w:left w:val="single" w:color="auto" w:sz="4" w:space="0"/>
              <w:bottom w:val="single" w:color="auto" w:sz="4" w:space="0"/>
              <w:right w:val="single" w:color="auto" w:sz="4" w:space="0"/>
            </w:tcBorders>
            <w:noWrap/>
            <w:vAlign w:val="center"/>
          </w:tcPr>
          <w:p w14:paraId="0A5F97F1">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3BAC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4858377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5</w:t>
            </w:r>
          </w:p>
        </w:tc>
        <w:tc>
          <w:tcPr>
            <w:tcW w:w="623" w:type="dxa"/>
            <w:vMerge w:val="continue"/>
            <w:tcBorders>
              <w:top w:val="single" w:color="auto" w:sz="4" w:space="0"/>
              <w:left w:val="single" w:color="auto" w:sz="4" w:space="0"/>
              <w:bottom w:val="single" w:color="auto" w:sz="4" w:space="0"/>
              <w:right w:val="single" w:color="auto" w:sz="4" w:space="0"/>
            </w:tcBorders>
            <w:noWrap/>
            <w:vAlign w:val="center"/>
          </w:tcPr>
          <w:p w14:paraId="3F78A04A">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5048" w:type="dxa"/>
            <w:tcBorders>
              <w:top w:val="single" w:color="auto" w:sz="4" w:space="0"/>
              <w:left w:val="single" w:color="auto" w:sz="4" w:space="0"/>
              <w:bottom w:val="single" w:color="auto" w:sz="4" w:space="0"/>
              <w:right w:val="single" w:color="auto" w:sz="4" w:space="0"/>
            </w:tcBorders>
            <w:noWrap/>
            <w:vAlign w:val="center"/>
          </w:tcPr>
          <w:p w14:paraId="21A9CC82">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（二）根据《广州市净水有限公司工程项目承包单位考评细则》质量管理未达标且符合限制投标处罚标准的。</w:t>
            </w:r>
          </w:p>
        </w:tc>
        <w:tc>
          <w:tcPr>
            <w:tcW w:w="3343" w:type="dxa"/>
            <w:gridSpan w:val="2"/>
            <w:tcBorders>
              <w:top w:val="single" w:color="auto" w:sz="4" w:space="0"/>
              <w:left w:val="single" w:color="auto" w:sz="4" w:space="0"/>
              <w:bottom w:val="single" w:color="auto" w:sz="4" w:space="0"/>
              <w:right w:val="single" w:color="auto" w:sz="4" w:space="0"/>
            </w:tcBorders>
            <w:noWrap/>
            <w:vAlign w:val="center"/>
          </w:tcPr>
          <w:p w14:paraId="35D71C28">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暂停投标1年。若至下一个自然年度项目尚未完结，仍出现该款情形的，继续暂停投标1年；同理执行至工程建设项目完工验收完成。</w:t>
            </w:r>
          </w:p>
        </w:tc>
        <w:tc>
          <w:tcPr>
            <w:tcW w:w="1044" w:type="dxa"/>
            <w:tcBorders>
              <w:top w:val="single" w:color="auto" w:sz="4" w:space="0"/>
              <w:left w:val="single" w:color="auto" w:sz="4" w:space="0"/>
              <w:bottom w:val="single" w:color="auto" w:sz="4" w:space="0"/>
              <w:right w:val="single" w:color="auto" w:sz="4" w:space="0"/>
            </w:tcBorders>
            <w:noWrap/>
            <w:vAlign w:val="center"/>
          </w:tcPr>
          <w:p w14:paraId="09A9C42C">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096A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27E6461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6</w:t>
            </w:r>
          </w:p>
        </w:tc>
        <w:tc>
          <w:tcPr>
            <w:tcW w:w="623" w:type="dxa"/>
            <w:vMerge w:val="continue"/>
            <w:tcBorders>
              <w:top w:val="single" w:color="auto" w:sz="4" w:space="0"/>
              <w:left w:val="single" w:color="auto" w:sz="4" w:space="0"/>
              <w:bottom w:val="single" w:color="auto" w:sz="4" w:space="0"/>
              <w:right w:val="single" w:color="auto" w:sz="4" w:space="0"/>
            </w:tcBorders>
            <w:noWrap/>
            <w:vAlign w:val="center"/>
          </w:tcPr>
          <w:p w14:paraId="5CC34372">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5048" w:type="dxa"/>
            <w:tcBorders>
              <w:top w:val="single" w:color="auto" w:sz="4" w:space="0"/>
              <w:left w:val="single" w:color="auto" w:sz="4" w:space="0"/>
              <w:bottom w:val="single" w:color="auto" w:sz="4" w:space="0"/>
              <w:right w:val="single" w:color="auto" w:sz="4" w:space="0"/>
            </w:tcBorders>
            <w:noWrap/>
            <w:vAlign w:val="center"/>
          </w:tcPr>
          <w:p w14:paraId="69F00648">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（三）发生其他由质量问题而引起的重大社会负面影响事件的。</w:t>
            </w:r>
          </w:p>
        </w:tc>
        <w:tc>
          <w:tcPr>
            <w:tcW w:w="3343" w:type="dxa"/>
            <w:gridSpan w:val="2"/>
            <w:tcBorders>
              <w:top w:val="single" w:color="auto" w:sz="4" w:space="0"/>
              <w:left w:val="single" w:color="auto" w:sz="4" w:space="0"/>
              <w:bottom w:val="single" w:color="auto" w:sz="4" w:space="0"/>
              <w:right w:val="single" w:color="auto" w:sz="4" w:space="0"/>
            </w:tcBorders>
            <w:noWrap/>
            <w:vAlign w:val="center"/>
          </w:tcPr>
          <w:p w14:paraId="64CEB628">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视情况暂停投标6个月至2年。</w:t>
            </w:r>
          </w:p>
        </w:tc>
        <w:tc>
          <w:tcPr>
            <w:tcW w:w="1044" w:type="dxa"/>
            <w:tcBorders>
              <w:top w:val="single" w:color="auto" w:sz="4" w:space="0"/>
              <w:left w:val="single" w:color="auto" w:sz="4" w:space="0"/>
              <w:bottom w:val="single" w:color="auto" w:sz="4" w:space="0"/>
              <w:right w:val="single" w:color="auto" w:sz="4" w:space="0"/>
            </w:tcBorders>
            <w:noWrap/>
            <w:vAlign w:val="center"/>
          </w:tcPr>
          <w:p w14:paraId="5362B2B0">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47C3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79A376F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7</w:t>
            </w:r>
          </w:p>
        </w:tc>
        <w:tc>
          <w:tcPr>
            <w:tcW w:w="623" w:type="dxa"/>
            <w:vMerge w:val="restart"/>
            <w:tcBorders>
              <w:top w:val="single" w:color="auto" w:sz="4" w:space="0"/>
              <w:left w:val="single" w:color="auto" w:sz="4" w:space="0"/>
              <w:bottom w:val="single" w:color="auto" w:sz="4" w:space="0"/>
              <w:right w:val="single" w:color="auto" w:sz="4" w:space="0"/>
            </w:tcBorders>
            <w:noWrap/>
            <w:vAlign w:val="center"/>
          </w:tcPr>
          <w:p w14:paraId="0BF1E60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其他不</w:t>
            </w:r>
            <w:r>
              <w:rPr>
                <w:rFonts w:hint="eastAsia" w:ascii="仿宋" w:hAnsi="仿宋" w:eastAsia="仿宋" w:cs="仿宋"/>
                <w:sz w:val="21"/>
                <w:szCs w:val="21"/>
                <w:lang w:val="en-US" w:eastAsia="zh-CN"/>
              </w:rPr>
              <w:t>履约</w:t>
            </w:r>
          </w:p>
          <w:p w14:paraId="2E1814C9">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行为</w:t>
            </w:r>
          </w:p>
        </w:tc>
        <w:tc>
          <w:tcPr>
            <w:tcW w:w="5048" w:type="dxa"/>
            <w:tcBorders>
              <w:top w:val="single" w:color="auto" w:sz="4" w:space="0"/>
              <w:left w:val="single" w:color="auto" w:sz="4" w:space="0"/>
              <w:bottom w:val="single" w:color="auto" w:sz="4" w:space="0"/>
              <w:right w:val="single" w:color="auto" w:sz="4" w:space="0"/>
            </w:tcBorders>
            <w:noWrap/>
            <w:vAlign w:val="center"/>
          </w:tcPr>
          <w:p w14:paraId="1973BB49">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14:paraId="65E8D743">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1年</w:t>
            </w:r>
          </w:p>
        </w:tc>
        <w:tc>
          <w:tcPr>
            <w:tcW w:w="2493" w:type="dxa"/>
            <w:tcBorders>
              <w:top w:val="single" w:color="auto" w:sz="4" w:space="0"/>
              <w:left w:val="single" w:color="auto" w:sz="4" w:space="0"/>
              <w:bottom w:val="single" w:color="auto" w:sz="4" w:space="0"/>
              <w:right w:val="single" w:color="auto" w:sz="4" w:space="0"/>
            </w:tcBorders>
            <w:noWrap/>
            <w:vAlign w:val="center"/>
          </w:tcPr>
          <w:p w14:paraId="3BE4D9E0">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1年</w:t>
            </w:r>
          </w:p>
        </w:tc>
        <w:tc>
          <w:tcPr>
            <w:tcW w:w="1044" w:type="dxa"/>
            <w:tcBorders>
              <w:top w:val="single" w:color="auto" w:sz="4" w:space="0"/>
              <w:left w:val="single" w:color="auto" w:sz="4" w:space="0"/>
              <w:bottom w:val="single" w:color="auto" w:sz="4" w:space="0"/>
              <w:right w:val="single" w:color="auto" w:sz="4" w:space="0"/>
            </w:tcBorders>
            <w:noWrap/>
            <w:vAlign w:val="center"/>
          </w:tcPr>
          <w:p w14:paraId="7BC40F80">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562C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6CA608C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8</w:t>
            </w:r>
          </w:p>
        </w:tc>
        <w:tc>
          <w:tcPr>
            <w:tcW w:w="623" w:type="dxa"/>
            <w:vMerge w:val="continue"/>
            <w:tcBorders>
              <w:top w:val="single" w:color="auto" w:sz="4" w:space="0"/>
              <w:left w:val="single" w:color="auto" w:sz="4" w:space="0"/>
              <w:bottom w:val="single" w:color="auto" w:sz="4" w:space="0"/>
              <w:right w:val="single" w:color="auto" w:sz="4" w:space="0"/>
            </w:tcBorders>
            <w:noWrap/>
            <w:vAlign w:val="center"/>
          </w:tcPr>
          <w:p w14:paraId="5BA5F9FD">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5048" w:type="dxa"/>
            <w:tcBorders>
              <w:top w:val="single" w:color="auto" w:sz="4" w:space="0"/>
              <w:left w:val="single" w:color="auto" w:sz="4" w:space="0"/>
              <w:bottom w:val="single" w:color="auto" w:sz="4" w:space="0"/>
              <w:right w:val="single" w:color="auto" w:sz="4" w:space="0"/>
            </w:tcBorders>
            <w:noWrap/>
            <w:vAlign w:val="center"/>
          </w:tcPr>
          <w:p w14:paraId="16A6A2EF">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14:paraId="7DEBA5B2">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1年</w:t>
            </w:r>
          </w:p>
        </w:tc>
        <w:tc>
          <w:tcPr>
            <w:tcW w:w="2493" w:type="dxa"/>
            <w:tcBorders>
              <w:top w:val="single" w:color="auto" w:sz="4" w:space="0"/>
              <w:left w:val="single" w:color="auto" w:sz="4" w:space="0"/>
              <w:bottom w:val="single" w:color="auto" w:sz="4" w:space="0"/>
              <w:right w:val="single" w:color="auto" w:sz="4" w:space="0"/>
            </w:tcBorders>
            <w:noWrap/>
            <w:vAlign w:val="center"/>
          </w:tcPr>
          <w:p w14:paraId="1489F864">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1年</w:t>
            </w:r>
          </w:p>
        </w:tc>
        <w:tc>
          <w:tcPr>
            <w:tcW w:w="1044" w:type="dxa"/>
            <w:tcBorders>
              <w:top w:val="single" w:color="auto" w:sz="4" w:space="0"/>
              <w:left w:val="single" w:color="auto" w:sz="4" w:space="0"/>
              <w:bottom w:val="single" w:color="auto" w:sz="4" w:space="0"/>
              <w:right w:val="single" w:color="auto" w:sz="4" w:space="0"/>
            </w:tcBorders>
            <w:noWrap/>
            <w:vAlign w:val="center"/>
          </w:tcPr>
          <w:p w14:paraId="46CA45BB">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069B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4A56077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9</w:t>
            </w:r>
          </w:p>
        </w:tc>
        <w:tc>
          <w:tcPr>
            <w:tcW w:w="623" w:type="dxa"/>
            <w:vMerge w:val="continue"/>
            <w:tcBorders>
              <w:top w:val="single" w:color="auto" w:sz="4" w:space="0"/>
              <w:left w:val="single" w:color="auto" w:sz="4" w:space="0"/>
              <w:bottom w:val="single" w:color="auto" w:sz="4" w:space="0"/>
              <w:right w:val="single" w:color="auto" w:sz="4" w:space="0"/>
            </w:tcBorders>
            <w:noWrap/>
            <w:vAlign w:val="center"/>
          </w:tcPr>
          <w:p w14:paraId="19A26A1F">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5048" w:type="dxa"/>
            <w:tcBorders>
              <w:top w:val="single" w:color="auto" w:sz="4" w:space="0"/>
              <w:left w:val="single" w:color="auto" w:sz="4" w:space="0"/>
              <w:bottom w:val="single" w:color="auto" w:sz="4" w:space="0"/>
              <w:right w:val="single" w:color="auto" w:sz="4" w:space="0"/>
            </w:tcBorders>
            <w:noWrap/>
            <w:vAlign w:val="center"/>
          </w:tcPr>
          <w:p w14:paraId="509CBF93">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14:paraId="5CB57B89">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1年</w:t>
            </w:r>
          </w:p>
        </w:tc>
        <w:tc>
          <w:tcPr>
            <w:tcW w:w="2493" w:type="dxa"/>
            <w:tcBorders>
              <w:top w:val="single" w:color="auto" w:sz="4" w:space="0"/>
              <w:left w:val="single" w:color="auto" w:sz="4" w:space="0"/>
              <w:bottom w:val="single" w:color="auto" w:sz="4" w:space="0"/>
              <w:right w:val="single" w:color="auto" w:sz="4" w:space="0"/>
            </w:tcBorders>
            <w:noWrap/>
            <w:vAlign w:val="center"/>
          </w:tcPr>
          <w:p w14:paraId="3C447B6C">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1年</w:t>
            </w:r>
          </w:p>
        </w:tc>
        <w:tc>
          <w:tcPr>
            <w:tcW w:w="1044" w:type="dxa"/>
            <w:tcBorders>
              <w:top w:val="single" w:color="auto" w:sz="4" w:space="0"/>
              <w:left w:val="single" w:color="auto" w:sz="4" w:space="0"/>
              <w:bottom w:val="single" w:color="auto" w:sz="4" w:space="0"/>
              <w:right w:val="single" w:color="auto" w:sz="4" w:space="0"/>
            </w:tcBorders>
            <w:noWrap/>
            <w:vAlign w:val="center"/>
          </w:tcPr>
          <w:p w14:paraId="2F18D0C4">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4FF6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25CFDAA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10</w:t>
            </w:r>
          </w:p>
        </w:tc>
        <w:tc>
          <w:tcPr>
            <w:tcW w:w="623" w:type="dxa"/>
            <w:vMerge w:val="continue"/>
            <w:tcBorders>
              <w:top w:val="single" w:color="auto" w:sz="4" w:space="0"/>
              <w:left w:val="single" w:color="auto" w:sz="4" w:space="0"/>
              <w:bottom w:val="single" w:color="auto" w:sz="4" w:space="0"/>
              <w:right w:val="single" w:color="auto" w:sz="4" w:space="0"/>
            </w:tcBorders>
            <w:noWrap/>
            <w:vAlign w:val="center"/>
          </w:tcPr>
          <w:p w14:paraId="1E7E606A">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5048" w:type="dxa"/>
            <w:tcBorders>
              <w:top w:val="single" w:color="auto" w:sz="4" w:space="0"/>
              <w:left w:val="single" w:color="auto" w:sz="4" w:space="0"/>
              <w:bottom w:val="single" w:color="auto" w:sz="4" w:space="0"/>
              <w:right w:val="single" w:color="auto" w:sz="4" w:space="0"/>
            </w:tcBorders>
            <w:noWrap/>
            <w:vAlign w:val="center"/>
          </w:tcPr>
          <w:p w14:paraId="33EC7179">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42AE606B">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1年</w:t>
            </w:r>
          </w:p>
        </w:tc>
        <w:tc>
          <w:tcPr>
            <w:tcW w:w="2493" w:type="dxa"/>
            <w:tcBorders>
              <w:top w:val="single" w:color="auto" w:sz="4" w:space="0"/>
              <w:left w:val="single" w:color="auto" w:sz="4" w:space="0"/>
              <w:bottom w:val="single" w:color="auto" w:sz="4" w:space="0"/>
              <w:right w:val="single" w:color="auto" w:sz="4" w:space="0"/>
            </w:tcBorders>
            <w:noWrap/>
            <w:vAlign w:val="center"/>
          </w:tcPr>
          <w:p w14:paraId="1AB70C7A">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1年</w:t>
            </w:r>
          </w:p>
        </w:tc>
        <w:tc>
          <w:tcPr>
            <w:tcW w:w="1044" w:type="dxa"/>
            <w:tcBorders>
              <w:top w:val="single" w:color="auto" w:sz="4" w:space="0"/>
              <w:left w:val="single" w:color="auto" w:sz="4" w:space="0"/>
              <w:bottom w:val="single" w:color="auto" w:sz="4" w:space="0"/>
              <w:right w:val="single" w:color="auto" w:sz="4" w:space="0"/>
            </w:tcBorders>
            <w:noWrap/>
            <w:vAlign w:val="center"/>
          </w:tcPr>
          <w:p w14:paraId="14DF181E">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01DD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1762BC5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11</w:t>
            </w:r>
          </w:p>
        </w:tc>
        <w:tc>
          <w:tcPr>
            <w:tcW w:w="623" w:type="dxa"/>
            <w:vMerge w:val="continue"/>
            <w:tcBorders>
              <w:top w:val="single" w:color="auto" w:sz="4" w:space="0"/>
              <w:left w:val="single" w:color="auto" w:sz="4" w:space="0"/>
              <w:bottom w:val="single" w:color="auto" w:sz="4" w:space="0"/>
              <w:right w:val="single" w:color="auto" w:sz="4" w:space="0"/>
            </w:tcBorders>
            <w:noWrap/>
            <w:vAlign w:val="center"/>
          </w:tcPr>
          <w:p w14:paraId="7E060ED4">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5048" w:type="dxa"/>
            <w:tcBorders>
              <w:top w:val="single" w:color="auto" w:sz="4" w:space="0"/>
              <w:left w:val="single" w:color="auto" w:sz="4" w:space="0"/>
              <w:bottom w:val="single" w:color="auto" w:sz="4" w:space="0"/>
              <w:right w:val="single" w:color="auto" w:sz="4" w:space="0"/>
            </w:tcBorders>
            <w:noWrap/>
            <w:vAlign w:val="center"/>
          </w:tcPr>
          <w:p w14:paraId="21D89E5A">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39195615">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1年</w:t>
            </w:r>
          </w:p>
        </w:tc>
        <w:tc>
          <w:tcPr>
            <w:tcW w:w="2493" w:type="dxa"/>
            <w:tcBorders>
              <w:top w:val="single" w:color="auto" w:sz="4" w:space="0"/>
              <w:left w:val="single" w:color="auto" w:sz="4" w:space="0"/>
              <w:bottom w:val="single" w:color="auto" w:sz="4" w:space="0"/>
              <w:right w:val="single" w:color="auto" w:sz="4" w:space="0"/>
            </w:tcBorders>
            <w:noWrap/>
            <w:vAlign w:val="center"/>
          </w:tcPr>
          <w:p w14:paraId="5B2911CA">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1年</w:t>
            </w:r>
          </w:p>
        </w:tc>
        <w:tc>
          <w:tcPr>
            <w:tcW w:w="1044" w:type="dxa"/>
            <w:tcBorders>
              <w:top w:val="single" w:color="auto" w:sz="4" w:space="0"/>
              <w:left w:val="single" w:color="auto" w:sz="4" w:space="0"/>
              <w:bottom w:val="single" w:color="auto" w:sz="4" w:space="0"/>
              <w:right w:val="single" w:color="auto" w:sz="4" w:space="0"/>
            </w:tcBorders>
            <w:noWrap/>
            <w:vAlign w:val="center"/>
          </w:tcPr>
          <w:p w14:paraId="1133A5B7">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6050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2CC4BAD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12</w:t>
            </w:r>
          </w:p>
        </w:tc>
        <w:tc>
          <w:tcPr>
            <w:tcW w:w="623" w:type="dxa"/>
            <w:vMerge w:val="continue"/>
            <w:tcBorders>
              <w:top w:val="single" w:color="auto" w:sz="4" w:space="0"/>
              <w:left w:val="single" w:color="auto" w:sz="4" w:space="0"/>
              <w:bottom w:val="single" w:color="auto" w:sz="4" w:space="0"/>
              <w:right w:val="single" w:color="auto" w:sz="4" w:space="0"/>
            </w:tcBorders>
            <w:noWrap/>
            <w:vAlign w:val="center"/>
          </w:tcPr>
          <w:p w14:paraId="50C1998D">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5048" w:type="dxa"/>
            <w:tcBorders>
              <w:top w:val="single" w:color="auto" w:sz="4" w:space="0"/>
              <w:left w:val="single" w:color="auto" w:sz="4" w:space="0"/>
              <w:bottom w:val="single" w:color="auto" w:sz="4" w:space="0"/>
              <w:right w:val="single" w:color="auto" w:sz="4" w:space="0"/>
            </w:tcBorders>
            <w:noWrap/>
            <w:vAlign w:val="center"/>
          </w:tcPr>
          <w:p w14:paraId="275511E7">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14:paraId="14A9023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6个月</w:t>
            </w:r>
          </w:p>
        </w:tc>
        <w:tc>
          <w:tcPr>
            <w:tcW w:w="2493" w:type="dxa"/>
            <w:tcBorders>
              <w:top w:val="single" w:color="auto" w:sz="4" w:space="0"/>
              <w:left w:val="single" w:color="auto" w:sz="4" w:space="0"/>
              <w:bottom w:val="single" w:color="auto" w:sz="4" w:space="0"/>
              <w:right w:val="single" w:color="auto" w:sz="4" w:space="0"/>
            </w:tcBorders>
            <w:noWrap/>
            <w:vAlign w:val="center"/>
          </w:tcPr>
          <w:p w14:paraId="1837D48D">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1年</w:t>
            </w:r>
          </w:p>
        </w:tc>
        <w:tc>
          <w:tcPr>
            <w:tcW w:w="1044" w:type="dxa"/>
            <w:tcBorders>
              <w:top w:val="single" w:color="auto" w:sz="4" w:space="0"/>
              <w:left w:val="single" w:color="auto" w:sz="4" w:space="0"/>
              <w:bottom w:val="single" w:color="auto" w:sz="4" w:space="0"/>
              <w:right w:val="single" w:color="auto" w:sz="4" w:space="0"/>
            </w:tcBorders>
            <w:noWrap/>
            <w:vAlign w:val="center"/>
          </w:tcPr>
          <w:p w14:paraId="7C1BBA4B">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2B9A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78E0213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13</w:t>
            </w:r>
          </w:p>
        </w:tc>
        <w:tc>
          <w:tcPr>
            <w:tcW w:w="623" w:type="dxa"/>
            <w:vMerge w:val="continue"/>
            <w:tcBorders>
              <w:top w:val="single" w:color="auto" w:sz="4" w:space="0"/>
              <w:left w:val="single" w:color="auto" w:sz="4" w:space="0"/>
              <w:bottom w:val="single" w:color="auto" w:sz="4" w:space="0"/>
              <w:right w:val="single" w:color="auto" w:sz="4" w:space="0"/>
            </w:tcBorders>
            <w:noWrap/>
            <w:vAlign w:val="center"/>
          </w:tcPr>
          <w:p w14:paraId="2071178E">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5048" w:type="dxa"/>
            <w:tcBorders>
              <w:top w:val="single" w:color="auto" w:sz="4" w:space="0"/>
              <w:left w:val="single" w:color="auto" w:sz="4" w:space="0"/>
              <w:bottom w:val="single" w:color="auto" w:sz="4" w:space="0"/>
              <w:right w:val="single" w:color="auto" w:sz="4" w:space="0"/>
            </w:tcBorders>
            <w:noWrap/>
            <w:vAlign w:val="center"/>
          </w:tcPr>
          <w:p w14:paraId="2E722E22">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（七）严重违反合同约定的，具体包括但不限于以下行为：</w:t>
            </w:r>
          </w:p>
        </w:tc>
        <w:tc>
          <w:tcPr>
            <w:tcW w:w="3343" w:type="dxa"/>
            <w:gridSpan w:val="2"/>
            <w:tcBorders>
              <w:top w:val="single" w:color="auto" w:sz="4" w:space="0"/>
              <w:left w:val="single" w:color="auto" w:sz="4" w:space="0"/>
              <w:bottom w:val="single" w:color="auto" w:sz="4" w:space="0"/>
              <w:right w:val="single" w:color="auto" w:sz="4" w:space="0"/>
            </w:tcBorders>
            <w:noWrap/>
            <w:vAlign w:val="center"/>
          </w:tcPr>
          <w:p w14:paraId="3309F455">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视情况暂停投标6个月至2年。</w:t>
            </w:r>
          </w:p>
        </w:tc>
        <w:tc>
          <w:tcPr>
            <w:tcW w:w="1044" w:type="dxa"/>
            <w:tcBorders>
              <w:top w:val="single" w:color="auto" w:sz="4" w:space="0"/>
              <w:left w:val="single" w:color="auto" w:sz="4" w:space="0"/>
              <w:bottom w:val="single" w:color="auto" w:sz="4" w:space="0"/>
              <w:right w:val="single" w:color="auto" w:sz="4" w:space="0"/>
            </w:tcBorders>
            <w:noWrap/>
            <w:vAlign w:val="center"/>
          </w:tcPr>
          <w:p w14:paraId="52E90D3A">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7917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1920EFB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14</w:t>
            </w:r>
          </w:p>
        </w:tc>
        <w:tc>
          <w:tcPr>
            <w:tcW w:w="623" w:type="dxa"/>
            <w:vMerge w:val="continue"/>
            <w:tcBorders>
              <w:top w:val="single" w:color="auto" w:sz="4" w:space="0"/>
              <w:left w:val="single" w:color="auto" w:sz="4" w:space="0"/>
              <w:bottom w:val="single" w:color="auto" w:sz="4" w:space="0"/>
              <w:right w:val="single" w:color="auto" w:sz="4" w:space="0"/>
            </w:tcBorders>
            <w:noWrap/>
            <w:vAlign w:val="center"/>
          </w:tcPr>
          <w:p w14:paraId="108ED497">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5048" w:type="dxa"/>
            <w:tcBorders>
              <w:top w:val="single" w:color="auto" w:sz="4" w:space="0"/>
              <w:left w:val="single" w:color="auto" w:sz="4" w:space="0"/>
              <w:bottom w:val="single" w:color="auto" w:sz="4" w:space="0"/>
              <w:right w:val="single" w:color="auto" w:sz="4" w:space="0"/>
            </w:tcBorders>
            <w:noWrap/>
            <w:vAlign w:val="center"/>
          </w:tcPr>
          <w:p w14:paraId="3C826A2C">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14:paraId="358E0F91">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6个月</w:t>
            </w:r>
          </w:p>
        </w:tc>
        <w:tc>
          <w:tcPr>
            <w:tcW w:w="2493" w:type="dxa"/>
            <w:tcBorders>
              <w:top w:val="single" w:color="auto" w:sz="4" w:space="0"/>
              <w:left w:val="single" w:color="auto" w:sz="4" w:space="0"/>
              <w:bottom w:val="single" w:color="auto" w:sz="4" w:space="0"/>
              <w:right w:val="single" w:color="auto" w:sz="4" w:space="0"/>
            </w:tcBorders>
            <w:noWrap/>
            <w:vAlign w:val="center"/>
          </w:tcPr>
          <w:p w14:paraId="3EC4D052">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1年</w:t>
            </w:r>
          </w:p>
        </w:tc>
        <w:tc>
          <w:tcPr>
            <w:tcW w:w="1044" w:type="dxa"/>
            <w:tcBorders>
              <w:top w:val="single" w:color="auto" w:sz="4" w:space="0"/>
              <w:left w:val="single" w:color="auto" w:sz="4" w:space="0"/>
              <w:bottom w:val="single" w:color="auto" w:sz="4" w:space="0"/>
              <w:right w:val="single" w:color="auto" w:sz="4" w:space="0"/>
            </w:tcBorders>
            <w:noWrap/>
            <w:vAlign w:val="center"/>
          </w:tcPr>
          <w:p w14:paraId="3D337391">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4394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1C354AB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15</w:t>
            </w:r>
          </w:p>
        </w:tc>
        <w:tc>
          <w:tcPr>
            <w:tcW w:w="623" w:type="dxa"/>
            <w:vMerge w:val="continue"/>
            <w:tcBorders>
              <w:top w:val="single" w:color="auto" w:sz="4" w:space="0"/>
              <w:left w:val="single" w:color="auto" w:sz="4" w:space="0"/>
              <w:bottom w:val="single" w:color="auto" w:sz="4" w:space="0"/>
              <w:right w:val="single" w:color="auto" w:sz="4" w:space="0"/>
            </w:tcBorders>
            <w:noWrap/>
            <w:vAlign w:val="center"/>
          </w:tcPr>
          <w:p w14:paraId="54C19063">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5048" w:type="dxa"/>
            <w:tcBorders>
              <w:top w:val="single" w:color="auto" w:sz="4" w:space="0"/>
              <w:left w:val="single" w:color="auto" w:sz="4" w:space="0"/>
              <w:bottom w:val="single" w:color="auto" w:sz="4" w:space="0"/>
              <w:right w:val="single" w:color="auto" w:sz="4" w:space="0"/>
            </w:tcBorders>
            <w:noWrap/>
            <w:vAlign w:val="center"/>
          </w:tcPr>
          <w:p w14:paraId="22F1AB69">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14:paraId="64DE9A58">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6个月</w:t>
            </w:r>
          </w:p>
        </w:tc>
        <w:tc>
          <w:tcPr>
            <w:tcW w:w="2493" w:type="dxa"/>
            <w:tcBorders>
              <w:top w:val="single" w:color="auto" w:sz="4" w:space="0"/>
              <w:left w:val="single" w:color="auto" w:sz="4" w:space="0"/>
              <w:bottom w:val="single" w:color="auto" w:sz="4" w:space="0"/>
              <w:right w:val="single" w:color="auto" w:sz="4" w:space="0"/>
            </w:tcBorders>
            <w:noWrap/>
            <w:vAlign w:val="center"/>
          </w:tcPr>
          <w:p w14:paraId="6688B9AB">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1年</w:t>
            </w:r>
          </w:p>
        </w:tc>
        <w:tc>
          <w:tcPr>
            <w:tcW w:w="1044" w:type="dxa"/>
            <w:tcBorders>
              <w:top w:val="single" w:color="auto" w:sz="4" w:space="0"/>
              <w:left w:val="single" w:color="auto" w:sz="4" w:space="0"/>
              <w:bottom w:val="single" w:color="auto" w:sz="4" w:space="0"/>
              <w:right w:val="single" w:color="auto" w:sz="4" w:space="0"/>
            </w:tcBorders>
            <w:noWrap/>
            <w:vAlign w:val="center"/>
          </w:tcPr>
          <w:p w14:paraId="62F21702">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7DA8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0F8BE49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16</w:t>
            </w:r>
          </w:p>
        </w:tc>
        <w:tc>
          <w:tcPr>
            <w:tcW w:w="623" w:type="dxa"/>
            <w:vMerge w:val="continue"/>
            <w:tcBorders>
              <w:top w:val="single" w:color="auto" w:sz="4" w:space="0"/>
              <w:left w:val="single" w:color="auto" w:sz="4" w:space="0"/>
              <w:bottom w:val="single" w:color="auto" w:sz="4" w:space="0"/>
              <w:right w:val="single" w:color="auto" w:sz="4" w:space="0"/>
            </w:tcBorders>
            <w:noWrap/>
            <w:vAlign w:val="center"/>
          </w:tcPr>
          <w:p w14:paraId="1CF90680">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5048" w:type="dxa"/>
            <w:tcBorders>
              <w:top w:val="single" w:color="auto" w:sz="4" w:space="0"/>
              <w:left w:val="single" w:color="auto" w:sz="4" w:space="0"/>
              <w:bottom w:val="single" w:color="auto" w:sz="4" w:space="0"/>
              <w:right w:val="single" w:color="auto" w:sz="4" w:space="0"/>
            </w:tcBorders>
            <w:noWrap/>
            <w:vAlign w:val="center"/>
          </w:tcPr>
          <w:p w14:paraId="4AEF406A">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455854D5">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6个月</w:t>
            </w:r>
          </w:p>
        </w:tc>
        <w:tc>
          <w:tcPr>
            <w:tcW w:w="2493" w:type="dxa"/>
            <w:tcBorders>
              <w:top w:val="single" w:color="auto" w:sz="4" w:space="0"/>
              <w:left w:val="single" w:color="auto" w:sz="4" w:space="0"/>
              <w:bottom w:val="single" w:color="auto" w:sz="4" w:space="0"/>
              <w:right w:val="single" w:color="auto" w:sz="4" w:space="0"/>
            </w:tcBorders>
            <w:noWrap/>
            <w:vAlign w:val="center"/>
          </w:tcPr>
          <w:p w14:paraId="17AF6464">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1年</w:t>
            </w:r>
          </w:p>
        </w:tc>
        <w:tc>
          <w:tcPr>
            <w:tcW w:w="1044" w:type="dxa"/>
            <w:tcBorders>
              <w:top w:val="single" w:color="auto" w:sz="4" w:space="0"/>
              <w:left w:val="single" w:color="auto" w:sz="4" w:space="0"/>
              <w:bottom w:val="single" w:color="auto" w:sz="4" w:space="0"/>
              <w:right w:val="single" w:color="auto" w:sz="4" w:space="0"/>
            </w:tcBorders>
            <w:noWrap/>
            <w:vAlign w:val="center"/>
          </w:tcPr>
          <w:p w14:paraId="7905D92A">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3F56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467C584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17</w:t>
            </w:r>
          </w:p>
        </w:tc>
        <w:tc>
          <w:tcPr>
            <w:tcW w:w="623" w:type="dxa"/>
            <w:vMerge w:val="continue"/>
            <w:tcBorders>
              <w:top w:val="single" w:color="auto" w:sz="4" w:space="0"/>
              <w:left w:val="single" w:color="auto" w:sz="4" w:space="0"/>
              <w:bottom w:val="single" w:color="auto" w:sz="4" w:space="0"/>
              <w:right w:val="single" w:color="auto" w:sz="4" w:space="0"/>
            </w:tcBorders>
            <w:noWrap/>
            <w:vAlign w:val="center"/>
          </w:tcPr>
          <w:p w14:paraId="2136B6BF">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5048" w:type="dxa"/>
            <w:tcBorders>
              <w:top w:val="single" w:color="auto" w:sz="4" w:space="0"/>
              <w:left w:val="single" w:color="auto" w:sz="4" w:space="0"/>
              <w:bottom w:val="single" w:color="auto" w:sz="4" w:space="0"/>
              <w:right w:val="single" w:color="auto" w:sz="4" w:space="0"/>
            </w:tcBorders>
            <w:noWrap/>
            <w:vAlign w:val="center"/>
          </w:tcPr>
          <w:p w14:paraId="4B06C7D9">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4.其他经认定为严重违反合同规定的。</w:t>
            </w:r>
          </w:p>
        </w:tc>
        <w:tc>
          <w:tcPr>
            <w:tcW w:w="3343" w:type="dxa"/>
            <w:gridSpan w:val="2"/>
            <w:tcBorders>
              <w:top w:val="single" w:color="auto" w:sz="4" w:space="0"/>
              <w:left w:val="single" w:color="auto" w:sz="4" w:space="0"/>
              <w:bottom w:val="single" w:color="auto" w:sz="4" w:space="0"/>
              <w:right w:val="single" w:color="auto" w:sz="4" w:space="0"/>
            </w:tcBorders>
            <w:noWrap/>
            <w:vAlign w:val="center"/>
          </w:tcPr>
          <w:p w14:paraId="077177A1">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视情况暂停投标6个月至2年。</w:t>
            </w:r>
          </w:p>
        </w:tc>
        <w:tc>
          <w:tcPr>
            <w:tcW w:w="1044" w:type="dxa"/>
            <w:tcBorders>
              <w:top w:val="single" w:color="auto" w:sz="4" w:space="0"/>
              <w:left w:val="single" w:color="auto" w:sz="4" w:space="0"/>
              <w:bottom w:val="single" w:color="auto" w:sz="4" w:space="0"/>
              <w:right w:val="single" w:color="auto" w:sz="4" w:space="0"/>
            </w:tcBorders>
            <w:noWrap/>
            <w:vAlign w:val="center"/>
          </w:tcPr>
          <w:p w14:paraId="0A20EB51">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337A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2D45224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18</w:t>
            </w:r>
          </w:p>
        </w:tc>
        <w:tc>
          <w:tcPr>
            <w:tcW w:w="623" w:type="dxa"/>
            <w:vMerge w:val="continue"/>
            <w:tcBorders>
              <w:top w:val="single" w:color="auto" w:sz="4" w:space="0"/>
              <w:left w:val="single" w:color="auto" w:sz="4" w:space="0"/>
              <w:bottom w:val="single" w:color="auto" w:sz="4" w:space="0"/>
              <w:right w:val="single" w:color="auto" w:sz="4" w:space="0"/>
            </w:tcBorders>
            <w:noWrap/>
            <w:vAlign w:val="center"/>
          </w:tcPr>
          <w:p w14:paraId="665502E4">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5048" w:type="dxa"/>
            <w:tcBorders>
              <w:top w:val="single" w:color="auto" w:sz="4" w:space="0"/>
              <w:left w:val="single" w:color="auto" w:sz="4" w:space="0"/>
              <w:bottom w:val="single" w:color="auto" w:sz="4" w:space="0"/>
              <w:right w:val="single" w:color="auto" w:sz="4" w:space="0"/>
            </w:tcBorders>
            <w:noWrap/>
            <w:vAlign w:val="center"/>
          </w:tcPr>
          <w:p w14:paraId="094EB6B6">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（八）违反廉洁协议约定的。</w:t>
            </w:r>
          </w:p>
        </w:tc>
        <w:tc>
          <w:tcPr>
            <w:tcW w:w="3343" w:type="dxa"/>
            <w:gridSpan w:val="2"/>
            <w:tcBorders>
              <w:top w:val="single" w:color="auto" w:sz="4" w:space="0"/>
              <w:left w:val="single" w:color="auto" w:sz="4" w:space="0"/>
              <w:bottom w:val="single" w:color="auto" w:sz="4" w:space="0"/>
              <w:right w:val="single" w:color="auto" w:sz="4" w:space="0"/>
            </w:tcBorders>
            <w:noWrap/>
            <w:vAlign w:val="center"/>
          </w:tcPr>
          <w:p w14:paraId="3D59A1FC">
            <w:pPr>
              <w:keepNext w:val="0"/>
              <w:keepLines w:val="0"/>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视情况暂停投标6个月至2年。</w:t>
            </w:r>
          </w:p>
        </w:tc>
        <w:tc>
          <w:tcPr>
            <w:tcW w:w="1044" w:type="dxa"/>
            <w:tcBorders>
              <w:top w:val="single" w:color="auto" w:sz="4" w:space="0"/>
              <w:left w:val="single" w:color="auto" w:sz="4" w:space="0"/>
              <w:bottom w:val="single" w:color="auto" w:sz="4" w:space="0"/>
              <w:right w:val="single" w:color="auto" w:sz="4" w:space="0"/>
            </w:tcBorders>
            <w:noWrap/>
            <w:vAlign w:val="center"/>
          </w:tcPr>
          <w:p w14:paraId="372E3C1A">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0EF8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71AF0B4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19</w:t>
            </w:r>
          </w:p>
        </w:tc>
        <w:tc>
          <w:tcPr>
            <w:tcW w:w="623" w:type="dxa"/>
            <w:vMerge w:val="continue"/>
            <w:tcBorders>
              <w:top w:val="single" w:color="auto" w:sz="4" w:space="0"/>
              <w:left w:val="single" w:color="auto" w:sz="4" w:space="0"/>
              <w:bottom w:val="single" w:color="auto" w:sz="4" w:space="0"/>
              <w:right w:val="single" w:color="auto" w:sz="4" w:space="0"/>
            </w:tcBorders>
            <w:noWrap/>
            <w:vAlign w:val="center"/>
          </w:tcPr>
          <w:p w14:paraId="6786AE3E">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5048" w:type="dxa"/>
            <w:tcBorders>
              <w:top w:val="single" w:color="auto" w:sz="4" w:space="0"/>
              <w:left w:val="single" w:color="auto" w:sz="4" w:space="0"/>
              <w:bottom w:val="single" w:color="auto" w:sz="4" w:space="0"/>
              <w:right w:val="single" w:color="auto" w:sz="4" w:space="0"/>
            </w:tcBorders>
            <w:noWrap/>
            <w:vAlign w:val="center"/>
          </w:tcPr>
          <w:p w14:paraId="02541512">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（九）拖欠农民工工资，造成不良后果的。</w:t>
            </w:r>
          </w:p>
        </w:tc>
        <w:tc>
          <w:tcPr>
            <w:tcW w:w="3343" w:type="dxa"/>
            <w:gridSpan w:val="2"/>
            <w:tcBorders>
              <w:top w:val="single" w:color="auto" w:sz="4" w:space="0"/>
              <w:left w:val="single" w:color="auto" w:sz="4" w:space="0"/>
              <w:bottom w:val="single" w:color="auto" w:sz="4" w:space="0"/>
              <w:right w:val="single" w:color="auto" w:sz="4" w:space="0"/>
            </w:tcBorders>
            <w:noWrap/>
            <w:vAlign w:val="center"/>
          </w:tcPr>
          <w:p w14:paraId="0CE05F0D">
            <w:pPr>
              <w:keepNext w:val="0"/>
              <w:keepLines w:val="0"/>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视情况暂停投标6个月至2年。</w:t>
            </w:r>
          </w:p>
        </w:tc>
        <w:tc>
          <w:tcPr>
            <w:tcW w:w="1044" w:type="dxa"/>
            <w:tcBorders>
              <w:top w:val="single" w:color="auto" w:sz="4" w:space="0"/>
              <w:left w:val="single" w:color="auto" w:sz="4" w:space="0"/>
              <w:bottom w:val="single" w:color="auto" w:sz="4" w:space="0"/>
              <w:right w:val="single" w:color="auto" w:sz="4" w:space="0"/>
            </w:tcBorders>
            <w:noWrap/>
            <w:vAlign w:val="center"/>
          </w:tcPr>
          <w:p w14:paraId="5E6C6E16">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0159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0B345AA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20</w:t>
            </w:r>
          </w:p>
        </w:tc>
        <w:tc>
          <w:tcPr>
            <w:tcW w:w="623" w:type="dxa"/>
            <w:vMerge w:val="continue"/>
            <w:tcBorders>
              <w:top w:val="single" w:color="auto" w:sz="4" w:space="0"/>
              <w:left w:val="single" w:color="auto" w:sz="4" w:space="0"/>
              <w:bottom w:val="single" w:color="auto" w:sz="4" w:space="0"/>
              <w:right w:val="single" w:color="auto" w:sz="4" w:space="0"/>
            </w:tcBorders>
            <w:noWrap/>
            <w:vAlign w:val="center"/>
          </w:tcPr>
          <w:p w14:paraId="1C06B57E">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5048" w:type="dxa"/>
            <w:tcBorders>
              <w:top w:val="single" w:color="auto" w:sz="4" w:space="0"/>
              <w:left w:val="single" w:color="auto" w:sz="4" w:space="0"/>
              <w:bottom w:val="single" w:color="auto" w:sz="4" w:space="0"/>
              <w:right w:val="single" w:color="auto" w:sz="4" w:space="0"/>
            </w:tcBorders>
            <w:noWrap/>
            <w:vAlign w:val="center"/>
          </w:tcPr>
          <w:p w14:paraId="0F01C645">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（十）为谋取非法利益，给市水投集团或发包人造成损失的。</w:t>
            </w:r>
          </w:p>
        </w:tc>
        <w:tc>
          <w:tcPr>
            <w:tcW w:w="3343" w:type="dxa"/>
            <w:gridSpan w:val="2"/>
            <w:tcBorders>
              <w:top w:val="single" w:color="auto" w:sz="4" w:space="0"/>
              <w:left w:val="single" w:color="auto" w:sz="4" w:space="0"/>
              <w:bottom w:val="single" w:color="auto" w:sz="4" w:space="0"/>
              <w:right w:val="single" w:color="auto" w:sz="4" w:space="0"/>
            </w:tcBorders>
            <w:noWrap/>
            <w:vAlign w:val="center"/>
          </w:tcPr>
          <w:p w14:paraId="4F7F8F4A">
            <w:pPr>
              <w:keepNext w:val="0"/>
              <w:keepLines w:val="0"/>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视情况暂停投标6个月至2年。</w:t>
            </w:r>
          </w:p>
        </w:tc>
        <w:tc>
          <w:tcPr>
            <w:tcW w:w="1044" w:type="dxa"/>
            <w:tcBorders>
              <w:top w:val="single" w:color="auto" w:sz="4" w:space="0"/>
              <w:left w:val="single" w:color="auto" w:sz="4" w:space="0"/>
              <w:bottom w:val="single" w:color="auto" w:sz="4" w:space="0"/>
              <w:right w:val="single" w:color="auto" w:sz="4" w:space="0"/>
            </w:tcBorders>
            <w:noWrap/>
            <w:vAlign w:val="center"/>
          </w:tcPr>
          <w:p w14:paraId="75653D4F">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7BCF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200E9899">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21</w:t>
            </w:r>
          </w:p>
        </w:tc>
        <w:tc>
          <w:tcPr>
            <w:tcW w:w="623" w:type="dxa"/>
            <w:vMerge w:val="continue"/>
            <w:tcBorders>
              <w:top w:val="single" w:color="auto" w:sz="4" w:space="0"/>
              <w:left w:val="single" w:color="auto" w:sz="4" w:space="0"/>
              <w:bottom w:val="single" w:color="auto" w:sz="4" w:space="0"/>
              <w:right w:val="single" w:color="auto" w:sz="4" w:space="0"/>
            </w:tcBorders>
            <w:noWrap/>
            <w:vAlign w:val="center"/>
          </w:tcPr>
          <w:p w14:paraId="24D9A540">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5048" w:type="dxa"/>
            <w:tcBorders>
              <w:top w:val="single" w:color="auto" w:sz="4" w:space="0"/>
              <w:left w:val="single" w:color="auto" w:sz="4" w:space="0"/>
              <w:bottom w:val="single" w:color="auto" w:sz="4" w:space="0"/>
              <w:right w:val="single" w:color="auto" w:sz="4" w:space="0"/>
            </w:tcBorders>
            <w:noWrap/>
            <w:vAlign w:val="center"/>
          </w:tcPr>
          <w:p w14:paraId="7A6F6D82">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（十一）因参建企业原因造成第三者财产重大损失的。</w:t>
            </w:r>
          </w:p>
        </w:tc>
        <w:tc>
          <w:tcPr>
            <w:tcW w:w="3343" w:type="dxa"/>
            <w:gridSpan w:val="2"/>
            <w:tcBorders>
              <w:top w:val="single" w:color="auto" w:sz="4" w:space="0"/>
              <w:left w:val="single" w:color="auto" w:sz="4" w:space="0"/>
              <w:bottom w:val="single" w:color="auto" w:sz="4" w:space="0"/>
              <w:right w:val="single" w:color="auto" w:sz="4" w:space="0"/>
            </w:tcBorders>
            <w:noWrap/>
            <w:vAlign w:val="center"/>
          </w:tcPr>
          <w:p w14:paraId="00A6E027">
            <w:pPr>
              <w:keepNext w:val="0"/>
              <w:keepLines w:val="0"/>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视情况暂停投标6个月至2年。</w:t>
            </w:r>
          </w:p>
        </w:tc>
        <w:tc>
          <w:tcPr>
            <w:tcW w:w="1044" w:type="dxa"/>
            <w:tcBorders>
              <w:top w:val="single" w:color="auto" w:sz="4" w:space="0"/>
              <w:left w:val="single" w:color="auto" w:sz="4" w:space="0"/>
              <w:bottom w:val="single" w:color="auto" w:sz="4" w:space="0"/>
              <w:right w:val="single" w:color="auto" w:sz="4" w:space="0"/>
            </w:tcBorders>
            <w:noWrap/>
            <w:vAlign w:val="center"/>
          </w:tcPr>
          <w:p w14:paraId="4ADD5AFC">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r w14:paraId="5EE5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7" w:type="dxa"/>
            <w:tcBorders>
              <w:top w:val="single" w:color="auto" w:sz="4" w:space="0"/>
              <w:left w:val="single" w:color="auto" w:sz="4" w:space="0"/>
              <w:bottom w:val="single" w:color="auto" w:sz="4" w:space="0"/>
              <w:right w:val="single" w:color="auto" w:sz="4" w:space="0"/>
            </w:tcBorders>
            <w:noWrap/>
            <w:vAlign w:val="center"/>
          </w:tcPr>
          <w:p w14:paraId="3031A55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22</w:t>
            </w:r>
          </w:p>
        </w:tc>
        <w:tc>
          <w:tcPr>
            <w:tcW w:w="623" w:type="dxa"/>
            <w:vMerge w:val="continue"/>
            <w:tcBorders>
              <w:top w:val="single" w:color="auto" w:sz="4" w:space="0"/>
              <w:left w:val="single" w:color="auto" w:sz="4" w:space="0"/>
              <w:bottom w:val="single" w:color="auto" w:sz="4" w:space="0"/>
              <w:right w:val="single" w:color="auto" w:sz="4" w:space="0"/>
            </w:tcBorders>
            <w:noWrap/>
            <w:vAlign w:val="center"/>
          </w:tcPr>
          <w:p w14:paraId="1F527C53">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5048" w:type="dxa"/>
            <w:tcBorders>
              <w:top w:val="single" w:color="auto" w:sz="4" w:space="0"/>
              <w:left w:val="single" w:color="auto" w:sz="4" w:space="0"/>
              <w:bottom w:val="single" w:color="auto" w:sz="4" w:space="0"/>
              <w:right w:val="single" w:color="auto" w:sz="4" w:space="0"/>
            </w:tcBorders>
            <w:noWrap/>
            <w:vAlign w:val="center"/>
          </w:tcPr>
          <w:p w14:paraId="40EA56D2">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sz w:val="21"/>
                <w:szCs w:val="21"/>
              </w:rPr>
            </w:pPr>
            <w:r>
              <w:rPr>
                <w:rFonts w:hint="eastAsia" w:ascii="仿宋" w:hAnsi="仿宋" w:eastAsia="仿宋" w:cs="仿宋"/>
                <w:sz w:val="21"/>
                <w:szCs w:val="21"/>
              </w:rPr>
              <w:t>（十二）经发包人认定的其他不</w:t>
            </w:r>
            <w:r>
              <w:rPr>
                <w:rFonts w:hint="eastAsia" w:ascii="仿宋" w:hAnsi="仿宋" w:eastAsia="仿宋" w:cs="仿宋"/>
                <w:sz w:val="21"/>
                <w:szCs w:val="21"/>
                <w:lang w:val="en-US" w:eastAsia="zh-CN"/>
              </w:rPr>
              <w:t>履约</w:t>
            </w:r>
            <w:r>
              <w:rPr>
                <w:rFonts w:hint="eastAsia" w:ascii="仿宋" w:hAnsi="仿宋" w:eastAsia="仿宋" w:cs="仿宋"/>
                <w:sz w:val="21"/>
                <w:szCs w:val="21"/>
              </w:rPr>
              <w:t>行为。</w:t>
            </w:r>
          </w:p>
        </w:tc>
        <w:tc>
          <w:tcPr>
            <w:tcW w:w="3343" w:type="dxa"/>
            <w:gridSpan w:val="2"/>
            <w:tcBorders>
              <w:top w:val="single" w:color="auto" w:sz="4" w:space="0"/>
              <w:left w:val="single" w:color="auto" w:sz="4" w:space="0"/>
              <w:bottom w:val="single" w:color="auto" w:sz="4" w:space="0"/>
              <w:right w:val="single" w:color="auto" w:sz="4" w:space="0"/>
            </w:tcBorders>
            <w:noWrap/>
            <w:vAlign w:val="center"/>
          </w:tcPr>
          <w:p w14:paraId="4FFA6382">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视情况暂停投标6个月至2年。</w:t>
            </w:r>
          </w:p>
        </w:tc>
        <w:tc>
          <w:tcPr>
            <w:tcW w:w="1044" w:type="dxa"/>
            <w:tcBorders>
              <w:top w:val="single" w:color="auto" w:sz="4" w:space="0"/>
              <w:left w:val="single" w:color="auto" w:sz="4" w:space="0"/>
              <w:bottom w:val="single" w:color="auto" w:sz="4" w:space="0"/>
              <w:right w:val="single" w:color="auto" w:sz="4" w:space="0"/>
            </w:tcBorders>
            <w:noWrap/>
            <w:vAlign w:val="center"/>
          </w:tcPr>
          <w:p w14:paraId="5B2272C1">
            <w:pPr>
              <w:keepNext w:val="0"/>
              <w:keepLines w:val="0"/>
              <w:suppressLineNumbers w:val="0"/>
              <w:adjustRightInd w:val="0"/>
              <w:snapToGrid w:val="0"/>
              <w:spacing w:before="0" w:beforeAutospacing="0" w:after="0" w:afterAutospacing="0"/>
              <w:ind w:left="0" w:right="0"/>
              <w:rPr>
                <w:rFonts w:hint="eastAsia" w:ascii="仿宋" w:hAnsi="仿宋" w:eastAsia="仿宋" w:cs="仿宋"/>
                <w:sz w:val="21"/>
                <w:szCs w:val="21"/>
              </w:rPr>
            </w:pPr>
          </w:p>
        </w:tc>
      </w:tr>
    </w:tbl>
    <w:p w14:paraId="73581334">
      <w:pPr>
        <w:numPr>
          <w:ilvl w:val="0"/>
          <w:numId w:val="0"/>
        </w:numP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color w:val="auto"/>
          <w:sz w:val="24"/>
          <w:szCs w:val="24"/>
          <w:highlight w:val="none"/>
          <w:lang w:val="en-US" w:eastAsia="zh-CN"/>
        </w:rPr>
        <w:t>备注：本处理标准出自</w:t>
      </w:r>
      <w:r>
        <w:rPr>
          <w:rFonts w:hint="eastAsia" w:ascii="仿宋" w:hAnsi="仿宋" w:eastAsia="仿宋" w:cs="仿宋"/>
          <w:color w:val="000000"/>
          <w:sz w:val="24"/>
          <w:szCs w:val="24"/>
          <w:highlight w:val="none"/>
        </w:rPr>
        <w:t>《</w:t>
      </w:r>
      <w:r>
        <w:rPr>
          <w:rFonts w:hint="eastAsia" w:ascii="仿宋" w:hAnsi="仿宋" w:eastAsia="仿宋" w:cs="仿宋"/>
          <w:sz w:val="24"/>
          <w:szCs w:val="24"/>
        </w:rPr>
        <w:t>广州市净水有限公司经营建设项目参建企业</w:t>
      </w:r>
      <w:r>
        <w:rPr>
          <w:rFonts w:hint="eastAsia" w:ascii="仿宋" w:hAnsi="仿宋" w:eastAsia="仿宋" w:cs="仿宋"/>
          <w:sz w:val="24"/>
          <w:szCs w:val="24"/>
          <w:lang w:val="en-US" w:eastAsia="zh-CN"/>
        </w:rPr>
        <w:t>不履约评价</w:t>
      </w:r>
      <w:r>
        <w:rPr>
          <w:rFonts w:hint="eastAsia" w:ascii="仿宋" w:hAnsi="仿宋" w:eastAsia="仿宋" w:cs="仿宋"/>
          <w:sz w:val="24"/>
          <w:szCs w:val="24"/>
        </w:rPr>
        <w:t>管理办法（试行）</w:t>
      </w:r>
      <w:r>
        <w:rPr>
          <w:rFonts w:hint="eastAsia" w:ascii="仿宋" w:hAnsi="仿宋" w:eastAsia="仿宋" w:cs="仿宋"/>
          <w:color w:val="000000"/>
          <w:sz w:val="24"/>
          <w:szCs w:val="24"/>
          <w:highlight w:val="none"/>
        </w:rPr>
        <w:t>》</w:t>
      </w:r>
      <w:bookmarkEnd w:id="61"/>
      <w:bookmarkEnd w:id="62"/>
    </w:p>
    <w:p w14:paraId="2C29F900">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 w:hAnsi="仿宋" w:eastAsia="仿宋" w:cs="仿宋"/>
          <w:color w:val="auto"/>
          <w:sz w:val="28"/>
          <w:szCs w:val="28"/>
          <w:highlight w:val="none"/>
        </w:rPr>
      </w:pPr>
    </w:p>
    <w:p w14:paraId="0C0AD9C9">
      <w:pPr>
        <w:rPr>
          <w:rFonts w:hint="eastAsia" w:ascii="仿宋" w:hAnsi="仿宋" w:eastAsia="仿宋" w:cs="仿宋"/>
          <w:color w:val="auto"/>
          <w:sz w:val="44"/>
          <w:szCs w:val="44"/>
          <w:highlight w:val="none"/>
        </w:rPr>
      </w:pPr>
    </w:p>
    <w:p w14:paraId="047BA376">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 w:hAnsi="仿宋" w:eastAsia="仿宋" w:cs="仿宋"/>
          <w:color w:val="auto"/>
          <w:sz w:val="28"/>
          <w:szCs w:val="28"/>
          <w:highlight w:val="none"/>
        </w:rPr>
      </w:pPr>
    </w:p>
    <w:p w14:paraId="2C022B85">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47C5F780">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4A771869">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13DDF441">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44F1E3A3">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14:paraId="3D111702">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14:paraId="7E385FAA">
      <w:pPr>
        <w:pStyle w:val="2"/>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14:paraId="18856AEB">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14:paraId="1AB2DF6D">
      <w:pPr>
        <w:adjustRightInd w:val="0"/>
        <w:snapToGrid w:val="0"/>
        <w:spacing w:beforeLines="50" w:afterLines="50" w:line="600" w:lineRule="exact"/>
        <w:jc w:val="center"/>
        <w:rPr>
          <w:rFonts w:ascii="方正小标宋简体" w:eastAsia="仿宋"/>
          <w:color w:val="auto"/>
          <w:sz w:val="44"/>
          <w:szCs w:val="44"/>
          <w:highlight w:val="none"/>
        </w:rPr>
      </w:pPr>
    </w:p>
    <w:p w14:paraId="55D413F4">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14:paraId="7C9576BD">
      <w:pPr>
        <w:adjustRightInd w:val="0"/>
        <w:snapToGrid w:val="0"/>
        <w:spacing w:beforeLines="50" w:afterLines="50" w:line="600" w:lineRule="exact"/>
        <w:jc w:val="center"/>
        <w:rPr>
          <w:rFonts w:ascii="仿宋_GB2312" w:eastAsia="仿宋"/>
          <w:color w:val="auto"/>
          <w:sz w:val="30"/>
          <w:szCs w:val="30"/>
          <w:highlight w:val="none"/>
        </w:rPr>
      </w:pPr>
    </w:p>
    <w:p w14:paraId="188B6050">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14:paraId="6BECA86E">
      <w:pPr>
        <w:adjustRightInd w:val="0"/>
        <w:snapToGrid w:val="0"/>
        <w:spacing w:beforeLines="50" w:afterLines="50" w:line="600" w:lineRule="exact"/>
        <w:jc w:val="center"/>
        <w:rPr>
          <w:rFonts w:ascii="方正小标宋简体" w:eastAsia="仿宋"/>
          <w:color w:val="auto"/>
          <w:sz w:val="44"/>
          <w:szCs w:val="44"/>
          <w:highlight w:val="none"/>
        </w:rPr>
      </w:pPr>
    </w:p>
    <w:p w14:paraId="4D4535C0">
      <w:pPr>
        <w:adjustRightInd w:val="0"/>
        <w:snapToGrid w:val="0"/>
        <w:spacing w:beforeLines="50" w:afterLines="50" w:line="600" w:lineRule="exact"/>
        <w:jc w:val="center"/>
        <w:rPr>
          <w:rFonts w:ascii="方正小标宋简体" w:eastAsia="仿宋"/>
          <w:color w:val="auto"/>
          <w:sz w:val="44"/>
          <w:szCs w:val="44"/>
          <w:highlight w:val="none"/>
        </w:rPr>
      </w:pPr>
    </w:p>
    <w:p w14:paraId="7281AAE2">
      <w:pPr>
        <w:adjustRightInd w:val="0"/>
        <w:snapToGrid w:val="0"/>
        <w:spacing w:beforeLines="50" w:afterLines="50" w:line="600" w:lineRule="exact"/>
        <w:jc w:val="center"/>
        <w:rPr>
          <w:rFonts w:ascii="方正小标宋简体" w:eastAsia="仿宋"/>
          <w:color w:val="auto"/>
          <w:sz w:val="44"/>
          <w:szCs w:val="44"/>
          <w:highlight w:val="none"/>
        </w:rPr>
      </w:pPr>
    </w:p>
    <w:p w14:paraId="433275F4">
      <w:pPr>
        <w:adjustRightInd w:val="0"/>
        <w:snapToGrid w:val="0"/>
        <w:spacing w:beforeLines="50" w:afterLines="50" w:line="600" w:lineRule="exact"/>
        <w:jc w:val="center"/>
        <w:rPr>
          <w:rFonts w:ascii="方正小标宋简体" w:eastAsia="仿宋"/>
          <w:color w:val="auto"/>
          <w:sz w:val="44"/>
          <w:szCs w:val="44"/>
          <w:highlight w:val="none"/>
        </w:rPr>
      </w:pPr>
    </w:p>
    <w:p w14:paraId="2720AD99">
      <w:pPr>
        <w:adjustRightInd w:val="0"/>
        <w:snapToGrid w:val="0"/>
        <w:spacing w:beforeLines="50" w:afterLines="50" w:line="600" w:lineRule="exact"/>
        <w:jc w:val="center"/>
        <w:rPr>
          <w:rFonts w:ascii="方正小标宋简体" w:eastAsia="仿宋"/>
          <w:color w:val="auto"/>
          <w:sz w:val="44"/>
          <w:szCs w:val="44"/>
          <w:highlight w:val="none"/>
        </w:rPr>
      </w:pPr>
    </w:p>
    <w:p w14:paraId="3D3F6C68">
      <w:pPr>
        <w:adjustRightInd w:val="0"/>
        <w:snapToGrid w:val="0"/>
        <w:spacing w:beforeLines="50" w:afterLines="50" w:line="600" w:lineRule="exact"/>
        <w:jc w:val="center"/>
        <w:rPr>
          <w:rFonts w:ascii="方正小标宋简体" w:eastAsia="仿宋"/>
          <w:color w:val="auto"/>
          <w:sz w:val="44"/>
          <w:szCs w:val="44"/>
          <w:highlight w:val="none"/>
        </w:rPr>
      </w:pPr>
    </w:p>
    <w:p w14:paraId="20E8ABCE">
      <w:pPr>
        <w:adjustRightInd w:val="0"/>
        <w:snapToGrid w:val="0"/>
        <w:spacing w:beforeLines="50" w:afterLines="50" w:line="600" w:lineRule="exact"/>
        <w:jc w:val="center"/>
        <w:rPr>
          <w:rFonts w:ascii="方正小标宋简体" w:eastAsia="仿宋"/>
          <w:color w:val="auto"/>
          <w:sz w:val="44"/>
          <w:szCs w:val="44"/>
          <w:highlight w:val="none"/>
        </w:rPr>
      </w:pPr>
    </w:p>
    <w:p w14:paraId="5DC5CE5D">
      <w:pPr>
        <w:adjustRightInd w:val="0"/>
        <w:snapToGrid w:val="0"/>
        <w:spacing w:beforeLines="50" w:afterLines="50" w:line="600" w:lineRule="exact"/>
        <w:jc w:val="center"/>
        <w:rPr>
          <w:rFonts w:ascii="方正小标宋简体" w:eastAsia="仿宋"/>
          <w:color w:val="auto"/>
          <w:sz w:val="44"/>
          <w:szCs w:val="44"/>
          <w:highlight w:val="none"/>
        </w:rPr>
      </w:pPr>
    </w:p>
    <w:p w14:paraId="6EF22EDA">
      <w:pPr>
        <w:adjustRightInd w:val="0"/>
        <w:snapToGrid w:val="0"/>
        <w:spacing w:beforeLines="50" w:afterLines="50" w:line="600" w:lineRule="exact"/>
        <w:jc w:val="center"/>
        <w:rPr>
          <w:rFonts w:ascii="方正小标宋简体" w:eastAsia="仿宋"/>
          <w:color w:val="auto"/>
          <w:sz w:val="44"/>
          <w:szCs w:val="44"/>
          <w:highlight w:val="none"/>
        </w:rPr>
      </w:pPr>
    </w:p>
    <w:p w14:paraId="262F669B">
      <w:pPr>
        <w:jc w:val="center"/>
        <w:rPr>
          <w:rFonts w:hint="eastAsia" w:ascii="方正小标宋简体" w:eastAsia="仿宋"/>
          <w:color w:val="auto"/>
          <w:sz w:val="48"/>
          <w:szCs w:val="48"/>
          <w:highlight w:val="none"/>
        </w:rPr>
      </w:pPr>
    </w:p>
    <w:p w14:paraId="7DE42D62">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14:paraId="4DC0E9D0">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14:paraId="13204A3C">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14:paraId="177F66C9">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14:paraId="38CE2F7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14:paraId="2A3A5A07">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70" w:name="_Toc88209952"/>
      <w:bookmarkStart w:id="71" w:name="_Toc87616389"/>
      <w:r>
        <w:rPr>
          <w:rFonts w:hint="eastAsia" w:ascii="仿宋_GB2312" w:eastAsia="仿宋"/>
          <w:color w:val="auto"/>
          <w:sz w:val="28"/>
          <w:szCs w:val="28"/>
          <w:highlight w:val="none"/>
        </w:rPr>
        <w:t>1.响应函</w:t>
      </w:r>
      <w:bookmarkEnd w:id="70"/>
      <w:bookmarkEnd w:id="71"/>
    </w:p>
    <w:p w14:paraId="3D061E3E">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72" w:name="_Toc88209953"/>
      <w:bookmarkStart w:id="73" w:name="_Toc87616390"/>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72"/>
      <w:bookmarkEnd w:id="73"/>
      <w:bookmarkStart w:id="74" w:name="_Toc88209956"/>
      <w:bookmarkStart w:id="75" w:name="_Toc87616393"/>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14:paraId="60225F79">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74"/>
      <w:bookmarkEnd w:id="75"/>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14:paraId="2754BBFF">
      <w:pPr>
        <w:spacing w:line="360" w:lineRule="auto"/>
        <w:rPr>
          <w:rFonts w:hint="eastAsia" w:ascii="黑体" w:hAnsi="黑体" w:eastAsia="黑体" w:cs="黑体"/>
          <w:b/>
          <w:bCs/>
          <w:color w:val="auto"/>
          <w:sz w:val="32"/>
          <w:szCs w:val="32"/>
          <w:highlight w:val="none"/>
        </w:rPr>
      </w:pPr>
      <w:bookmarkStart w:id="76" w:name="_Toc87616394"/>
      <w:bookmarkStart w:id="77" w:name="_Toc6313"/>
      <w:bookmarkStart w:id="78" w:name="_Toc88209957"/>
      <w:bookmarkStart w:id="79" w:name="_Toc12665"/>
      <w:bookmarkStart w:id="80" w:name="_Toc28619645"/>
      <w:r>
        <w:rPr>
          <w:rFonts w:hint="eastAsia" w:ascii="黑体" w:hAnsi="黑体" w:eastAsia="黑体" w:cs="黑体"/>
          <w:b/>
          <w:bCs/>
          <w:color w:val="auto"/>
          <w:sz w:val="32"/>
          <w:szCs w:val="32"/>
          <w:highlight w:val="none"/>
        </w:rPr>
        <w:t>1.响应函</w:t>
      </w:r>
      <w:bookmarkEnd w:id="76"/>
      <w:bookmarkEnd w:id="77"/>
      <w:bookmarkEnd w:id="78"/>
      <w:bookmarkEnd w:id="79"/>
      <w:bookmarkEnd w:id="80"/>
    </w:p>
    <w:p w14:paraId="2CBDE94F">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14:paraId="182F29E1">
      <w:pPr>
        <w:spacing w:line="360" w:lineRule="auto"/>
        <w:rPr>
          <w:rFonts w:ascii="仿宋_GB2312" w:hAnsi="黑体" w:eastAsia="仿宋"/>
          <w:color w:val="auto"/>
          <w:sz w:val="28"/>
          <w:szCs w:val="28"/>
          <w:highlight w:val="none"/>
          <w:u w:val="single"/>
        </w:rPr>
      </w:pPr>
    </w:p>
    <w:p w14:paraId="21C03187">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14:paraId="0CB3D727">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14:paraId="400DAEB6">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14:paraId="3DC217EC">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14:paraId="24A81DCC">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14:paraId="5C42754B">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14:paraId="4CA2B62D">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14:paraId="01FB4BF2">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14:paraId="3EBFF6E3">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14:paraId="70AF886B">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14:paraId="013E3A8D">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14:paraId="6C8D9ED8">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14:paraId="72791719">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14:paraId="756F75B1">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14:paraId="44156E51">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14:paraId="04286674">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14:paraId="655A2930">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14:paraId="07C6A9A9">
      <w:pPr>
        <w:pStyle w:val="23"/>
        <w:ind w:firstLine="560" w:firstLineChars="200"/>
        <w:rPr>
          <w:rFonts w:hint="eastAsia" w:eastAsia="仿宋"/>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14:paraId="739DE4C0">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14:paraId="3D52FC60">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14:paraId="4D3C115C">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14:paraId="03F86EC2">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14:paraId="3F063516">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14:paraId="6AAD6D9D">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14:paraId="67001583">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14:paraId="2590D1FB">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14:paraId="573E822A">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14:paraId="1044BA1F">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14:paraId="5365D2CF">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14:paraId="66AAA69D">
      <w:pPr>
        <w:rPr>
          <w:rFonts w:hint="eastAsia" w:asciiTheme="minorEastAsia" w:hAnsiTheme="minorEastAsia" w:eastAsiaTheme="minorEastAsia"/>
          <w:color w:val="auto"/>
          <w:sz w:val="28"/>
          <w:szCs w:val="28"/>
          <w:highlight w:val="none"/>
        </w:rPr>
      </w:pPr>
      <w:bookmarkStart w:id="81" w:name="_Toc29833"/>
      <w:bookmarkStart w:id="82" w:name="_Toc88209958"/>
      <w:bookmarkStart w:id="83" w:name="_Toc22527"/>
      <w:bookmarkStart w:id="84" w:name="_Toc87616395"/>
      <w:r>
        <w:rPr>
          <w:rFonts w:hint="eastAsia" w:asciiTheme="minorEastAsia" w:hAnsiTheme="minorEastAsia" w:eastAsiaTheme="minorEastAsia"/>
          <w:color w:val="auto"/>
          <w:sz w:val="28"/>
          <w:szCs w:val="28"/>
          <w:highlight w:val="none"/>
        </w:rPr>
        <w:br w:type="page"/>
      </w:r>
    </w:p>
    <w:p w14:paraId="6788CC53">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81"/>
      <w:bookmarkEnd w:id="82"/>
      <w:bookmarkEnd w:id="83"/>
      <w:bookmarkEnd w:id="84"/>
    </w:p>
    <w:p w14:paraId="500C3155">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14:paraId="24A8FC98">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14:paraId="353D9E85">
      <w:pPr>
        <w:pStyle w:val="39"/>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14:paraId="74EB576B">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14:paraId="5EC83C7B">
      <w:pPr>
        <w:pStyle w:val="38"/>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14:paraId="12ECFCC9">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14:paraId="0421AA5E">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14:paraId="18EC3F86">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14:paraId="20EF6954">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14:paraId="52F73B27">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14:paraId="0ECF7A2D">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14:paraId="0EC3D57E">
      <w:pPr>
        <w:pStyle w:val="13"/>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14:paraId="71792D2A">
      <w:pPr>
        <w:pStyle w:val="13"/>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14:paraId="065E89F0">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19EB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15A7EC47">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人像</w:t>
            </w:r>
            <w:r>
              <w:rPr>
                <w:rFonts w:hint="eastAsia" w:ascii="仿宋_GB2312" w:hAnsi="仿宋_GB2312" w:eastAsia="仿宋" w:cs="仿宋_GB2312"/>
                <w:sz w:val="24"/>
                <w:szCs w:val="24"/>
              </w:rPr>
              <w:t>面）</w:t>
            </w:r>
          </w:p>
        </w:tc>
        <w:tc>
          <w:tcPr>
            <w:tcW w:w="4530" w:type="dxa"/>
            <w:vAlign w:val="center"/>
          </w:tcPr>
          <w:p w14:paraId="4FC4DA27">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国徽</w:t>
            </w:r>
            <w:r>
              <w:rPr>
                <w:rFonts w:hint="eastAsia" w:ascii="仿宋_GB2312" w:hAnsi="仿宋_GB2312" w:eastAsia="仿宋" w:cs="仿宋_GB2312"/>
                <w:sz w:val="24"/>
                <w:szCs w:val="24"/>
              </w:rPr>
              <w:t>面）</w:t>
            </w:r>
          </w:p>
        </w:tc>
      </w:tr>
      <w:tr w14:paraId="619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14:paraId="02EC6ABE">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14:paraId="50C2FC17">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14:paraId="16928300">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14:paraId="0F89F7BB">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14:paraId="43D09469">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14:paraId="3476F3AF">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14:paraId="0CC023A1">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14:paraId="4354466F">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14:paraId="0947691E">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14:paraId="4A2B55EE">
      <w:pPr>
        <w:pStyle w:val="37"/>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14:paraId="2A30E2D4">
      <w:pPr>
        <w:pStyle w:val="37"/>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14:paraId="42047394">
      <w:pPr>
        <w:pStyle w:val="13"/>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14:paraId="344F4359">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14:paraId="2BA946F2">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14:paraId="2FCB4D9D">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14:paraId="6D532D39">
      <w:pPr>
        <w:pStyle w:val="23"/>
        <w:ind w:left="0" w:leftChars="0" w:firstLine="0" w:firstLineChars="0"/>
        <w:rPr>
          <w:rFonts w:hint="eastAsia" w:ascii="仿宋_GB2312" w:hAnsi="宋体" w:eastAsia="仿宋"/>
          <w:color w:val="auto"/>
          <w:sz w:val="30"/>
          <w:szCs w:val="30"/>
          <w:highlight w:val="none"/>
        </w:rPr>
      </w:pPr>
    </w:p>
    <w:p w14:paraId="0DFBA563">
      <w:pPr>
        <w:pStyle w:val="23"/>
        <w:ind w:left="0" w:leftChars="0" w:firstLine="0" w:firstLineChars="0"/>
        <w:rPr>
          <w:rFonts w:hint="eastAsia" w:ascii="仿宋_GB2312" w:hAnsi="宋体" w:eastAsia="仿宋_GB2312"/>
          <w:color w:val="auto"/>
          <w:sz w:val="30"/>
          <w:szCs w:val="30"/>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3CA4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14:paraId="02368A89">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人像</w:t>
            </w:r>
            <w:r>
              <w:rPr>
                <w:rFonts w:hint="eastAsia" w:ascii="仿宋_GB2312" w:hAnsi="仿宋_GB2312" w:eastAsia="仿宋" w:cs="仿宋_GB2312"/>
                <w:sz w:val="28"/>
                <w:szCs w:val="28"/>
              </w:rPr>
              <w:t>面）</w:t>
            </w:r>
          </w:p>
        </w:tc>
        <w:tc>
          <w:tcPr>
            <w:tcW w:w="4530" w:type="dxa"/>
            <w:vAlign w:val="center"/>
          </w:tcPr>
          <w:p w14:paraId="5808F02A">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国徽</w:t>
            </w:r>
            <w:r>
              <w:rPr>
                <w:rFonts w:hint="eastAsia" w:ascii="仿宋_GB2312" w:hAnsi="仿宋_GB2312" w:eastAsia="仿宋" w:cs="仿宋_GB2312"/>
                <w:sz w:val="28"/>
                <w:szCs w:val="28"/>
              </w:rPr>
              <w:t>面）</w:t>
            </w:r>
          </w:p>
        </w:tc>
      </w:tr>
      <w:tr w14:paraId="5C2D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14:paraId="512B33E0">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14:paraId="430AAB1B">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14:paraId="739443AE">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F42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71FBBDC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14:paraId="0FC448E2">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14:paraId="22C1DA4E">
      <w:pPr>
        <w:spacing w:line="360" w:lineRule="auto"/>
        <w:rPr>
          <w:rFonts w:hint="eastAsia" w:ascii="黑体" w:hAnsi="黑体" w:eastAsia="黑体" w:cs="黑体"/>
          <w:b/>
          <w:bCs/>
          <w:color w:val="auto"/>
          <w:sz w:val="32"/>
          <w:szCs w:val="32"/>
          <w:highlight w:val="none"/>
        </w:rPr>
      </w:pPr>
      <w:bookmarkStart w:id="85" w:name="_Toc19830"/>
      <w:bookmarkStart w:id="86" w:name="_Toc8086"/>
      <w:bookmarkStart w:id="87" w:name="_Toc88209963"/>
      <w:bookmarkStart w:id="88" w:name="_Toc87616400"/>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85"/>
      <w:bookmarkEnd w:id="86"/>
      <w:bookmarkEnd w:id="87"/>
      <w:bookmarkEnd w:id="88"/>
    </w:p>
    <w:p w14:paraId="2B905D8B">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332E1C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74CB513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14:paraId="3BCCB82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759109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24BB37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14:paraId="6F9C355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2D0DFE4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14:paraId="31DB680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3BF69C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14:paraId="0A20890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14:paraId="4FA44B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14:paraId="6FA184C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437D5B6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14:paraId="356F589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6226E1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14:paraId="5735836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14:paraId="44ABB14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14:paraId="08A8055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531F275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14:paraId="7EC59B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1389F1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60F874E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14:paraId="36ABB2F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44CE15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6D1AE40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14:paraId="6B2EB1C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14:paraId="59CB4B9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14:paraId="174EE54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14:paraId="46087CC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14:paraId="478004C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14:paraId="64D4288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0AE804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64694AF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14:paraId="1739260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14:paraId="338EADE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14:paraId="5A89182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14:paraId="589F34B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14:paraId="3230530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14:paraId="4F261B7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655432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1485757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14:paraId="626E642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14:paraId="4EBD669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14:paraId="29CECD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4DDA814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14:paraId="1B5E7B3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14:paraId="096A1AE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14:paraId="707B441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14:paraId="519086A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0D2D28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10D6359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14:paraId="1E52342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7C86B72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127462B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14:paraId="78DEB75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499FE9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2F16DAD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14:paraId="6C8CAC9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4465DBF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23957B8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14:paraId="6AB7EC3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6CF806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8F1FC1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14:paraId="49A2EC4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1AC5802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56B1C65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14:paraId="022962F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6AFC90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07D5DA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14:paraId="6EAFAF6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3ED7A9B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2C8635E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14:paraId="1B7C847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659956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14:paraId="204100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14:paraId="6730BD3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51794A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0620DA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14:paraId="38B0849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14:paraId="007CAB93">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7BF1AD8D">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9" w:name="_Hlk59025866"/>
      <w:r>
        <w:rPr>
          <w:rFonts w:hint="eastAsia" w:ascii="宋体" w:hAnsi="宋体" w:eastAsia="宋体" w:cs="宋体"/>
          <w:color w:val="auto"/>
          <w:kern w:val="2"/>
          <w:sz w:val="24"/>
          <w:szCs w:val="24"/>
          <w:highlight w:val="none"/>
          <w:lang w:val="en-GB"/>
        </w:rPr>
        <w:t>供应商名称（加盖公章）：</w:t>
      </w:r>
    </w:p>
    <w:p w14:paraId="675479CA">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14:paraId="76921285">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89"/>
    <w:p w14:paraId="3D855664">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14:paraId="393FC62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14:paraId="62A87F8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14:paraId="0110231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14:paraId="6017D07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14:paraId="46AE054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14:paraId="442A3E8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14:paraId="0FDB001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14:paraId="1BD4A3B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14:paraId="391724B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14:paraId="127F482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14:paraId="6A6AAF0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eastAsia="zh-CN"/>
        </w:rPr>
        <w:t>（</w:t>
      </w:r>
      <w:r>
        <w:rPr>
          <w:rFonts w:hint="eastAsia" w:ascii="仿宋_GB2312" w:hAnsi="仿宋_GB2312" w:eastAsia="仿宋" w:cs="仿宋_GB2312"/>
          <w:color w:val="auto"/>
          <w:sz w:val="28"/>
          <w:szCs w:val="28"/>
          <w:highlight w:val="none"/>
          <w:lang w:val="en-US" w:eastAsia="zh-CN"/>
        </w:rPr>
        <w:t>9</w:t>
      </w:r>
      <w:r>
        <w:rPr>
          <w:rFonts w:hint="eastAsia" w:ascii="仿宋_GB2312" w:hAnsi="仿宋_GB2312" w:eastAsia="仿宋" w:cs="仿宋_GB2312"/>
          <w:color w:val="auto"/>
          <w:sz w:val="28"/>
          <w:szCs w:val="28"/>
          <w:highlight w:val="none"/>
          <w:lang w:val="en-GB" w:eastAsia="zh-CN"/>
        </w:rPr>
        <w:t>）</w:t>
      </w:r>
      <w:r>
        <w:rPr>
          <w:rFonts w:hint="eastAsia" w:ascii="仿宋_GB2312" w:hAnsi="仿宋_GB2312" w:eastAsia="仿宋" w:cs="仿宋_GB2312"/>
          <w:color w:val="auto"/>
          <w:sz w:val="28"/>
          <w:szCs w:val="28"/>
          <w:highlight w:val="none"/>
          <w:lang w:val="en-GB"/>
        </w:rPr>
        <w:t>供应商发生不履约行为的情形，并相应被暂停参与投标活动的。</w:t>
      </w:r>
    </w:p>
    <w:p w14:paraId="284A80A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 w:cs="仿宋_GB2312"/>
          <w:b/>
          <w:color w:val="auto"/>
          <w:sz w:val="28"/>
          <w:szCs w:val="28"/>
          <w:highlight w:val="none"/>
        </w:rPr>
      </w:pPr>
      <w:r>
        <w:rPr>
          <w:rFonts w:hint="eastAsia" w:ascii="仿宋_GB2312" w:hAnsi="仿宋_GB2312" w:eastAsia="仿宋" w:cs="仿宋_GB2312"/>
          <w:color w:val="auto"/>
          <w:sz w:val="28"/>
          <w:szCs w:val="28"/>
          <w:highlight w:val="none"/>
          <w:lang w:val="en-GB"/>
        </w:rPr>
        <w:t>（</w:t>
      </w:r>
      <w:r>
        <w:rPr>
          <w:rFonts w:hint="eastAsia" w:ascii="仿宋_GB2312" w:hAnsi="仿宋_GB2312" w:eastAsia="仿宋" w:cs="仿宋_GB2312"/>
          <w:color w:val="auto"/>
          <w:sz w:val="28"/>
          <w:szCs w:val="28"/>
          <w:highlight w:val="none"/>
          <w:lang w:val="en-US" w:eastAsia="zh-CN"/>
        </w:rPr>
        <w:t>10</w:t>
      </w:r>
      <w:r>
        <w:rPr>
          <w:rFonts w:hint="eastAsia" w:ascii="仿宋_GB2312" w:hAnsi="仿宋_GB2312" w:eastAsia="仿宋" w:cs="仿宋_GB2312"/>
          <w:color w:val="auto"/>
          <w:sz w:val="28"/>
          <w:szCs w:val="28"/>
          <w:highlight w:val="none"/>
          <w:lang w:val="en-GB"/>
        </w:rPr>
        <w:t>）其他违法违纪行为，经审查认为不宜被邀请参加采购活动的。</w:t>
      </w:r>
    </w:p>
    <w:p w14:paraId="5E21FEE9">
      <w:pPr>
        <w:wordWrap w:val="0"/>
        <w:adjustRightInd w:val="0"/>
        <w:snapToGrid w:val="0"/>
        <w:spacing w:line="360" w:lineRule="auto"/>
        <w:jc w:val="right"/>
        <w:rPr>
          <w:rFonts w:hint="eastAsia" w:ascii="仿宋_GB2312" w:hAnsi="仿宋_GB2312" w:eastAsia="仿宋" w:cs="仿宋_GB2312"/>
          <w:color w:val="auto"/>
          <w:kern w:val="2"/>
          <w:sz w:val="28"/>
          <w:szCs w:val="28"/>
          <w:highlight w:val="none"/>
          <w:lang w:val="en-GB"/>
        </w:rPr>
      </w:pPr>
    </w:p>
    <w:p w14:paraId="5CD192E6">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14:paraId="6EDA6D82">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14:paraId="39A1F141">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14:paraId="099E7C05">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14:paraId="6AE6E4A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3B3F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0D2D6C8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14:paraId="11CB003E">
            <w:pPr>
              <w:jc w:val="center"/>
              <w:rPr>
                <w:rFonts w:ascii="仿宋" w:hAnsi="仿宋" w:eastAsia="仿宋" w:cs="仿宋_GB2312"/>
                <w:b/>
                <w:color w:val="auto"/>
                <w:sz w:val="28"/>
                <w:szCs w:val="28"/>
                <w:highlight w:val="none"/>
              </w:rPr>
            </w:pPr>
          </w:p>
        </w:tc>
        <w:tc>
          <w:tcPr>
            <w:tcW w:w="1613" w:type="dxa"/>
            <w:gridSpan w:val="2"/>
            <w:noWrap w:val="0"/>
            <w:vAlign w:val="center"/>
          </w:tcPr>
          <w:p w14:paraId="4F14002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14:paraId="6F01B749">
            <w:pPr>
              <w:jc w:val="center"/>
              <w:rPr>
                <w:rFonts w:ascii="仿宋" w:hAnsi="仿宋" w:eastAsia="仿宋" w:cs="仿宋_GB2312"/>
                <w:b/>
                <w:color w:val="auto"/>
                <w:sz w:val="28"/>
                <w:szCs w:val="28"/>
                <w:highlight w:val="none"/>
              </w:rPr>
            </w:pPr>
          </w:p>
        </w:tc>
        <w:tc>
          <w:tcPr>
            <w:tcW w:w="2198" w:type="dxa"/>
            <w:gridSpan w:val="2"/>
            <w:noWrap w:val="0"/>
            <w:vAlign w:val="center"/>
          </w:tcPr>
          <w:p w14:paraId="1EF95E5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14:paraId="41006252">
            <w:pPr>
              <w:jc w:val="center"/>
              <w:rPr>
                <w:rFonts w:ascii="仿宋" w:hAnsi="仿宋" w:eastAsia="仿宋" w:cs="仿宋_GB2312"/>
                <w:b/>
                <w:color w:val="auto"/>
                <w:sz w:val="28"/>
                <w:szCs w:val="28"/>
                <w:highlight w:val="none"/>
              </w:rPr>
            </w:pPr>
          </w:p>
        </w:tc>
      </w:tr>
      <w:tr w14:paraId="3738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6A1807A8">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14:paraId="6210AD60">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159B792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14:paraId="418DA47B">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32DAC29D">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14:paraId="5BD17F09">
            <w:pPr>
              <w:spacing w:line="360" w:lineRule="exact"/>
              <w:jc w:val="center"/>
              <w:rPr>
                <w:rFonts w:ascii="仿宋" w:hAnsi="仿宋" w:eastAsia="仿宋" w:cs="仿宋_GB2312"/>
                <w:b/>
                <w:color w:val="auto"/>
                <w:sz w:val="28"/>
                <w:szCs w:val="28"/>
                <w:highlight w:val="none"/>
              </w:rPr>
            </w:pPr>
          </w:p>
        </w:tc>
      </w:tr>
      <w:tr w14:paraId="5D47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22DCB44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14:paraId="1E922FAE">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4BD6FBE5">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14:paraId="6EC8FBE3">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0664623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14:paraId="45BA9B05">
            <w:pPr>
              <w:spacing w:line="360" w:lineRule="exact"/>
              <w:jc w:val="center"/>
              <w:rPr>
                <w:rFonts w:ascii="仿宋" w:hAnsi="仿宋" w:eastAsia="仿宋" w:cs="仿宋_GB2312"/>
                <w:b/>
                <w:color w:val="auto"/>
                <w:sz w:val="28"/>
                <w:szCs w:val="28"/>
                <w:highlight w:val="none"/>
              </w:rPr>
            </w:pPr>
          </w:p>
        </w:tc>
      </w:tr>
      <w:tr w14:paraId="25DB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097EBA5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07BB644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14:paraId="4BF71DE5">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566742E7">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750CCC21">
            <w:pPr>
              <w:spacing w:line="360" w:lineRule="exact"/>
              <w:jc w:val="center"/>
              <w:rPr>
                <w:rFonts w:ascii="仿宋" w:hAnsi="仿宋" w:eastAsia="仿宋" w:cs="仿宋_GB2312"/>
                <w:b/>
                <w:color w:val="auto"/>
                <w:sz w:val="28"/>
                <w:szCs w:val="28"/>
                <w:highlight w:val="none"/>
              </w:rPr>
            </w:pPr>
          </w:p>
        </w:tc>
      </w:tr>
      <w:tr w14:paraId="77D2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611BF6D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14:paraId="76DBB411">
            <w:pPr>
              <w:jc w:val="center"/>
              <w:rPr>
                <w:rFonts w:ascii="仿宋" w:hAnsi="仿宋" w:eastAsia="仿宋" w:cs="仿宋_GB2312"/>
                <w:b/>
                <w:color w:val="auto"/>
                <w:sz w:val="28"/>
                <w:szCs w:val="28"/>
                <w:highlight w:val="none"/>
              </w:rPr>
            </w:pPr>
          </w:p>
        </w:tc>
        <w:tc>
          <w:tcPr>
            <w:tcW w:w="2198" w:type="dxa"/>
            <w:gridSpan w:val="2"/>
            <w:noWrap w:val="0"/>
            <w:vAlign w:val="center"/>
          </w:tcPr>
          <w:p w14:paraId="41227E5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0A420262">
            <w:pPr>
              <w:jc w:val="center"/>
              <w:rPr>
                <w:rFonts w:ascii="仿宋" w:hAnsi="仿宋" w:eastAsia="仿宋" w:cs="仿宋_GB2312"/>
                <w:b/>
                <w:color w:val="auto"/>
                <w:sz w:val="28"/>
                <w:szCs w:val="28"/>
                <w:highlight w:val="none"/>
              </w:rPr>
            </w:pPr>
          </w:p>
        </w:tc>
      </w:tr>
      <w:tr w14:paraId="5CBD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14:paraId="02EDC0AC">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761F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14:paraId="799FD622">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14:paraId="311AA5C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14:paraId="23177F2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14:paraId="3570B3EB">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14:paraId="661519E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6129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6CFB3D7E">
            <w:pPr>
              <w:jc w:val="center"/>
              <w:rPr>
                <w:rFonts w:ascii="仿宋" w:hAnsi="仿宋" w:eastAsia="仿宋" w:cs="仿宋_GB2312"/>
                <w:b/>
                <w:color w:val="auto"/>
                <w:sz w:val="28"/>
                <w:szCs w:val="28"/>
                <w:highlight w:val="none"/>
              </w:rPr>
            </w:pPr>
          </w:p>
        </w:tc>
        <w:tc>
          <w:tcPr>
            <w:tcW w:w="1993" w:type="dxa"/>
            <w:gridSpan w:val="2"/>
            <w:noWrap w:val="0"/>
            <w:vAlign w:val="top"/>
          </w:tcPr>
          <w:p w14:paraId="7E83AA53">
            <w:pPr>
              <w:jc w:val="center"/>
              <w:rPr>
                <w:rFonts w:ascii="仿宋" w:hAnsi="仿宋" w:eastAsia="仿宋" w:cs="仿宋_GB2312"/>
                <w:b/>
                <w:color w:val="auto"/>
                <w:sz w:val="28"/>
                <w:szCs w:val="28"/>
                <w:highlight w:val="none"/>
              </w:rPr>
            </w:pPr>
          </w:p>
        </w:tc>
        <w:tc>
          <w:tcPr>
            <w:tcW w:w="1993" w:type="dxa"/>
            <w:gridSpan w:val="2"/>
            <w:noWrap w:val="0"/>
            <w:vAlign w:val="top"/>
          </w:tcPr>
          <w:p w14:paraId="65E76B92">
            <w:pPr>
              <w:jc w:val="center"/>
              <w:rPr>
                <w:rFonts w:ascii="仿宋" w:hAnsi="仿宋" w:eastAsia="仿宋" w:cs="仿宋_GB2312"/>
                <w:b/>
                <w:color w:val="auto"/>
                <w:sz w:val="28"/>
                <w:szCs w:val="28"/>
                <w:highlight w:val="none"/>
              </w:rPr>
            </w:pPr>
          </w:p>
        </w:tc>
        <w:tc>
          <w:tcPr>
            <w:tcW w:w="1993" w:type="dxa"/>
            <w:gridSpan w:val="2"/>
            <w:noWrap w:val="0"/>
            <w:vAlign w:val="top"/>
          </w:tcPr>
          <w:p w14:paraId="5B23A98D">
            <w:pPr>
              <w:jc w:val="center"/>
              <w:rPr>
                <w:rFonts w:ascii="仿宋" w:hAnsi="仿宋" w:eastAsia="仿宋" w:cs="仿宋_GB2312"/>
                <w:b/>
                <w:color w:val="auto"/>
                <w:sz w:val="28"/>
                <w:szCs w:val="28"/>
                <w:highlight w:val="none"/>
              </w:rPr>
            </w:pPr>
          </w:p>
        </w:tc>
        <w:tc>
          <w:tcPr>
            <w:tcW w:w="1453" w:type="dxa"/>
            <w:gridSpan w:val="2"/>
            <w:noWrap w:val="0"/>
            <w:vAlign w:val="top"/>
          </w:tcPr>
          <w:p w14:paraId="50E45C5C">
            <w:pPr>
              <w:jc w:val="center"/>
              <w:rPr>
                <w:rFonts w:ascii="仿宋" w:hAnsi="仿宋" w:eastAsia="仿宋" w:cs="仿宋_GB2312"/>
                <w:b/>
                <w:color w:val="auto"/>
                <w:sz w:val="28"/>
                <w:szCs w:val="28"/>
                <w:highlight w:val="none"/>
              </w:rPr>
            </w:pPr>
          </w:p>
        </w:tc>
      </w:tr>
      <w:tr w14:paraId="642B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4E9B387C">
            <w:pPr>
              <w:jc w:val="center"/>
              <w:rPr>
                <w:rFonts w:ascii="仿宋" w:hAnsi="仿宋" w:eastAsia="仿宋" w:cs="仿宋_GB2312"/>
                <w:b/>
                <w:color w:val="auto"/>
                <w:sz w:val="28"/>
                <w:szCs w:val="28"/>
                <w:highlight w:val="none"/>
              </w:rPr>
            </w:pPr>
          </w:p>
        </w:tc>
        <w:tc>
          <w:tcPr>
            <w:tcW w:w="1993" w:type="dxa"/>
            <w:gridSpan w:val="2"/>
            <w:noWrap w:val="0"/>
            <w:vAlign w:val="top"/>
          </w:tcPr>
          <w:p w14:paraId="30E91B3D">
            <w:pPr>
              <w:jc w:val="center"/>
              <w:rPr>
                <w:rFonts w:ascii="仿宋" w:hAnsi="仿宋" w:eastAsia="仿宋" w:cs="仿宋_GB2312"/>
                <w:b/>
                <w:color w:val="auto"/>
                <w:sz w:val="28"/>
                <w:szCs w:val="28"/>
                <w:highlight w:val="none"/>
              </w:rPr>
            </w:pPr>
          </w:p>
        </w:tc>
        <w:tc>
          <w:tcPr>
            <w:tcW w:w="1993" w:type="dxa"/>
            <w:gridSpan w:val="2"/>
            <w:noWrap w:val="0"/>
            <w:vAlign w:val="top"/>
          </w:tcPr>
          <w:p w14:paraId="64521569">
            <w:pPr>
              <w:jc w:val="center"/>
              <w:rPr>
                <w:rFonts w:ascii="仿宋" w:hAnsi="仿宋" w:eastAsia="仿宋" w:cs="仿宋_GB2312"/>
                <w:b/>
                <w:color w:val="auto"/>
                <w:sz w:val="28"/>
                <w:szCs w:val="28"/>
                <w:highlight w:val="none"/>
              </w:rPr>
            </w:pPr>
          </w:p>
        </w:tc>
        <w:tc>
          <w:tcPr>
            <w:tcW w:w="1993" w:type="dxa"/>
            <w:gridSpan w:val="2"/>
            <w:noWrap w:val="0"/>
            <w:vAlign w:val="top"/>
          </w:tcPr>
          <w:p w14:paraId="6C3A56C7">
            <w:pPr>
              <w:jc w:val="center"/>
              <w:rPr>
                <w:rFonts w:ascii="仿宋" w:hAnsi="仿宋" w:eastAsia="仿宋" w:cs="仿宋_GB2312"/>
                <w:b/>
                <w:color w:val="auto"/>
                <w:sz w:val="28"/>
                <w:szCs w:val="28"/>
                <w:highlight w:val="none"/>
              </w:rPr>
            </w:pPr>
          </w:p>
        </w:tc>
        <w:tc>
          <w:tcPr>
            <w:tcW w:w="1453" w:type="dxa"/>
            <w:gridSpan w:val="2"/>
            <w:noWrap w:val="0"/>
            <w:vAlign w:val="top"/>
          </w:tcPr>
          <w:p w14:paraId="52E9062D">
            <w:pPr>
              <w:jc w:val="center"/>
              <w:rPr>
                <w:rFonts w:ascii="仿宋" w:hAnsi="仿宋" w:eastAsia="仿宋" w:cs="仿宋_GB2312"/>
                <w:b/>
                <w:color w:val="auto"/>
                <w:sz w:val="28"/>
                <w:szCs w:val="28"/>
                <w:highlight w:val="none"/>
              </w:rPr>
            </w:pPr>
          </w:p>
        </w:tc>
      </w:tr>
      <w:tr w14:paraId="3042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7C558358">
            <w:pPr>
              <w:jc w:val="center"/>
              <w:rPr>
                <w:rFonts w:ascii="仿宋" w:hAnsi="仿宋" w:eastAsia="仿宋" w:cs="仿宋_GB2312"/>
                <w:b/>
                <w:color w:val="auto"/>
                <w:sz w:val="28"/>
                <w:szCs w:val="28"/>
                <w:highlight w:val="none"/>
              </w:rPr>
            </w:pPr>
          </w:p>
        </w:tc>
        <w:tc>
          <w:tcPr>
            <w:tcW w:w="1993" w:type="dxa"/>
            <w:gridSpan w:val="2"/>
            <w:noWrap w:val="0"/>
            <w:vAlign w:val="top"/>
          </w:tcPr>
          <w:p w14:paraId="3DFE8FB2">
            <w:pPr>
              <w:jc w:val="center"/>
              <w:rPr>
                <w:rFonts w:ascii="仿宋" w:hAnsi="仿宋" w:eastAsia="仿宋" w:cs="仿宋_GB2312"/>
                <w:b/>
                <w:color w:val="auto"/>
                <w:sz w:val="28"/>
                <w:szCs w:val="28"/>
                <w:highlight w:val="none"/>
              </w:rPr>
            </w:pPr>
          </w:p>
        </w:tc>
        <w:tc>
          <w:tcPr>
            <w:tcW w:w="1993" w:type="dxa"/>
            <w:gridSpan w:val="2"/>
            <w:noWrap w:val="0"/>
            <w:vAlign w:val="top"/>
          </w:tcPr>
          <w:p w14:paraId="6483825E">
            <w:pPr>
              <w:jc w:val="center"/>
              <w:rPr>
                <w:rFonts w:ascii="仿宋" w:hAnsi="仿宋" w:eastAsia="仿宋" w:cs="仿宋_GB2312"/>
                <w:b/>
                <w:color w:val="auto"/>
                <w:sz w:val="28"/>
                <w:szCs w:val="28"/>
                <w:highlight w:val="none"/>
              </w:rPr>
            </w:pPr>
          </w:p>
        </w:tc>
        <w:tc>
          <w:tcPr>
            <w:tcW w:w="1993" w:type="dxa"/>
            <w:gridSpan w:val="2"/>
            <w:noWrap w:val="0"/>
            <w:vAlign w:val="top"/>
          </w:tcPr>
          <w:p w14:paraId="0D381967">
            <w:pPr>
              <w:jc w:val="center"/>
              <w:rPr>
                <w:rFonts w:ascii="仿宋" w:hAnsi="仿宋" w:eastAsia="仿宋" w:cs="仿宋_GB2312"/>
                <w:b/>
                <w:color w:val="auto"/>
                <w:sz w:val="28"/>
                <w:szCs w:val="28"/>
                <w:highlight w:val="none"/>
              </w:rPr>
            </w:pPr>
          </w:p>
        </w:tc>
        <w:tc>
          <w:tcPr>
            <w:tcW w:w="1453" w:type="dxa"/>
            <w:gridSpan w:val="2"/>
            <w:noWrap w:val="0"/>
            <w:vAlign w:val="top"/>
          </w:tcPr>
          <w:p w14:paraId="379D4CC5">
            <w:pPr>
              <w:jc w:val="center"/>
              <w:rPr>
                <w:rFonts w:ascii="仿宋" w:hAnsi="仿宋" w:eastAsia="仿宋" w:cs="仿宋_GB2312"/>
                <w:b/>
                <w:color w:val="auto"/>
                <w:sz w:val="28"/>
                <w:szCs w:val="28"/>
                <w:highlight w:val="none"/>
              </w:rPr>
            </w:pPr>
          </w:p>
        </w:tc>
      </w:tr>
    </w:tbl>
    <w:p w14:paraId="0DF4288E">
      <w:pPr>
        <w:pStyle w:val="23"/>
        <w:rPr>
          <w:rFonts w:hint="default" w:ascii="仿宋_GB2312" w:eastAsia="仿宋" w:hAnsiTheme="minorEastAsia"/>
          <w:color w:val="auto"/>
          <w:sz w:val="28"/>
          <w:szCs w:val="28"/>
          <w:highlight w:val="none"/>
          <w:lang w:val="en-US" w:eastAsia="zh-CN"/>
        </w:rPr>
      </w:pPr>
    </w:p>
    <w:p w14:paraId="3CC575A8">
      <w:pPr>
        <w:pStyle w:val="23"/>
        <w:rPr>
          <w:rFonts w:hint="default" w:ascii="仿宋_GB2312" w:eastAsia="仿宋" w:hAnsiTheme="minorEastAsia"/>
          <w:color w:val="auto"/>
          <w:sz w:val="28"/>
          <w:szCs w:val="28"/>
          <w:highlight w:val="none"/>
          <w:lang w:val="en-US" w:eastAsia="zh-CN"/>
        </w:rPr>
      </w:pPr>
    </w:p>
    <w:p w14:paraId="04D20158">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5C0B9B0C">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7E1A9A36">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14:paraId="4430C6A9">
      <w:pPr>
        <w:pStyle w:val="23"/>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14:paraId="78E9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37F77A0F">
            <w:pPr>
              <w:spacing w:line="360" w:lineRule="auto"/>
              <w:jc w:val="center"/>
              <w:rPr>
                <w:rFonts w:ascii="宋体" w:hAnsi="宋体" w:cs="宋体"/>
                <w:sz w:val="24"/>
                <w:szCs w:val="24"/>
                <w:highlight w:val="none"/>
              </w:rPr>
            </w:pPr>
            <w:bookmarkStart w:id="90" w:name="_Toc19423"/>
            <w:bookmarkStart w:id="91" w:name="_Toc32430"/>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6A1C5A9">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E179135">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14:paraId="23A43812">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3A96D7F2">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7C15AD29">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14:paraId="0811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4AAB19C8">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B36F32F">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3888C0F0">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503A3734">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625B57DA">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0002E222">
            <w:pPr>
              <w:spacing w:line="360" w:lineRule="auto"/>
              <w:jc w:val="center"/>
              <w:rPr>
                <w:rFonts w:ascii="宋体" w:hAnsi="宋体" w:cs="宋体"/>
                <w:sz w:val="24"/>
                <w:szCs w:val="24"/>
                <w:highlight w:val="none"/>
              </w:rPr>
            </w:pPr>
          </w:p>
        </w:tc>
      </w:tr>
      <w:tr w14:paraId="4E8D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656CF136">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0C35151">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A9B6C8B">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6AB6A8DB">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541380DE">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4432E5A1">
            <w:pPr>
              <w:spacing w:line="360" w:lineRule="auto"/>
              <w:jc w:val="center"/>
              <w:rPr>
                <w:rFonts w:ascii="宋体" w:hAnsi="宋体" w:cs="宋体"/>
                <w:sz w:val="24"/>
                <w:szCs w:val="24"/>
                <w:highlight w:val="none"/>
              </w:rPr>
            </w:pPr>
          </w:p>
        </w:tc>
      </w:tr>
      <w:tr w14:paraId="738A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5A26C610">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0CA9711">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0CC648B">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6C4829AC">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7220C93F">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7C410E1B">
            <w:pPr>
              <w:spacing w:line="360" w:lineRule="auto"/>
              <w:jc w:val="center"/>
              <w:rPr>
                <w:rFonts w:ascii="宋体" w:hAnsi="宋体" w:cs="宋体"/>
                <w:sz w:val="24"/>
                <w:szCs w:val="24"/>
                <w:highlight w:val="none"/>
              </w:rPr>
            </w:pPr>
          </w:p>
        </w:tc>
      </w:tr>
      <w:tr w14:paraId="7845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59B8D8DE">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86EF0A5">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4ABC7C3">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74DA7EB8">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4C72B42F">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DA981DD">
            <w:pPr>
              <w:spacing w:line="360" w:lineRule="auto"/>
              <w:jc w:val="center"/>
              <w:rPr>
                <w:rFonts w:ascii="宋体" w:hAnsi="宋体" w:cs="宋体"/>
                <w:sz w:val="24"/>
                <w:szCs w:val="24"/>
                <w:highlight w:val="none"/>
              </w:rPr>
            </w:pPr>
          </w:p>
        </w:tc>
      </w:tr>
      <w:tr w14:paraId="1815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4DC00C75">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16CDF79">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52368C0">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4D19B5C2">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168049C5">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745705AE">
            <w:pPr>
              <w:spacing w:line="360" w:lineRule="auto"/>
              <w:jc w:val="center"/>
              <w:rPr>
                <w:rFonts w:ascii="宋体" w:hAnsi="宋体" w:cs="宋体"/>
                <w:sz w:val="24"/>
                <w:szCs w:val="24"/>
                <w:highlight w:val="none"/>
              </w:rPr>
            </w:pPr>
          </w:p>
        </w:tc>
      </w:tr>
      <w:tr w14:paraId="0426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45D6873E">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E4D5736">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6D64E82">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1FFC4511">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11905EE9">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E08AA5C">
            <w:pPr>
              <w:spacing w:line="360" w:lineRule="auto"/>
              <w:jc w:val="center"/>
              <w:rPr>
                <w:rFonts w:ascii="宋体" w:hAnsi="宋体" w:cs="宋体"/>
                <w:sz w:val="24"/>
                <w:szCs w:val="24"/>
                <w:highlight w:val="none"/>
              </w:rPr>
            </w:pPr>
          </w:p>
        </w:tc>
      </w:tr>
      <w:tr w14:paraId="5510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471EB13F">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3BE7F6A">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2E8463D">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729B2321">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282A625F">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9EC888D">
            <w:pPr>
              <w:spacing w:line="360" w:lineRule="auto"/>
              <w:jc w:val="center"/>
              <w:rPr>
                <w:rFonts w:ascii="宋体" w:hAnsi="宋体" w:cs="宋体"/>
                <w:sz w:val="24"/>
                <w:szCs w:val="24"/>
                <w:highlight w:val="none"/>
              </w:rPr>
            </w:pPr>
          </w:p>
        </w:tc>
      </w:tr>
    </w:tbl>
    <w:p w14:paraId="2FD0E9AD">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14:paraId="2AC2933C">
      <w:pPr>
        <w:spacing w:line="360" w:lineRule="auto"/>
        <w:rPr>
          <w:rFonts w:hint="eastAsia" w:ascii="仿宋_GB2312" w:hAnsi="仿宋_GB2312" w:eastAsia="仿宋" w:cs="仿宋_GB2312"/>
          <w:color w:val="auto"/>
          <w:sz w:val="28"/>
          <w:szCs w:val="28"/>
          <w:highlight w:val="none"/>
          <w:shd w:val="clear" w:color="auto" w:fill="auto"/>
        </w:rPr>
      </w:pPr>
      <w:r>
        <w:rPr>
          <w:rFonts w:hint="eastAsia" w:ascii="黑体" w:hAnsi="黑体" w:eastAsia="黑体" w:cs="黑体"/>
          <w:b/>
          <w:bCs/>
          <w:color w:val="auto"/>
          <w:sz w:val="32"/>
          <w:szCs w:val="32"/>
          <w:highlight w:val="none"/>
          <w:lang w:val="en-US" w:eastAsia="zh-CN"/>
        </w:rPr>
        <w:t>5.报价表</w:t>
      </w:r>
      <w:bookmarkEnd w:id="90"/>
      <w:bookmarkEnd w:id="91"/>
    </w:p>
    <w:p w14:paraId="18CC1C72">
      <w:pPr>
        <w:adjustRightInd/>
        <w:snapToGrid/>
        <w:spacing w:line="360" w:lineRule="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rPr>
        <w:t>项目名称：广州市净水有限公司2025年在线COD试剂采购项目</w:t>
      </w:r>
    </w:p>
    <w:p w14:paraId="462389FF">
      <w:pPr>
        <w:adjustRightInd/>
        <w:snapToGrid/>
        <w:spacing w:line="360" w:lineRule="auto"/>
        <w:rPr>
          <w:rFonts w:hint="eastAsia" w:ascii="仿宋_GB2312" w:hAnsi="仿宋_GB2312" w:eastAsia="仿宋" w:cs="仿宋_GB2312"/>
          <w:color w:val="FF0000"/>
          <w:sz w:val="28"/>
          <w:szCs w:val="28"/>
          <w:highlight w:val="none"/>
          <w:shd w:val="clear" w:color="auto" w:fill="auto"/>
        </w:rPr>
      </w:pPr>
      <w:r>
        <w:rPr>
          <w:rFonts w:hint="eastAsia" w:ascii="仿宋_GB2312" w:hAnsi="仿宋_GB2312" w:eastAsia="仿宋" w:cs="仿宋_GB2312"/>
          <w:color w:val="auto"/>
          <w:sz w:val="28"/>
          <w:szCs w:val="28"/>
          <w:highlight w:val="none"/>
          <w:shd w:val="clear" w:color="auto" w:fill="auto"/>
        </w:rPr>
        <w:t xml:space="preserve">项目编号： XJ-SZZX-20250911-01 </w:t>
      </w:r>
    </w:p>
    <w:p w14:paraId="515D4436">
      <w:pPr>
        <w:pStyle w:val="23"/>
        <w:adjustRightInd/>
        <w:spacing w:after="0"/>
        <w:jc w:val="right"/>
        <w:rPr>
          <w:rFonts w:hint="eastAsia" w:ascii="仿宋_GB2312" w:hAnsi="仿宋_GB2312" w:eastAsia="仿宋" w:cs="仿宋_GB2312"/>
          <w:color w:val="auto"/>
          <w:sz w:val="28"/>
          <w:szCs w:val="28"/>
          <w:highlight w:val="none"/>
          <w:shd w:val="clear" w:color="auto" w:fill="auto"/>
        </w:rPr>
      </w:pPr>
      <w:r>
        <w:rPr>
          <w:rFonts w:hint="eastAsia" w:ascii="仿宋_GB2312" w:hAnsi="仿宋_GB2312" w:eastAsia="仿宋" w:cs="仿宋_GB2312"/>
          <w:color w:val="auto"/>
          <w:sz w:val="28"/>
          <w:szCs w:val="28"/>
          <w:highlight w:val="none"/>
          <w:shd w:val="clear" w:color="auto" w:fill="auto"/>
        </w:rPr>
        <w:t>[货币单位：人民币元]</w:t>
      </w:r>
    </w:p>
    <w:tbl>
      <w:tblPr>
        <w:tblStyle w:val="24"/>
        <w:tblW w:w="10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1050"/>
        <w:gridCol w:w="872"/>
        <w:gridCol w:w="1282"/>
        <w:gridCol w:w="1792"/>
        <w:gridCol w:w="832"/>
        <w:gridCol w:w="559"/>
        <w:gridCol w:w="614"/>
        <w:gridCol w:w="1036"/>
        <w:gridCol w:w="941"/>
        <w:gridCol w:w="791"/>
      </w:tblGrid>
      <w:tr w14:paraId="27DFF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532" w:type="dxa"/>
            <w:tcBorders>
              <w:top w:val="single" w:color="000000" w:sz="4" w:space="0"/>
              <w:left w:val="single" w:color="000000" w:sz="4" w:space="0"/>
              <w:right w:val="single" w:color="000000" w:sz="4" w:space="0"/>
            </w:tcBorders>
            <w:shd w:val="clear" w:color="auto" w:fill="auto"/>
            <w:noWrap/>
            <w:vAlign w:val="center"/>
          </w:tcPr>
          <w:p w14:paraId="2F4D3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50" w:type="dxa"/>
            <w:tcBorders>
              <w:top w:val="single" w:color="000000" w:sz="4" w:space="0"/>
              <w:left w:val="single" w:color="000000" w:sz="4" w:space="0"/>
              <w:right w:val="single" w:color="000000" w:sz="4" w:space="0"/>
            </w:tcBorders>
            <w:shd w:val="clear" w:color="auto" w:fill="auto"/>
            <w:vAlign w:val="center"/>
          </w:tcPr>
          <w:p w14:paraId="735C0A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试剂名称</w:t>
            </w:r>
          </w:p>
        </w:tc>
        <w:tc>
          <w:tcPr>
            <w:tcW w:w="872" w:type="dxa"/>
            <w:tcBorders>
              <w:top w:val="single" w:color="000000" w:sz="4" w:space="0"/>
              <w:left w:val="single" w:color="000000" w:sz="4" w:space="0"/>
              <w:right w:val="single" w:color="000000" w:sz="4" w:space="0"/>
            </w:tcBorders>
            <w:shd w:val="clear" w:color="auto" w:fill="auto"/>
            <w:noWrap/>
            <w:vAlign w:val="center"/>
          </w:tcPr>
          <w:p w14:paraId="65630A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适用仪器型号</w:t>
            </w:r>
          </w:p>
        </w:tc>
        <w:tc>
          <w:tcPr>
            <w:tcW w:w="1282" w:type="dxa"/>
            <w:tcBorders>
              <w:top w:val="single" w:color="000000" w:sz="4" w:space="0"/>
              <w:left w:val="single" w:color="000000" w:sz="4" w:space="0"/>
              <w:right w:val="single" w:color="000000" w:sz="4" w:space="0"/>
            </w:tcBorders>
            <w:shd w:val="clear" w:color="auto" w:fill="auto"/>
            <w:vAlign w:val="center"/>
          </w:tcPr>
          <w:p w14:paraId="05A18E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试剂品牌要求</w:t>
            </w:r>
          </w:p>
        </w:tc>
        <w:tc>
          <w:tcPr>
            <w:tcW w:w="1792" w:type="dxa"/>
            <w:tcBorders>
              <w:top w:val="single" w:color="000000" w:sz="4" w:space="0"/>
              <w:left w:val="single" w:color="000000" w:sz="4" w:space="0"/>
              <w:right w:val="single" w:color="000000" w:sz="4" w:space="0"/>
            </w:tcBorders>
            <w:shd w:val="clear" w:color="auto" w:fill="auto"/>
            <w:vAlign w:val="center"/>
          </w:tcPr>
          <w:p w14:paraId="73A13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参考成分规格</w:t>
            </w:r>
          </w:p>
        </w:tc>
        <w:tc>
          <w:tcPr>
            <w:tcW w:w="832" w:type="dxa"/>
            <w:tcBorders>
              <w:top w:val="single" w:color="000000" w:sz="4" w:space="0"/>
              <w:left w:val="single" w:color="000000" w:sz="4" w:space="0"/>
              <w:right w:val="single" w:color="000000" w:sz="4" w:space="0"/>
            </w:tcBorders>
            <w:shd w:val="clear" w:color="auto" w:fill="auto"/>
            <w:noWrap/>
            <w:vAlign w:val="center"/>
          </w:tcPr>
          <w:p w14:paraId="574865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参考</w:t>
            </w:r>
          </w:p>
          <w:p w14:paraId="745E0A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559" w:type="dxa"/>
            <w:tcBorders>
              <w:top w:val="single" w:color="000000" w:sz="4" w:space="0"/>
              <w:left w:val="single" w:color="000000" w:sz="4" w:space="0"/>
              <w:right w:val="single" w:color="000000" w:sz="4" w:space="0"/>
            </w:tcBorders>
            <w:shd w:val="clear" w:color="auto" w:fill="auto"/>
            <w:noWrap/>
            <w:vAlign w:val="center"/>
          </w:tcPr>
          <w:p w14:paraId="5DF08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14" w:type="dxa"/>
            <w:tcBorders>
              <w:top w:val="single" w:color="000000" w:sz="4" w:space="0"/>
              <w:left w:val="single" w:color="000000" w:sz="4" w:space="0"/>
              <w:right w:val="single" w:color="000000" w:sz="4" w:space="0"/>
            </w:tcBorders>
            <w:shd w:val="clear" w:color="auto" w:fill="auto"/>
            <w:vAlign w:val="center"/>
          </w:tcPr>
          <w:p w14:paraId="0097A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036" w:type="dxa"/>
            <w:tcBorders>
              <w:top w:val="single" w:color="000000" w:sz="4" w:space="0"/>
              <w:left w:val="single" w:color="000000" w:sz="4" w:space="0"/>
              <w:right w:val="single" w:color="auto" w:sz="4" w:space="0"/>
            </w:tcBorders>
            <w:shd w:val="clear" w:color="auto" w:fill="auto"/>
            <w:vAlign w:val="center"/>
          </w:tcPr>
          <w:p w14:paraId="353736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bCs/>
                <w:i w:val="0"/>
                <w:iCs w:val="0"/>
                <w:color w:val="auto"/>
                <w:kern w:val="0"/>
                <w:sz w:val="18"/>
                <w:szCs w:val="18"/>
                <w:highlight w:val="none"/>
                <w:u w:val="none"/>
                <w:lang w:val="en-US" w:eastAsia="zh-CN" w:bidi="ar"/>
              </w:rPr>
              <w:t>单价</w:t>
            </w:r>
          </w:p>
          <w:p w14:paraId="3C9260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auto"/>
                <w:kern w:val="0"/>
                <w:sz w:val="18"/>
                <w:szCs w:val="18"/>
                <w:highlight w:val="none"/>
                <w:u w:val="none"/>
                <w:lang w:val="en-US" w:eastAsia="zh-CN" w:bidi="ar"/>
              </w:rPr>
              <w:t>含税</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26AE5C8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bCs/>
                <w:i w:val="0"/>
                <w:iCs w:val="0"/>
                <w:color w:val="auto"/>
                <w:kern w:val="0"/>
                <w:sz w:val="18"/>
                <w:szCs w:val="18"/>
                <w:highlight w:val="none"/>
                <w:u w:val="none"/>
                <w:lang w:val="en-US" w:eastAsia="zh-CN" w:bidi="ar"/>
              </w:rPr>
              <w:t>总价</w:t>
            </w:r>
          </w:p>
          <w:p w14:paraId="4699844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bCs/>
                <w:i w:val="0"/>
                <w:iCs w:val="0"/>
                <w:color w:val="auto"/>
                <w:kern w:val="0"/>
                <w:sz w:val="18"/>
                <w:szCs w:val="18"/>
                <w:highlight w:val="none"/>
                <w:u w:val="none"/>
                <w:lang w:val="en-US" w:eastAsia="zh-CN" w:bidi="ar"/>
              </w:rPr>
              <w:t>含税</w:t>
            </w:r>
          </w:p>
        </w:tc>
        <w:tc>
          <w:tcPr>
            <w:tcW w:w="791" w:type="dxa"/>
            <w:tcBorders>
              <w:top w:val="single" w:color="000000" w:sz="4" w:space="0"/>
              <w:left w:val="single" w:color="auto" w:sz="4" w:space="0"/>
              <w:right w:val="single" w:color="000000" w:sz="4" w:space="0"/>
            </w:tcBorders>
            <w:shd w:val="clear" w:color="auto" w:fill="auto"/>
            <w:vAlign w:val="center"/>
          </w:tcPr>
          <w:p w14:paraId="5ED8FD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5081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57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63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在线COD试剂</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F5C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碧兴物联C310（COD）</w:t>
            </w:r>
          </w:p>
        </w:tc>
        <w:tc>
          <w:tcPr>
            <w:tcW w:w="1282" w:type="dxa"/>
            <w:vMerge w:val="restart"/>
            <w:tcBorders>
              <w:top w:val="single" w:color="000000" w:sz="4" w:space="0"/>
              <w:left w:val="single" w:color="000000" w:sz="4" w:space="0"/>
              <w:right w:val="single" w:color="000000" w:sz="4" w:space="0"/>
            </w:tcBorders>
            <w:shd w:val="clear" w:color="auto" w:fill="auto"/>
            <w:vAlign w:val="center"/>
          </w:tcPr>
          <w:p w14:paraId="2C9262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不限，适用于碧兴物联C310（COD）仪器</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8F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试剂A</w:t>
            </w:r>
          </w:p>
          <w:p w14:paraId="1E956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(硫酸汞硫酸溶液)</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AF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8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73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70</w:t>
            </w:r>
          </w:p>
        </w:tc>
        <w:tc>
          <w:tcPr>
            <w:tcW w:w="1036" w:type="dxa"/>
            <w:vMerge w:val="restart"/>
            <w:tcBorders>
              <w:top w:val="single" w:color="000000" w:sz="4" w:space="0"/>
              <w:left w:val="single" w:color="000000" w:sz="4" w:space="0"/>
              <w:right w:val="single" w:color="000000" w:sz="4" w:space="0"/>
            </w:tcBorders>
            <w:shd w:val="clear" w:color="auto" w:fill="auto"/>
            <w:vAlign w:val="center"/>
          </w:tcPr>
          <w:p w14:paraId="14EC5C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941" w:type="dxa"/>
            <w:vMerge w:val="restart"/>
            <w:tcBorders>
              <w:top w:val="single" w:color="auto" w:sz="4" w:space="0"/>
              <w:left w:val="single" w:color="000000" w:sz="4" w:space="0"/>
              <w:right w:val="single" w:color="000000" w:sz="4" w:space="0"/>
            </w:tcBorders>
            <w:shd w:val="clear" w:color="auto" w:fill="auto"/>
            <w:vAlign w:val="center"/>
          </w:tcPr>
          <w:p w14:paraId="31568B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93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试剂B（重铬酸钾硫酸、硫酸银硫酸溶液溶液）需按标准使用耐酸碱和腐蚀的玻璃瓶盛装</w:t>
            </w:r>
          </w:p>
        </w:tc>
      </w:tr>
      <w:tr w14:paraId="4257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4D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C73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311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82" w:type="dxa"/>
            <w:vMerge w:val="continue"/>
            <w:tcBorders>
              <w:left w:val="single" w:color="000000" w:sz="4" w:space="0"/>
              <w:right w:val="single" w:color="000000" w:sz="4" w:space="0"/>
            </w:tcBorders>
            <w:shd w:val="clear" w:color="auto" w:fill="auto"/>
            <w:vAlign w:val="center"/>
          </w:tcPr>
          <w:p w14:paraId="491F1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6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试剂B</w:t>
            </w:r>
          </w:p>
          <w:p w14:paraId="35359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（重铬酸钾、硫酸银硫酸溶液）</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B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1L</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4D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44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6" w:type="dxa"/>
            <w:vMerge w:val="continue"/>
            <w:tcBorders>
              <w:left w:val="single" w:color="000000" w:sz="4" w:space="0"/>
              <w:right w:val="single" w:color="000000" w:sz="4" w:space="0"/>
            </w:tcBorders>
            <w:shd w:val="clear" w:color="auto" w:fill="auto"/>
            <w:vAlign w:val="center"/>
          </w:tcPr>
          <w:p w14:paraId="5E9E45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u w:val="none"/>
                <w:lang w:val="en-US" w:eastAsia="zh-CN" w:bidi="ar-SA"/>
              </w:rPr>
            </w:pPr>
          </w:p>
        </w:tc>
        <w:tc>
          <w:tcPr>
            <w:tcW w:w="941" w:type="dxa"/>
            <w:vMerge w:val="continue"/>
            <w:tcBorders>
              <w:left w:val="single" w:color="000000" w:sz="4" w:space="0"/>
              <w:right w:val="single" w:color="000000" w:sz="4" w:space="0"/>
            </w:tcBorders>
            <w:shd w:val="clear" w:color="auto" w:fill="auto"/>
            <w:vAlign w:val="center"/>
          </w:tcPr>
          <w:p w14:paraId="780584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u w:val="none"/>
                <w:lang w:val="en-US" w:eastAsia="zh-CN" w:bidi="ar-SA"/>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0B9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B527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5E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197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DAE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82" w:type="dxa"/>
            <w:vMerge w:val="continue"/>
            <w:tcBorders>
              <w:left w:val="single" w:color="000000" w:sz="4" w:space="0"/>
              <w:right w:val="single" w:color="000000" w:sz="4" w:space="0"/>
            </w:tcBorders>
            <w:shd w:val="clear" w:color="auto" w:fill="auto"/>
            <w:vAlign w:val="center"/>
          </w:tcPr>
          <w:p w14:paraId="222A4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99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量程溶液100-500mg/L</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7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A8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AA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6" w:type="dxa"/>
            <w:vMerge w:val="continue"/>
            <w:tcBorders>
              <w:left w:val="single" w:color="000000" w:sz="4" w:space="0"/>
              <w:right w:val="single" w:color="000000" w:sz="4" w:space="0"/>
            </w:tcBorders>
            <w:shd w:val="clear" w:color="auto" w:fill="auto"/>
            <w:vAlign w:val="center"/>
          </w:tcPr>
          <w:p w14:paraId="62F766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u w:val="none"/>
                <w:lang w:val="en-US" w:eastAsia="zh-CN" w:bidi="ar-SA"/>
              </w:rPr>
            </w:pPr>
          </w:p>
        </w:tc>
        <w:tc>
          <w:tcPr>
            <w:tcW w:w="941" w:type="dxa"/>
            <w:vMerge w:val="continue"/>
            <w:tcBorders>
              <w:left w:val="single" w:color="000000" w:sz="4" w:space="0"/>
              <w:right w:val="single" w:color="000000" w:sz="4" w:space="0"/>
            </w:tcBorders>
            <w:shd w:val="clear" w:color="auto" w:fill="auto"/>
            <w:vAlign w:val="center"/>
          </w:tcPr>
          <w:p w14:paraId="380D44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u w:val="none"/>
                <w:lang w:val="en-US" w:eastAsia="zh-CN" w:bidi="ar-SA"/>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78C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B87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53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6E512A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7853B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456E5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82" w:type="dxa"/>
            <w:vMerge w:val="continue"/>
            <w:tcBorders>
              <w:left w:val="single" w:color="000000" w:sz="4" w:space="0"/>
              <w:bottom w:val="single" w:color="auto" w:sz="4" w:space="0"/>
              <w:right w:val="single" w:color="000000" w:sz="4" w:space="0"/>
            </w:tcBorders>
            <w:shd w:val="clear" w:color="auto" w:fill="auto"/>
            <w:vAlign w:val="center"/>
          </w:tcPr>
          <w:p w14:paraId="18D4B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792" w:type="dxa"/>
            <w:tcBorders>
              <w:top w:val="single" w:color="000000" w:sz="4" w:space="0"/>
              <w:left w:val="single" w:color="000000" w:sz="4" w:space="0"/>
              <w:bottom w:val="single" w:color="auto" w:sz="4" w:space="0"/>
              <w:right w:val="single" w:color="000000" w:sz="4" w:space="0"/>
            </w:tcBorders>
            <w:shd w:val="clear" w:color="auto" w:fill="auto"/>
            <w:vAlign w:val="center"/>
          </w:tcPr>
          <w:p w14:paraId="2418D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标准溶液1-100mg/L</w:t>
            </w:r>
          </w:p>
        </w:tc>
        <w:tc>
          <w:tcPr>
            <w:tcW w:w="8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D18C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559"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2A07A7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4"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335374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6" w:type="dxa"/>
            <w:vMerge w:val="continue"/>
            <w:tcBorders>
              <w:left w:val="single" w:color="000000" w:sz="4" w:space="0"/>
              <w:bottom w:val="single" w:color="auto" w:sz="4" w:space="0"/>
              <w:right w:val="single" w:color="000000" w:sz="4" w:space="0"/>
            </w:tcBorders>
            <w:shd w:val="clear" w:color="auto" w:fill="auto"/>
            <w:vAlign w:val="center"/>
          </w:tcPr>
          <w:p w14:paraId="2D27BD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u w:val="none"/>
                <w:lang w:val="en-US" w:eastAsia="zh-CN" w:bidi="ar-SA"/>
              </w:rPr>
            </w:pPr>
          </w:p>
        </w:tc>
        <w:tc>
          <w:tcPr>
            <w:tcW w:w="941" w:type="dxa"/>
            <w:vMerge w:val="continue"/>
            <w:tcBorders>
              <w:left w:val="single" w:color="000000" w:sz="4" w:space="0"/>
              <w:bottom w:val="single" w:color="auto" w:sz="4" w:space="0"/>
              <w:right w:val="single" w:color="000000" w:sz="4" w:space="0"/>
            </w:tcBorders>
            <w:shd w:val="clear" w:color="auto" w:fill="auto"/>
            <w:vAlign w:val="center"/>
          </w:tcPr>
          <w:p w14:paraId="46DF3D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u w:val="none"/>
                <w:lang w:val="en-US" w:eastAsia="zh-CN" w:bidi="ar-SA"/>
              </w:rPr>
            </w:pPr>
          </w:p>
        </w:tc>
        <w:tc>
          <w:tcPr>
            <w:tcW w:w="79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8125B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95E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45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174A2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i w:val="0"/>
                <w:iCs w:val="0"/>
                <w:color w:val="000000"/>
                <w:sz w:val="18"/>
                <w:szCs w:val="18"/>
                <w:u w:val="none"/>
              </w:rPr>
            </w:pPr>
            <w:r>
              <w:rPr>
                <w:rFonts w:hint="eastAsia" w:ascii="仿宋_GB2312" w:hAnsi="仿宋_GB2312" w:eastAsia="仿宋" w:cs="仿宋_GB2312"/>
                <w:b w:val="0"/>
                <w:bCs w:val="0"/>
                <w:kern w:val="2"/>
                <w:sz w:val="24"/>
                <w:szCs w:val="24"/>
                <w:vertAlign w:val="baseline"/>
                <w:lang w:val="en-US" w:eastAsia="zh-CN" w:bidi="ar-SA"/>
              </w:rPr>
              <w:t>不含税总金额</w:t>
            </w:r>
          </w:p>
        </w:tc>
        <w:tc>
          <w:tcPr>
            <w:tcW w:w="784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020B8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A4A1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245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A8C71D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i w:val="0"/>
                <w:iCs w:val="0"/>
                <w:color w:val="000000"/>
                <w:sz w:val="18"/>
                <w:szCs w:val="18"/>
                <w:u w:val="none"/>
              </w:rPr>
            </w:pPr>
            <w:r>
              <w:rPr>
                <w:rFonts w:hint="eastAsia" w:ascii="仿宋_GB2312" w:hAnsi="仿宋_GB2312" w:eastAsia="仿宋" w:cs="仿宋_GB2312"/>
                <w:b w:val="0"/>
                <w:bCs w:val="0"/>
                <w:kern w:val="2"/>
                <w:sz w:val="24"/>
                <w:szCs w:val="24"/>
                <w:vertAlign w:val="baseline"/>
                <w:lang w:val="en-US" w:eastAsia="zh-CN" w:bidi="ar-SA"/>
              </w:rPr>
              <w:t>税率/%</w:t>
            </w:r>
          </w:p>
        </w:tc>
        <w:tc>
          <w:tcPr>
            <w:tcW w:w="784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9BA95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85E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245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E146A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i w:val="0"/>
                <w:iCs w:val="0"/>
                <w:color w:val="000000"/>
                <w:sz w:val="18"/>
                <w:szCs w:val="18"/>
                <w:u w:val="none"/>
              </w:rPr>
            </w:pPr>
            <w:r>
              <w:rPr>
                <w:rFonts w:hint="eastAsia" w:ascii="仿宋_GB2312" w:hAnsi="仿宋_GB2312" w:eastAsia="仿宋" w:cs="仿宋_GB2312"/>
                <w:b w:val="0"/>
                <w:bCs w:val="0"/>
                <w:kern w:val="2"/>
                <w:sz w:val="24"/>
                <w:szCs w:val="24"/>
                <w:vertAlign w:val="baseline"/>
                <w:lang w:val="en-US" w:eastAsia="zh-CN" w:bidi="ar-SA"/>
              </w:rPr>
              <w:t>含税总金额</w:t>
            </w:r>
          </w:p>
        </w:tc>
        <w:tc>
          <w:tcPr>
            <w:tcW w:w="784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10F7B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bl>
    <w:p w14:paraId="43ECFF0F">
      <w:pPr>
        <w:pStyle w:val="23"/>
        <w:adjustRightInd/>
        <w:spacing w:after="0"/>
        <w:jc w:val="right"/>
        <w:rPr>
          <w:rFonts w:hint="eastAsia" w:ascii="仿宋_GB2312" w:hAnsi="仿宋_GB2312" w:eastAsia="仿宋" w:cs="仿宋_GB2312"/>
          <w:color w:val="auto"/>
          <w:sz w:val="28"/>
          <w:szCs w:val="28"/>
          <w:highlight w:val="none"/>
          <w:shd w:val="clear" w:color="auto" w:fill="auto"/>
        </w:rPr>
      </w:pPr>
    </w:p>
    <w:p w14:paraId="60FCAD4E">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注：以上报价包括但不限于人工费、材料费、安装费、运输费、装卸费、加班费、材料运输费用及各项税费等全部费用。</w:t>
      </w:r>
    </w:p>
    <w:p w14:paraId="5DCEF08D">
      <w:pPr>
        <w:pStyle w:val="5"/>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14:paraId="0C3B954F">
      <w:pPr>
        <w:pStyle w:val="5"/>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14:paraId="761E0E3C">
      <w:pPr>
        <w:pStyle w:val="5"/>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14:paraId="5EEE5DF2">
      <w:pPr>
        <w:wordWrap w:val="0"/>
        <w:jc w:val="right"/>
        <w:rPr>
          <w:rFonts w:hint="default"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    年  月  日        </w:t>
      </w:r>
    </w:p>
    <w:p w14:paraId="3E350C26">
      <w:pP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hAnsi="方正小标宋简体" w:eastAsia="仿宋" w:cs="方正小标宋简体"/>
          <w:color w:val="auto"/>
          <w:sz w:val="44"/>
          <w:szCs w:val="44"/>
          <w:highlight w:val="none"/>
          <w:shd w:val="clear" w:color="auto" w:fill="auto"/>
          <w:lang w:val="en-US" w:eastAsia="zh-CN"/>
        </w:rPr>
        <w:br w:type="page"/>
      </w:r>
    </w:p>
    <w:p w14:paraId="5BCE62FD">
      <w:pPr>
        <w:numPr>
          <w:ilvl w:val="0"/>
          <w:numId w:val="0"/>
        </w:numPr>
        <w:jc w:val="left"/>
        <w:rPr>
          <w:rFonts w:hint="eastAsia" w:cs="宋体"/>
          <w:b/>
          <w:color w:val="000000" w:themeColor="text1"/>
          <w:sz w:val="32"/>
          <w:szCs w:val="32"/>
          <w:highlight w:val="none"/>
        </w:rPr>
      </w:pPr>
      <w:bookmarkStart w:id="92" w:name="_Toc87616402"/>
      <w:bookmarkStart w:id="93" w:name="_Toc16386"/>
      <w:bookmarkStart w:id="94" w:name="_Toc6058"/>
      <w:bookmarkStart w:id="95" w:name="_Toc88209965"/>
      <w:r>
        <w:rPr>
          <w:rFonts w:hint="eastAsia" w:cs="宋体"/>
          <w:b/>
          <w:color w:val="000000" w:themeColor="text1"/>
          <w:sz w:val="32"/>
          <w:szCs w:val="32"/>
          <w:highlight w:val="none"/>
          <w:lang w:val="en-US" w:eastAsia="zh-CN"/>
        </w:rPr>
        <w:t>6.</w:t>
      </w:r>
      <w:r>
        <w:rPr>
          <w:rFonts w:hint="eastAsia" w:cs="宋体"/>
          <w:b/>
          <w:color w:val="000000" w:themeColor="text1"/>
          <w:sz w:val="32"/>
          <w:szCs w:val="32"/>
          <w:highlight w:val="none"/>
        </w:rPr>
        <w:t>承诺函</w:t>
      </w:r>
    </w:p>
    <w:p w14:paraId="12888F2A">
      <w:pPr>
        <w:numPr>
          <w:ilvl w:val="0"/>
          <w:numId w:val="0"/>
        </w:numPr>
        <w:ind w:left="840" w:leftChars="0"/>
        <w:jc w:val="center"/>
        <w:rPr>
          <w:rFonts w:hint="eastAsia" w:cs="宋体"/>
          <w:b/>
          <w:color w:val="000000" w:themeColor="text1"/>
          <w:sz w:val="32"/>
          <w:szCs w:val="32"/>
          <w:highlight w:val="none"/>
        </w:rPr>
      </w:pPr>
      <w:r>
        <w:rPr>
          <w:rFonts w:hint="eastAsia" w:cs="宋体"/>
          <w:b/>
          <w:color w:val="000000" w:themeColor="text1"/>
          <w:sz w:val="32"/>
          <w:szCs w:val="32"/>
          <w:highlight w:val="none"/>
        </w:rPr>
        <w:t>承诺函</w:t>
      </w:r>
    </w:p>
    <w:p w14:paraId="4E611F0F">
      <w:pPr>
        <w:keepNext w:val="0"/>
        <w:keepLines w:val="0"/>
        <w:pageBreakBefore w:val="0"/>
        <w:kinsoku/>
        <w:wordWrap/>
        <w:overflowPunct/>
        <w:bidi w:val="0"/>
        <w:adjustRightInd w:val="0"/>
        <w:snapToGrid w:val="0"/>
        <w:spacing w:line="520" w:lineRule="exact"/>
        <w:textAlignment w:val="auto"/>
        <w:rPr>
          <w:rFonts w:hint="eastAsia" w:ascii="仿宋" w:hAnsi="仿宋" w:eastAsia="仿宋" w:cs="仿宋"/>
          <w:color w:val="auto"/>
          <w:sz w:val="28"/>
          <w:szCs w:val="28"/>
          <w:lang w:val="en-GB"/>
        </w:rPr>
      </w:pPr>
      <w:r>
        <w:rPr>
          <w:rFonts w:hint="eastAsia" w:ascii="仿宋" w:hAnsi="仿宋" w:eastAsia="仿宋" w:cs="仿宋"/>
          <w:color w:val="auto"/>
          <w:sz w:val="28"/>
          <w:szCs w:val="28"/>
          <w:lang w:val="en-GB"/>
        </w:rPr>
        <w:t>广州市净水有限公司：</w:t>
      </w:r>
    </w:p>
    <w:p w14:paraId="1A09B2A9">
      <w:pPr>
        <w:keepNext w:val="0"/>
        <w:keepLines w:val="0"/>
        <w:pageBreakBefore w:val="0"/>
        <w:kinsoku/>
        <w:wordWrap/>
        <w:overflowPunct/>
        <w:bidi w:val="0"/>
        <w:adjustRightInd w:val="0"/>
        <w:snapToGrid w:val="0"/>
        <w:spacing w:line="520" w:lineRule="exact"/>
        <w:ind w:firstLine="560" w:firstLineChars="200"/>
        <w:textAlignment w:val="auto"/>
        <w:rPr>
          <w:rFonts w:hint="eastAsia" w:ascii="仿宋" w:hAnsi="仿宋" w:eastAsia="仿宋" w:cs="仿宋"/>
          <w:color w:val="auto"/>
          <w:sz w:val="28"/>
          <w:szCs w:val="28"/>
          <w:lang w:val="en-GB" w:eastAsia="zh-CN"/>
        </w:rPr>
      </w:pPr>
      <w:r>
        <w:rPr>
          <w:rFonts w:hint="eastAsia" w:ascii="仿宋" w:hAnsi="仿宋" w:eastAsia="仿宋" w:cs="仿宋"/>
          <w:color w:val="auto"/>
          <w:sz w:val="28"/>
          <w:szCs w:val="28"/>
          <w:lang w:val="en-GB"/>
        </w:rPr>
        <w:t>我公司承诺中选后所提供的货物必须是符合采购需求要求的</w:t>
      </w:r>
      <w:r>
        <w:rPr>
          <w:rFonts w:hint="eastAsia" w:ascii="仿宋" w:hAnsi="仿宋" w:eastAsia="仿宋" w:cs="仿宋"/>
          <w:color w:val="auto"/>
          <w:sz w:val="28"/>
          <w:szCs w:val="28"/>
          <w:lang w:val="en-US" w:eastAsia="zh-CN"/>
        </w:rPr>
        <w:t>质量上乘、性能稳定、</w:t>
      </w:r>
      <w:r>
        <w:rPr>
          <w:rFonts w:hint="eastAsia" w:ascii="仿宋" w:hAnsi="仿宋" w:eastAsia="仿宋" w:cs="仿宋"/>
          <w:color w:val="auto"/>
          <w:sz w:val="28"/>
          <w:szCs w:val="28"/>
          <w:lang w:val="en-GB"/>
        </w:rPr>
        <w:t>全新、合格</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lang w:val="en-GB"/>
        </w:rPr>
        <w:t>产品，能安装适配至采购文件中相应品牌型号的在线监测设备中并能让该设备正常运行且数据准确有效。并接受</w:t>
      </w:r>
      <w:r>
        <w:rPr>
          <w:rFonts w:hint="eastAsia" w:ascii="仿宋" w:hAnsi="仿宋" w:eastAsia="仿宋" w:cs="仿宋"/>
          <w:color w:val="auto"/>
          <w:sz w:val="28"/>
          <w:szCs w:val="28"/>
          <w:lang w:val="en-US" w:eastAsia="zh-CN"/>
        </w:rPr>
        <w:t>以下</w:t>
      </w:r>
      <w:r>
        <w:rPr>
          <w:rFonts w:hint="eastAsia" w:ascii="仿宋" w:hAnsi="仿宋" w:eastAsia="仿宋" w:cs="仿宋"/>
          <w:color w:val="auto"/>
          <w:sz w:val="28"/>
          <w:szCs w:val="28"/>
          <w:lang w:val="en-GB"/>
        </w:rPr>
        <w:t>违约处罚条款</w:t>
      </w:r>
      <w:r>
        <w:rPr>
          <w:rFonts w:hint="eastAsia" w:ascii="仿宋" w:hAnsi="仿宋" w:eastAsia="仿宋" w:cs="仿宋"/>
          <w:color w:val="auto"/>
          <w:sz w:val="28"/>
          <w:szCs w:val="28"/>
          <w:lang w:val="en-GB" w:eastAsia="zh-CN"/>
        </w:rPr>
        <w:t>：</w:t>
      </w:r>
    </w:p>
    <w:p w14:paraId="56302A0D">
      <w:pPr>
        <w:keepNext w:val="0"/>
        <w:keepLines w:val="0"/>
        <w:pageBreakBefore w:val="0"/>
        <w:kinsoku/>
        <w:wordWrap/>
        <w:overflowPunct/>
        <w:bidi w:val="0"/>
        <w:adjustRightInd w:val="0"/>
        <w:snapToGrid w:val="0"/>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shd w:val="clear" w:color="auto" w:fill="auto"/>
          <w:lang w:val="en-US" w:eastAsia="zh-CN"/>
        </w:rPr>
        <w:t>供应商</w:t>
      </w:r>
      <w:r>
        <w:rPr>
          <w:rFonts w:hint="eastAsia" w:ascii="仿宋" w:hAnsi="仿宋" w:eastAsia="仿宋" w:cs="仿宋"/>
          <w:color w:val="auto"/>
          <w:sz w:val="28"/>
          <w:szCs w:val="28"/>
        </w:rPr>
        <w:t>不能按时交货的，每逾期1日，按</w:t>
      </w:r>
      <w:r>
        <w:rPr>
          <w:rFonts w:hint="eastAsia" w:ascii="仿宋" w:hAnsi="仿宋" w:eastAsia="仿宋" w:cs="仿宋"/>
          <w:color w:val="auto"/>
          <w:sz w:val="28"/>
          <w:szCs w:val="28"/>
          <w:u w:val="single"/>
        </w:rPr>
        <w:t>迟交货物总价的 1%支付违约金</w:t>
      </w:r>
      <w:r>
        <w:rPr>
          <w:rFonts w:hint="eastAsia" w:ascii="仿宋" w:hAnsi="仿宋" w:eastAsia="仿宋" w:cs="仿宋"/>
          <w:color w:val="auto"/>
          <w:sz w:val="28"/>
          <w:szCs w:val="28"/>
        </w:rPr>
        <w:t>，逾期达到</w:t>
      </w:r>
      <w:r>
        <w:rPr>
          <w:rFonts w:hint="eastAsia" w:ascii="仿宋" w:hAnsi="仿宋" w:eastAsia="仿宋" w:cs="仿宋"/>
          <w:color w:val="auto"/>
          <w:sz w:val="28"/>
          <w:szCs w:val="28"/>
          <w:u w:val="single"/>
        </w:rPr>
        <w:t xml:space="preserve"> 15 </w:t>
      </w:r>
      <w:r>
        <w:rPr>
          <w:rFonts w:hint="eastAsia" w:ascii="仿宋" w:hAnsi="仿宋" w:eastAsia="仿宋" w:cs="仿宋"/>
          <w:color w:val="auto"/>
          <w:sz w:val="28"/>
          <w:szCs w:val="28"/>
        </w:rPr>
        <w:t>日及以上的，</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有权解除合同。</w:t>
      </w:r>
    </w:p>
    <w:p w14:paraId="28A72BE5">
      <w:pPr>
        <w:keepNext w:val="0"/>
        <w:keepLines w:val="0"/>
        <w:pageBreakBefore w:val="0"/>
        <w:kinsoku/>
        <w:wordWrap/>
        <w:overflowPunct/>
        <w:bidi w:val="0"/>
        <w:adjustRightInd w:val="0"/>
        <w:snapToGrid w:val="0"/>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 xml:space="preserve"> 货物</w:t>
      </w:r>
      <w:r>
        <w:rPr>
          <w:rFonts w:hint="eastAsia" w:ascii="仿宋" w:hAnsi="仿宋" w:eastAsia="仿宋" w:cs="仿宋"/>
          <w:color w:val="auto"/>
          <w:sz w:val="28"/>
          <w:szCs w:val="28"/>
          <w:u w:val="single"/>
        </w:rPr>
        <w:t xml:space="preserve"> 开箱  </w:t>
      </w:r>
      <w:r>
        <w:rPr>
          <w:rFonts w:hint="eastAsia" w:ascii="仿宋" w:hAnsi="仿宋" w:eastAsia="仿宋" w:cs="仿宋"/>
          <w:color w:val="auto"/>
          <w:sz w:val="28"/>
          <w:szCs w:val="28"/>
        </w:rPr>
        <w:t>验收不合格或货物在</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开箱 </w:t>
      </w:r>
      <w:r>
        <w:rPr>
          <w:rFonts w:hint="eastAsia" w:ascii="仿宋" w:hAnsi="仿宋" w:eastAsia="仿宋" w:cs="仿宋"/>
          <w:color w:val="auto"/>
          <w:sz w:val="28"/>
          <w:szCs w:val="28"/>
        </w:rPr>
        <w:t>验收后发现</w:t>
      </w:r>
      <w:r>
        <w:rPr>
          <w:rFonts w:hint="eastAsia" w:ascii="仿宋" w:hAnsi="仿宋" w:eastAsia="仿宋" w:cs="仿宋"/>
          <w:color w:val="auto"/>
          <w:sz w:val="28"/>
          <w:szCs w:val="28"/>
          <w:highlight w:val="none"/>
          <w:shd w:val="clear" w:color="auto" w:fill="auto"/>
          <w:lang w:val="en-US" w:eastAsia="zh-CN"/>
        </w:rPr>
        <w:t>供应商</w:t>
      </w:r>
      <w:r>
        <w:rPr>
          <w:rFonts w:hint="eastAsia" w:ascii="仿宋" w:hAnsi="仿宋" w:eastAsia="仿宋" w:cs="仿宋"/>
          <w:color w:val="auto"/>
          <w:sz w:val="28"/>
          <w:szCs w:val="28"/>
        </w:rPr>
        <w:t>所供货物不合格的，</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有权退货或要求更换。</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要求退货的，</w:t>
      </w:r>
      <w:r>
        <w:rPr>
          <w:rFonts w:hint="eastAsia" w:ascii="仿宋" w:hAnsi="仿宋" w:eastAsia="仿宋" w:cs="仿宋"/>
          <w:color w:val="auto"/>
          <w:sz w:val="28"/>
          <w:szCs w:val="28"/>
          <w:highlight w:val="none"/>
          <w:shd w:val="clear" w:color="auto" w:fill="auto"/>
          <w:lang w:val="en-US" w:eastAsia="zh-CN"/>
        </w:rPr>
        <w:t>供应商</w:t>
      </w:r>
      <w:r>
        <w:rPr>
          <w:rFonts w:hint="eastAsia" w:ascii="仿宋" w:hAnsi="仿宋" w:eastAsia="仿宋" w:cs="仿宋"/>
          <w:color w:val="auto"/>
          <w:sz w:val="28"/>
          <w:szCs w:val="28"/>
        </w:rPr>
        <w:t>应在收到</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退货要求的3日内退还</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已支付的货款（含预付款）并按退货总价的双倍金额向</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支付违约金，同时</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有权解除合同；</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要求更换的，</w:t>
      </w:r>
      <w:r>
        <w:rPr>
          <w:rFonts w:hint="eastAsia" w:ascii="仿宋" w:hAnsi="仿宋" w:eastAsia="仿宋" w:cs="仿宋"/>
          <w:color w:val="auto"/>
          <w:sz w:val="28"/>
          <w:szCs w:val="28"/>
          <w:highlight w:val="none"/>
          <w:shd w:val="clear" w:color="auto" w:fill="auto"/>
          <w:lang w:val="en-US" w:eastAsia="zh-CN"/>
        </w:rPr>
        <w:t>供应商</w:t>
      </w:r>
      <w:r>
        <w:rPr>
          <w:rFonts w:hint="eastAsia" w:ascii="仿宋" w:hAnsi="仿宋" w:eastAsia="仿宋" w:cs="仿宋"/>
          <w:color w:val="auto"/>
          <w:sz w:val="28"/>
          <w:szCs w:val="28"/>
        </w:rPr>
        <w:t>应在3日内重新交货并按</w:t>
      </w:r>
      <w:r>
        <w:rPr>
          <w:rFonts w:hint="eastAsia" w:ascii="仿宋" w:hAnsi="仿宋" w:eastAsia="仿宋" w:cs="仿宋"/>
          <w:color w:val="auto"/>
          <w:sz w:val="28"/>
          <w:szCs w:val="28"/>
          <w:u w:val="single"/>
        </w:rPr>
        <w:t>更换货物总价的</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rPr>
        <w:t>0%</w:t>
      </w:r>
      <w:r>
        <w:rPr>
          <w:rFonts w:hint="eastAsia" w:ascii="仿宋" w:hAnsi="仿宋" w:eastAsia="仿宋" w:cs="仿宋"/>
          <w:color w:val="auto"/>
          <w:sz w:val="28"/>
          <w:szCs w:val="28"/>
        </w:rPr>
        <w:t>支付违约金，</w:t>
      </w:r>
      <w:r>
        <w:rPr>
          <w:rFonts w:hint="eastAsia" w:ascii="仿宋" w:hAnsi="仿宋" w:eastAsia="仿宋" w:cs="仿宋"/>
          <w:color w:val="auto"/>
          <w:sz w:val="28"/>
          <w:szCs w:val="28"/>
          <w:highlight w:val="none"/>
          <w:shd w:val="clear" w:color="auto" w:fill="auto"/>
          <w:lang w:val="en-US" w:eastAsia="zh-CN"/>
        </w:rPr>
        <w:t>供应商</w:t>
      </w:r>
      <w:r>
        <w:rPr>
          <w:rFonts w:hint="eastAsia" w:ascii="仿宋" w:hAnsi="仿宋" w:eastAsia="仿宋" w:cs="仿宋"/>
          <w:color w:val="auto"/>
          <w:sz w:val="28"/>
          <w:szCs w:val="28"/>
        </w:rPr>
        <w:t>承担由此产生的一切损失和费用。</w:t>
      </w:r>
    </w:p>
    <w:p w14:paraId="38EBBFB8">
      <w:pPr>
        <w:keepNext w:val="0"/>
        <w:keepLines w:val="0"/>
        <w:pageBreakBefore w:val="0"/>
        <w:kinsoku/>
        <w:wordWrap/>
        <w:overflowPunct/>
        <w:bidi w:val="0"/>
        <w:adjustRightInd w:val="0"/>
        <w:snapToGrid w:val="0"/>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highlight w:val="none"/>
          <w:shd w:val="clear" w:color="auto" w:fill="auto"/>
          <w:lang w:val="en-US" w:eastAsia="zh-CN"/>
        </w:rPr>
        <w:t>供应商</w:t>
      </w:r>
      <w:r>
        <w:rPr>
          <w:rFonts w:hint="eastAsia" w:ascii="仿宋" w:hAnsi="仿宋" w:eastAsia="仿宋" w:cs="仿宋"/>
          <w:color w:val="auto"/>
          <w:sz w:val="28"/>
          <w:szCs w:val="28"/>
        </w:rPr>
        <w:t>不履行合同义务、或履行合同义务不符合合同约定、或违反国家、省、市行业标准的，</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有权要求</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限期整改。</w:t>
      </w:r>
      <w:r>
        <w:rPr>
          <w:rFonts w:hint="eastAsia" w:ascii="仿宋" w:hAnsi="仿宋" w:eastAsia="仿宋" w:cs="仿宋"/>
          <w:color w:val="auto"/>
          <w:sz w:val="28"/>
          <w:szCs w:val="28"/>
          <w:highlight w:val="none"/>
          <w:shd w:val="clear" w:color="auto" w:fill="auto"/>
          <w:lang w:val="en-US" w:eastAsia="zh-CN"/>
        </w:rPr>
        <w:t>供应商</w:t>
      </w:r>
      <w:r>
        <w:rPr>
          <w:rFonts w:hint="eastAsia" w:ascii="仿宋" w:hAnsi="仿宋" w:eastAsia="仿宋" w:cs="仿宋"/>
          <w:color w:val="auto"/>
          <w:sz w:val="28"/>
          <w:szCs w:val="28"/>
        </w:rPr>
        <w:t>逾期未完成整改的，每项每超过1日支付违约金人民币1万元，超过</w:t>
      </w:r>
      <w:r>
        <w:rPr>
          <w:rFonts w:hint="eastAsia" w:ascii="仿宋" w:hAnsi="仿宋" w:eastAsia="仿宋" w:cs="仿宋"/>
          <w:color w:val="auto"/>
          <w:sz w:val="28"/>
          <w:szCs w:val="28"/>
          <w:u w:val="single"/>
        </w:rPr>
        <w:t xml:space="preserve">  15  </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有权解除合同并要求</w:t>
      </w:r>
      <w:r>
        <w:rPr>
          <w:rFonts w:hint="eastAsia" w:ascii="仿宋" w:hAnsi="仿宋" w:eastAsia="仿宋" w:cs="仿宋"/>
          <w:color w:val="auto"/>
          <w:sz w:val="28"/>
          <w:szCs w:val="28"/>
          <w:highlight w:val="none"/>
          <w:shd w:val="clear" w:color="auto" w:fill="auto"/>
          <w:lang w:val="en-US" w:eastAsia="zh-CN"/>
        </w:rPr>
        <w:t>供应商</w:t>
      </w:r>
      <w:r>
        <w:rPr>
          <w:rFonts w:hint="eastAsia" w:ascii="仿宋" w:hAnsi="仿宋" w:eastAsia="仿宋" w:cs="仿宋"/>
          <w:color w:val="auto"/>
          <w:sz w:val="28"/>
          <w:szCs w:val="28"/>
        </w:rPr>
        <w:t>支付</w:t>
      </w:r>
      <w:r>
        <w:rPr>
          <w:rFonts w:hint="eastAsia" w:ascii="仿宋" w:hAnsi="仿宋" w:eastAsia="仿宋" w:cs="仿宋"/>
          <w:color w:val="auto"/>
          <w:sz w:val="28"/>
          <w:szCs w:val="28"/>
          <w:u w:val="single"/>
        </w:rPr>
        <w:t>合同暂定总价的20%</w:t>
      </w:r>
      <w:r>
        <w:rPr>
          <w:rFonts w:hint="eastAsia" w:ascii="仿宋" w:hAnsi="仿宋" w:eastAsia="仿宋" w:cs="仿宋"/>
          <w:color w:val="auto"/>
          <w:sz w:val="28"/>
          <w:szCs w:val="28"/>
        </w:rPr>
        <w:t>作为违约金（如合同另行约定违约责任，从其约定）。</w:t>
      </w:r>
    </w:p>
    <w:p w14:paraId="10C92AC3">
      <w:pPr>
        <w:pStyle w:val="13"/>
        <w:keepNext w:val="0"/>
        <w:keepLines w:val="0"/>
        <w:pageBreakBefore w:val="0"/>
        <w:kinsoku/>
        <w:wordWrap/>
        <w:overflowPunct/>
        <w:bidi w:val="0"/>
        <w:adjustRightInd w:val="0"/>
        <w:snapToGrid w:val="0"/>
        <w:spacing w:line="520" w:lineRule="exact"/>
        <w:ind w:firstLine="560" w:firstLineChars="200"/>
        <w:textAlignment w:val="auto"/>
        <w:rPr>
          <w:rFonts w:hint="eastAsia" w:ascii="仿宋" w:hAnsi="仿宋" w:eastAsia="仿宋" w:cs="仿宋"/>
          <w:bCs w:val="0"/>
          <w:color w:val="auto"/>
          <w:kern w:val="2"/>
          <w:sz w:val="28"/>
          <w:szCs w:val="28"/>
        </w:rPr>
      </w:pPr>
      <w:r>
        <w:rPr>
          <w:rFonts w:hint="eastAsia" w:ascii="仿宋" w:hAnsi="仿宋" w:eastAsia="仿宋" w:cs="仿宋"/>
          <w:color w:val="auto"/>
          <w:kern w:val="2"/>
          <w:sz w:val="28"/>
          <w:szCs w:val="28"/>
          <w:lang w:val="en-US" w:eastAsia="zh-CN"/>
        </w:rPr>
        <w:t xml:space="preserve">4. </w:t>
      </w:r>
      <w:r>
        <w:rPr>
          <w:rFonts w:hint="eastAsia" w:ascii="仿宋" w:hAnsi="仿宋" w:eastAsia="仿宋" w:cs="仿宋"/>
          <w:bCs/>
          <w:sz w:val="28"/>
          <w:szCs w:val="28"/>
          <w:lang w:val="en-US" w:eastAsia="zh-CN"/>
        </w:rPr>
        <w:t>在合同有效期内，若</w:t>
      </w:r>
      <w:r>
        <w:rPr>
          <w:rFonts w:hint="eastAsia" w:ascii="仿宋" w:hAnsi="仿宋" w:eastAsia="仿宋" w:cs="仿宋"/>
          <w:color w:val="auto"/>
          <w:sz w:val="28"/>
          <w:szCs w:val="28"/>
          <w:highlight w:val="none"/>
          <w:shd w:val="clear" w:color="auto" w:fill="auto"/>
          <w:lang w:val="en-US" w:eastAsia="zh-CN"/>
        </w:rPr>
        <w:t>供应商</w:t>
      </w:r>
      <w:r>
        <w:rPr>
          <w:rFonts w:hint="eastAsia" w:ascii="仿宋" w:hAnsi="仿宋" w:eastAsia="仿宋" w:cs="仿宋"/>
          <w:bCs/>
          <w:sz w:val="28"/>
          <w:szCs w:val="28"/>
          <w:lang w:val="en-US" w:eastAsia="zh-CN"/>
        </w:rPr>
        <w:t>发生不履约行为情形的，</w:t>
      </w:r>
      <w:r>
        <w:rPr>
          <w:rFonts w:hint="eastAsia" w:ascii="仿宋" w:hAnsi="仿宋" w:eastAsia="仿宋" w:cs="仿宋"/>
          <w:color w:val="auto"/>
          <w:sz w:val="28"/>
          <w:szCs w:val="28"/>
          <w:highlight w:val="none"/>
          <w:shd w:val="clear" w:color="auto" w:fill="auto"/>
          <w:lang w:val="en-US" w:eastAsia="zh-CN"/>
        </w:rPr>
        <w:t>供应商</w:t>
      </w:r>
      <w:r>
        <w:rPr>
          <w:rFonts w:hint="eastAsia" w:ascii="仿宋" w:hAnsi="仿宋" w:eastAsia="仿宋" w:cs="仿宋"/>
          <w:bCs/>
          <w:sz w:val="28"/>
          <w:szCs w:val="28"/>
          <w:lang w:val="en-US" w:eastAsia="zh-CN"/>
        </w:rPr>
        <w:t>自愿接受甲方按《广州市净水有限公司经营建设项目参建企业不履约评价管理办法（试行）》处理。具体处理标准详见附件。</w:t>
      </w:r>
    </w:p>
    <w:p w14:paraId="7CEFCAD6">
      <w:pPr>
        <w:pStyle w:val="13"/>
        <w:keepNext w:val="0"/>
        <w:keepLines w:val="0"/>
        <w:pageBreakBefore w:val="0"/>
        <w:kinsoku/>
        <w:wordWrap/>
        <w:overflowPunct/>
        <w:bidi w:val="0"/>
        <w:adjustRightInd w:val="0"/>
        <w:snapToGrid w:val="0"/>
        <w:spacing w:line="520" w:lineRule="exact"/>
        <w:ind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val="0"/>
          <w:color w:val="auto"/>
          <w:kern w:val="2"/>
          <w:sz w:val="28"/>
          <w:szCs w:val="28"/>
          <w:lang w:val="en-US" w:eastAsia="zh-CN"/>
        </w:rPr>
        <w:t xml:space="preserve">5. </w:t>
      </w:r>
      <w:r>
        <w:rPr>
          <w:rFonts w:hint="eastAsia" w:ascii="仿宋" w:hAnsi="仿宋" w:eastAsia="仿宋" w:cs="仿宋"/>
          <w:color w:val="auto"/>
          <w:kern w:val="2"/>
          <w:sz w:val="28"/>
          <w:szCs w:val="28"/>
          <w:lang w:val="en-US" w:eastAsia="zh-CN"/>
        </w:rPr>
        <w:t>因</w:t>
      </w:r>
      <w:r>
        <w:rPr>
          <w:rFonts w:hint="eastAsia" w:ascii="仿宋" w:hAnsi="仿宋" w:eastAsia="仿宋" w:cs="仿宋"/>
          <w:color w:val="auto"/>
          <w:sz w:val="28"/>
          <w:szCs w:val="28"/>
          <w:highlight w:val="none"/>
          <w:shd w:val="clear" w:color="auto" w:fill="auto"/>
          <w:lang w:val="en-US" w:eastAsia="zh-CN"/>
        </w:rPr>
        <w:t>供应商</w:t>
      </w:r>
      <w:r>
        <w:rPr>
          <w:rFonts w:hint="eastAsia" w:ascii="仿宋" w:hAnsi="仿宋" w:eastAsia="仿宋" w:cs="仿宋"/>
          <w:color w:val="auto"/>
          <w:kern w:val="2"/>
          <w:sz w:val="28"/>
          <w:szCs w:val="28"/>
          <w:lang w:val="en-US" w:eastAsia="zh-CN"/>
        </w:rPr>
        <w:t>提供的货物影响在线监测系统正常运行的，情节较轻的，每次支付违约金人民币1000元，情节严重的（</w:t>
      </w:r>
      <w:r>
        <w:rPr>
          <w:rFonts w:hint="eastAsia" w:ascii="仿宋" w:hAnsi="仿宋" w:eastAsia="仿宋" w:cs="仿宋"/>
          <w:bCs/>
          <w:color w:val="auto"/>
          <w:sz w:val="28"/>
          <w:szCs w:val="28"/>
          <w:highlight w:val="none"/>
          <w:lang w:val="en-US" w:eastAsia="zh-CN"/>
        </w:rPr>
        <w:t>监管部门通报、处罚等</w:t>
      </w:r>
      <w:r>
        <w:rPr>
          <w:rFonts w:hint="eastAsia" w:ascii="仿宋" w:hAnsi="仿宋" w:eastAsia="仿宋" w:cs="仿宋"/>
          <w:color w:val="auto"/>
          <w:kern w:val="2"/>
          <w:sz w:val="28"/>
          <w:szCs w:val="28"/>
          <w:lang w:val="en-US" w:eastAsia="zh-CN"/>
        </w:rPr>
        <w:t>），</w:t>
      </w:r>
      <w:r>
        <w:rPr>
          <w:rFonts w:hint="eastAsia" w:ascii="仿宋" w:hAnsi="仿宋" w:eastAsia="仿宋" w:cs="仿宋"/>
          <w:bCs w:val="0"/>
          <w:color w:val="auto"/>
          <w:kern w:val="2"/>
          <w:sz w:val="28"/>
          <w:szCs w:val="28"/>
        </w:rPr>
        <w:t>赔偿</w:t>
      </w:r>
      <w:r>
        <w:rPr>
          <w:rFonts w:hint="eastAsia" w:ascii="仿宋" w:hAnsi="仿宋" w:eastAsia="仿宋" w:cs="仿宋"/>
          <w:color w:val="auto"/>
          <w:sz w:val="28"/>
          <w:szCs w:val="28"/>
          <w:lang w:val="en-US" w:eastAsia="zh-CN"/>
        </w:rPr>
        <w:t>采购人</w:t>
      </w:r>
      <w:r>
        <w:rPr>
          <w:rFonts w:hint="eastAsia" w:ascii="仿宋" w:hAnsi="仿宋" w:eastAsia="仿宋" w:cs="仿宋"/>
          <w:bCs w:val="0"/>
          <w:color w:val="auto"/>
          <w:kern w:val="2"/>
          <w:sz w:val="28"/>
          <w:szCs w:val="28"/>
        </w:rPr>
        <w:t>因</w:t>
      </w:r>
      <w:r>
        <w:rPr>
          <w:rFonts w:hint="eastAsia" w:ascii="仿宋" w:hAnsi="仿宋" w:eastAsia="仿宋" w:cs="仿宋"/>
          <w:bCs w:val="0"/>
          <w:color w:val="auto"/>
          <w:kern w:val="2"/>
          <w:sz w:val="28"/>
          <w:szCs w:val="28"/>
          <w:lang w:val="en-US" w:eastAsia="zh-CN"/>
        </w:rPr>
        <w:t>货物</w:t>
      </w:r>
      <w:r>
        <w:rPr>
          <w:rFonts w:hint="eastAsia" w:ascii="仿宋" w:hAnsi="仿宋" w:eastAsia="仿宋" w:cs="仿宋"/>
          <w:bCs w:val="0"/>
          <w:color w:val="auto"/>
          <w:kern w:val="2"/>
          <w:sz w:val="28"/>
          <w:szCs w:val="28"/>
        </w:rPr>
        <w:t>质量问题导致的一切损失。</w:t>
      </w:r>
    </w:p>
    <w:p w14:paraId="50B34365">
      <w:pPr>
        <w:keepNext w:val="0"/>
        <w:keepLines w:val="0"/>
        <w:pageBreakBefore w:val="0"/>
        <w:kinsoku/>
        <w:wordWrap/>
        <w:overflowPunct/>
        <w:topLinePunct w:val="0"/>
        <w:bidi w:val="0"/>
        <w:snapToGrid/>
        <w:spacing w:line="360" w:lineRule="auto"/>
        <w:ind w:firstLine="482"/>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bCs/>
          <w:sz w:val="28"/>
          <w:szCs w:val="28"/>
          <w:lang w:val="en-US" w:eastAsia="zh-CN"/>
        </w:rPr>
        <w:t>6.</w:t>
      </w:r>
      <w:r>
        <w:rPr>
          <w:rFonts w:hint="eastAsia" w:ascii="仿宋" w:hAnsi="仿宋" w:eastAsia="仿宋" w:cs="仿宋"/>
          <w:color w:val="auto"/>
          <w:sz w:val="28"/>
          <w:szCs w:val="28"/>
          <w:highlight w:val="none"/>
          <w:shd w:val="clear" w:color="auto" w:fill="auto"/>
          <w:lang w:val="en-US" w:eastAsia="zh-CN"/>
        </w:rPr>
        <w:t>供应商在询价响应过程中</w:t>
      </w:r>
      <w:r>
        <w:rPr>
          <w:rFonts w:hint="eastAsia" w:ascii="仿宋" w:hAnsi="仿宋" w:eastAsia="仿宋" w:cs="仿宋"/>
          <w:bCs/>
          <w:color w:val="000000" w:themeColor="text1"/>
          <w:sz w:val="28"/>
          <w:szCs w:val="28"/>
          <w:highlight w:val="none"/>
        </w:rPr>
        <w:t>提交的资料不真实，或任何时候发现</w:t>
      </w:r>
      <w:r>
        <w:rPr>
          <w:rFonts w:hint="eastAsia" w:ascii="仿宋" w:hAnsi="仿宋" w:eastAsia="仿宋" w:cs="仿宋"/>
          <w:color w:val="auto"/>
          <w:sz w:val="28"/>
          <w:szCs w:val="28"/>
          <w:highlight w:val="none"/>
          <w:shd w:val="clear" w:color="auto" w:fill="auto"/>
          <w:lang w:val="en-US" w:eastAsia="zh-CN"/>
        </w:rPr>
        <w:t>供应商</w:t>
      </w:r>
      <w:r>
        <w:rPr>
          <w:rFonts w:hint="eastAsia" w:ascii="仿宋" w:hAnsi="仿宋" w:eastAsia="仿宋" w:cs="仿宋"/>
          <w:bCs/>
          <w:color w:val="000000" w:themeColor="text1"/>
          <w:sz w:val="28"/>
          <w:szCs w:val="28"/>
          <w:highlight w:val="none"/>
        </w:rPr>
        <w:t>有违反询价响应过程的承诺和（或）声明的情况</w:t>
      </w:r>
      <w:r>
        <w:rPr>
          <w:rFonts w:hint="eastAsia" w:ascii="仿宋" w:hAnsi="仿宋" w:eastAsia="仿宋" w:cs="仿宋"/>
          <w:bCs/>
          <w:color w:val="000000" w:themeColor="text1"/>
          <w:sz w:val="28"/>
          <w:szCs w:val="28"/>
          <w:highlight w:val="none"/>
          <w:lang w:eastAsia="zh-CN"/>
        </w:rPr>
        <w:t>，</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有权解除合同并要求</w:t>
      </w:r>
      <w:r>
        <w:rPr>
          <w:rFonts w:hint="eastAsia" w:ascii="仿宋" w:hAnsi="仿宋" w:eastAsia="仿宋" w:cs="仿宋"/>
          <w:color w:val="auto"/>
          <w:sz w:val="28"/>
          <w:szCs w:val="28"/>
          <w:highlight w:val="none"/>
          <w:shd w:val="clear" w:color="auto" w:fill="auto"/>
          <w:lang w:val="en-US" w:eastAsia="zh-CN"/>
        </w:rPr>
        <w:t>供应商</w:t>
      </w:r>
      <w:r>
        <w:rPr>
          <w:rFonts w:hint="eastAsia" w:ascii="仿宋" w:hAnsi="仿宋" w:eastAsia="仿宋" w:cs="仿宋"/>
          <w:color w:val="auto"/>
          <w:sz w:val="28"/>
          <w:szCs w:val="28"/>
        </w:rPr>
        <w:t>支付</w:t>
      </w:r>
      <w:r>
        <w:rPr>
          <w:rFonts w:hint="eastAsia" w:ascii="仿宋" w:hAnsi="仿宋" w:eastAsia="仿宋" w:cs="仿宋"/>
          <w:color w:val="auto"/>
          <w:sz w:val="28"/>
          <w:szCs w:val="28"/>
          <w:u w:val="single"/>
        </w:rPr>
        <w:t>合同暂定总价的20%</w:t>
      </w:r>
      <w:r>
        <w:rPr>
          <w:rFonts w:hint="eastAsia" w:ascii="仿宋" w:hAnsi="仿宋" w:eastAsia="仿宋" w:cs="仿宋"/>
          <w:color w:val="auto"/>
          <w:sz w:val="28"/>
          <w:szCs w:val="28"/>
        </w:rPr>
        <w:t>作为违约金</w:t>
      </w:r>
      <w:r>
        <w:rPr>
          <w:rFonts w:hint="eastAsia" w:ascii="仿宋" w:hAnsi="仿宋" w:eastAsia="仿宋" w:cs="仿宋"/>
          <w:color w:val="auto"/>
          <w:sz w:val="28"/>
          <w:szCs w:val="28"/>
          <w:lang w:eastAsia="zh-CN"/>
        </w:rPr>
        <w:t>。</w:t>
      </w:r>
    </w:p>
    <w:p w14:paraId="4C7C7A29">
      <w:pPr>
        <w:pStyle w:val="5"/>
        <w:keepNext w:val="0"/>
        <w:keepLines w:val="0"/>
        <w:pageBreakBefore w:val="0"/>
        <w:kinsoku/>
        <w:wordWrap w:val="0"/>
        <w:overflowPunct/>
        <w:topLinePunct w:val="0"/>
        <w:autoSpaceDE/>
        <w:autoSpaceDN/>
        <w:bidi w:val="0"/>
        <w:adjustRightInd/>
        <w:snapToGrid/>
        <w:spacing w:after="0" w:line="360" w:lineRule="auto"/>
        <w:ind w:left="0" w:leftChars="0" w:firstLine="0" w:firstLineChars="0"/>
        <w:jc w:val="right"/>
        <w:textAlignment w:val="auto"/>
        <w:rPr>
          <w:rFonts w:hint="eastAsia" w:ascii="仿宋" w:hAnsi="仿宋" w:eastAsia="仿宋" w:cs="仿宋"/>
          <w:color w:val="auto"/>
          <w:sz w:val="28"/>
          <w:szCs w:val="28"/>
          <w:highlight w:val="none"/>
          <w:shd w:val="clear" w:color="auto" w:fill="auto"/>
          <w:lang w:val="en-US" w:eastAsia="zh-CN"/>
        </w:rPr>
      </w:pPr>
    </w:p>
    <w:p w14:paraId="4B760A8D">
      <w:pPr>
        <w:pStyle w:val="5"/>
        <w:keepNext w:val="0"/>
        <w:keepLines w:val="0"/>
        <w:pageBreakBefore w:val="0"/>
        <w:kinsoku/>
        <w:wordWrap w:val="0"/>
        <w:overflowPunct/>
        <w:topLinePunct w:val="0"/>
        <w:autoSpaceDE/>
        <w:autoSpaceDN/>
        <w:bidi w:val="0"/>
        <w:adjustRightInd/>
        <w:snapToGrid/>
        <w:spacing w:after="0" w:line="360" w:lineRule="auto"/>
        <w:ind w:left="0" w:leftChars="0" w:firstLine="0" w:firstLineChars="0"/>
        <w:jc w:val="right"/>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 xml:space="preserve">供应商名称（加盖公章）：       </w:t>
      </w:r>
    </w:p>
    <w:p w14:paraId="65221F46">
      <w:pPr>
        <w:spacing w:line="360" w:lineRule="auto"/>
        <w:jc w:val="right"/>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shd w:val="clear" w:color="auto" w:fill="auto"/>
          <w:lang w:val="en-US" w:eastAsia="zh-CN"/>
        </w:rPr>
        <w:t xml:space="preserve">年  月  日   </w:t>
      </w:r>
    </w:p>
    <w:p w14:paraId="60C9D8DC">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7.其他资料</w:t>
      </w:r>
      <w:bookmarkEnd w:id="92"/>
      <w:bookmarkEnd w:id="93"/>
      <w:bookmarkEnd w:id="94"/>
      <w:bookmarkEnd w:id="95"/>
    </w:p>
    <w:p w14:paraId="7CBD2D71">
      <w:pP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29F14">
    <w:pPr>
      <w:pStyle w:val="17"/>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B3B565D">
                <w:pPr>
                  <w:pStyle w:val="17"/>
                </w:pPr>
              </w:p>
              <w:p w14:paraId="39CC5265"/>
            </w:txbxContent>
          </v:textbox>
        </v:shape>
      </w:pict>
    </w:r>
  </w:p>
  <w:p w14:paraId="15B4A1A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6D994467">
        <w:pPr>
          <w:pStyle w:val="17"/>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14:paraId="4E6462CC">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DFD8F">
    <w:pPr>
      <w:pStyle w:val="17"/>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B23AE7D">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21F17A3">
                <w:pPr>
                  <w:pStyle w:val="17"/>
                </w:pPr>
              </w:p>
              <w:p w14:paraId="402DDC31"/>
            </w:txbxContent>
          </v:textbox>
        </v:shape>
      </w:pict>
    </w:r>
  </w:p>
  <w:p w14:paraId="2DF4C78C">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32030">
    <w:pPr>
      <w:pStyle w:val="17"/>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573E4F">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71AD">
    <w:pPr>
      <w:pStyle w:val="17"/>
    </w:pPr>
    <w:r>
      <w:rPr>
        <w:sz w:val="18"/>
      </w:rPr>
      <w:pict>
        <v:shape id="_x0000_s3080" o:spid="_x0000_s308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76FA7FEC">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81" o:spid="_x0000_s308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38C1BEEA">
                <w:pPr>
                  <w:pStyle w:val="17"/>
                </w:pPr>
              </w:p>
              <w:p w14:paraId="56264832"/>
            </w:txbxContent>
          </v:textbox>
        </v:shape>
      </w:pict>
    </w:r>
  </w:p>
  <w:p w14:paraId="41815938">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95CA272"/>
    <w:multiLevelType w:val="singleLevel"/>
    <w:tmpl w:val="E95CA272"/>
    <w:lvl w:ilvl="0" w:tentative="0">
      <w:start w:val="3"/>
      <w:numFmt w:val="chineseCounting"/>
      <w:suff w:val="nothing"/>
      <w:lvlText w:val="%1、"/>
      <w:lvlJc w:val="left"/>
      <w:rPr>
        <w:rFonts w:hint="eastAsia"/>
      </w:rPr>
    </w:lvl>
  </w:abstractNum>
  <w:abstractNum w:abstractNumId="2">
    <w:nsid w:val="2B305E1B"/>
    <w:multiLevelType w:val="singleLevel"/>
    <w:tmpl w:val="2B305E1B"/>
    <w:lvl w:ilvl="0" w:tentative="0">
      <w:start w:val="2"/>
      <w:numFmt w:val="decimal"/>
      <w:lvlText w:val="%1."/>
      <w:lvlJc w:val="left"/>
      <w:pPr>
        <w:tabs>
          <w:tab w:val="left" w:pos="312"/>
        </w:tabs>
        <w:ind w:left="840" w:firstLine="0"/>
      </w:pPr>
    </w:lvl>
  </w:abstractNum>
  <w:abstractNum w:abstractNumId="3">
    <w:nsid w:val="2B81539C"/>
    <w:multiLevelType w:val="singleLevel"/>
    <w:tmpl w:val="2B81539C"/>
    <w:lvl w:ilvl="0" w:tentative="0">
      <w:start w:val="4"/>
      <w:numFmt w:val="chineseCounting"/>
      <w:suff w:val="nothing"/>
      <w:lvlText w:val="（%1）"/>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67D63619"/>
    <w:multiLevelType w:val="singleLevel"/>
    <w:tmpl w:val="67D63619"/>
    <w:lvl w:ilvl="0" w:tentative="0">
      <w:start w:val="2"/>
      <w:numFmt w:val="chineseCounting"/>
      <w:suff w:val="space"/>
      <w:lvlText w:val="第%1条"/>
      <w:lvlJc w:val="left"/>
      <w:rPr>
        <w:rFonts w:hint="eastAsia"/>
      </w:rPr>
    </w:lvl>
  </w:abstractNum>
  <w:abstractNum w:abstractNumId="6">
    <w:nsid w:val="705D32C3"/>
    <w:multiLevelType w:val="singleLevel"/>
    <w:tmpl w:val="705D32C3"/>
    <w:lvl w:ilvl="0" w:tentative="0">
      <w:start w:val="5"/>
      <w:numFmt w:val="decimal"/>
      <w:lvlText w:val="%1."/>
      <w:lvlJc w:val="left"/>
      <w:pPr>
        <w:tabs>
          <w:tab w:val="left" w:pos="312"/>
        </w:tabs>
      </w:pPr>
    </w:lvl>
  </w:abstractNum>
  <w:abstractNum w:abstractNumId="7">
    <w:nsid w:val="771C8F7B"/>
    <w:multiLevelType w:val="singleLevel"/>
    <w:tmpl w:val="771C8F7B"/>
    <w:lvl w:ilvl="0" w:tentative="0">
      <w:start w:val="4"/>
      <w:numFmt w:val="chineseCounting"/>
      <w:suff w:val="space"/>
      <w:lvlText w:val="第%1条"/>
      <w:lvlJc w:val="left"/>
      <w:rPr>
        <w:rFonts w:hint="eastAsia"/>
      </w:rPr>
    </w:lvl>
  </w:abstractNum>
  <w:num w:numId="1">
    <w:abstractNumId w:val="0"/>
  </w:num>
  <w:num w:numId="2">
    <w:abstractNumId w:val="6"/>
  </w:num>
  <w:num w:numId="3">
    <w:abstractNumId w:val="4"/>
  </w:num>
  <w:num w:numId="4">
    <w:abstractNumId w:val="2"/>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lNTNmYTg2YTk2YzBlZmY5MDJmNzVhNmU5MTU4MDEifQ=="/>
  </w:docVars>
  <w:rsids>
    <w:rsidRoot w:val="005D618A"/>
    <w:rsid w:val="003D60BA"/>
    <w:rsid w:val="00411689"/>
    <w:rsid w:val="005D618A"/>
    <w:rsid w:val="007756C4"/>
    <w:rsid w:val="00911ECD"/>
    <w:rsid w:val="00A042E0"/>
    <w:rsid w:val="00B26BB1"/>
    <w:rsid w:val="00B26E21"/>
    <w:rsid w:val="00B741D7"/>
    <w:rsid w:val="00CB3927"/>
    <w:rsid w:val="00D4533C"/>
    <w:rsid w:val="00F1513D"/>
    <w:rsid w:val="00F83B64"/>
    <w:rsid w:val="013E3461"/>
    <w:rsid w:val="01BB0F13"/>
    <w:rsid w:val="02090C75"/>
    <w:rsid w:val="02A23A3C"/>
    <w:rsid w:val="02B04EBD"/>
    <w:rsid w:val="02FB196F"/>
    <w:rsid w:val="03443858"/>
    <w:rsid w:val="035D130A"/>
    <w:rsid w:val="039110A9"/>
    <w:rsid w:val="03AC246A"/>
    <w:rsid w:val="03AE6061"/>
    <w:rsid w:val="03B23056"/>
    <w:rsid w:val="03DA023E"/>
    <w:rsid w:val="03DC3EBA"/>
    <w:rsid w:val="03F9794D"/>
    <w:rsid w:val="046A2461"/>
    <w:rsid w:val="04F574FF"/>
    <w:rsid w:val="051C2970"/>
    <w:rsid w:val="060C3611"/>
    <w:rsid w:val="06C64829"/>
    <w:rsid w:val="06C70000"/>
    <w:rsid w:val="070E7B6E"/>
    <w:rsid w:val="071D62B7"/>
    <w:rsid w:val="077D16D2"/>
    <w:rsid w:val="082A69F3"/>
    <w:rsid w:val="08675FC8"/>
    <w:rsid w:val="09B713FD"/>
    <w:rsid w:val="09EF6ACC"/>
    <w:rsid w:val="0A315056"/>
    <w:rsid w:val="0A3E3B7B"/>
    <w:rsid w:val="0A694621"/>
    <w:rsid w:val="0A7C3C8A"/>
    <w:rsid w:val="0AA213B4"/>
    <w:rsid w:val="0AF61C7E"/>
    <w:rsid w:val="0AFB45AD"/>
    <w:rsid w:val="0B314FAC"/>
    <w:rsid w:val="0B351E9B"/>
    <w:rsid w:val="0B4C50D3"/>
    <w:rsid w:val="0B806B92"/>
    <w:rsid w:val="0B827E94"/>
    <w:rsid w:val="0B842F76"/>
    <w:rsid w:val="0BD070E1"/>
    <w:rsid w:val="0BD65B6B"/>
    <w:rsid w:val="0C2361E7"/>
    <w:rsid w:val="0C247926"/>
    <w:rsid w:val="0C7E54E8"/>
    <w:rsid w:val="0C874EE1"/>
    <w:rsid w:val="0D37662E"/>
    <w:rsid w:val="0D794204"/>
    <w:rsid w:val="0D9D13BC"/>
    <w:rsid w:val="0E2125D1"/>
    <w:rsid w:val="0E214211"/>
    <w:rsid w:val="0E5F2769"/>
    <w:rsid w:val="0ED8332F"/>
    <w:rsid w:val="0F4D75A3"/>
    <w:rsid w:val="0F5B2DCA"/>
    <w:rsid w:val="0F714D08"/>
    <w:rsid w:val="0FA20605"/>
    <w:rsid w:val="0FDC5544"/>
    <w:rsid w:val="0FED051E"/>
    <w:rsid w:val="0FEE4C29"/>
    <w:rsid w:val="0FFD33F6"/>
    <w:rsid w:val="10031608"/>
    <w:rsid w:val="10046082"/>
    <w:rsid w:val="104974DD"/>
    <w:rsid w:val="10A95BF0"/>
    <w:rsid w:val="10CF50A9"/>
    <w:rsid w:val="111703D2"/>
    <w:rsid w:val="112B101A"/>
    <w:rsid w:val="116B4A05"/>
    <w:rsid w:val="11717F0E"/>
    <w:rsid w:val="11877731"/>
    <w:rsid w:val="119B53FC"/>
    <w:rsid w:val="1215733B"/>
    <w:rsid w:val="12424CDC"/>
    <w:rsid w:val="129A2738"/>
    <w:rsid w:val="12B56BF1"/>
    <w:rsid w:val="12CB1A89"/>
    <w:rsid w:val="131840FB"/>
    <w:rsid w:val="13467417"/>
    <w:rsid w:val="136E76CF"/>
    <w:rsid w:val="1424395D"/>
    <w:rsid w:val="142F7F3A"/>
    <w:rsid w:val="145F08C6"/>
    <w:rsid w:val="14E43F59"/>
    <w:rsid w:val="15776308"/>
    <w:rsid w:val="15973CBB"/>
    <w:rsid w:val="15BC6B3C"/>
    <w:rsid w:val="15EC2C59"/>
    <w:rsid w:val="16360A7B"/>
    <w:rsid w:val="164D40B0"/>
    <w:rsid w:val="1694429A"/>
    <w:rsid w:val="16B94831"/>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DF5E3C"/>
    <w:rsid w:val="1EE522C8"/>
    <w:rsid w:val="1EFD1033"/>
    <w:rsid w:val="1F172EB5"/>
    <w:rsid w:val="1F22070B"/>
    <w:rsid w:val="1F94592D"/>
    <w:rsid w:val="1FB860DE"/>
    <w:rsid w:val="200D5E6F"/>
    <w:rsid w:val="203C5A02"/>
    <w:rsid w:val="20810A36"/>
    <w:rsid w:val="209D4C94"/>
    <w:rsid w:val="20B44FCD"/>
    <w:rsid w:val="20E84705"/>
    <w:rsid w:val="21617F9F"/>
    <w:rsid w:val="218400BA"/>
    <w:rsid w:val="21AB1E2F"/>
    <w:rsid w:val="21D40498"/>
    <w:rsid w:val="21E97559"/>
    <w:rsid w:val="22493963"/>
    <w:rsid w:val="22767047"/>
    <w:rsid w:val="2288155B"/>
    <w:rsid w:val="23A05588"/>
    <w:rsid w:val="23EE53EE"/>
    <w:rsid w:val="240476A1"/>
    <w:rsid w:val="24E953B9"/>
    <w:rsid w:val="25431AEB"/>
    <w:rsid w:val="25B875EB"/>
    <w:rsid w:val="25BE3BFB"/>
    <w:rsid w:val="25BF43FD"/>
    <w:rsid w:val="25F86BCD"/>
    <w:rsid w:val="2605748B"/>
    <w:rsid w:val="260B2287"/>
    <w:rsid w:val="26396D26"/>
    <w:rsid w:val="264544A6"/>
    <w:rsid w:val="267702FB"/>
    <w:rsid w:val="26864004"/>
    <w:rsid w:val="269E416A"/>
    <w:rsid w:val="26C11C6B"/>
    <w:rsid w:val="272100D3"/>
    <w:rsid w:val="272C72FC"/>
    <w:rsid w:val="275131CB"/>
    <w:rsid w:val="278F6521"/>
    <w:rsid w:val="27EB149D"/>
    <w:rsid w:val="27FD3E52"/>
    <w:rsid w:val="284130B3"/>
    <w:rsid w:val="28AB022E"/>
    <w:rsid w:val="28E11370"/>
    <w:rsid w:val="294A756A"/>
    <w:rsid w:val="29712D49"/>
    <w:rsid w:val="29781BF8"/>
    <w:rsid w:val="297939E2"/>
    <w:rsid w:val="29C235A5"/>
    <w:rsid w:val="29C33ED0"/>
    <w:rsid w:val="29D5322D"/>
    <w:rsid w:val="2A025DD9"/>
    <w:rsid w:val="2A0810ED"/>
    <w:rsid w:val="2A2619CB"/>
    <w:rsid w:val="2A7317D3"/>
    <w:rsid w:val="2A7C2231"/>
    <w:rsid w:val="2A920E4F"/>
    <w:rsid w:val="2AAC57B8"/>
    <w:rsid w:val="2ABB753D"/>
    <w:rsid w:val="2AFE6EC4"/>
    <w:rsid w:val="2B345DDC"/>
    <w:rsid w:val="2B7A49FA"/>
    <w:rsid w:val="2C0E487F"/>
    <w:rsid w:val="2C5001C7"/>
    <w:rsid w:val="2C615D26"/>
    <w:rsid w:val="2CB679ED"/>
    <w:rsid w:val="2CB73169"/>
    <w:rsid w:val="2CE83C37"/>
    <w:rsid w:val="2CEB2FFC"/>
    <w:rsid w:val="2D173C07"/>
    <w:rsid w:val="2D424A86"/>
    <w:rsid w:val="2DDA66B7"/>
    <w:rsid w:val="2E6F2D11"/>
    <w:rsid w:val="2E7B52DB"/>
    <w:rsid w:val="2ED60115"/>
    <w:rsid w:val="2EFF2BA5"/>
    <w:rsid w:val="2F324CFE"/>
    <w:rsid w:val="2FBA09F1"/>
    <w:rsid w:val="2FBC3577"/>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296F32"/>
    <w:rsid w:val="3391569E"/>
    <w:rsid w:val="341E3434"/>
    <w:rsid w:val="34BB4442"/>
    <w:rsid w:val="3584136B"/>
    <w:rsid w:val="35EE5A04"/>
    <w:rsid w:val="35FF5AA4"/>
    <w:rsid w:val="360B7EBA"/>
    <w:rsid w:val="36416867"/>
    <w:rsid w:val="367D5DD4"/>
    <w:rsid w:val="36883D08"/>
    <w:rsid w:val="369C32FD"/>
    <w:rsid w:val="37666E72"/>
    <w:rsid w:val="38081EA3"/>
    <w:rsid w:val="38167A04"/>
    <w:rsid w:val="381C3783"/>
    <w:rsid w:val="384C5E9D"/>
    <w:rsid w:val="394B167A"/>
    <w:rsid w:val="39AD34EA"/>
    <w:rsid w:val="39BA7194"/>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237E99"/>
    <w:rsid w:val="3D5C38CD"/>
    <w:rsid w:val="3D996878"/>
    <w:rsid w:val="3E5070F1"/>
    <w:rsid w:val="3E7569E0"/>
    <w:rsid w:val="3EAD1CD6"/>
    <w:rsid w:val="3EC370CB"/>
    <w:rsid w:val="3F6C3589"/>
    <w:rsid w:val="3F850180"/>
    <w:rsid w:val="3F8A21F7"/>
    <w:rsid w:val="3F9004D6"/>
    <w:rsid w:val="3FB53538"/>
    <w:rsid w:val="3FEE7CFA"/>
    <w:rsid w:val="400E4D5E"/>
    <w:rsid w:val="40E1138C"/>
    <w:rsid w:val="413814BA"/>
    <w:rsid w:val="41872511"/>
    <w:rsid w:val="41DF1251"/>
    <w:rsid w:val="424236D9"/>
    <w:rsid w:val="42466655"/>
    <w:rsid w:val="42C82F57"/>
    <w:rsid w:val="43566DE0"/>
    <w:rsid w:val="435707E5"/>
    <w:rsid w:val="439927E1"/>
    <w:rsid w:val="43C76AF7"/>
    <w:rsid w:val="43D54C8A"/>
    <w:rsid w:val="43E97E4A"/>
    <w:rsid w:val="440D65DA"/>
    <w:rsid w:val="446828F0"/>
    <w:rsid w:val="44A8366B"/>
    <w:rsid w:val="45093E85"/>
    <w:rsid w:val="450B3BFA"/>
    <w:rsid w:val="45C13B4D"/>
    <w:rsid w:val="46054BCA"/>
    <w:rsid w:val="464C6AFC"/>
    <w:rsid w:val="468B0091"/>
    <w:rsid w:val="46A107C3"/>
    <w:rsid w:val="46B02D60"/>
    <w:rsid w:val="46B15CE2"/>
    <w:rsid w:val="46BA4A33"/>
    <w:rsid w:val="46BE113D"/>
    <w:rsid w:val="46E44B13"/>
    <w:rsid w:val="4703508A"/>
    <w:rsid w:val="475023F8"/>
    <w:rsid w:val="47850A17"/>
    <w:rsid w:val="479A1E7B"/>
    <w:rsid w:val="479D361E"/>
    <w:rsid w:val="47B74789"/>
    <w:rsid w:val="47C87B80"/>
    <w:rsid w:val="48032A55"/>
    <w:rsid w:val="480F2B9D"/>
    <w:rsid w:val="48102176"/>
    <w:rsid w:val="48282920"/>
    <w:rsid w:val="483E1347"/>
    <w:rsid w:val="485321E0"/>
    <w:rsid w:val="48546AD3"/>
    <w:rsid w:val="48AE2615"/>
    <w:rsid w:val="48CA4868"/>
    <w:rsid w:val="48F005D3"/>
    <w:rsid w:val="48F826E7"/>
    <w:rsid w:val="49466522"/>
    <w:rsid w:val="49547ADD"/>
    <w:rsid w:val="49732351"/>
    <w:rsid w:val="498F4AF1"/>
    <w:rsid w:val="49C05787"/>
    <w:rsid w:val="49CF518D"/>
    <w:rsid w:val="49D56585"/>
    <w:rsid w:val="4A7F3979"/>
    <w:rsid w:val="4ADA1F63"/>
    <w:rsid w:val="4AE23D89"/>
    <w:rsid w:val="4AF40C8C"/>
    <w:rsid w:val="4B2038D0"/>
    <w:rsid w:val="4B296E7D"/>
    <w:rsid w:val="4B2C48CA"/>
    <w:rsid w:val="4B79394E"/>
    <w:rsid w:val="4B877F28"/>
    <w:rsid w:val="4B95421D"/>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0ED2406"/>
    <w:rsid w:val="513C6A7B"/>
    <w:rsid w:val="517300C9"/>
    <w:rsid w:val="51850890"/>
    <w:rsid w:val="51B31D16"/>
    <w:rsid w:val="5266714D"/>
    <w:rsid w:val="526D7CA2"/>
    <w:rsid w:val="52EC6EC2"/>
    <w:rsid w:val="52F208CA"/>
    <w:rsid w:val="532D486F"/>
    <w:rsid w:val="5333545B"/>
    <w:rsid w:val="538D0E89"/>
    <w:rsid w:val="5450213C"/>
    <w:rsid w:val="54556C40"/>
    <w:rsid w:val="546711F3"/>
    <w:rsid w:val="546C3825"/>
    <w:rsid w:val="54D062C6"/>
    <w:rsid w:val="54D24048"/>
    <w:rsid w:val="54D64CD5"/>
    <w:rsid w:val="5532287C"/>
    <w:rsid w:val="55887D69"/>
    <w:rsid w:val="55EE5D11"/>
    <w:rsid w:val="561A0928"/>
    <w:rsid w:val="56423872"/>
    <w:rsid w:val="569E06BC"/>
    <w:rsid w:val="56B279F0"/>
    <w:rsid w:val="56BC4C25"/>
    <w:rsid w:val="56F20F86"/>
    <w:rsid w:val="579D710E"/>
    <w:rsid w:val="581F22F6"/>
    <w:rsid w:val="5827444F"/>
    <w:rsid w:val="58613E05"/>
    <w:rsid w:val="586E1E17"/>
    <w:rsid w:val="58862C35"/>
    <w:rsid w:val="58C14957"/>
    <w:rsid w:val="58CC23D2"/>
    <w:rsid w:val="58E66050"/>
    <w:rsid w:val="596811C3"/>
    <w:rsid w:val="596B36B6"/>
    <w:rsid w:val="59E63F07"/>
    <w:rsid w:val="59FC7994"/>
    <w:rsid w:val="5AE83A50"/>
    <w:rsid w:val="5B353193"/>
    <w:rsid w:val="5BAB2917"/>
    <w:rsid w:val="5BFC33FA"/>
    <w:rsid w:val="5C3107A4"/>
    <w:rsid w:val="5C337866"/>
    <w:rsid w:val="5C3B1B93"/>
    <w:rsid w:val="5C9220DF"/>
    <w:rsid w:val="5D4A15F3"/>
    <w:rsid w:val="5D69542A"/>
    <w:rsid w:val="5D722610"/>
    <w:rsid w:val="5D783B72"/>
    <w:rsid w:val="5E0930EF"/>
    <w:rsid w:val="5E3D4D53"/>
    <w:rsid w:val="5E4717E6"/>
    <w:rsid w:val="5E55774C"/>
    <w:rsid w:val="5E8A70FF"/>
    <w:rsid w:val="5F5C5326"/>
    <w:rsid w:val="60045F96"/>
    <w:rsid w:val="60104DDC"/>
    <w:rsid w:val="605C0804"/>
    <w:rsid w:val="60913E6F"/>
    <w:rsid w:val="611F0045"/>
    <w:rsid w:val="61733C3E"/>
    <w:rsid w:val="6189617B"/>
    <w:rsid w:val="61B52BB6"/>
    <w:rsid w:val="61B749C2"/>
    <w:rsid w:val="61EF2482"/>
    <w:rsid w:val="62280D20"/>
    <w:rsid w:val="629C50CC"/>
    <w:rsid w:val="62B4786E"/>
    <w:rsid w:val="62BC7E8A"/>
    <w:rsid w:val="62CA2457"/>
    <w:rsid w:val="62FC3E2E"/>
    <w:rsid w:val="631303F2"/>
    <w:rsid w:val="638240A1"/>
    <w:rsid w:val="63833423"/>
    <w:rsid w:val="63A5257B"/>
    <w:rsid w:val="63BD3DCC"/>
    <w:rsid w:val="63C61741"/>
    <w:rsid w:val="64560967"/>
    <w:rsid w:val="656B1D10"/>
    <w:rsid w:val="65A71E84"/>
    <w:rsid w:val="65B841F9"/>
    <w:rsid w:val="66022B28"/>
    <w:rsid w:val="664A38E2"/>
    <w:rsid w:val="66581E87"/>
    <w:rsid w:val="666F1DE3"/>
    <w:rsid w:val="66766EBB"/>
    <w:rsid w:val="66C814F3"/>
    <w:rsid w:val="66FA11D5"/>
    <w:rsid w:val="674302C7"/>
    <w:rsid w:val="6758715C"/>
    <w:rsid w:val="67CB09D8"/>
    <w:rsid w:val="67EE3B0F"/>
    <w:rsid w:val="680A5986"/>
    <w:rsid w:val="680D5F4B"/>
    <w:rsid w:val="68113F51"/>
    <w:rsid w:val="689A552C"/>
    <w:rsid w:val="68B272C7"/>
    <w:rsid w:val="68B43ADD"/>
    <w:rsid w:val="68E94770"/>
    <w:rsid w:val="68EC1CEF"/>
    <w:rsid w:val="68F949C9"/>
    <w:rsid w:val="695A4290"/>
    <w:rsid w:val="696F3649"/>
    <w:rsid w:val="6A267606"/>
    <w:rsid w:val="6A3240F1"/>
    <w:rsid w:val="6A334932"/>
    <w:rsid w:val="6A3353FF"/>
    <w:rsid w:val="6A5D63E6"/>
    <w:rsid w:val="6A5F24D1"/>
    <w:rsid w:val="6ACA70C4"/>
    <w:rsid w:val="6ADE3093"/>
    <w:rsid w:val="6AE347EB"/>
    <w:rsid w:val="6B330365"/>
    <w:rsid w:val="6B434AF0"/>
    <w:rsid w:val="6B57675A"/>
    <w:rsid w:val="6B87098A"/>
    <w:rsid w:val="6BDD7B4D"/>
    <w:rsid w:val="6D0D5EB2"/>
    <w:rsid w:val="6D52013C"/>
    <w:rsid w:val="6E1B45FE"/>
    <w:rsid w:val="6EBC0B3A"/>
    <w:rsid w:val="6EED597D"/>
    <w:rsid w:val="6EF51C7D"/>
    <w:rsid w:val="6F8363E5"/>
    <w:rsid w:val="6F841DCF"/>
    <w:rsid w:val="6FA80CCD"/>
    <w:rsid w:val="6FAC3CC5"/>
    <w:rsid w:val="6FB813D4"/>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61AF0"/>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450781"/>
    <w:rsid w:val="79A416F0"/>
    <w:rsid w:val="79B03EB6"/>
    <w:rsid w:val="79B61437"/>
    <w:rsid w:val="7AD324E9"/>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BB1012"/>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2">
    <w:name w:val="heading 1"/>
    <w:basedOn w:val="1"/>
    <w:next w:val="1"/>
    <w:link w:val="31"/>
    <w:autoRedefine/>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2"/>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3"/>
    <w:autoRedefine/>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autoRedefine/>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1"/>
    <w:autoRedefine/>
    <w:unhideWhenUsed/>
    <w:qFormat/>
    <w:uiPriority w:val="99"/>
    <w:pPr>
      <w:spacing w:after="120"/>
    </w:pPr>
    <w:rPr>
      <w:sz w:val="16"/>
      <w:szCs w:val="16"/>
    </w:rPr>
  </w:style>
  <w:style w:type="paragraph" w:styleId="8">
    <w:name w:val="Body Text"/>
    <w:basedOn w:val="1"/>
    <w:next w:val="9"/>
    <w:autoRedefine/>
    <w:qFormat/>
    <w:uiPriority w:val="99"/>
    <w:pPr>
      <w:spacing w:after="120"/>
    </w:pPr>
  </w:style>
  <w:style w:type="paragraph" w:styleId="9">
    <w:name w:val="Body Text 2"/>
    <w:basedOn w:val="1"/>
    <w:autoRedefine/>
    <w:qFormat/>
    <w:uiPriority w:val="0"/>
    <w:pPr>
      <w:spacing w:after="120" w:line="480" w:lineRule="auto"/>
    </w:pPr>
  </w:style>
  <w:style w:type="paragraph" w:styleId="10">
    <w:name w:val="Body Text Indent"/>
    <w:basedOn w:val="1"/>
    <w:autoRedefine/>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autoRedefine/>
    <w:unhideWhenUsed/>
    <w:qFormat/>
    <w:uiPriority w:val="39"/>
    <w:pPr>
      <w:widowControl/>
      <w:spacing w:after="100" w:line="276" w:lineRule="auto"/>
      <w:ind w:left="440"/>
      <w:jc w:val="left"/>
    </w:pPr>
    <w:rPr>
      <w:kern w:val="0"/>
      <w:sz w:val="22"/>
    </w:rPr>
  </w:style>
  <w:style w:type="paragraph" w:styleId="12">
    <w:name w:val="Plain Text"/>
    <w:basedOn w:val="1"/>
    <w:next w:val="13"/>
    <w:autoRedefine/>
    <w:qFormat/>
    <w:uiPriority w:val="0"/>
    <w:rPr>
      <w:rFonts w:ascii="宋体" w:hAnsi="Courier New"/>
      <w:szCs w:val="21"/>
    </w:rPr>
  </w:style>
  <w:style w:type="paragraph" w:customStyle="1" w:styleId="13">
    <w:name w:val="Default"/>
    <w:next w:val="14"/>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autoRedefine/>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autoRedefine/>
    <w:semiHidden/>
    <w:unhideWhenUsed/>
    <w:qFormat/>
    <w:uiPriority w:val="99"/>
    <w:rPr>
      <w:sz w:val="18"/>
      <w:szCs w:val="18"/>
    </w:rPr>
  </w:style>
  <w:style w:type="paragraph" w:styleId="17">
    <w:name w:val="footer"/>
    <w:basedOn w:val="1"/>
    <w:link w:val="30"/>
    <w:autoRedefine/>
    <w:unhideWhenUsed/>
    <w:qFormat/>
    <w:uiPriority w:val="99"/>
    <w:pPr>
      <w:tabs>
        <w:tab w:val="center" w:pos="4153"/>
        <w:tab w:val="right" w:pos="8306"/>
      </w:tabs>
      <w:snapToGrid w:val="0"/>
      <w:jc w:val="left"/>
    </w:pPr>
    <w:rPr>
      <w:sz w:val="18"/>
      <w:szCs w:val="18"/>
    </w:rPr>
  </w:style>
  <w:style w:type="paragraph" w:styleId="18">
    <w:name w:val="header"/>
    <w:basedOn w:val="1"/>
    <w:link w:val="2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kern w:val="0"/>
      <w:sz w:val="22"/>
    </w:rPr>
  </w:style>
  <w:style w:type="paragraph" w:styleId="20">
    <w:name w:val="toc 2"/>
    <w:basedOn w:val="1"/>
    <w:next w:val="1"/>
    <w:autoRedefine/>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22">
    <w:name w:val="Body Text First Indent"/>
    <w:basedOn w:val="8"/>
    <w:unhideWhenUsed/>
    <w:qFormat/>
    <w:uiPriority w:val="99"/>
    <w:pPr>
      <w:ind w:firstLine="420"/>
    </w:pPr>
    <w:rPr>
      <w:kern w:val="2"/>
      <w:sz w:val="21"/>
    </w:rPr>
  </w:style>
  <w:style w:type="paragraph" w:styleId="23">
    <w:name w:val="Body Text First Indent 2"/>
    <w:basedOn w:val="10"/>
    <w:autoRedefine/>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Hyperlink"/>
    <w:basedOn w:val="26"/>
    <w:autoRedefine/>
    <w:unhideWhenUsed/>
    <w:qFormat/>
    <w:uiPriority w:val="99"/>
    <w:rPr>
      <w:color w:val="0000FF" w:themeColor="hyperlink"/>
      <w:u w:val="single"/>
    </w:rPr>
  </w:style>
  <w:style w:type="paragraph" w:customStyle="1" w:styleId="28">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6"/>
    <w:link w:val="18"/>
    <w:autoRedefine/>
    <w:semiHidden/>
    <w:qFormat/>
    <w:uiPriority w:val="99"/>
    <w:rPr>
      <w:sz w:val="18"/>
      <w:szCs w:val="18"/>
    </w:rPr>
  </w:style>
  <w:style w:type="character" w:customStyle="1" w:styleId="30">
    <w:name w:val="页脚 Char"/>
    <w:basedOn w:val="26"/>
    <w:link w:val="17"/>
    <w:autoRedefine/>
    <w:qFormat/>
    <w:uiPriority w:val="99"/>
    <w:rPr>
      <w:sz w:val="18"/>
      <w:szCs w:val="18"/>
    </w:rPr>
  </w:style>
  <w:style w:type="character" w:customStyle="1" w:styleId="31">
    <w:name w:val="标题 1 Char"/>
    <w:basedOn w:val="26"/>
    <w:link w:val="2"/>
    <w:autoRedefine/>
    <w:qFormat/>
    <w:uiPriority w:val="9"/>
    <w:rPr>
      <w:rFonts w:eastAsia="方正小标宋简体"/>
      <w:bCs/>
      <w:kern w:val="44"/>
      <w:sz w:val="44"/>
      <w:szCs w:val="44"/>
    </w:rPr>
  </w:style>
  <w:style w:type="character" w:customStyle="1" w:styleId="32">
    <w:name w:val="标题 2 Char"/>
    <w:basedOn w:val="26"/>
    <w:link w:val="3"/>
    <w:autoRedefine/>
    <w:qFormat/>
    <w:uiPriority w:val="9"/>
    <w:rPr>
      <w:rFonts w:eastAsia="方正小标宋简体" w:asciiTheme="majorHAnsi" w:hAnsiTheme="majorHAnsi" w:cstheme="majorBidi"/>
      <w:bCs/>
      <w:sz w:val="36"/>
      <w:szCs w:val="32"/>
    </w:rPr>
  </w:style>
  <w:style w:type="character" w:customStyle="1" w:styleId="33">
    <w:name w:val="标题 3 Char"/>
    <w:basedOn w:val="26"/>
    <w:link w:val="4"/>
    <w:autoRedefine/>
    <w:qFormat/>
    <w:uiPriority w:val="9"/>
    <w:rPr>
      <w:rFonts w:ascii="Calibri" w:hAnsi="Calibri" w:eastAsia="宋体" w:cs="Times New Roman"/>
      <w:b/>
      <w:bCs/>
      <w:sz w:val="32"/>
      <w:szCs w:val="32"/>
    </w:rPr>
  </w:style>
  <w:style w:type="paragraph" w:styleId="34">
    <w:name w:val="List Paragraph"/>
    <w:basedOn w:val="1"/>
    <w:link w:val="42"/>
    <w:autoRedefine/>
    <w:qFormat/>
    <w:uiPriority w:val="34"/>
    <w:pPr>
      <w:ind w:firstLine="420" w:firstLineChars="200"/>
    </w:pPr>
  </w:style>
  <w:style w:type="paragraph" w:customStyle="1" w:styleId="35">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26"/>
    <w:link w:val="16"/>
    <w:autoRedefine/>
    <w:semiHidden/>
    <w:qFormat/>
    <w:uiPriority w:val="99"/>
    <w:rPr>
      <w:sz w:val="18"/>
      <w:szCs w:val="18"/>
    </w:rPr>
  </w:style>
  <w:style w:type="paragraph" w:styleId="37">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autoRedefine/>
    <w:qFormat/>
    <w:uiPriority w:val="0"/>
    <w:pPr>
      <w:spacing w:after="373"/>
    </w:pPr>
    <w:rPr>
      <w:color w:val="auto"/>
    </w:rPr>
  </w:style>
  <w:style w:type="paragraph" w:customStyle="1" w:styleId="39">
    <w:name w:val="CM91"/>
    <w:basedOn w:val="13"/>
    <w:next w:val="13"/>
    <w:autoRedefine/>
    <w:qFormat/>
    <w:uiPriority w:val="0"/>
    <w:pPr>
      <w:spacing w:after="160"/>
    </w:pPr>
    <w:rPr>
      <w:color w:val="auto"/>
    </w:rPr>
  </w:style>
  <w:style w:type="character" w:customStyle="1" w:styleId="40">
    <w:name w:val="正文文本 3 Char"/>
    <w:link w:val="7"/>
    <w:autoRedefine/>
    <w:qFormat/>
    <w:uiPriority w:val="99"/>
    <w:rPr>
      <w:sz w:val="16"/>
      <w:szCs w:val="16"/>
    </w:rPr>
  </w:style>
  <w:style w:type="character" w:customStyle="1" w:styleId="41">
    <w:name w:val="正文文本 3 Char1"/>
    <w:basedOn w:val="26"/>
    <w:link w:val="7"/>
    <w:autoRedefine/>
    <w:semiHidden/>
    <w:qFormat/>
    <w:uiPriority w:val="99"/>
    <w:rPr>
      <w:sz w:val="16"/>
      <w:szCs w:val="16"/>
    </w:rPr>
  </w:style>
  <w:style w:type="character" w:customStyle="1" w:styleId="42">
    <w:name w:val="列出段落 Char"/>
    <w:link w:val="34"/>
    <w:autoRedefine/>
    <w:qFormat/>
    <w:uiPriority w:val="34"/>
  </w:style>
  <w:style w:type="paragraph" w:customStyle="1" w:styleId="43">
    <w:name w:val="1"/>
    <w:basedOn w:val="1"/>
    <w:next w:val="12"/>
    <w:autoRedefine/>
    <w:qFormat/>
    <w:uiPriority w:val="99"/>
    <w:pPr>
      <w:widowControl w:val="0"/>
      <w:jc w:val="both"/>
    </w:pPr>
    <w:rPr>
      <w:rFonts w:ascii="宋体" w:hAnsi="Courier New"/>
      <w:kern w:val="2"/>
    </w:rPr>
  </w:style>
  <w:style w:type="paragraph" w:customStyle="1" w:styleId="44">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5">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6">
    <w:name w:val="WPSOffice手动目录 3"/>
    <w:autoRedefine/>
    <w:qFormat/>
    <w:uiPriority w:val="0"/>
    <w:pPr>
      <w:ind w:leftChars="400"/>
    </w:pPr>
    <w:rPr>
      <w:rFonts w:asciiTheme="minorHAnsi" w:hAnsiTheme="minorHAnsi" w:eastAsiaTheme="minorEastAsia" w:cstheme="minorBidi"/>
      <w:sz w:val="20"/>
      <w:szCs w:val="20"/>
    </w:rPr>
  </w:style>
  <w:style w:type="paragraph" w:customStyle="1" w:styleId="47">
    <w:name w:val="无标题条"/>
    <w:next w:val="48"/>
    <w:autoRedefine/>
    <w:qFormat/>
    <w:uiPriority w:val="0"/>
    <w:pPr>
      <w:jc w:val="both"/>
    </w:pPr>
    <w:rPr>
      <w:rFonts w:ascii="Times New Roman" w:hAnsi="Times New Roman" w:eastAsia="宋体" w:cs="Times New Roman"/>
      <w:sz w:val="21"/>
      <w:lang w:val="en-US" w:eastAsia="zh-CN" w:bidi="ar-SA"/>
    </w:rPr>
  </w:style>
  <w:style w:type="paragraph" w:customStyle="1" w:styleId="48">
    <w:name w:val="段"/>
    <w:autoRedefine/>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6" textRotate="1"/>
    <customShpInfo spid="_x0000_s3077" textRotate="1"/>
    <customShpInfo spid="_x0000_s3078" textRotate="1"/>
    <customShpInfo spid="_x0000_s3079" textRotate="1"/>
    <customShpInfo spid="_x0000_s3080" textRotate="1"/>
    <customShpInfo spid="_x0000_s308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6413</Words>
  <Characters>6761</Characters>
  <Lines>300</Lines>
  <Paragraphs>84</Paragraphs>
  <TotalTime>10</TotalTime>
  <ScaleCrop>false</ScaleCrop>
  <LinksUpToDate>false</LinksUpToDate>
  <CharactersWithSpaces>7365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陈志君</cp:lastModifiedBy>
  <dcterms:modified xsi:type="dcterms:W3CDTF">2025-09-11T07:51:49Z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A16D6DC8326945AC9168607D4B687526</vt:lpwstr>
  </property>
  <property fmtid="{D5CDD505-2E9C-101B-9397-08002B2CF9AE}" pid="4" name="KSOTemplateDocerSaveRecord">
    <vt:lpwstr>eyJoZGlkIjoiOWY2ZGIzZTNkMjhmOWI1YmYxYzY0MmU3OGI5ZWU3YjUiLCJ1c2VySWQiOiIxMTcyNzU0MDAwIn0=</vt:lpwstr>
  </property>
</Properties>
</file>