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BB392">
      <w:pPr>
        <w:rPr>
          <w:rFonts w:hint="eastAsia" w:ascii="仿宋_GB2312" w:hAnsi="仿宋_GB2312" w:eastAsia="仿宋_GB2312" w:cs="仿宋_GB2312"/>
          <w:color w:val="auto"/>
          <w:highlight w:val="none"/>
        </w:rPr>
      </w:pPr>
    </w:p>
    <w:p w14:paraId="5A888D2A">
      <w:pPr>
        <w:rPr>
          <w:rFonts w:hint="eastAsia" w:ascii="仿宋_GB2312" w:hAnsi="仿宋_GB2312" w:eastAsia="仿宋_GB2312" w:cs="仿宋_GB2312"/>
          <w:color w:val="auto"/>
          <w:highlight w:val="none"/>
        </w:rPr>
      </w:pPr>
    </w:p>
    <w:p w14:paraId="167EAFDA">
      <w:pPr>
        <w:rPr>
          <w:rFonts w:hint="eastAsia" w:ascii="仿宋_GB2312" w:hAnsi="仿宋_GB2312" w:eastAsia="仿宋_GB2312" w:cs="仿宋_GB2312"/>
          <w:color w:val="auto"/>
          <w:highlight w:val="none"/>
        </w:rPr>
      </w:pPr>
    </w:p>
    <w:p w14:paraId="4966E39C">
      <w:pPr>
        <w:rPr>
          <w:rFonts w:hint="eastAsia" w:ascii="仿宋_GB2312" w:hAnsi="仿宋_GB2312" w:eastAsia="仿宋_GB2312" w:cs="仿宋_GB2312"/>
          <w:color w:val="auto"/>
          <w:highlight w:val="none"/>
        </w:rPr>
      </w:pPr>
    </w:p>
    <w:p w14:paraId="1D45890B">
      <w:pPr>
        <w:rPr>
          <w:rFonts w:hint="eastAsia" w:ascii="仿宋_GB2312" w:hAnsi="仿宋_GB2312" w:eastAsia="仿宋_GB2312" w:cs="仿宋_GB2312"/>
          <w:color w:val="auto"/>
          <w:highlight w:val="none"/>
        </w:rPr>
      </w:pPr>
    </w:p>
    <w:p w14:paraId="150D4694">
      <w:pPr>
        <w:rPr>
          <w:rFonts w:hint="eastAsia" w:ascii="仿宋_GB2312" w:hAnsi="仿宋_GB2312" w:eastAsia="仿宋_GB2312" w:cs="仿宋_GB2312"/>
          <w:color w:val="auto"/>
          <w:highlight w:val="none"/>
        </w:rPr>
      </w:pPr>
    </w:p>
    <w:p w14:paraId="583E7847">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广州市净水有限公司猎德分公司</w:t>
      </w:r>
    </w:p>
    <w:p w14:paraId="044FA401">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2025年生产区域空调维修项目</w:t>
      </w:r>
    </w:p>
    <w:p w14:paraId="04BD6CE6">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14:paraId="6E5B700E">
      <w:pPr>
        <w:jc w:val="center"/>
        <w:rPr>
          <w:rFonts w:ascii="仿宋_GB2312" w:eastAsia="仿宋_GB2312"/>
          <w:color w:val="auto"/>
          <w:sz w:val="32"/>
          <w:szCs w:val="32"/>
          <w:highlight w:val="none"/>
        </w:rPr>
      </w:pPr>
    </w:p>
    <w:p w14:paraId="5A604075">
      <w:pPr>
        <w:jc w:val="center"/>
        <w:rPr>
          <w:rFonts w:ascii="仿宋_GB2312" w:eastAsia="仿宋_GB2312"/>
          <w:color w:val="auto"/>
          <w:sz w:val="32"/>
          <w:szCs w:val="32"/>
          <w:highlight w:val="none"/>
        </w:rPr>
      </w:pPr>
    </w:p>
    <w:p w14:paraId="32E5EBCA">
      <w:pPr>
        <w:jc w:val="center"/>
        <w:rPr>
          <w:rFonts w:ascii="仿宋_GB2312" w:eastAsia="仿宋_GB2312"/>
          <w:color w:val="auto"/>
          <w:sz w:val="32"/>
          <w:szCs w:val="32"/>
          <w:highlight w:val="none"/>
        </w:rPr>
      </w:pPr>
    </w:p>
    <w:p w14:paraId="58516771">
      <w:pPr>
        <w:jc w:val="center"/>
        <w:rPr>
          <w:rFonts w:ascii="仿宋_GB2312" w:eastAsia="仿宋_GB2312"/>
          <w:color w:val="auto"/>
          <w:sz w:val="32"/>
          <w:szCs w:val="32"/>
          <w:highlight w:val="none"/>
        </w:rPr>
      </w:pPr>
    </w:p>
    <w:p w14:paraId="44E0B547">
      <w:pPr>
        <w:jc w:val="center"/>
        <w:rPr>
          <w:rFonts w:ascii="仿宋_GB2312" w:eastAsia="仿宋_GB2312"/>
          <w:color w:val="auto"/>
          <w:sz w:val="32"/>
          <w:szCs w:val="32"/>
          <w:highlight w:val="none"/>
        </w:rPr>
      </w:pPr>
    </w:p>
    <w:p w14:paraId="0B37FF6B">
      <w:pPr>
        <w:jc w:val="center"/>
        <w:rPr>
          <w:rFonts w:ascii="仿宋_GB2312" w:eastAsia="仿宋_GB2312"/>
          <w:color w:val="auto"/>
          <w:sz w:val="32"/>
          <w:szCs w:val="32"/>
          <w:highlight w:val="none"/>
        </w:rPr>
      </w:pPr>
    </w:p>
    <w:p w14:paraId="112C401F">
      <w:pPr>
        <w:jc w:val="center"/>
        <w:rPr>
          <w:rFonts w:ascii="仿宋_GB2312" w:eastAsia="仿宋_GB2312"/>
          <w:color w:val="auto"/>
          <w:sz w:val="32"/>
          <w:szCs w:val="32"/>
          <w:highlight w:val="none"/>
        </w:rPr>
      </w:pPr>
    </w:p>
    <w:p w14:paraId="19C4C644">
      <w:pPr>
        <w:jc w:val="center"/>
        <w:rPr>
          <w:rFonts w:hint="eastAsia" w:ascii="仿宋_GB2312" w:eastAsia="仿宋_GB2312"/>
          <w:color w:val="auto"/>
          <w:sz w:val="32"/>
          <w:szCs w:val="32"/>
          <w:highlight w:val="none"/>
        </w:rPr>
      </w:pPr>
    </w:p>
    <w:p w14:paraId="68D7F55E">
      <w:pPr>
        <w:jc w:val="center"/>
        <w:rPr>
          <w:rFonts w:ascii="仿宋_GB2312" w:eastAsia="仿宋_GB2312"/>
          <w:color w:val="auto"/>
          <w:sz w:val="32"/>
          <w:szCs w:val="32"/>
          <w:highlight w:val="none"/>
        </w:rPr>
      </w:pPr>
    </w:p>
    <w:p w14:paraId="720C0C23">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14:paraId="6B652A1C">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二〇二五年八月</w:t>
      </w:r>
    </w:p>
    <w:p w14:paraId="5E1B70A5">
      <w:pPr>
        <w:bidi w:val="0"/>
        <w:jc w:val="center"/>
        <w:rPr>
          <w:rFonts w:hint="eastAsia" w:ascii="方正小标宋简体" w:hAnsi="方正小标宋简体" w:eastAsia="方正小标宋简体" w:cs="方正小标宋简体"/>
          <w:sz w:val="44"/>
          <w:szCs w:val="44"/>
          <w:lang w:val="en-US" w:eastAsia="zh-CN"/>
        </w:rPr>
        <w:sectPr>
          <w:footerReference r:id="rId3" w:type="default"/>
          <w:footerReference r:id="rId4" w:type="even"/>
          <w:pgSz w:w="11906" w:h="16838"/>
          <w:pgMar w:top="2098" w:right="1474" w:bottom="1985" w:left="1588" w:header="851" w:footer="992" w:gutter="0"/>
          <w:pgNumType w:fmt="decimal" w:start="0"/>
          <w:cols w:space="425" w:num="1"/>
          <w:titlePg/>
          <w:docGrid w:type="lines" w:linePitch="312" w:charSpace="0"/>
        </w:sectPr>
      </w:pPr>
    </w:p>
    <w:p w14:paraId="433DC24D">
      <w:pPr>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14:paraId="7A4205F9">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14:paraId="305BD28D">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14:paraId="568DBCC1">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14:paraId="64E68E0C">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14:paraId="5C2DB91B">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14:paraId="4A1ED959">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14:paraId="671BAF92">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14:paraId="1EEA67E5">
      <w:pPr>
        <w:pStyle w:val="17"/>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14:paraId="7F7CC9F2">
      <w:pPr>
        <w:rPr>
          <w:rFonts w:hint="eastAsia" w:ascii="仿宋_GB2312" w:hAnsi="仿宋_GB2312" w:eastAsia="仿宋_GB2312" w:cs="仿宋_GB2312"/>
          <w:color w:val="auto"/>
          <w:sz w:val="32"/>
          <w:szCs w:val="32"/>
          <w:highlight w:val="none"/>
        </w:rPr>
        <w:sectPr>
          <w:footerReference r:id="rId6" w:type="first"/>
          <w:footerReference r:id="rId5" w:type="default"/>
          <w:pgSz w:w="11906" w:h="16838"/>
          <w:pgMar w:top="2098" w:right="1474" w:bottom="1985" w:left="1588" w:header="737" w:footer="992" w:gutter="0"/>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14:paraId="2930CA58">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26148"/>
      <w:bookmarkStart w:id="1" w:name="_Toc1711"/>
      <w:bookmarkStart w:id="2" w:name="_Toc17696"/>
      <w:bookmarkStart w:id="3" w:name="_Toc18145"/>
    </w:p>
    <w:p w14:paraId="6F6E2B60">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14:paraId="44F24A70">
      <w:pPr>
        <w:rPr>
          <w:rFonts w:hint="eastAsia" w:ascii="仿宋_GB2312" w:hAnsi="仿宋_GB2312" w:eastAsia="仿宋_GB2312" w:cs="仿宋_GB2312"/>
          <w:sz w:val="28"/>
          <w:szCs w:val="28"/>
        </w:rPr>
      </w:pPr>
      <w:bookmarkStart w:id="4" w:name="_Toc4275"/>
      <w:bookmarkStart w:id="5" w:name="_Toc7519"/>
      <w:bookmarkStart w:id="6" w:name="_Toc1669"/>
      <w:bookmarkStart w:id="7" w:name="_Toc31938"/>
      <w:bookmarkStart w:id="8" w:name="_Toc19609"/>
      <w:bookmarkStart w:id="9" w:name="_Toc11322"/>
      <w:bookmarkStart w:id="10" w:name="_Toc17801"/>
    </w:p>
    <w:p w14:paraId="621EF4EB">
      <w:pPr>
        <w:rPr>
          <w:rFonts w:hint="eastAsia" w:ascii="仿宋_GB2312" w:hAnsi="仿宋_GB2312" w:eastAsia="仿宋_GB2312" w:cs="仿宋_GB2312"/>
          <w:sz w:val="28"/>
          <w:szCs w:val="28"/>
        </w:rPr>
      </w:pPr>
    </w:p>
    <w:p w14:paraId="4E3D1795">
      <w:pPr>
        <w:pBdr>
          <w:bottom w:val="none" w:color="auto" w:sz="0" w:space="0"/>
        </w:pBdr>
        <w:rPr>
          <w:rFonts w:hint="eastAsia" w:ascii="仿宋_GB2312" w:hAnsi="仿宋_GB2312" w:eastAsia="仿宋_GB2312" w:cs="仿宋_GB2312"/>
          <w:sz w:val="28"/>
          <w:szCs w:val="28"/>
        </w:rPr>
      </w:pPr>
    </w:p>
    <w:p w14:paraId="579D66EF">
      <w:pPr>
        <w:pBdr>
          <w:top w:val="double" w:color="auto" w:sz="4" w:space="0"/>
          <w:bottom w:val="double" w:color="auto" w:sz="4" w:space="0"/>
        </w:pBdr>
        <w:jc w:val="center"/>
        <w:rPr>
          <w:rFonts w:hint="default"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第一章</w:t>
      </w:r>
    </w:p>
    <w:bookmarkEnd w:id="0"/>
    <w:bookmarkEnd w:id="1"/>
    <w:bookmarkEnd w:id="2"/>
    <w:bookmarkEnd w:id="3"/>
    <w:bookmarkEnd w:id="4"/>
    <w:bookmarkEnd w:id="5"/>
    <w:bookmarkEnd w:id="6"/>
    <w:bookmarkEnd w:id="7"/>
    <w:bookmarkEnd w:id="8"/>
    <w:bookmarkEnd w:id="9"/>
    <w:bookmarkEnd w:id="10"/>
    <w:p w14:paraId="768C1D70">
      <w:pPr>
        <w:rPr>
          <w:rFonts w:hint="eastAsia" w:ascii="仿宋_GB2312" w:hAnsi="仿宋_GB2312" w:eastAsia="仿宋_GB2312" w:cs="仿宋_GB2312"/>
          <w:sz w:val="28"/>
          <w:szCs w:val="28"/>
        </w:rPr>
      </w:pPr>
    </w:p>
    <w:p w14:paraId="1C5F2CCF">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14:paraId="52BD2C7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4FB7CD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DDDDB61">
      <w:pPr>
        <w:pStyle w:val="22"/>
        <w:rPr>
          <w:rFonts w:ascii="方正小标宋简体" w:eastAsia="方正小标宋简体"/>
          <w:color w:val="auto"/>
          <w:sz w:val="44"/>
          <w:szCs w:val="44"/>
          <w:highlight w:val="none"/>
        </w:rPr>
      </w:pPr>
    </w:p>
    <w:p w14:paraId="21E5E2F9">
      <w:pPr>
        <w:pStyle w:val="22"/>
        <w:rPr>
          <w:rFonts w:ascii="方正小标宋简体" w:eastAsia="方正小标宋简体"/>
          <w:color w:val="auto"/>
          <w:sz w:val="44"/>
          <w:szCs w:val="44"/>
          <w:highlight w:val="none"/>
        </w:rPr>
      </w:pPr>
    </w:p>
    <w:p w14:paraId="6BC11B20">
      <w:pPr>
        <w:pStyle w:val="22"/>
        <w:rPr>
          <w:rFonts w:ascii="方正小标宋简体" w:eastAsia="方正小标宋简体"/>
          <w:color w:val="auto"/>
          <w:sz w:val="44"/>
          <w:szCs w:val="44"/>
          <w:highlight w:val="none"/>
        </w:rPr>
      </w:pPr>
    </w:p>
    <w:p w14:paraId="5A1A9077">
      <w:pPr>
        <w:pStyle w:val="22"/>
        <w:rPr>
          <w:rFonts w:ascii="方正小标宋简体" w:eastAsia="方正小标宋简体"/>
          <w:color w:val="auto"/>
          <w:sz w:val="44"/>
          <w:szCs w:val="44"/>
          <w:highlight w:val="none"/>
        </w:rPr>
      </w:pPr>
    </w:p>
    <w:p w14:paraId="1EAACD42">
      <w:pPr>
        <w:pStyle w:val="22"/>
        <w:rPr>
          <w:rFonts w:ascii="仿宋_GB2312" w:eastAsia="仿宋_GB2312"/>
          <w:color w:val="auto"/>
          <w:sz w:val="28"/>
          <w:szCs w:val="28"/>
          <w:highlight w:val="none"/>
        </w:rPr>
      </w:pPr>
    </w:p>
    <w:p w14:paraId="40F04864">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6E9892B7">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14:paraId="0390BAD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val="en-US" w:eastAsia="zh-CN"/>
        </w:rPr>
        <w:t xml:space="preserve">广州市净水有限公司猎德分公司2025年生产区域空调维修项目 </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sz w:val="28"/>
          <w:szCs w:val="28"/>
          <w:highlight w:val="none"/>
        </w:rPr>
        <w:t>现</w:t>
      </w:r>
      <w:r>
        <w:rPr>
          <w:rFonts w:hint="eastAsia" w:ascii="仿宋_GB2312" w:hAnsi="仿宋_GB2312" w:eastAsia="仿宋_GB2312" w:cs="仿宋_GB2312"/>
          <w:sz w:val="28"/>
          <w:szCs w:val="28"/>
          <w:highlight w:val="none"/>
          <w:lang w:val="en-US" w:eastAsia="zh-CN"/>
        </w:rPr>
        <w:t>邀请合格</w:t>
      </w:r>
      <w:r>
        <w:rPr>
          <w:rFonts w:hint="eastAsia" w:ascii="仿宋_GB2312" w:hAnsi="仿宋_GB2312" w:eastAsia="仿宋_GB2312" w:cs="仿宋_GB2312"/>
          <w:sz w:val="28"/>
          <w:szCs w:val="28"/>
          <w:highlight w:val="none"/>
          <w:u w:val="none"/>
          <w:lang w:val="en-US" w:eastAsia="zh-CN"/>
        </w:rPr>
        <w:t>单位</w:t>
      </w:r>
      <w:r>
        <w:rPr>
          <w:rFonts w:hint="eastAsia" w:ascii="仿宋_GB2312" w:hAnsi="仿宋_GB2312" w:eastAsia="仿宋_GB2312" w:cs="仿宋_GB2312"/>
          <w:sz w:val="28"/>
          <w:szCs w:val="28"/>
          <w:highlight w:val="none"/>
        </w:rPr>
        <w:t>参加本</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 xml:space="preserve">施工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货物</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rPr>
        <w:t>服务</w:t>
      </w:r>
      <w:r>
        <w:rPr>
          <w:rFonts w:hint="eastAsia" w:ascii="仿宋_GB2312" w:hAnsi="仿宋_GB2312" w:eastAsia="仿宋_GB2312" w:cs="仿宋_GB2312"/>
          <w:sz w:val="28"/>
          <w:szCs w:val="28"/>
          <w:highlight w:val="none"/>
        </w:rPr>
        <w:t>项目采购活动，采用</w:t>
      </w:r>
      <w:r>
        <w:rPr>
          <w:rFonts w:hint="eastAsia" w:ascii="仿宋_GB2312" w:hAnsi="仿宋_GB2312" w:eastAsia="仿宋_GB2312" w:cs="仿宋_GB2312"/>
          <w:sz w:val="28"/>
          <w:szCs w:val="28"/>
          <w:highlight w:val="none"/>
          <w:u w:val="single"/>
        </w:rPr>
        <w:t>□</w:t>
      </w:r>
      <w:r>
        <w:rPr>
          <w:rFonts w:hint="eastAsia" w:ascii="仿宋_GB2312" w:hAnsi="仿宋_GB2312" w:eastAsia="仿宋_GB2312" w:cs="仿宋_GB2312"/>
          <w:sz w:val="28"/>
          <w:szCs w:val="28"/>
          <w:highlight w:val="none"/>
          <w:u w:val="single"/>
          <w:lang w:val="en-US" w:eastAsia="zh-CN"/>
        </w:rPr>
        <w:t xml:space="preserve">邀请采购 </w:t>
      </w:r>
      <w:r>
        <w:rPr>
          <w:rFonts w:hint="eastAsia" w:ascii="仿宋_GB2312" w:hAnsi="仿宋_GB2312" w:eastAsia="仿宋_GB2312" w:cs="仿宋_GB2312"/>
          <w:sz w:val="28"/>
          <w:szCs w:val="28"/>
          <w:highlight w:val="none"/>
          <w:u w:val="single"/>
          <w:lang w:eastAsia="zh-CN"/>
        </w:rPr>
        <w:t>☑</w:t>
      </w:r>
      <w:r>
        <w:rPr>
          <w:rFonts w:hint="eastAsia" w:ascii="仿宋_GB2312" w:hAnsi="仿宋_GB2312" w:eastAsia="仿宋_GB2312" w:cs="仿宋_GB2312"/>
          <w:sz w:val="28"/>
          <w:szCs w:val="28"/>
          <w:highlight w:val="none"/>
          <w:u w:val="single"/>
          <w:lang w:val="en-US" w:eastAsia="zh-CN"/>
        </w:rPr>
        <w:t>公开采购</w:t>
      </w:r>
      <w:r>
        <w:rPr>
          <w:rFonts w:hint="eastAsia" w:ascii="仿宋_GB2312" w:hAnsi="仿宋_GB2312" w:eastAsia="仿宋_GB2312" w:cs="仿宋_GB2312"/>
          <w:sz w:val="28"/>
          <w:szCs w:val="28"/>
          <w:highlight w:val="none"/>
        </w:rPr>
        <w:t>的方式邀请合格供应商参加本项目采购活动。</w:t>
      </w:r>
    </w:p>
    <w:p w14:paraId="3630AB9F">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6C112AB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hAnsi="仿宋_GB2312" w:eastAsia="仿宋_GB2312" w:cs="仿宋_GB2312"/>
          <w:color w:val="auto"/>
          <w:sz w:val="28"/>
          <w:szCs w:val="28"/>
          <w:highlight w:val="none"/>
          <w:u w:val="single"/>
          <w:lang w:val="en-US" w:eastAsia="zh-CN"/>
        </w:rPr>
        <w:t xml:space="preserve">广州市净水有限公司猎德分公司2025年生产区域空调维修项目 </w:t>
      </w:r>
      <w:r>
        <w:rPr>
          <w:rFonts w:hint="eastAsia" w:ascii="仿宋_GB2312" w:eastAsia="仿宋_GB2312"/>
          <w:color w:val="auto"/>
          <w:sz w:val="28"/>
          <w:szCs w:val="28"/>
          <w:highlight w:val="none"/>
          <w:u w:val="none"/>
          <w:lang w:eastAsia="zh-CN"/>
        </w:rPr>
        <w:t>。</w:t>
      </w:r>
    </w:p>
    <w:p w14:paraId="0ACF89C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03012025X10063    </w:t>
      </w:r>
      <w:r>
        <w:rPr>
          <w:rFonts w:hint="eastAsia" w:ascii="仿宋_GB2312" w:eastAsia="仿宋_GB2312"/>
          <w:color w:val="auto"/>
          <w:sz w:val="28"/>
          <w:szCs w:val="28"/>
          <w:highlight w:val="none"/>
          <w:u w:val="none"/>
          <w:lang w:eastAsia="zh-CN"/>
        </w:rPr>
        <w:t>。</w:t>
      </w:r>
    </w:p>
    <w:p w14:paraId="5E2E35AA">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r>
        <w:rPr>
          <w:rFonts w:hint="eastAsia" w:ascii="仿宋_GB2312" w:eastAsia="仿宋_GB2312"/>
          <w:color w:val="auto"/>
          <w:sz w:val="28"/>
          <w:szCs w:val="28"/>
          <w:highlight w:val="none"/>
          <w:u w:val="none"/>
          <w:lang w:eastAsia="zh-CN"/>
        </w:rPr>
        <w:t>。</w:t>
      </w:r>
    </w:p>
    <w:p w14:paraId="0AA487EE">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报下浮率，¥46340.00元，限价含全额增值税专用发票。   </w:t>
      </w:r>
      <w:r>
        <w:rPr>
          <w:rFonts w:hint="eastAsia" w:ascii="仿宋_GB2312" w:eastAsia="仿宋_GB2312"/>
          <w:color w:val="auto"/>
          <w:sz w:val="28"/>
          <w:szCs w:val="28"/>
          <w:highlight w:val="none"/>
          <w:u w:val="none"/>
          <w:lang w:eastAsia="zh-CN"/>
        </w:rPr>
        <w:t>。</w:t>
      </w:r>
    </w:p>
    <w:p w14:paraId="1BD8FF9B">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4664C115">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107CF3FD">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3"/>
        <w:tblW w:w="495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5"/>
        <w:gridCol w:w="1202"/>
        <w:gridCol w:w="588"/>
        <w:gridCol w:w="635"/>
        <w:gridCol w:w="5522"/>
      </w:tblGrid>
      <w:tr w14:paraId="117D8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jc w:val="center"/>
        </w:trPr>
        <w:tc>
          <w:tcPr>
            <w:tcW w:w="402" w:type="pct"/>
            <w:tcBorders>
              <w:right w:val="single" w:color="auto" w:sz="4" w:space="0"/>
            </w:tcBorders>
            <w:vAlign w:val="center"/>
          </w:tcPr>
          <w:p w14:paraId="04954799">
            <w:pPr>
              <w:spacing w:beforeLines="0" w:afterLines="0"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695" w:type="pct"/>
            <w:tcBorders>
              <w:left w:val="single" w:color="auto" w:sz="4" w:space="0"/>
              <w:right w:val="single" w:color="auto" w:sz="4" w:space="0"/>
            </w:tcBorders>
            <w:vAlign w:val="center"/>
          </w:tcPr>
          <w:p w14:paraId="454B54E1">
            <w:pPr>
              <w:spacing w:beforeLines="0" w:afterLines="0"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维修</w:t>
            </w:r>
            <w:r>
              <w:rPr>
                <w:rFonts w:hint="eastAsia" w:ascii="仿宋_GB2312" w:hAnsi="仿宋_GB2312" w:eastAsia="仿宋_GB2312" w:cs="仿宋_GB2312"/>
                <w:color w:val="000000" w:themeColor="text1"/>
                <w:sz w:val="24"/>
                <w:szCs w:val="24"/>
                <w:highlight w:val="none"/>
                <w14:textFill>
                  <w14:solidFill>
                    <w14:schemeClr w14:val="tx1"/>
                  </w14:solidFill>
                </w14:textFill>
              </w:rPr>
              <w:t>名称</w:t>
            </w:r>
          </w:p>
        </w:tc>
        <w:tc>
          <w:tcPr>
            <w:tcW w:w="340" w:type="pct"/>
            <w:tcBorders>
              <w:left w:val="single" w:color="auto" w:sz="4" w:space="0"/>
            </w:tcBorders>
            <w:vAlign w:val="center"/>
          </w:tcPr>
          <w:p w14:paraId="5FBDF0CF">
            <w:pPr>
              <w:widowControl w:val="0"/>
              <w:spacing w:beforeLines="0" w:afterLines="0" w:line="240" w:lineRule="auto"/>
              <w:jc w:val="cente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单位</w:t>
            </w:r>
          </w:p>
        </w:tc>
        <w:tc>
          <w:tcPr>
            <w:tcW w:w="367" w:type="pct"/>
            <w:tcBorders>
              <w:left w:val="single" w:color="auto" w:sz="4" w:space="0"/>
            </w:tcBorders>
            <w:vAlign w:val="center"/>
          </w:tcPr>
          <w:p w14:paraId="4BD5790D">
            <w:pPr>
              <w:spacing w:beforeLines="0" w:afterLines="0" w:line="240" w:lineRule="auto"/>
              <w:jc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数量</w:t>
            </w:r>
          </w:p>
        </w:tc>
        <w:tc>
          <w:tcPr>
            <w:tcW w:w="3194" w:type="pct"/>
            <w:tcBorders>
              <w:left w:val="single" w:color="auto" w:sz="4" w:space="0"/>
            </w:tcBorders>
            <w:vAlign w:val="center"/>
          </w:tcPr>
          <w:p w14:paraId="755F9DF3">
            <w:pPr>
              <w:spacing w:beforeLines="0" w:afterLines="0"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备注</w:t>
            </w:r>
          </w:p>
        </w:tc>
      </w:tr>
      <w:tr w14:paraId="45448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exact"/>
          <w:jc w:val="center"/>
        </w:trPr>
        <w:tc>
          <w:tcPr>
            <w:tcW w:w="402" w:type="pct"/>
            <w:tcBorders>
              <w:right w:val="single" w:color="auto" w:sz="4" w:space="0"/>
            </w:tcBorders>
            <w:vAlign w:val="center"/>
          </w:tcPr>
          <w:p w14:paraId="7AA18404">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w:t>
            </w:r>
          </w:p>
        </w:tc>
        <w:tc>
          <w:tcPr>
            <w:tcW w:w="695" w:type="pct"/>
            <w:tcBorders>
              <w:left w:val="single" w:color="auto" w:sz="4" w:space="0"/>
              <w:right w:val="single" w:color="auto" w:sz="4" w:space="0"/>
            </w:tcBorders>
            <w:vAlign w:val="center"/>
          </w:tcPr>
          <w:p w14:paraId="63E2521F">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分体式空调深度清洗</w:t>
            </w:r>
          </w:p>
        </w:tc>
        <w:tc>
          <w:tcPr>
            <w:tcW w:w="340" w:type="pct"/>
            <w:tcBorders>
              <w:left w:val="single" w:color="auto" w:sz="4" w:space="0"/>
            </w:tcBorders>
            <w:vAlign w:val="center"/>
          </w:tcPr>
          <w:p w14:paraId="1222D85B">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台</w:t>
            </w:r>
          </w:p>
        </w:tc>
        <w:tc>
          <w:tcPr>
            <w:tcW w:w="367" w:type="pct"/>
            <w:tcBorders>
              <w:left w:val="single" w:color="auto" w:sz="4" w:space="0"/>
            </w:tcBorders>
            <w:vAlign w:val="center"/>
          </w:tcPr>
          <w:p w14:paraId="21A53893">
            <w:pPr>
              <w:spacing w:beforeLines="0" w:afterLines="0" w:line="240" w:lineRule="auto"/>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113</w:t>
            </w:r>
          </w:p>
        </w:tc>
        <w:tc>
          <w:tcPr>
            <w:tcW w:w="3194" w:type="pct"/>
            <w:tcBorders>
              <w:left w:val="single" w:color="auto" w:sz="4" w:space="0"/>
            </w:tcBorders>
            <w:vAlign w:val="center"/>
          </w:tcPr>
          <w:p w14:paraId="39282C38">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深度清洗滤网、出风口、高温蒸汽冲洗蒸发器及室外主机，实施时按实际发生数结算。</w:t>
            </w:r>
          </w:p>
          <w:p w14:paraId="6329E778">
            <w:pPr>
              <w:spacing w:beforeLines="0" w:afterLines="0" w:line="240" w:lineRule="auto"/>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空调种类：包括</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猎德分公司的</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挂壁式空调、立柜空调、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吸顶式空调、多联式</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中央空调等</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所有类型，按清单统一单价进行计价</w:t>
            </w: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w:t>
            </w:r>
          </w:p>
        </w:tc>
      </w:tr>
      <w:tr w14:paraId="4F2AA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exact"/>
          <w:jc w:val="center"/>
        </w:trPr>
        <w:tc>
          <w:tcPr>
            <w:tcW w:w="402" w:type="pct"/>
            <w:tcBorders>
              <w:right w:val="single" w:color="auto" w:sz="4" w:space="0"/>
            </w:tcBorders>
            <w:vAlign w:val="center"/>
          </w:tcPr>
          <w:p w14:paraId="78F53133">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2</w:t>
            </w:r>
          </w:p>
        </w:tc>
        <w:tc>
          <w:tcPr>
            <w:tcW w:w="695" w:type="pct"/>
            <w:tcBorders>
              <w:left w:val="single" w:color="auto" w:sz="4" w:space="0"/>
              <w:right w:val="single" w:color="auto" w:sz="4" w:space="0"/>
            </w:tcBorders>
            <w:vAlign w:val="center"/>
          </w:tcPr>
          <w:p w14:paraId="43485302">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空调维修</w:t>
            </w:r>
          </w:p>
        </w:tc>
        <w:tc>
          <w:tcPr>
            <w:tcW w:w="340" w:type="pct"/>
            <w:tcBorders>
              <w:left w:val="single" w:color="auto" w:sz="4" w:space="0"/>
            </w:tcBorders>
            <w:vAlign w:val="center"/>
          </w:tcPr>
          <w:p w14:paraId="2AA99CA3">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台</w:t>
            </w:r>
          </w:p>
        </w:tc>
        <w:tc>
          <w:tcPr>
            <w:tcW w:w="367" w:type="pct"/>
            <w:tcBorders>
              <w:left w:val="single" w:color="auto" w:sz="4" w:space="0"/>
            </w:tcBorders>
            <w:vAlign w:val="center"/>
          </w:tcPr>
          <w:p w14:paraId="40D6448D">
            <w:pPr>
              <w:spacing w:beforeLines="0" w:afterLines="0" w:line="240" w:lineRule="auto"/>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113</w:t>
            </w:r>
          </w:p>
        </w:tc>
        <w:tc>
          <w:tcPr>
            <w:tcW w:w="3194" w:type="pct"/>
            <w:tcBorders>
              <w:left w:val="single" w:color="auto" w:sz="4" w:space="0"/>
            </w:tcBorders>
            <w:vAlign w:val="center"/>
          </w:tcPr>
          <w:p w14:paraId="7A17CF9B">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维修结算根据实际发生的工作量及维修报价清单中的单价按实结算，按清单统一单价进行计价。</w:t>
            </w:r>
          </w:p>
        </w:tc>
      </w:tr>
    </w:tbl>
    <w:p w14:paraId="0792070B">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本项目确定1家成交供应商，为采购人提供猎德分公司2025年生产区域空调维修服务。本次采购项目内容猎德分公司生产区域113台空调的维修工作，本项目总预算金额不超过46340.00元，拟通过公开询价，对现有空调维修内容报下浮率（包括所有类型空调深度清洗、维修配件更换、加雪种及其他上门费用等），确定一家单位，服务期限至签订合同后1年。报价人应对询价方案进行报价，不允许只对部分询价内容进行报价。</w:t>
      </w:r>
    </w:p>
    <w:p w14:paraId="05220E20">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自合同签订之日起1年     </w:t>
      </w:r>
      <w:r>
        <w:rPr>
          <w:rFonts w:hint="eastAsia" w:ascii="仿宋_GB2312" w:eastAsia="仿宋_GB2312"/>
          <w:color w:val="auto"/>
          <w:sz w:val="28"/>
          <w:szCs w:val="28"/>
          <w:highlight w:val="none"/>
          <w:u w:val="none"/>
          <w:lang w:eastAsia="zh-CN"/>
        </w:rPr>
        <w:t>。</w:t>
      </w:r>
    </w:p>
    <w:p w14:paraId="09C3DB92">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广州市净水有限公司猎德分公司</w:t>
      </w:r>
      <w:r>
        <w:rPr>
          <w:rFonts w:hint="eastAsia" w:ascii="仿宋_GB2312" w:eastAsia="仿宋_GB2312"/>
          <w:color w:val="auto"/>
          <w:sz w:val="28"/>
          <w:szCs w:val="28"/>
          <w:highlight w:val="none"/>
          <w:u w:val="single"/>
          <w:lang w:val="en-US" w:eastAsia="zh-CN"/>
        </w:rPr>
        <w:t>（广州市天河区临江大道501号）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15A84981">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满足询价文件中所有要求</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lang w:eastAsia="zh-CN"/>
        </w:rPr>
        <w:t>。</w:t>
      </w:r>
    </w:p>
    <w:p w14:paraId="47DD0E51">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74B1201B">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1A1B48B1">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14:paraId="72A7365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576990F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资质。</w:t>
      </w:r>
    </w:p>
    <w:p w14:paraId="16F93B3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空调设备维修或维保类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14:paraId="4EB2801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）投入本项目的维修人员数量不得少于3名，且须具备相关特种设备操作证书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具体包括：制冷与空调设备安装维修作业证书、焊接与热切割作业证书、低压电工作业证书。需提供上述所有证书的资质证明，并非要求所有人员均持有全部证书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，提供证书复印件并加盖单位公章，</w:t>
      </w:r>
      <w:r>
        <w:rPr>
          <w:rFonts w:hint="eastAsia" w:ascii="仿宋_GB2312" w:eastAsia="仿宋_GB2312"/>
          <w:color w:val="auto"/>
          <w:sz w:val="28"/>
          <w:szCs w:val="28"/>
          <w:highlight w:val="none"/>
        </w:rPr>
        <w:t>原件备查；投入本项目</w:t>
      </w:r>
      <w:r>
        <w:rPr>
          <w:rFonts w:hint="eastAsia" w:ascii="仿宋_GB2312" w:eastAsia="仿宋_GB2312"/>
          <w:color w:val="auto"/>
          <w:sz w:val="28"/>
          <w:szCs w:val="28"/>
          <w:highlight w:val="none"/>
          <w:lang w:val="en-US" w:eastAsia="zh-CN"/>
        </w:rPr>
        <w:t>的维修人员</w:t>
      </w:r>
      <w:r>
        <w:rPr>
          <w:rFonts w:hint="eastAsia" w:ascii="仿宋_GB2312" w:eastAsia="仿宋_GB2312"/>
          <w:color w:val="auto"/>
          <w:sz w:val="28"/>
          <w:szCs w:val="28"/>
          <w:highlight w:val="none"/>
        </w:rPr>
        <w:t>须为本单位职工，投标文件中须提供其在本单位连续近</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个月（202</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月-202</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月）交纳社保的缴费证明（缴费证明内容需含缴费起止时间、缴费单位、缴费人员姓名并由社保机构加盖缴费证明专用章，社保机构官网上打印件与线下的盖章件具有同等效力）。</w:t>
      </w:r>
    </w:p>
    <w:p w14:paraId="7BD95A90">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p>
    <w:p w14:paraId="54B57E0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35B7BB0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14:paraId="7E3CF2F0">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14:paraId="621E8E6B">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14:paraId="679A2963">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14:paraId="5D05619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14:paraId="5421F372">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14:paraId="0C0BD87B">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14:paraId="5FA8017F">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14:paraId="3D0B7176">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14:paraId="0C68D6DE">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14:paraId="4DF79A62">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14:paraId="565DAC11">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14:paraId="3730C97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76E20A35">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2939A5F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7F9DFDDC">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14:paraId="0790050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52937410">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14:paraId="38870FFF">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469049FE">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w:char="00FE"/>
      </w:r>
      <w:r>
        <w:rPr>
          <w:rFonts w:hint="eastAsia" w:ascii="仿宋_GB2312" w:hAnsi="仿宋_GB2312" w:eastAsia="仿宋_GB2312" w:cs="仿宋_GB2312"/>
          <w:color w:val="auto"/>
          <w:sz w:val="28"/>
          <w:szCs w:val="28"/>
          <w:highlight w:val="none"/>
        </w:rPr>
        <w:t>不组织</w:t>
      </w:r>
    </w:p>
    <w:p w14:paraId="3D77A92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pPr>
      <w:r>
        <w:rPr>
          <w:rFonts w:hint="eastAsia" w:ascii="仿宋_GB2312" w:hAnsi="仿宋_GB2312" w:eastAsia="仿宋_GB2312" w:cs="仿宋_GB2312"/>
          <w:color w:val="auto"/>
          <w:sz w:val="28"/>
          <w:szCs w:val="28"/>
          <w:highlight w:val="none"/>
        </w:rPr>
        <w:sym w:font="Wingdings" w:char="00A8"/>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_GB2312" w:eastAsia="仿宋_GB2312" w:cs="仿宋_GB2312"/>
          <w:color w:val="000000" w:themeColor="text1"/>
          <w:sz w:val="28"/>
          <w:szCs w:val="28"/>
          <w:highlight w:val="none"/>
          <w:lang w:val="zh-CN"/>
          <w14:textFill>
            <w14:solidFill>
              <w14:schemeClr w14:val="tx1"/>
            </w14:solidFill>
          </w14:textFill>
        </w:rPr>
        <w:t>。</w:t>
      </w:r>
    </w:p>
    <w:p w14:paraId="74C331DB">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32BE91C3">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2025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8</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8</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14:paraId="2B43DB5D">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8</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bookmarkStart w:id="116" w:name="_GoBack"/>
      <w:bookmarkEnd w:id="116"/>
      <w:r>
        <w:rPr>
          <w:rFonts w:hint="eastAsia" w:ascii="仿宋_GB2312" w:eastAsia="仿宋_GB2312"/>
          <w:color w:val="auto"/>
          <w:sz w:val="28"/>
          <w:szCs w:val="28"/>
          <w:highlight w:val="none"/>
          <w:u w:val="single"/>
          <w:lang w:val="en-US" w:eastAsia="zh-CN"/>
        </w:rPr>
        <w:t>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14:paraId="54BDE54B">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广州市天河区临江大道501号广州市净水有限公司猎德分公司</w:t>
      </w:r>
      <w:r>
        <w:rPr>
          <w:rFonts w:hint="eastAsia" w:ascii="仿宋_GB2312" w:eastAsia="仿宋_GB2312"/>
          <w:color w:val="auto"/>
          <w:sz w:val="28"/>
          <w:szCs w:val="28"/>
          <w:highlight w:val="none"/>
        </w:rPr>
        <w:t>。</w:t>
      </w:r>
    </w:p>
    <w:p w14:paraId="3A2A4912">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14:paraId="5AE055C6">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14:paraId="28AE194F">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14:paraId="63A26A57">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w:t>
      </w:r>
      <w:r>
        <w:rPr>
          <w:rFonts w:hint="eastAsia" w:ascii="仿宋_GB2312" w:eastAsia="仿宋_GB2312" w:hAnsiTheme="minorHAnsi" w:cstheme="minorBidi"/>
          <w:color w:val="auto"/>
          <w:kern w:val="2"/>
          <w:sz w:val="28"/>
          <w:szCs w:val="28"/>
          <w:highlight w:val="none"/>
          <w:lang w:val="en-US" w:eastAsia="zh-CN"/>
        </w:rPr>
        <w:t>猎德分公司</w:t>
      </w:r>
      <w:r>
        <w:rPr>
          <w:rFonts w:hint="eastAsia" w:ascii="仿宋_GB2312" w:eastAsia="仿宋_GB2312" w:hAnsiTheme="minorHAnsi" w:cstheme="minorBidi"/>
          <w:color w:val="auto"/>
          <w:kern w:val="2"/>
          <w:sz w:val="28"/>
          <w:szCs w:val="28"/>
          <w:highlight w:val="none"/>
        </w:rPr>
        <w:t>”，“部门”选择“</w:t>
      </w:r>
      <w:r>
        <w:rPr>
          <w:rFonts w:hint="eastAsia" w:ascii="仿宋_GB2312" w:eastAsia="仿宋_GB2312" w:hAnsiTheme="minorHAnsi" w:cstheme="minorBidi"/>
          <w:color w:val="auto"/>
          <w:kern w:val="2"/>
          <w:sz w:val="28"/>
          <w:szCs w:val="28"/>
          <w:highlight w:val="none"/>
          <w:lang w:val="en-US" w:eastAsia="zh-CN"/>
        </w:rPr>
        <w:t>生产</w:t>
      </w:r>
      <w:r>
        <w:rPr>
          <w:rFonts w:hint="eastAsia" w:ascii="仿宋_GB2312" w:eastAsia="仿宋_GB2312" w:hAnsiTheme="minorHAnsi" w:cstheme="minorBidi"/>
          <w:color w:val="auto"/>
          <w:kern w:val="2"/>
          <w:sz w:val="28"/>
          <w:szCs w:val="28"/>
          <w:highlight w:val="none"/>
        </w:rPr>
        <w:t>部”。</w:t>
      </w:r>
    </w:p>
    <w:p w14:paraId="14D7C95F">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w:t>
      </w:r>
      <w:r>
        <w:rPr>
          <w:rFonts w:hint="eastAsia" w:ascii="仿宋_GB2312" w:eastAsia="仿宋_GB2312" w:hAnsiTheme="minorHAnsi" w:cstheme="minorBidi"/>
          <w:color w:val="auto"/>
          <w:kern w:val="2"/>
          <w:sz w:val="28"/>
          <w:szCs w:val="28"/>
          <w:highlight w:val="none"/>
          <w:lang w:val="en-US" w:eastAsia="zh-CN"/>
        </w:rPr>
        <w:t>唐军</w:t>
      </w:r>
      <w:r>
        <w:rPr>
          <w:rFonts w:hint="eastAsia" w:ascii="仿宋_GB2312" w:eastAsia="仿宋_GB2312" w:hAnsiTheme="minorHAnsi" w:cstheme="minorBidi"/>
          <w:color w:val="auto"/>
          <w:kern w:val="2"/>
          <w:sz w:val="28"/>
          <w:szCs w:val="28"/>
          <w:highlight w:val="none"/>
        </w:rPr>
        <w:t>”，“手机号”：“</w:t>
      </w:r>
      <w:r>
        <w:rPr>
          <w:rFonts w:hint="eastAsia" w:ascii="仿宋_GB2312" w:eastAsia="仿宋_GB2312" w:hAnsiTheme="minorHAnsi" w:cstheme="minorBidi"/>
          <w:color w:val="auto"/>
          <w:kern w:val="2"/>
          <w:sz w:val="28"/>
          <w:szCs w:val="28"/>
          <w:highlight w:val="none"/>
          <w:lang w:val="en-US" w:eastAsia="zh-CN"/>
        </w:rPr>
        <w:t>15626206169</w:t>
      </w:r>
      <w:r>
        <w:rPr>
          <w:rFonts w:hint="eastAsia" w:ascii="仿宋_GB2312" w:eastAsia="仿宋_GB2312" w:hAnsiTheme="minorHAnsi" w:cstheme="minorBidi"/>
          <w:color w:val="auto"/>
          <w:kern w:val="2"/>
          <w:sz w:val="28"/>
          <w:szCs w:val="28"/>
          <w:highlight w:val="none"/>
        </w:rPr>
        <w:t>”。</w:t>
      </w:r>
    </w:p>
    <w:p w14:paraId="05606889">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（4）“详细描述”：递交</w:t>
      </w:r>
      <w:r>
        <w:rPr>
          <w:rFonts w:hint="eastAsia" w:ascii="仿宋_GB2312" w:eastAsia="仿宋_GB2312" w:hAnsiTheme="minorHAnsi" w:cstheme="minorBidi"/>
          <w:color w:val="auto"/>
          <w:kern w:val="2"/>
          <w:sz w:val="28"/>
          <w:szCs w:val="28"/>
          <w:highlight w:val="none"/>
          <w:lang w:val="en-US" w:eastAsia="zh-CN"/>
        </w:rPr>
        <w:t>猎德</w:t>
      </w:r>
      <w:r>
        <w:rPr>
          <w:rFonts w:hint="eastAsia" w:ascii="仿宋_GB2312" w:eastAsia="仿宋_GB2312" w:hAnsiTheme="minorHAnsi" w:cstheme="minorBidi"/>
          <w:color w:val="auto"/>
          <w:kern w:val="2"/>
          <w:sz w:val="28"/>
          <w:szCs w:val="28"/>
          <w:highlight w:val="none"/>
        </w:rPr>
        <w:t>分公司2025年生产区域空调</w:t>
      </w:r>
      <w:r>
        <w:rPr>
          <w:rFonts w:hint="eastAsia" w:ascii="仿宋_GB2312" w:eastAsia="仿宋_GB2312" w:hAnsiTheme="minorHAnsi" w:cstheme="minorBidi"/>
          <w:color w:val="auto"/>
          <w:kern w:val="2"/>
          <w:sz w:val="28"/>
          <w:szCs w:val="28"/>
          <w:highlight w:val="none"/>
          <w:lang w:val="en-US" w:eastAsia="zh-CN"/>
        </w:rPr>
        <w:t>维修</w:t>
      </w:r>
      <w:r>
        <w:rPr>
          <w:rFonts w:hint="eastAsia" w:ascii="仿宋_GB2312" w:eastAsia="仿宋_GB2312" w:hAnsiTheme="minorHAnsi" w:cstheme="minorBidi"/>
          <w:color w:val="auto"/>
          <w:kern w:val="2"/>
          <w:sz w:val="28"/>
          <w:szCs w:val="28"/>
          <w:highlight w:val="none"/>
        </w:rPr>
        <w:t>项目响应文件。</w:t>
      </w:r>
    </w:p>
    <w:p w14:paraId="7AAFA9BB">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0D4C7F1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148CE526">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14:paraId="6F70F45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167AFFE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6C0ABF8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14:paraId="65F7FF76">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18F723B2">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14:paraId="14F212AC">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广州市净水有限公司猎德分公司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38890303</w:t>
      </w:r>
      <w:r>
        <w:rPr>
          <w:rFonts w:ascii="仿宋_GB2312" w:hAnsi="仿宋" w:eastAsia="仿宋_GB2312"/>
          <w:color w:val="auto"/>
          <w:sz w:val="28"/>
          <w:szCs w:val="28"/>
          <w:highlight w:val="none"/>
        </w:rPr>
        <w:t>。</w:t>
      </w:r>
    </w:p>
    <w:p w14:paraId="26493FF0">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广州市天河区临江大道501号广州市净水有限公司猎德分公司</w:t>
      </w:r>
      <w:r>
        <w:rPr>
          <w:rFonts w:ascii="仿宋_GB2312" w:hAnsi="仿宋" w:eastAsia="仿宋_GB2312"/>
          <w:color w:val="auto"/>
          <w:sz w:val="28"/>
          <w:szCs w:val="28"/>
          <w:highlight w:val="none"/>
        </w:rPr>
        <w:t>。</w:t>
      </w:r>
    </w:p>
    <w:p w14:paraId="1FC31F10">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14:paraId="0D8D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0C3D2EE1">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14:paraId="31205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4D7556A4">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14:paraId="4DEFE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6DB198BF">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唐工</w:t>
            </w:r>
          </w:p>
        </w:tc>
      </w:tr>
      <w:tr w14:paraId="5CFB6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575190AF">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020-38890303</w:t>
            </w:r>
          </w:p>
        </w:tc>
      </w:tr>
      <w:tr w14:paraId="7E69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14:paraId="33F4ABE5">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14:paraId="3BF6C095">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14:paraId="0A61C3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3" w:name="_Toc10891"/>
    </w:p>
    <w:p w14:paraId="2FDE84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3E7C0C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2CA59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72FCD64">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14" w:name="_Toc25603"/>
      <w:bookmarkStart w:id="15" w:name="_Toc7340"/>
      <w:bookmarkStart w:id="16" w:name="_Toc2331"/>
      <w:bookmarkStart w:id="17" w:name="_Toc32588"/>
      <w:bookmarkStart w:id="18" w:name="_Toc19295"/>
      <w:bookmarkStart w:id="19" w:name="_Toc16705"/>
      <w:bookmarkStart w:id="20" w:name="_Toc23749"/>
      <w:bookmarkStart w:id="21" w:name="_Toc16557"/>
      <w:bookmarkStart w:id="22" w:name="_Toc2324"/>
      <w:bookmarkStart w:id="23" w:name="_Toc9448"/>
    </w:p>
    <w:p w14:paraId="6B44A5B1">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第二章</w:t>
      </w:r>
    </w:p>
    <w:bookmarkEnd w:id="13"/>
    <w:bookmarkEnd w:id="14"/>
    <w:bookmarkEnd w:id="15"/>
    <w:bookmarkEnd w:id="16"/>
    <w:bookmarkEnd w:id="17"/>
    <w:bookmarkEnd w:id="18"/>
    <w:bookmarkEnd w:id="19"/>
    <w:bookmarkEnd w:id="20"/>
    <w:bookmarkEnd w:id="21"/>
    <w:bookmarkEnd w:id="22"/>
    <w:bookmarkEnd w:id="23"/>
    <w:p w14:paraId="1585A736">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bookmarkStart w:id="24" w:name="_Toc2339"/>
      <w:bookmarkStart w:id="25" w:name="_Toc3416"/>
    </w:p>
    <w:p w14:paraId="43387AAA">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14:paraId="57202F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5D9FAD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DD44EB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0CE1DC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05AE33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75977E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632A14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65906C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5AFAB7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2D8BC5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p>
    <w:p w14:paraId="7CFF82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适用于纸质评审的采购项目</w:t>
      </w:r>
    </w:p>
    <w:p w14:paraId="3C44C83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262D3B33">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14:paraId="6435CE5A">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14:paraId="5D79B257">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14:paraId="15B01253">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14:paraId="787BC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blHeader/>
        </w:trPr>
        <w:tc>
          <w:tcPr>
            <w:tcW w:w="925" w:type="dxa"/>
            <w:tcBorders>
              <w:left w:val="nil"/>
            </w:tcBorders>
            <w:vAlign w:val="center"/>
          </w:tcPr>
          <w:p w14:paraId="5A28F440">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14:paraId="1E2C3B99">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14:paraId="28C0FB19">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14:paraId="135A350A">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14:paraId="228E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14:paraId="61DDFB9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687C94A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7B4549E8">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14:paraId="3DD46CB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14:paraId="66177B2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14:paraId="23C3BAE2">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31303D2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31C7113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346BD2AD">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07503D25">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220CAD6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3C597DA9">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1417364E">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386EC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14:paraId="340A4783">
            <w:pPr>
              <w:jc w:val="center"/>
              <w:rPr>
                <w:rFonts w:ascii="仿宋_GB2312" w:eastAsia="仿宋_GB2312"/>
                <w:color w:val="auto"/>
                <w:sz w:val="24"/>
                <w:szCs w:val="24"/>
                <w:highlight w:val="none"/>
              </w:rPr>
            </w:pPr>
          </w:p>
        </w:tc>
        <w:tc>
          <w:tcPr>
            <w:tcW w:w="748" w:type="dxa"/>
            <w:vAlign w:val="center"/>
          </w:tcPr>
          <w:p w14:paraId="5E6BA95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14:paraId="77A70D8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14:paraId="2B608CEF">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14:paraId="65FE7DB8">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4E465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1C955E13">
            <w:pPr>
              <w:jc w:val="center"/>
              <w:rPr>
                <w:rFonts w:ascii="仿宋_GB2312" w:eastAsia="仿宋_GB2312"/>
                <w:color w:val="auto"/>
                <w:sz w:val="24"/>
                <w:szCs w:val="24"/>
                <w:highlight w:val="none"/>
              </w:rPr>
            </w:pPr>
          </w:p>
        </w:tc>
        <w:tc>
          <w:tcPr>
            <w:tcW w:w="748" w:type="dxa"/>
            <w:vAlign w:val="center"/>
          </w:tcPr>
          <w:p w14:paraId="2EC81C22">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14:paraId="22ED02F7">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14:paraId="07AE81B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06A3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74F9DFD">
            <w:pPr>
              <w:jc w:val="center"/>
              <w:rPr>
                <w:rFonts w:ascii="Calibri" w:hAnsi="Calibri" w:eastAsia="宋体" w:cs="Times New Roman"/>
                <w:b/>
                <w:bCs/>
                <w:color w:val="auto"/>
                <w:sz w:val="24"/>
                <w:szCs w:val="24"/>
                <w:highlight w:val="none"/>
              </w:rPr>
            </w:pPr>
          </w:p>
        </w:tc>
        <w:tc>
          <w:tcPr>
            <w:tcW w:w="748" w:type="dxa"/>
            <w:vAlign w:val="center"/>
          </w:tcPr>
          <w:p w14:paraId="039D846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14:paraId="32867C6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14:paraId="71C60E71">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6D06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AAC6D8C">
            <w:pPr>
              <w:jc w:val="center"/>
              <w:rPr>
                <w:color w:val="auto"/>
                <w:sz w:val="24"/>
                <w:szCs w:val="24"/>
                <w:highlight w:val="none"/>
              </w:rPr>
            </w:pPr>
          </w:p>
        </w:tc>
        <w:tc>
          <w:tcPr>
            <w:tcW w:w="748" w:type="dxa"/>
            <w:vAlign w:val="center"/>
          </w:tcPr>
          <w:p w14:paraId="12C50D7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14:paraId="7013EB6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14:paraId="331333B0">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3EFF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4D0A2F73">
            <w:pPr>
              <w:jc w:val="center"/>
              <w:rPr>
                <w:color w:val="auto"/>
                <w:sz w:val="24"/>
                <w:szCs w:val="24"/>
                <w:highlight w:val="none"/>
              </w:rPr>
            </w:pPr>
          </w:p>
        </w:tc>
        <w:tc>
          <w:tcPr>
            <w:tcW w:w="748" w:type="dxa"/>
            <w:vAlign w:val="center"/>
          </w:tcPr>
          <w:p w14:paraId="1ECA4859">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14:paraId="707410C6">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14:paraId="28A3777C">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61CF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10F98437">
            <w:pPr>
              <w:jc w:val="center"/>
              <w:rPr>
                <w:color w:val="auto"/>
                <w:sz w:val="24"/>
                <w:szCs w:val="24"/>
                <w:highlight w:val="none"/>
              </w:rPr>
            </w:pPr>
          </w:p>
        </w:tc>
        <w:tc>
          <w:tcPr>
            <w:tcW w:w="748" w:type="dxa"/>
            <w:vAlign w:val="center"/>
          </w:tcPr>
          <w:p w14:paraId="4F3B146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14:paraId="352817C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14:paraId="6FBD1CC0">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5E7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78D84DD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52AA06B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53F26877">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14:paraId="6DA530E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14:paraId="2042545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14:paraId="3B7C5719">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14:paraId="11C59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14:paraId="3A95CA3E">
            <w:pPr>
              <w:adjustRightInd w:val="0"/>
              <w:snapToGrid w:val="0"/>
              <w:jc w:val="center"/>
              <w:rPr>
                <w:rFonts w:ascii="仿宋_GB2312" w:eastAsia="仿宋_GB2312"/>
                <w:color w:val="auto"/>
                <w:sz w:val="24"/>
                <w:szCs w:val="24"/>
                <w:highlight w:val="none"/>
              </w:rPr>
            </w:pPr>
          </w:p>
        </w:tc>
        <w:tc>
          <w:tcPr>
            <w:tcW w:w="748" w:type="dxa"/>
            <w:vAlign w:val="center"/>
          </w:tcPr>
          <w:p w14:paraId="65FD3FA6">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14:paraId="6736BF5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14:paraId="488A2925">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76CA364C">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40A7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5C51D967">
            <w:pPr>
              <w:adjustRightInd w:val="0"/>
              <w:snapToGrid w:val="0"/>
              <w:jc w:val="center"/>
              <w:rPr>
                <w:rFonts w:ascii="仿宋_GB2312" w:eastAsia="仿宋_GB2312"/>
                <w:color w:val="auto"/>
                <w:sz w:val="24"/>
                <w:szCs w:val="24"/>
                <w:highlight w:val="none"/>
              </w:rPr>
            </w:pPr>
          </w:p>
        </w:tc>
        <w:tc>
          <w:tcPr>
            <w:tcW w:w="748" w:type="dxa"/>
            <w:vAlign w:val="center"/>
          </w:tcPr>
          <w:p w14:paraId="2297E94A">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14:paraId="691A6EA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14:paraId="4E1C5D0C">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10BD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14:paraId="0A377488">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14:paraId="4311B96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14:paraId="4937163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14:paraId="7F9FF0B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3808FC83">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7247A0A7">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4E3EE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352B89FB">
            <w:pPr>
              <w:adjustRightInd w:val="0"/>
              <w:snapToGrid w:val="0"/>
              <w:jc w:val="center"/>
              <w:rPr>
                <w:rFonts w:ascii="仿宋_GB2312" w:eastAsia="仿宋_GB2312"/>
                <w:color w:val="auto"/>
                <w:sz w:val="24"/>
                <w:szCs w:val="24"/>
                <w:highlight w:val="none"/>
              </w:rPr>
            </w:pPr>
          </w:p>
        </w:tc>
        <w:tc>
          <w:tcPr>
            <w:tcW w:w="748" w:type="dxa"/>
            <w:vAlign w:val="center"/>
          </w:tcPr>
          <w:p w14:paraId="1D4E8E3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14:paraId="41B26A3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14:paraId="6F3CDA6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3C92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2FA1961D">
            <w:pPr>
              <w:adjustRightInd w:val="0"/>
              <w:snapToGrid w:val="0"/>
              <w:jc w:val="center"/>
              <w:rPr>
                <w:rFonts w:ascii="仿宋_GB2312" w:eastAsia="仿宋_GB2312"/>
                <w:color w:val="auto"/>
                <w:sz w:val="24"/>
                <w:szCs w:val="24"/>
                <w:highlight w:val="none"/>
              </w:rPr>
            </w:pPr>
          </w:p>
        </w:tc>
        <w:tc>
          <w:tcPr>
            <w:tcW w:w="748" w:type="dxa"/>
            <w:vAlign w:val="center"/>
          </w:tcPr>
          <w:p w14:paraId="36CC7C3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14:paraId="31ACE71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14:paraId="784C3AA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14:paraId="1781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A1A41DC">
            <w:pPr>
              <w:adjustRightInd w:val="0"/>
              <w:snapToGrid w:val="0"/>
              <w:jc w:val="center"/>
              <w:rPr>
                <w:rFonts w:ascii="仿宋_GB2312" w:eastAsia="仿宋_GB2312"/>
                <w:color w:val="auto"/>
                <w:sz w:val="24"/>
                <w:szCs w:val="24"/>
                <w:highlight w:val="none"/>
              </w:rPr>
            </w:pPr>
          </w:p>
        </w:tc>
        <w:tc>
          <w:tcPr>
            <w:tcW w:w="748" w:type="dxa"/>
            <w:vAlign w:val="center"/>
          </w:tcPr>
          <w:p w14:paraId="158D88E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14:paraId="5F08ABF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14:paraId="2DD1F9F7">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1F40A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79628F4D">
            <w:pPr>
              <w:adjustRightInd w:val="0"/>
              <w:snapToGrid w:val="0"/>
              <w:jc w:val="center"/>
              <w:rPr>
                <w:rFonts w:ascii="仿宋_GB2312" w:eastAsia="仿宋_GB2312"/>
                <w:color w:val="auto"/>
                <w:sz w:val="24"/>
                <w:szCs w:val="24"/>
                <w:highlight w:val="none"/>
              </w:rPr>
            </w:pPr>
          </w:p>
        </w:tc>
        <w:tc>
          <w:tcPr>
            <w:tcW w:w="748" w:type="dxa"/>
            <w:vAlign w:val="center"/>
          </w:tcPr>
          <w:p w14:paraId="4F78898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14:paraId="03B29709">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14:paraId="766995EA">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050BD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14:paraId="3147CDA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14:paraId="3B23762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14:paraId="66C9C2B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14:paraId="68680B92">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3F4B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6D4B1DBB">
            <w:pPr>
              <w:adjustRightInd w:val="0"/>
              <w:snapToGrid w:val="0"/>
              <w:jc w:val="center"/>
              <w:rPr>
                <w:rFonts w:ascii="仿宋_GB2312" w:eastAsia="仿宋_GB2312"/>
                <w:color w:val="auto"/>
                <w:sz w:val="24"/>
                <w:szCs w:val="24"/>
                <w:highlight w:val="none"/>
              </w:rPr>
            </w:pPr>
          </w:p>
        </w:tc>
        <w:tc>
          <w:tcPr>
            <w:tcW w:w="748" w:type="dxa"/>
            <w:vAlign w:val="center"/>
          </w:tcPr>
          <w:p w14:paraId="09BCBB25">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Align w:val="center"/>
          </w:tcPr>
          <w:p w14:paraId="2E85CAF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14:paraId="0BACD946">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4821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14:paraId="3DEA0B13">
            <w:pPr>
              <w:adjustRightInd w:val="0"/>
              <w:snapToGrid w:val="0"/>
              <w:jc w:val="center"/>
              <w:rPr>
                <w:rFonts w:ascii="仿宋_GB2312" w:eastAsia="仿宋_GB2312"/>
                <w:color w:val="auto"/>
                <w:sz w:val="24"/>
                <w:szCs w:val="24"/>
                <w:highlight w:val="none"/>
              </w:rPr>
            </w:pPr>
          </w:p>
        </w:tc>
        <w:tc>
          <w:tcPr>
            <w:tcW w:w="748" w:type="dxa"/>
            <w:vAlign w:val="center"/>
          </w:tcPr>
          <w:p w14:paraId="3BB9672F">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14:paraId="0948DD8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14:paraId="41FB6E83">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1CD3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14:paraId="386F3EE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14:paraId="7A673F3C">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14:paraId="658821D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14:paraId="1B19E2F8">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bl>
    <w:p w14:paraId="3B159879">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14:paraId="402D059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061D6CC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14:paraId="481CD44D">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14:paraId="05E0E68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52FABDC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14:paraId="3B8DC82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26F8B7D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00BB131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6C99BFD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1A3C5F50">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54AF3A7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2166A65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03525C06">
      <w:pPr>
        <w:adjustRightInd/>
        <w:snapToGrid/>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14:paraId="091D6407">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14:paraId="3B81F7D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14:paraId="0874CA0E">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14:paraId="08FE308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14:paraId="717AA9B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4F0F688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0D86F07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30EA767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699C934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7A86269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14:paraId="22B1D4BD">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14:paraId="1C50A7B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14:paraId="5E91C6E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0090314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4361DCA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14:paraId="6B9C13C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4FF47A6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14:paraId="4539F4D8">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14:paraId="7E22F40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621EB20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452409A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7D4A1D4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24AEDF2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14:paraId="2AFA153D">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22A5EF17">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14:paraId="7C46FDDF">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14:paraId="279BFC8C">
      <w:pPr>
        <w:pStyle w:val="38"/>
        <w:rPr>
          <w:rFonts w:hint="eastAsia" w:ascii="仿宋_GB2312" w:hAnsi="仿宋_GB2312" w:eastAsia="仿宋_GB2312" w:cs="仿宋_GB2312"/>
          <w:color w:val="auto"/>
          <w:sz w:val="28"/>
          <w:szCs w:val="32"/>
          <w:highlight w:val="none"/>
        </w:rPr>
      </w:pPr>
    </w:p>
    <w:p w14:paraId="1DC8C5A6">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3301"/>
        <w:gridCol w:w="1001"/>
        <w:gridCol w:w="1675"/>
        <w:gridCol w:w="1384"/>
        <w:gridCol w:w="836"/>
      </w:tblGrid>
      <w:tr w14:paraId="1AB46FA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14:paraId="58DEAE2E">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14:paraId="74F7BBA5">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14:paraId="6FDDB6E0">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14:paraId="28C1D8AA">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14:paraId="37AB32E5">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14:paraId="4537C7FE">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14:paraId="0BDD0E58">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14:paraId="12DD42AE">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14:paraId="161AB58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14:paraId="5F7F980B">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14:paraId="6A64C055">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14:paraId="401C4767">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14:paraId="3E1D4364">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14:paraId="120B2821">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14:paraId="6739B32A">
            <w:pPr>
              <w:adjustRightInd w:val="0"/>
              <w:snapToGrid w:val="0"/>
              <w:spacing w:line="600" w:lineRule="exact"/>
              <w:jc w:val="center"/>
              <w:rPr>
                <w:rFonts w:ascii="仿宋_GB2312" w:eastAsia="仿宋_GB2312"/>
                <w:color w:val="auto"/>
                <w:sz w:val="24"/>
                <w:szCs w:val="24"/>
                <w:highlight w:val="none"/>
              </w:rPr>
            </w:pPr>
          </w:p>
        </w:tc>
      </w:tr>
      <w:tr w14:paraId="78AF072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4CB1B0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28F23C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615782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33DF6C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25A422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232335A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6BC0AB4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2BBB3C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558B37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5111CE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4BAEE5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4D4860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7F5C7A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457CFBD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59209EF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6367DC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7C3A9CE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121CD4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3BFC30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78FFEB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35F583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14:paraId="03B740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31EE76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440091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0C9BD4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6D59B8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4A42156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1A9FD86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737" w:type="dxa"/>
            <w:vAlign w:val="center"/>
          </w:tcPr>
          <w:p w14:paraId="08CCA7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14:paraId="66D89D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14:paraId="08C17D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14:paraId="75E5A6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14:paraId="0EA821B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14:paraId="1B2F418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6C6028A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14:paraId="4AFFAB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14:paraId="21749A9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14:paraId="5448042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14:paraId="70EFB3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14:paraId="25086B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14:paraId="464B50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14:paraId="688402D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14:paraId="7CA360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14:paraId="4591CB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14:paraId="2625BA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14:paraId="37148C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14:paraId="254CA2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14:paraId="5905ED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14:paraId="2D31D1CA">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3D34417E">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5CB1EC22">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14:paraId="508ACA18">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14:paraId="7521051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14:paraId="73F29CCB">
      <w:pPr>
        <w:pStyle w:val="38"/>
        <w:rPr>
          <w:rFonts w:hint="eastAsia" w:ascii="仿宋_GB2312" w:hAnsi="仿宋_GB2312" w:eastAsia="仿宋_GB2312" w:cs="仿宋_GB2312"/>
          <w:color w:val="auto"/>
          <w:highlight w:val="none"/>
        </w:rPr>
      </w:pPr>
    </w:p>
    <w:p w14:paraId="652CD7CF">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14:paraId="60333228">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1D93DF8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14:paraId="08D35D0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14:paraId="7FBEDC3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14:paraId="4697303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14:paraId="799E598E">
      <w:pPr>
        <w:adjustRightInd w:val="0"/>
        <w:snapToGrid w:val="0"/>
        <w:spacing w:line="600" w:lineRule="exact"/>
        <w:jc w:val="left"/>
        <w:rPr>
          <w:rFonts w:hint="eastAsia" w:ascii="仿宋_GB2312" w:hAnsi="仿宋_GB2312" w:eastAsia="仿宋_GB2312" w:cs="仿宋_GB2312"/>
          <w:b/>
          <w:color w:val="auto"/>
          <w:sz w:val="28"/>
          <w:szCs w:val="28"/>
          <w:highlight w:val="none"/>
        </w:rPr>
      </w:pPr>
    </w:p>
    <w:p w14:paraId="3259F3A0">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14:paraId="33A65914">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14:paraId="20D5B314">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14:paraId="6E3D35EB">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2795BFEB">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14:paraId="40031A3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14:paraId="3ECB014D">
      <w:pPr>
        <w:pStyle w:val="38"/>
        <w:rPr>
          <w:color w:val="auto"/>
          <w:highlight w:val="none"/>
        </w:rPr>
      </w:pPr>
    </w:p>
    <w:p w14:paraId="1E0555FE">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07CC847E">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38FE1224">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33E906FD">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62CEE3CF">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103159E2">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1E7918F9">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65B1B9CE">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4DBB2A2A">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5FA13830">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788332E2">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14:paraId="36298F74">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14:paraId="54B23B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14:paraId="367B86C6">
      <w:pPr>
        <w:pStyle w:val="38"/>
        <w:rPr>
          <w:color w:val="auto"/>
          <w:highlight w:val="none"/>
        </w:rPr>
      </w:pPr>
    </w:p>
    <w:p w14:paraId="13AE9696">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0F73B025">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459A9920">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58B64732">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0BAFD8A3">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04A1DA02">
      <w:pPr>
        <w:adjustRightInd w:val="0"/>
        <w:snapToGrid w:val="0"/>
        <w:spacing w:line="600" w:lineRule="exact"/>
        <w:jc w:val="left"/>
        <w:rPr>
          <w:rFonts w:asciiTheme="majorEastAsia" w:hAnsiTheme="majorEastAsia" w:eastAsiaTheme="majorEastAsia"/>
          <w:b/>
          <w:color w:val="auto"/>
          <w:sz w:val="28"/>
          <w:szCs w:val="28"/>
          <w:highlight w:val="none"/>
        </w:rPr>
      </w:pPr>
    </w:p>
    <w:p w14:paraId="25D605F2">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03EA8D19">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39AE5EBC">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14:paraId="47088737">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14:paraId="4DB17E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14:paraId="7E42A853">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1CDAE586">
      <w:pPr>
        <w:rPr>
          <w:kern w:val="0"/>
          <w:sz w:val="28"/>
          <w:szCs w:val="28"/>
          <w:highlight w:val="none"/>
        </w:rPr>
      </w:pPr>
      <w:r>
        <w:rPr>
          <w:rFonts w:hint="eastAsia"/>
          <w:kern w:val="0"/>
          <w:sz w:val="28"/>
          <w:szCs w:val="28"/>
          <w:highlight w:val="none"/>
        </w:rPr>
        <w:t>项目名称：</w:t>
      </w:r>
    </w:p>
    <w:p w14:paraId="5E52DE2E">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14:paraId="0FA6ADBE">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14:paraId="3728447D">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14:paraId="0EFD515B">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14:paraId="220CA0D4">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14:paraId="583F0B14">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14:paraId="3AC38380">
      <w:pPr>
        <w:widowControl/>
        <w:jc w:val="left"/>
        <w:rPr>
          <w:rFonts w:hAnsi="宋体" w:cs="宋体"/>
          <w:kern w:val="0"/>
          <w:sz w:val="28"/>
          <w:szCs w:val="28"/>
          <w:highlight w:val="none"/>
        </w:rPr>
      </w:pPr>
    </w:p>
    <w:p w14:paraId="6077E4DA">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14:paraId="43864C13">
      <w:pPr>
        <w:widowControl/>
        <w:jc w:val="left"/>
        <w:rPr>
          <w:rFonts w:hAnsi="宋体" w:cs="仿宋_GB2312"/>
          <w:kern w:val="0"/>
          <w:sz w:val="28"/>
          <w:szCs w:val="28"/>
          <w:highlight w:val="none"/>
          <w:u w:val="single"/>
        </w:rPr>
      </w:pPr>
    </w:p>
    <w:p w14:paraId="1C88681C">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14:paraId="31EF79EF">
      <w:pPr>
        <w:widowControl/>
        <w:jc w:val="left"/>
        <w:rPr>
          <w:rFonts w:hAnsi="宋体" w:cs="仿宋_GB2312"/>
          <w:kern w:val="0"/>
          <w:sz w:val="28"/>
          <w:szCs w:val="28"/>
          <w:highlight w:val="none"/>
          <w:u w:val="single"/>
        </w:rPr>
      </w:pPr>
    </w:p>
    <w:p w14:paraId="3F90200F">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14:paraId="55AE6867">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14:paraId="6A8722D1">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14:paraId="76031DCE">
      <w:pPr>
        <w:widowControl/>
        <w:ind w:left="99" w:leftChars="47" w:firstLine="2800" w:firstLineChars="1000"/>
        <w:jc w:val="left"/>
        <w:rPr>
          <w:rFonts w:hAnsi="宋体" w:cs="仿宋_GB2312"/>
          <w:kern w:val="0"/>
          <w:sz w:val="28"/>
          <w:szCs w:val="28"/>
          <w:highlight w:val="none"/>
        </w:rPr>
      </w:pPr>
    </w:p>
    <w:p w14:paraId="02C0BBA2">
      <w:pPr>
        <w:widowControl/>
        <w:ind w:left="99" w:leftChars="47" w:firstLine="2800" w:firstLineChars="1000"/>
        <w:jc w:val="left"/>
        <w:rPr>
          <w:rFonts w:hAnsi="宋体" w:cs="仿宋_GB2312"/>
          <w:kern w:val="0"/>
          <w:sz w:val="28"/>
          <w:szCs w:val="28"/>
          <w:highlight w:val="none"/>
        </w:rPr>
      </w:pPr>
    </w:p>
    <w:p w14:paraId="10F72BE7">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14:paraId="0DA8B8EB">
      <w:pPr>
        <w:widowControl/>
        <w:ind w:left="99" w:leftChars="47" w:firstLine="1960" w:firstLineChars="700"/>
        <w:jc w:val="left"/>
        <w:rPr>
          <w:rFonts w:hAnsi="宋体" w:cs="仿宋_GB2312"/>
          <w:kern w:val="0"/>
          <w:sz w:val="28"/>
          <w:szCs w:val="28"/>
          <w:highlight w:val="none"/>
        </w:rPr>
      </w:pPr>
    </w:p>
    <w:p w14:paraId="7ABD62E7">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14:paraId="07609113">
      <w:pPr>
        <w:widowControl/>
        <w:ind w:left="99" w:leftChars="47" w:firstLine="1960" w:firstLineChars="700"/>
        <w:jc w:val="left"/>
        <w:rPr>
          <w:rFonts w:hAnsi="宋体" w:cs="仿宋_GB2312"/>
          <w:kern w:val="0"/>
          <w:sz w:val="28"/>
          <w:szCs w:val="28"/>
          <w:highlight w:val="none"/>
          <w:u w:val="single"/>
        </w:rPr>
      </w:pPr>
    </w:p>
    <w:p w14:paraId="7CF6A55B">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14:paraId="367B982E">
      <w:pPr>
        <w:widowControl/>
        <w:jc w:val="left"/>
        <w:rPr>
          <w:rFonts w:hAnsi="宋体" w:cs="仿宋_GB2312"/>
          <w:bCs/>
          <w:kern w:val="0"/>
          <w:sz w:val="24"/>
          <w:highlight w:val="none"/>
        </w:rPr>
      </w:pPr>
    </w:p>
    <w:p w14:paraId="2BDC84C5">
      <w:pPr>
        <w:rPr>
          <w:rFonts w:hAnsi="仿宋"/>
          <w:sz w:val="24"/>
          <w:highlight w:val="none"/>
        </w:rPr>
      </w:pPr>
      <w:r>
        <w:rPr>
          <w:rFonts w:hint="eastAsia" w:hAnsi="仿宋"/>
          <w:sz w:val="24"/>
          <w:highlight w:val="none"/>
        </w:rPr>
        <w:t>说明：</w:t>
      </w:r>
    </w:p>
    <w:p w14:paraId="44FF91ED">
      <w:pPr>
        <w:rPr>
          <w:rFonts w:hAnsi="仿宋"/>
          <w:sz w:val="24"/>
          <w:highlight w:val="none"/>
        </w:rPr>
      </w:pPr>
    </w:p>
    <w:p w14:paraId="3C1D7994">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14:paraId="4BD54DB3">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686BEAC4">
      <w:pPr>
        <w:rPr>
          <w:rFonts w:hAnsi="仿宋"/>
          <w:sz w:val="24"/>
          <w:highlight w:val="none"/>
        </w:rPr>
      </w:pPr>
      <w:r>
        <w:rPr>
          <w:rFonts w:hAnsi="仿宋"/>
          <w:sz w:val="24"/>
          <w:highlight w:val="none"/>
        </w:rPr>
        <w:t>3.为证明与异议项目有利害关系，投标人以外的其他异议提起人应当提供相应证明材料：</w:t>
      </w:r>
    </w:p>
    <w:p w14:paraId="56DE61AF">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7EC13EB5">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14:paraId="69778FBC">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14:paraId="1B3CF39D">
      <w:r>
        <w:br w:type="page"/>
      </w:r>
    </w:p>
    <w:p w14:paraId="3DE75324">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53F95182">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621F145C">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31B066A4">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2FC65231">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14:paraId="70B32C62">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14:paraId="70EAA699">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14:paraId="3154BD30">
      <w:pPr>
        <w:pStyle w:val="4"/>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87616371"/>
      <w:bookmarkStart w:id="27" w:name="_Toc7040"/>
      <w:bookmarkStart w:id="28" w:name="_Toc7303"/>
      <w:bookmarkStart w:id="29" w:name="_Toc88209934"/>
      <w:r>
        <w:rPr>
          <w:rFonts w:hint="eastAsia"/>
          <w:color w:val="auto"/>
          <w:sz w:val="44"/>
          <w:szCs w:val="40"/>
          <w:highlight w:val="none"/>
        </w:rPr>
        <w:t>采购方法</w:t>
      </w:r>
      <w:bookmarkEnd w:id="26"/>
      <w:bookmarkEnd w:id="27"/>
      <w:bookmarkEnd w:id="28"/>
      <w:bookmarkEnd w:id="29"/>
    </w:p>
    <w:p w14:paraId="4A9AD756">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14:paraId="21A5B61E">
      <w:pPr>
        <w:pStyle w:val="4"/>
        <w:jc w:val="center"/>
        <w:rPr>
          <w:color w:val="auto"/>
          <w:highlight w:val="none"/>
        </w:rPr>
      </w:pPr>
      <w:bookmarkStart w:id="30" w:name="_Toc3789"/>
      <w:bookmarkStart w:id="31" w:name="_Toc24895"/>
      <w:r>
        <w:rPr>
          <w:rFonts w:hint="eastAsia"/>
          <w:color w:val="auto"/>
          <w:highlight w:val="none"/>
        </w:rPr>
        <w:t>询比采购</w:t>
      </w:r>
      <w:bookmarkEnd w:id="30"/>
      <w:bookmarkEnd w:id="31"/>
    </w:p>
    <w:p w14:paraId="60AC2BB7">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4C7E56F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77DB9BE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60B1764C">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5F725133">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7DFA7722">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58B29F3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36A35357">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7733D973">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0E1E0134">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1871C505">
            <w:pPr>
              <w:adjustRightInd w:val="0"/>
              <w:snapToGrid w:val="0"/>
              <w:ind w:left="456"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广州市天河区临江大道501号广州市净水有限公司猎德分公司</w:t>
            </w:r>
          </w:p>
          <w:p w14:paraId="0439E6D6">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3FD2ACF0">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00BFC73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3B802F5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00743810">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14:paraId="7AADC5D9">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14:paraId="0C2AE26C">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14:paraId="4440CC0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0AF2517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458FBDC8">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6832018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0CFB2533">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38FCE6D7">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1863F79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4536A1B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4168FEA6">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11360D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7FC350D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36407D8E">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2FFFEEF0">
      <w:pPr>
        <w:adjustRightInd w:val="0"/>
        <w:snapToGrid w:val="0"/>
        <w:spacing w:line="600" w:lineRule="exact"/>
        <w:ind w:firstLine="560" w:firstLineChars="200"/>
        <w:jc w:val="left"/>
        <w:rPr>
          <w:rFonts w:ascii="仿宋_GB2312" w:eastAsia="仿宋_GB2312"/>
          <w:color w:val="auto"/>
          <w:sz w:val="28"/>
          <w:szCs w:val="28"/>
          <w:highlight w:val="none"/>
        </w:rPr>
      </w:pPr>
    </w:p>
    <w:p w14:paraId="3FBBB9D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4F31AC4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4962CBE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6BA6B8F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0200179D">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14:paraId="5CBCBAF7">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14:paraId="266E84B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14:paraId="4A9C25E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7831"/>
      <w:bookmarkStart w:id="33" w:name="_Toc22212"/>
      <w:bookmarkStart w:id="34" w:name="_Toc88209941"/>
      <w:bookmarkStart w:id="35" w:name="_Toc12177"/>
      <w:bookmarkStart w:id="36" w:name="_Toc30530"/>
      <w:bookmarkStart w:id="37" w:name="_Toc21840"/>
      <w:bookmarkStart w:id="38" w:name="_Toc29345"/>
      <w:bookmarkStart w:id="39" w:name="_Toc87616378"/>
      <w:bookmarkStart w:id="40" w:name="_Toc32607"/>
      <w:bookmarkStart w:id="41" w:name="_Toc13898"/>
      <w:bookmarkStart w:id="42" w:name="_Toc6308"/>
      <w:bookmarkStart w:id="43" w:name="_Toc21079"/>
      <w:bookmarkStart w:id="44" w:name="_Toc29484"/>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14:paraId="57DD6180">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14:paraId="052B292F">
      <w:pPr>
        <w:pStyle w:val="4"/>
        <w:rPr>
          <w:color w:val="auto"/>
          <w:highlight w:val="none"/>
        </w:rPr>
      </w:pPr>
      <w:bookmarkStart w:id="45" w:name="_Toc23033"/>
      <w:bookmarkStart w:id="46" w:name="_Toc26826"/>
      <w:r>
        <w:rPr>
          <w:rFonts w:hint="eastAsia"/>
          <w:color w:val="auto"/>
          <w:highlight w:val="none"/>
        </w:rPr>
        <w:sym w:font="Wingdings" w:char="00FE"/>
      </w:r>
      <w:r>
        <w:rPr>
          <w:rFonts w:hint="eastAsia"/>
          <w:color w:val="auto"/>
          <w:highlight w:val="none"/>
        </w:rPr>
        <w:t>经评审的最低价法</w:t>
      </w:r>
      <w:bookmarkEnd w:id="45"/>
      <w:bookmarkEnd w:id="46"/>
    </w:p>
    <w:p w14:paraId="7061EC08">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14:paraId="52C9378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0BCC385B">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3EE23716">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r>
        <w:rPr>
          <w:rFonts w:hint="eastAsia" w:ascii="仿宋_GB2312" w:eastAsia="仿宋_GB2312" w:hAnsiTheme="minorEastAsia"/>
          <w:color w:val="auto"/>
          <w:sz w:val="28"/>
          <w:szCs w:val="28"/>
          <w:highlight w:val="none"/>
        </w:rPr>
        <w:t>。</w:t>
      </w:r>
    </w:p>
    <w:p w14:paraId="470837AF">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14:paraId="0AA3D5E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0E06D5C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1405C7D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56C6D28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417B4956">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7D398E78">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39CEADEB">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8"/>
      </w:tblGrid>
      <w:tr w14:paraId="3447ECA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07841A9B">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4CADE700">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7A1F441F">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7102203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337B0CF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1797AA2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2F701E80">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14:paraId="6B20D7B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13464AA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7C29E3E7">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4FF88BFB">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583E9C1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14:paraId="0CD88A7B">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0EEC9ED1">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3E9CD827">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34FCD3E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38F8F9A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6C229E9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01C85683">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64B48A2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6779B6B5">
            <w:pPr>
              <w:adjustRightInd w:val="0"/>
              <w:snapToGrid w:val="0"/>
              <w:jc w:val="center"/>
              <w:rPr>
                <w:rFonts w:ascii="仿宋_GB2312" w:eastAsia="仿宋_GB2312"/>
                <w:color w:val="auto"/>
                <w:sz w:val="24"/>
                <w:szCs w:val="24"/>
                <w:highlight w:val="none"/>
              </w:rPr>
            </w:pPr>
          </w:p>
        </w:tc>
        <w:tc>
          <w:tcPr>
            <w:tcW w:w="2127" w:type="dxa"/>
            <w:vAlign w:val="center"/>
          </w:tcPr>
          <w:p w14:paraId="7EB55D9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21039895">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7AF9687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0B8998B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245F7D3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2E9CDDBB">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14B829F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4024C681">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5F353BB0">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5493CDC9">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7A666ED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5F4565B7">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6696CC38">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7D26A546">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6646301E">
      <w:pPr>
        <w:spacing w:line="400" w:lineRule="exact"/>
        <w:ind w:firstLine="420" w:firstLineChars="200"/>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600AACE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63D14469">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39DF90A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4C47FEA0">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3D40DBB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08AE297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8676E93">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14:paraId="798E342C">
      <w:pPr>
        <w:rPr>
          <w:rFonts w:ascii="仿宋_GB2312" w:eastAsia="仿宋_GB2312" w:hAnsiTheme="minorEastAsia"/>
          <w:color w:val="auto"/>
          <w:szCs w:val="21"/>
          <w:highlight w:val="none"/>
        </w:rPr>
      </w:pPr>
      <w:r>
        <w:rPr>
          <w:rFonts w:ascii="仿宋_GB2312" w:eastAsia="仿宋_GB2312" w:hAnsiTheme="minorEastAsia"/>
          <w:color w:val="auto"/>
          <w:szCs w:val="21"/>
          <w:highlight w:val="none"/>
        </w:rPr>
        <w:br w:type="page"/>
      </w:r>
    </w:p>
    <w:p w14:paraId="7FD781D7">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6DECCDDE">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6580F5D9">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4EFBF731">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638D9762">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14:paraId="744A02C1">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14:paraId="768DBDCE">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14:paraId="2724BF18">
      <w:pPr>
        <w:pStyle w:val="4"/>
        <w:rPr>
          <w:rFonts w:hint="eastAsia"/>
          <w:color w:val="auto"/>
          <w:szCs w:val="44"/>
          <w:highlight w:val="none"/>
        </w:rPr>
      </w:pPr>
      <w:r>
        <w:rPr>
          <w:rFonts w:hint="eastAsia"/>
          <w:color w:val="auto"/>
          <w:szCs w:val="44"/>
          <w:highlight w:val="none"/>
        </w:rPr>
        <w:t>采购需求</w:t>
      </w:r>
    </w:p>
    <w:p w14:paraId="741946AE">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7" w:name="_Toc88209947"/>
    </w:p>
    <w:p w14:paraId="099A088A">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14:paraId="4F1C1140">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14:paraId="0575575A">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14:paraId="3995E598">
      <w:pPr>
        <w:widowControl w:val="0"/>
        <w:adjustRightInd w:val="0"/>
        <w:snapToGrid w:val="0"/>
        <w:spacing w:line="300" w:lineRule="auto"/>
        <w:jc w:val="both"/>
        <w:rPr>
          <w:rFonts w:hint="eastAsia"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eastAsiaTheme="minorEastAsia" w:cstheme="minorBidi"/>
          <w:b/>
          <w:color w:val="auto"/>
          <w:kern w:val="2"/>
          <w:sz w:val="32"/>
          <w:szCs w:val="32"/>
          <w:highlight w:val="none"/>
          <w:lang w:val="en-US" w:eastAsia="zh-CN" w:bidi="ar-SA"/>
        </w:rPr>
        <w:t>一、项目情况介绍</w:t>
      </w:r>
    </w:p>
    <w:p w14:paraId="28EC5036">
      <w:pPr>
        <w:adjustRightInd w:val="0"/>
        <w:snapToGrid w:val="0"/>
        <w:spacing w:line="600" w:lineRule="exact"/>
        <w:ind w:firstLine="560"/>
        <w:jc w:val="lef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（一）项目名称：猎德分公司2025年生产区域空调维修项目</w:t>
      </w:r>
    </w:p>
    <w:p w14:paraId="05E0BB72">
      <w:pPr>
        <w:adjustRightInd w:val="0"/>
        <w:snapToGrid w:val="0"/>
        <w:spacing w:line="600" w:lineRule="exact"/>
        <w:ind w:firstLine="56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（二）项目内容：</w:t>
      </w:r>
      <w:r>
        <w:rPr>
          <w:rFonts w:hint="eastAsia" w:ascii="仿宋_GB2312" w:eastAsia="仿宋_GB2312"/>
          <w:color w:val="auto"/>
          <w:sz w:val="28"/>
          <w:szCs w:val="28"/>
          <w:highlight w:val="none"/>
          <w:lang w:val="en-US" w:eastAsia="zh-CN"/>
        </w:rPr>
        <w:t>本项目确定1家成交供应商，为采购人提供猎德分公司2025年生产区域空调维修服务。本次采购项目内容猎德分公司生产区域113台空调的维修工作，本项目总预算金额不超过46340.00元，拟通过公开询价，对现有空调维修内容报下浮率（包括所有类型空调深度清洗、维修配件更换、加雪种及其他上门费用等），确定一家单位，服务期限按合同条款执行。报价人应对询价方案进行报价，不允许只对部分询价内容进行报价。</w:t>
      </w:r>
    </w:p>
    <w:p w14:paraId="6BE9E7C0">
      <w:pPr>
        <w:adjustRightInd w:val="0"/>
        <w:snapToGrid w:val="0"/>
        <w:spacing w:line="600" w:lineRule="exact"/>
        <w:ind w:firstLine="56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（三）服务范围</w:t>
      </w:r>
    </w:p>
    <w:p w14:paraId="37F2C6DC">
      <w:pPr>
        <w:adjustRightInd w:val="0"/>
        <w:snapToGrid w:val="0"/>
        <w:spacing w:line="600" w:lineRule="exact"/>
        <w:ind w:firstLine="560"/>
        <w:jc w:val="left"/>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广州市净水公司猎德分公司生产区域共有113台空调，该项目内容主要为对113台空调室内外机（包括冷凝器、防尘网、接水盘、风轮、蒸发器等）进行1次深度清洗以及故障维修服务，维修结算根据实际发生的工作量及维修单价清单中的单价按实结算。</w:t>
      </w:r>
    </w:p>
    <w:tbl>
      <w:tblPr>
        <w:tblStyle w:val="23"/>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9"/>
        <w:gridCol w:w="1212"/>
        <w:gridCol w:w="592"/>
        <w:gridCol w:w="640"/>
        <w:gridCol w:w="5572"/>
      </w:tblGrid>
      <w:tr w14:paraId="65537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0" w:hRule="exact"/>
          <w:jc w:val="center"/>
        </w:trPr>
        <w:tc>
          <w:tcPr>
            <w:tcW w:w="383" w:type="pct"/>
            <w:tcBorders>
              <w:right w:val="single" w:color="auto" w:sz="4" w:space="0"/>
            </w:tcBorders>
            <w:vAlign w:val="center"/>
          </w:tcPr>
          <w:p w14:paraId="04BBD7CC">
            <w:pPr>
              <w:spacing w:beforeLines="0" w:afterLines="0"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663" w:type="pct"/>
            <w:tcBorders>
              <w:left w:val="single" w:color="auto" w:sz="4" w:space="0"/>
              <w:right w:val="single" w:color="auto" w:sz="4" w:space="0"/>
            </w:tcBorders>
            <w:vAlign w:val="center"/>
          </w:tcPr>
          <w:p w14:paraId="3DD92CB1">
            <w:pPr>
              <w:spacing w:beforeLines="0" w:afterLines="0"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维修</w:t>
            </w:r>
            <w:r>
              <w:rPr>
                <w:rFonts w:hint="eastAsia" w:ascii="仿宋_GB2312" w:hAnsi="仿宋_GB2312" w:eastAsia="仿宋_GB2312" w:cs="仿宋_GB2312"/>
                <w:color w:val="000000" w:themeColor="text1"/>
                <w:sz w:val="24"/>
                <w:szCs w:val="24"/>
                <w:highlight w:val="none"/>
                <w14:textFill>
                  <w14:solidFill>
                    <w14:schemeClr w14:val="tx1"/>
                  </w14:solidFill>
                </w14:textFill>
              </w:rPr>
              <w:t>名称</w:t>
            </w:r>
          </w:p>
        </w:tc>
        <w:tc>
          <w:tcPr>
            <w:tcW w:w="324" w:type="pct"/>
            <w:tcBorders>
              <w:left w:val="single" w:color="auto" w:sz="4" w:space="0"/>
            </w:tcBorders>
            <w:vAlign w:val="center"/>
          </w:tcPr>
          <w:p w14:paraId="5FED303B">
            <w:pPr>
              <w:widowControl w:val="0"/>
              <w:spacing w:beforeLines="0" w:afterLines="0" w:line="240" w:lineRule="auto"/>
              <w:jc w:val="cente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单位</w:t>
            </w:r>
          </w:p>
        </w:tc>
        <w:tc>
          <w:tcPr>
            <w:tcW w:w="350" w:type="pct"/>
            <w:tcBorders>
              <w:left w:val="single" w:color="auto" w:sz="4" w:space="0"/>
            </w:tcBorders>
            <w:vAlign w:val="center"/>
          </w:tcPr>
          <w:p w14:paraId="1ACA34E6">
            <w:pPr>
              <w:spacing w:beforeLines="0" w:afterLines="0" w:line="240" w:lineRule="auto"/>
              <w:jc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数量</w:t>
            </w:r>
          </w:p>
        </w:tc>
        <w:tc>
          <w:tcPr>
            <w:tcW w:w="3049" w:type="pct"/>
            <w:tcBorders>
              <w:left w:val="single" w:color="auto" w:sz="4" w:space="0"/>
            </w:tcBorders>
            <w:vAlign w:val="center"/>
          </w:tcPr>
          <w:p w14:paraId="407EE306">
            <w:pPr>
              <w:spacing w:beforeLines="0" w:afterLines="0"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备注</w:t>
            </w:r>
          </w:p>
        </w:tc>
      </w:tr>
      <w:tr w14:paraId="186FF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exact"/>
          <w:jc w:val="center"/>
        </w:trPr>
        <w:tc>
          <w:tcPr>
            <w:tcW w:w="383" w:type="pct"/>
            <w:tcBorders>
              <w:right w:val="single" w:color="auto" w:sz="4" w:space="0"/>
            </w:tcBorders>
            <w:vAlign w:val="center"/>
          </w:tcPr>
          <w:p w14:paraId="4B6A9020">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w:t>
            </w:r>
          </w:p>
        </w:tc>
        <w:tc>
          <w:tcPr>
            <w:tcW w:w="663" w:type="pct"/>
            <w:tcBorders>
              <w:left w:val="single" w:color="auto" w:sz="4" w:space="0"/>
              <w:right w:val="single" w:color="auto" w:sz="4" w:space="0"/>
            </w:tcBorders>
            <w:vAlign w:val="center"/>
          </w:tcPr>
          <w:p w14:paraId="3A25A43D">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分体式空调深度清洗</w:t>
            </w:r>
          </w:p>
        </w:tc>
        <w:tc>
          <w:tcPr>
            <w:tcW w:w="324" w:type="pct"/>
            <w:tcBorders>
              <w:left w:val="single" w:color="auto" w:sz="4" w:space="0"/>
            </w:tcBorders>
            <w:vAlign w:val="center"/>
          </w:tcPr>
          <w:p w14:paraId="266459AE">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台</w:t>
            </w:r>
          </w:p>
        </w:tc>
        <w:tc>
          <w:tcPr>
            <w:tcW w:w="350" w:type="pct"/>
            <w:tcBorders>
              <w:left w:val="single" w:color="auto" w:sz="4" w:space="0"/>
            </w:tcBorders>
            <w:vAlign w:val="center"/>
          </w:tcPr>
          <w:p w14:paraId="654D42B8">
            <w:pPr>
              <w:spacing w:beforeLines="0" w:afterLines="0" w:line="240" w:lineRule="auto"/>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113</w:t>
            </w:r>
          </w:p>
        </w:tc>
        <w:tc>
          <w:tcPr>
            <w:tcW w:w="3049" w:type="pct"/>
            <w:tcBorders>
              <w:left w:val="single" w:color="auto" w:sz="4" w:space="0"/>
            </w:tcBorders>
            <w:vAlign w:val="center"/>
          </w:tcPr>
          <w:p w14:paraId="7111521B">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深度清洗滤网、出风口、高温蒸汽冲洗蒸发器及室外主机，实施时按实际发生数结算。</w:t>
            </w:r>
          </w:p>
          <w:p w14:paraId="579847CA">
            <w:pPr>
              <w:spacing w:beforeLines="0" w:afterLines="0" w:line="240" w:lineRule="auto"/>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空调种类：包括</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猎德分公司的</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挂壁式空调、立柜空调、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吸顶式空调、多联式</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中央空调等</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所有类型，按清单统一单价进行计价</w:t>
            </w: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w:t>
            </w:r>
          </w:p>
        </w:tc>
      </w:tr>
      <w:tr w14:paraId="214EC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exact"/>
          <w:jc w:val="center"/>
        </w:trPr>
        <w:tc>
          <w:tcPr>
            <w:tcW w:w="383" w:type="pct"/>
            <w:tcBorders>
              <w:right w:val="single" w:color="auto" w:sz="4" w:space="0"/>
            </w:tcBorders>
            <w:vAlign w:val="center"/>
          </w:tcPr>
          <w:p w14:paraId="3C6DD823">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2</w:t>
            </w:r>
          </w:p>
        </w:tc>
        <w:tc>
          <w:tcPr>
            <w:tcW w:w="663" w:type="pct"/>
            <w:tcBorders>
              <w:left w:val="single" w:color="auto" w:sz="4" w:space="0"/>
              <w:right w:val="single" w:color="auto" w:sz="4" w:space="0"/>
            </w:tcBorders>
            <w:vAlign w:val="center"/>
          </w:tcPr>
          <w:p w14:paraId="4BD1CD48">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空调维修</w:t>
            </w:r>
          </w:p>
        </w:tc>
        <w:tc>
          <w:tcPr>
            <w:tcW w:w="324" w:type="pct"/>
            <w:tcBorders>
              <w:left w:val="single" w:color="auto" w:sz="4" w:space="0"/>
            </w:tcBorders>
            <w:vAlign w:val="center"/>
          </w:tcPr>
          <w:p w14:paraId="18CAF4E5">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台</w:t>
            </w:r>
          </w:p>
        </w:tc>
        <w:tc>
          <w:tcPr>
            <w:tcW w:w="350" w:type="pct"/>
            <w:tcBorders>
              <w:left w:val="single" w:color="auto" w:sz="4" w:space="0"/>
            </w:tcBorders>
            <w:vAlign w:val="center"/>
          </w:tcPr>
          <w:p w14:paraId="1751AB9F">
            <w:pPr>
              <w:spacing w:beforeLines="0" w:afterLines="0" w:line="240" w:lineRule="auto"/>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113</w:t>
            </w:r>
          </w:p>
        </w:tc>
        <w:tc>
          <w:tcPr>
            <w:tcW w:w="3049" w:type="pct"/>
            <w:tcBorders>
              <w:left w:val="single" w:color="auto" w:sz="4" w:space="0"/>
            </w:tcBorders>
            <w:vAlign w:val="center"/>
          </w:tcPr>
          <w:p w14:paraId="5EB86A43">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维修结算根据实际发生的工作量及维修报价清单中的单价按实结算，按清单统一单价进行计价。</w:t>
            </w:r>
          </w:p>
        </w:tc>
      </w:tr>
    </w:tbl>
    <w:p w14:paraId="0F17BA5F">
      <w:pPr>
        <w:adjustRightInd w:val="0"/>
        <w:snapToGrid w:val="0"/>
        <w:spacing w:line="600" w:lineRule="exact"/>
        <w:ind w:firstLine="560" w:firstLineChars="20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（四）维修单价清单</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2259"/>
        <w:gridCol w:w="550"/>
        <w:gridCol w:w="550"/>
        <w:gridCol w:w="759"/>
        <w:gridCol w:w="529"/>
        <w:gridCol w:w="1545"/>
        <w:gridCol w:w="529"/>
        <w:gridCol w:w="529"/>
        <w:gridCol w:w="849"/>
      </w:tblGrid>
      <w:tr w14:paraId="55015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gridSpan w:val="10"/>
            <w:tcBorders>
              <w:top w:val="single" w:color="000000" w:sz="8" w:space="0"/>
              <w:left w:val="single" w:color="000000" w:sz="8" w:space="0"/>
              <w:bottom w:val="single" w:color="000000" w:sz="8" w:space="0"/>
              <w:right w:val="single" w:color="000000" w:sz="8" w:space="0"/>
            </w:tcBorders>
            <w:shd w:val="clear" w:color="auto" w:fill="auto"/>
            <w:noWrap/>
            <w:vAlign w:val="center"/>
          </w:tcPr>
          <w:p w14:paraId="4E147C92">
            <w:pPr>
              <w:keepNext w:val="0"/>
              <w:keepLines w:val="0"/>
              <w:widowControl/>
              <w:suppressLineNumbers w:val="0"/>
              <w:jc w:val="center"/>
              <w:textAlignment w:val="center"/>
              <w:rPr>
                <w:rFonts w:hint="eastAsia" w:ascii="宋体" w:hAnsi="宋体" w:eastAsia="宋体" w:cs="宋体"/>
                <w:i w:val="0"/>
                <w:iCs w:val="0"/>
                <w:color w:val="000000"/>
                <w:kern w:val="0"/>
                <w:sz w:val="40"/>
                <w:szCs w:val="40"/>
                <w:u w:val="none"/>
                <w:lang w:val="en-US" w:eastAsia="zh-CN" w:bidi="ar"/>
              </w:rPr>
            </w:pPr>
            <w:r>
              <w:rPr>
                <w:rFonts w:hint="eastAsia" w:ascii="宋体" w:hAnsi="宋体" w:eastAsia="宋体" w:cs="宋体"/>
                <w:i w:val="0"/>
                <w:iCs w:val="0"/>
                <w:color w:val="000000"/>
                <w:kern w:val="0"/>
                <w:sz w:val="28"/>
                <w:szCs w:val="28"/>
                <w:u w:val="none"/>
                <w:lang w:val="en-US" w:eastAsia="zh-CN" w:bidi="ar"/>
              </w:rPr>
              <w:t>猎德分公司2025年生产区域空调维修项目基准价清单</w:t>
            </w:r>
          </w:p>
        </w:tc>
      </w:tr>
      <w:tr w14:paraId="7C31B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8D1E6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0E930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0" w:type="auto"/>
            <w:tcBorders>
              <w:top w:val="single" w:color="000000" w:sz="8" w:space="0"/>
              <w:left w:val="single" w:color="000000" w:sz="8" w:space="0"/>
              <w:bottom w:val="single" w:color="000000" w:sz="8" w:space="0"/>
              <w:right w:val="single" w:color="auto" w:sz="4" w:space="0"/>
            </w:tcBorders>
            <w:shd w:val="clear" w:color="auto" w:fill="auto"/>
            <w:vAlign w:val="center"/>
          </w:tcPr>
          <w:p w14:paraId="280D902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C93D4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2F50B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基准价</w:t>
            </w:r>
          </w:p>
          <w:p w14:paraId="57BE84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C48F5D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8" w:space="0"/>
              <w:left w:val="single" w:color="auto" w:sz="4" w:space="0"/>
              <w:bottom w:val="single" w:color="000000" w:sz="8" w:space="0"/>
              <w:right w:val="single" w:color="000000" w:sz="8" w:space="0"/>
            </w:tcBorders>
            <w:shd w:val="clear" w:color="auto" w:fill="auto"/>
            <w:vAlign w:val="center"/>
          </w:tcPr>
          <w:p w14:paraId="6F47E8D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项目名称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F3EAE0E">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314599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数量</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CBC3B7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基准价</w:t>
            </w:r>
          </w:p>
          <w:p w14:paraId="27F1009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（元）</w:t>
            </w:r>
          </w:p>
        </w:tc>
      </w:tr>
      <w:tr w14:paraId="1FA6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9B4143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17BB94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深度清洗</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32563A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7AB9AF88">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auto" w:sz="4" w:space="0"/>
              <w:left w:val="single" w:color="000000" w:sz="8" w:space="0"/>
              <w:bottom w:val="single" w:color="000000" w:sz="8" w:space="0"/>
              <w:right w:val="single" w:color="000000" w:sz="8" w:space="0"/>
            </w:tcBorders>
            <w:shd w:val="clear" w:color="auto" w:fill="auto"/>
            <w:vAlign w:val="center"/>
          </w:tcPr>
          <w:p w14:paraId="7DA287F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529" w:type="dxa"/>
            <w:tcBorders>
              <w:top w:val="single" w:color="auto" w:sz="4" w:space="0"/>
              <w:left w:val="single" w:color="000000" w:sz="8" w:space="0"/>
              <w:bottom w:val="single" w:color="000000" w:sz="8" w:space="0"/>
              <w:right w:val="single" w:color="000000" w:sz="8" w:space="0"/>
            </w:tcBorders>
            <w:shd w:val="clear" w:color="auto" w:fill="auto"/>
            <w:vAlign w:val="center"/>
          </w:tcPr>
          <w:p w14:paraId="56D7561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29</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2123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更换面板卡扣</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1889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D482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B570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68.25</w:t>
            </w:r>
          </w:p>
        </w:tc>
      </w:tr>
      <w:tr w14:paraId="1A8D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56484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93BC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更换1-1.5P压缩机（分体机）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7B2E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09A02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DD0F3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1575</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C3226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30</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9B86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更换内机控制板</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FF93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015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53FD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682.5</w:t>
            </w:r>
          </w:p>
        </w:tc>
      </w:tr>
      <w:tr w14:paraId="37779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F3E2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D3AA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更换2压缩机（分体机）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6C776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6E9F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792E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B4092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31</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0FCD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更换外机控制板</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41CB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AB972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764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682.5</w:t>
            </w:r>
          </w:p>
        </w:tc>
      </w:tr>
      <w:tr w14:paraId="0E93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2018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94F0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更换3压缩机（分体机）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F091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F1DED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75B87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996B2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32</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50C08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更换显示板</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68503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ACC9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365E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w:t>
            </w:r>
          </w:p>
        </w:tc>
      </w:tr>
      <w:tr w14:paraId="09B4F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20E1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2113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更换5压缩机（分体机）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A47A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4AEC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47DD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2E068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33</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A0D2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更换感温包</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8A8D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CB3B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4331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5B54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42BC7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4EB4B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更换变频压缩机（多联机10匹以下）</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3794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FA3B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A4CB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3932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34</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77F1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更换遥控器</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A149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85CE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A2DF8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720F5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3C8F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A093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更换蒸发器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F78F6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F9B9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8C00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6D8582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35</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02A4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更换接收头</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EBC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74DA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9C49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43BB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2F691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03EA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更换冷凝器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C775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10CA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D025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418C5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36</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DF6C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Style w:val="52"/>
                <w:sz w:val="18"/>
                <w:szCs w:val="18"/>
                <w:lang w:val="en-US" w:eastAsia="zh-CN" w:bidi="ar"/>
              </w:rPr>
              <w:t>更换外机风扇电 机</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069E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26F5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6006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r>
      <w:tr w14:paraId="5C56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82700B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A630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更换四通阀</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E014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8217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54D2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34F21B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37</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709188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更换内机风扇电机</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288F6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548DB2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697C74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546</w:t>
            </w:r>
          </w:p>
        </w:tc>
      </w:tr>
      <w:tr w14:paraId="1ABB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CD7D8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3BC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补加制冷剂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D79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6162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593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5AD55CA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38</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165A3E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更换控制主板</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ABD58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55175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6696EE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546</w:t>
            </w:r>
          </w:p>
        </w:tc>
      </w:tr>
      <w:tr w14:paraId="1A4A9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06773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3361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查漏补漏</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6BE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A78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0E37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44E997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39</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1BA224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更换扫风电机</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07913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78C23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493066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69AA8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67DC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0F2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更换喇叭口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1F1F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932F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C22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BEA1D6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40</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4A4AA4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更换压缩机电容</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DBC32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216C18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1AF2AE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7164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53C1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CE70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更换电磁阀阀体</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1DF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DD3A6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6CF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CAC8FE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41</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37FEF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更换风机电容</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A71A8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E3648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57480C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0882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C98C8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D1E6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更换内机管路</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1251E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961E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7B0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94E63B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42</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45FA15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更换保险管</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4DC94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7FD75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5F0A4E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3911B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E49C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33DA6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更换气液分离器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341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0D5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BD44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175A4B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43</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277616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更换阀体线圈</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6183C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07E8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269FA9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w:t>
            </w:r>
          </w:p>
        </w:tc>
      </w:tr>
      <w:tr w14:paraId="071F1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D2D27F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8628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更换压力开关</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173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DF1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AC9C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09AD11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44</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49BF38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更换继电器</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D1252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8E369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2A3500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r>
      <w:tr w14:paraId="433D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3046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2C6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调整管路</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CB32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0AC1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808D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EE5A91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45</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050B97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更换电抗器</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E9819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50530E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7FF30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345</w:t>
            </w:r>
          </w:p>
        </w:tc>
      </w:tr>
      <w:tr w14:paraId="4906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CA8B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2210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更换内机风叶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139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55F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7B27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E5883B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46</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07897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更换开关电源</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137C6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2BF383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16DF25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r>
      <w:tr w14:paraId="32838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9238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22B2D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更换外机风叶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58E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2733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A17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BFA215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47</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6CD9B2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更换水泵</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EC635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44984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3B43F7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w:t>
            </w:r>
          </w:p>
        </w:tc>
      </w:tr>
      <w:tr w14:paraId="69848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4DC2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DEE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排除零部件噪音</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0CC4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9E75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E83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1DEB55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48</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6CA7C3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更换电加热管</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37748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26B7A3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7E393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78.75</w:t>
            </w:r>
          </w:p>
        </w:tc>
      </w:tr>
      <w:tr w14:paraId="7C8F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7D2A37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9F6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紧固件松动、接线脱落</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B5E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F74E4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CF29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6A3E3E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49</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6D9E49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更换电源线、电源连接线</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CC68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493C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18BD97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73.5</w:t>
            </w:r>
          </w:p>
        </w:tc>
      </w:tr>
      <w:tr w14:paraId="28819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E860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1685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更换导风、扫风机构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C5D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461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F2F6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ADD94A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50</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055937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更换信号控制连接线</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8C2D94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D9BF6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47F2C4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73.5</w:t>
            </w:r>
          </w:p>
        </w:tc>
      </w:tr>
      <w:tr w14:paraId="6D5D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02F0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22BE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处理接水盘及排水管漏堵</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EC94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883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C2A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33FB4A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51</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68ED33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更换换气电机</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08240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AB91E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4C4077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682.5</w:t>
            </w:r>
          </w:p>
        </w:tc>
      </w:tr>
      <w:tr w14:paraId="3A30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63D2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DC2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更换内机出风框</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880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46D3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F8DC5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700D6A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52</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6893BB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更换相序保护器</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96454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FC346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63B34C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4283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4EFD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7E3C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调整风叶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69E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FB80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6CD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E60B99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53</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2BE951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老鼠咬断线维修</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13DB4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8D952F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51B12C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r>
      <w:tr w14:paraId="0AF3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522F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36A4D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内外机更换、加贴海绵、阻尼块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2C35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D3B7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757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0435BD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54</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201E3F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更换接线板</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CD291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5C6D24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7BC4CB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r>
      <w:tr w14:paraId="272E1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69AD0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6E6B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更换内机接水盘</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701F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49D1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E47F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63FBC9F">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55</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5D711F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更换压力传感器</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16706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6B42F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094F6F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w:t>
            </w:r>
          </w:p>
        </w:tc>
      </w:tr>
      <w:tr w14:paraId="07F6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CE7F816">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BF57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更换排水管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08A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2208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DB4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915986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55BB0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EA71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604C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4E30B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FC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sz="8" w:space="0"/>
              <w:left w:val="single" w:color="000000" w:sz="8" w:space="0"/>
              <w:bottom w:val="single" w:color="000000" w:sz="8" w:space="0"/>
              <w:right w:val="single" w:color="000000" w:sz="8" w:space="0"/>
            </w:tcBorders>
            <w:shd w:val="clear" w:color="auto" w:fill="auto"/>
            <w:vAlign w:val="center"/>
          </w:tcPr>
          <w:p w14:paraId="1FE820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备注：以上费用包括上门及需更换配件的费用</w:t>
            </w:r>
          </w:p>
        </w:tc>
      </w:tr>
    </w:tbl>
    <w:p w14:paraId="2EA03D5A">
      <w:pPr>
        <w:pStyle w:val="2"/>
        <w:ind w:left="0" w:leftChars="0" w:firstLine="0" w:firstLineChars="0"/>
        <w:rPr>
          <w:rFonts w:hint="default"/>
          <w:lang w:val="en-US" w:eastAsia="zh-CN"/>
        </w:rPr>
      </w:pPr>
    </w:p>
    <w:p w14:paraId="27D90ED8">
      <w:pPr>
        <w:widowControl w:val="0"/>
        <w:adjustRightInd w:val="0"/>
        <w:snapToGrid w:val="0"/>
        <w:spacing w:line="300" w:lineRule="auto"/>
        <w:jc w:val="both"/>
        <w:rPr>
          <w:rFonts w:hint="eastAsia"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eastAsiaTheme="minorEastAsia" w:cstheme="minorBidi"/>
          <w:b/>
          <w:color w:val="auto"/>
          <w:kern w:val="2"/>
          <w:sz w:val="32"/>
          <w:szCs w:val="32"/>
          <w:highlight w:val="none"/>
          <w:lang w:val="en-US" w:eastAsia="zh-CN" w:bidi="ar-SA"/>
        </w:rPr>
        <w:t>二、项目要求</w:t>
      </w:r>
    </w:p>
    <w:p w14:paraId="23DC063D">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 xml:space="preserve">（1）严格按照国家有关安全生产的法律、法规和相关规程组织维修工作，服从管理，遵守规章制度，做到安全文明施工，对现场操作、施工方法、技术描施的可靠性、安全性负完全责任。因维修工作而导致的一切人身和财产安全责任全部由维修单位承担。 </w:t>
      </w:r>
    </w:p>
    <w:p w14:paraId="150A153E">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 xml:space="preserve">（2）维修单位要严格执行国家行业标准、规范开展维修工作，质量标准的评定以国家、行业的专业工程质量验收评定标准为依据。 </w:t>
      </w:r>
    </w:p>
    <w:p w14:paraId="5A91C80D">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（3）维修单位所提供的零配件需符合国家技术规范和质量标准，经国家有关部门检验的合格产品。</w:t>
      </w:r>
    </w:p>
    <w:p w14:paraId="03899E49">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hAnsi="宋体" w:eastAsia="仿宋_GB2312" w:cs="Times New Roman"/>
          <w:color w:val="auto"/>
          <w:kern w:val="0"/>
          <w:sz w:val="28"/>
          <w:szCs w:val="28"/>
          <w:highlight w:val="none"/>
          <w:lang w:val="en-US" w:eastAsia="zh-CN" w:bidi="ar-SA"/>
        </w:rPr>
      </w:pPr>
      <w:r>
        <w:rPr>
          <w:rFonts w:hint="eastAsia" w:ascii="仿宋_GB2312" w:eastAsia="仿宋_GB2312" w:hAnsiTheme="minorEastAsia"/>
          <w:color w:val="auto"/>
          <w:sz w:val="28"/>
          <w:szCs w:val="28"/>
          <w:highlight w:val="none"/>
          <w:lang w:val="en-US" w:eastAsia="zh-CN"/>
        </w:rPr>
        <w:t>（4）</w:t>
      </w:r>
      <w:r>
        <w:rPr>
          <w:rFonts w:hint="eastAsia" w:ascii="仿宋_GB2312" w:hAnsi="宋体" w:eastAsia="仿宋_GB2312" w:cs="Times New Roman"/>
          <w:color w:val="auto"/>
          <w:kern w:val="0"/>
          <w:sz w:val="28"/>
          <w:szCs w:val="28"/>
          <w:highlight w:val="none"/>
          <w:lang w:val="en-US" w:eastAsia="zh-CN" w:bidi="ar-SA"/>
        </w:rPr>
        <w:t>当空调设备发生突发故障时，在接到甲方通知后应提供紧急抢修服务，并在24小时内安排人员到达现场处理，原则上应于24小时内恢复空调设备的正常运行。</w:t>
      </w:r>
    </w:p>
    <w:p w14:paraId="3A5E30FB">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Theme="minorEastAsia" w:hAnsiTheme="minorEastAsia" w:cstheme="minorBidi"/>
          <w:b/>
          <w:color w:val="auto"/>
          <w:kern w:val="2"/>
          <w:sz w:val="32"/>
          <w:szCs w:val="32"/>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w:t>
      </w:r>
      <w:r>
        <w:rPr>
          <w:rFonts w:hint="eastAsia" w:ascii="仿宋_GB2312" w:eastAsia="仿宋_GB2312" w:hAnsiTheme="minorEastAsia"/>
          <w:color w:val="auto"/>
          <w:sz w:val="28"/>
          <w:szCs w:val="28"/>
          <w:highlight w:val="none"/>
          <w:lang w:val="en-US" w:eastAsia="zh-CN"/>
        </w:rPr>
        <w:t>5</w:t>
      </w:r>
      <w:r>
        <w:rPr>
          <w:rFonts w:hint="eastAsia" w:ascii="仿宋_GB2312" w:hAnsi="宋体" w:eastAsia="仿宋_GB2312" w:cs="Times New Roman"/>
          <w:color w:val="auto"/>
          <w:kern w:val="0"/>
          <w:sz w:val="28"/>
          <w:szCs w:val="28"/>
          <w:highlight w:val="none"/>
          <w:lang w:val="en-US" w:eastAsia="zh-CN" w:bidi="ar-SA"/>
        </w:rPr>
        <w:t>）本项目的维修费包含维修期内空调设备清洗消毒、维修时产生的人工劳务费、维修工器具使用费、维修时产生的零配件、冷媒及耗材费用（分体空调设备支架、分体空调拆装费另计)、特殊位置的辅助作业费用（如高空作业）、交通差旅费及税费。</w:t>
      </w:r>
    </w:p>
    <w:p w14:paraId="37DC0D43">
      <w:pPr>
        <w:widowControl w:val="0"/>
        <w:adjustRightInd w:val="0"/>
        <w:snapToGrid w:val="0"/>
        <w:spacing w:after="0" w:line="360" w:lineRule="auto"/>
        <w:ind w:left="0" w:leftChars="0" w:firstLine="0" w:firstLineChars="0"/>
        <w:jc w:val="both"/>
        <w:textAlignment w:val="baseline"/>
        <w:rPr>
          <w:rFonts w:hint="default"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cstheme="minorBidi"/>
          <w:b/>
          <w:color w:val="auto"/>
          <w:kern w:val="2"/>
          <w:sz w:val="32"/>
          <w:szCs w:val="32"/>
          <w:highlight w:val="none"/>
          <w:lang w:val="en-US" w:eastAsia="zh-CN" w:bidi="ar-SA"/>
        </w:rPr>
        <w:br w:type="textWrapping"/>
      </w:r>
      <w:r>
        <w:rPr>
          <w:rFonts w:hint="eastAsia" w:asciiTheme="minorEastAsia" w:hAnsiTheme="minorEastAsia" w:cstheme="minorBidi"/>
          <w:b/>
          <w:color w:val="auto"/>
          <w:kern w:val="2"/>
          <w:sz w:val="32"/>
          <w:szCs w:val="32"/>
          <w:highlight w:val="none"/>
          <w:lang w:val="en-US" w:eastAsia="zh-CN" w:bidi="ar-SA"/>
        </w:rPr>
        <w:t>三</w:t>
      </w:r>
      <w:r>
        <w:rPr>
          <w:rFonts w:hint="eastAsia" w:asciiTheme="minorEastAsia" w:hAnsiTheme="minorEastAsia" w:eastAsiaTheme="minorEastAsia" w:cstheme="minorBidi"/>
          <w:b/>
          <w:color w:val="auto"/>
          <w:kern w:val="2"/>
          <w:sz w:val="32"/>
          <w:szCs w:val="32"/>
          <w:highlight w:val="none"/>
          <w:lang w:val="en-US" w:eastAsia="zh-CN" w:bidi="ar-SA"/>
        </w:rPr>
        <w:t>、</w:t>
      </w:r>
      <w:r>
        <w:rPr>
          <w:rFonts w:hint="eastAsia" w:asciiTheme="minorEastAsia" w:hAnsiTheme="minorEastAsia" w:cstheme="minorBidi"/>
          <w:b/>
          <w:color w:val="auto"/>
          <w:kern w:val="2"/>
          <w:sz w:val="32"/>
          <w:szCs w:val="32"/>
          <w:highlight w:val="none"/>
          <w:lang w:val="en-US" w:eastAsia="zh-CN" w:bidi="ar-SA"/>
        </w:rPr>
        <w:t>项目商务要求</w:t>
      </w:r>
    </w:p>
    <w:p w14:paraId="5471967B">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zh-CN" w:eastAsia="zh-CN" w:bidi="ar-SA"/>
        </w:rPr>
      </w:pPr>
      <w:r>
        <w:rPr>
          <w:rFonts w:hint="eastAsia" w:ascii="仿宋_GB2312" w:hAnsi="宋体" w:eastAsia="仿宋_GB2312" w:cs="Times New Roman"/>
          <w:color w:val="auto"/>
          <w:kern w:val="0"/>
          <w:sz w:val="28"/>
          <w:szCs w:val="28"/>
          <w:highlight w:val="none"/>
          <w:lang w:val="en-US" w:eastAsia="zh-CN" w:bidi="ar-SA"/>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合同工期为</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365</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天</w:t>
      </w:r>
      <w:r>
        <w:rPr>
          <w:rFonts w:hint="eastAsia" w:ascii="仿宋_GB2312" w:hAnsi="仿宋_GB2312" w:eastAsia="仿宋_GB2312" w:cs="仿宋_GB2312"/>
          <w:color w:val="000000" w:themeColor="text1"/>
          <w:sz w:val="28"/>
          <w:szCs w:val="28"/>
          <w:highlight w:val="none"/>
          <w14:textFill>
            <w14:solidFill>
              <w14:schemeClr w14:val="tx1"/>
            </w14:solidFill>
          </w14:textFill>
        </w:rPr>
        <w:t>，具体日期以甲方发出的开工报告/通知为准</w:t>
      </w:r>
      <w:r>
        <w:rPr>
          <w:rFonts w:hint="eastAsia" w:ascii="仿宋_GB2312" w:hAnsi="仿宋_GB2312" w:eastAsia="仿宋_GB2312" w:cs="仿宋_GB2312"/>
          <w:color w:val="000000" w:themeColor="text1"/>
          <w:sz w:val="28"/>
          <w:szCs w:val="28"/>
          <w:highlight w:val="none"/>
          <w:u w:val="none"/>
          <w:lang w:eastAsia="zh-CN"/>
          <w14:textFill>
            <w14:solidFill>
              <w14:schemeClr w14:val="tx1"/>
            </w14:solidFill>
          </w14:textFill>
        </w:rPr>
        <w:t>。</w:t>
      </w:r>
    </w:p>
    <w:p w14:paraId="4AB2587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2、质保期：质保期为验收合格之日起壹年。</w:t>
      </w:r>
    </w:p>
    <w:p w14:paraId="76DB2BC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3、总包及分包规定：承包单位不许转包，不许擅自分包, 否则，发包人有权单方面终止合同，并令其立即退场，由此而造成的经济损失由承包单位负责赔偿。</w:t>
      </w:r>
    </w:p>
    <w:p w14:paraId="7FDAD46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4、质量要求：项目实施内容及要求，必须按国家标准、行业标准、检定规程、设备技术要求等规定对设备进行维修服务，确保设备使用的正常、安全。</w:t>
      </w:r>
    </w:p>
    <w:p w14:paraId="3664001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 xml:space="preserve">    </w:t>
      </w:r>
    </w:p>
    <w:bookmarkEnd w:id="47"/>
    <w:p w14:paraId="0B4366DE">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14:paraId="34796205">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1D4249D4">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569B9913">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3C8AFBC9">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7AAFB298">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7E0E7978">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14:paraId="4D950495">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14:paraId="2BC7C22E">
      <w:pPr>
        <w:pStyle w:val="3"/>
        <w:rPr>
          <w:color w:val="auto"/>
          <w:highlight w:val="none"/>
        </w:rPr>
      </w:pPr>
      <w:bookmarkStart w:id="48" w:name="_Toc87616386"/>
      <w:bookmarkStart w:id="49" w:name="_Toc13309"/>
      <w:bookmarkStart w:id="50" w:name="_Toc12980"/>
      <w:bookmarkStart w:id="51" w:name="_Toc12721"/>
      <w:bookmarkStart w:id="52" w:name="_Toc12968"/>
      <w:bookmarkStart w:id="53" w:name="_Toc22501"/>
      <w:bookmarkStart w:id="54" w:name="_Toc88209949"/>
      <w:bookmarkStart w:id="55" w:name="_Toc8183"/>
      <w:bookmarkStart w:id="56" w:name="_Toc19088"/>
      <w:bookmarkStart w:id="57" w:name="_Toc22797"/>
      <w:bookmarkStart w:id="58" w:name="_Toc323"/>
      <w:bookmarkStart w:id="59" w:name="_Toc19686"/>
      <w:bookmarkStart w:id="60" w:name="_Toc1375"/>
      <w:r>
        <w:rPr>
          <w:rFonts w:hint="eastAsia"/>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14:paraId="7EC77C78">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14:paraId="5D29866D">
      <w:pPr>
        <w:ind w:firstLine="2310" w:firstLineChars="1100"/>
        <w:jc w:val="right"/>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1"/>
          <w:szCs w:val="21"/>
          <w:highlight w:val="none"/>
          <w:lang w:val="en-US" w:eastAsia="zh-CN"/>
        </w:rPr>
        <w:t xml:space="preserve">  </w:t>
      </w:r>
    </w:p>
    <w:p w14:paraId="21F6AF4F">
      <w:pPr>
        <w:pStyle w:val="3"/>
        <w:keepNext w:val="0"/>
        <w:keepLines w:val="0"/>
        <w:spacing w:before="0" w:after="0" w:line="240" w:lineRule="auto"/>
        <w:rPr>
          <w:rFonts w:hint="default" w:ascii="宋体" w:hAnsi="宋体" w:eastAsia="宋体" w:cs="宋体"/>
          <w:color w:val="auto"/>
          <w:sz w:val="21"/>
          <w:szCs w:val="21"/>
          <w:highlight w:val="none"/>
          <w:lang w:val="en-US" w:eastAsia="zh-CN"/>
        </w:rPr>
      </w:pPr>
    </w:p>
    <w:p w14:paraId="6C3ED1C0">
      <w:pPr>
        <w:autoSpaceDE/>
        <w:autoSpaceDN/>
        <w:adjustRightInd/>
        <w:snapToGrid/>
        <w:spacing w:line="240" w:lineRule="auto"/>
        <w:ind w:right="32"/>
        <w:jc w:val="center"/>
        <w:rPr>
          <w:rFonts w:hint="eastAsia" w:ascii="宋体" w:hAnsi="宋体" w:eastAsia="宋体" w:cs="宋体"/>
          <w:color w:val="auto"/>
          <w:sz w:val="21"/>
          <w:szCs w:val="21"/>
          <w:highlight w:val="none"/>
        </w:rPr>
      </w:pPr>
    </w:p>
    <w:p w14:paraId="348EE783">
      <w:pPr>
        <w:ind w:firstLine="0" w:firstLineChars="0"/>
        <w:rPr>
          <w:rFonts w:hint="eastAsia" w:hAnsi="宋体"/>
          <w:bCs/>
          <w:color w:val="auto"/>
          <w:sz w:val="24"/>
          <w:highlight w:val="none"/>
        </w:rPr>
      </w:pPr>
    </w:p>
    <w:p w14:paraId="69058661">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广州市净水有限公司</w:t>
      </w:r>
    </w:p>
    <w:p w14:paraId="63D131F3">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设备维修维护/技改项目合同</w:t>
      </w:r>
    </w:p>
    <w:p w14:paraId="4EE8CEB4">
      <w:pPr>
        <w:pStyle w:val="5"/>
        <w:keepNext w:val="0"/>
        <w:keepLines w:val="0"/>
        <w:rPr>
          <w:rFonts w:hint="eastAsia" w:ascii="仿宋_GB2312" w:hAnsi="仿宋_GB2312" w:eastAsia="仿宋_GB2312" w:cs="仿宋_GB2312"/>
          <w:b w:val="0"/>
          <w:bCs w:val="0"/>
          <w:color w:val="auto"/>
          <w:sz w:val="32"/>
          <w:szCs w:val="32"/>
          <w:highlight w:val="none"/>
          <w:lang w:val="en-US" w:eastAsia="zh-CN"/>
        </w:rPr>
      </w:pPr>
      <w:r>
        <w:rPr>
          <w:rFonts w:hint="eastAsia" w:ascii="宋体" w:hAnsi="宋体" w:eastAsia="宋体" w:cs="宋体"/>
          <w:b/>
          <w:bCs/>
          <w:color w:val="auto"/>
          <w:sz w:val="48"/>
          <w:szCs w:val="48"/>
          <w:highlight w:val="none"/>
          <w:lang w:val="en-US" w:eastAsia="zh-CN"/>
        </w:rPr>
        <w:t xml:space="preserve">             </w:t>
      </w:r>
    </w:p>
    <w:p w14:paraId="7F14D3A3">
      <w:pPr>
        <w:rPr>
          <w:rFonts w:hint="default"/>
          <w:lang w:val="en-US" w:eastAsia="zh-CN"/>
        </w:rPr>
      </w:pPr>
    </w:p>
    <w:p w14:paraId="4329CB4E">
      <w:pPr>
        <w:pStyle w:val="12"/>
        <w:snapToGrid/>
        <w:spacing w:line="400" w:lineRule="exact"/>
        <w:ind w:right="84" w:rightChars="40" w:firstLine="0" w:firstLineChars="0"/>
        <w:rPr>
          <w:rFonts w:hint="eastAsia" w:hAnsi="宋体" w:eastAsia="宋体"/>
          <w:b/>
          <w:color w:val="auto"/>
          <w:sz w:val="24"/>
          <w:highlight w:val="none"/>
        </w:rPr>
      </w:pPr>
    </w:p>
    <w:p w14:paraId="4AD68A06">
      <w:pPr>
        <w:pStyle w:val="12"/>
        <w:snapToGrid/>
        <w:spacing w:line="400" w:lineRule="exact"/>
        <w:ind w:right="84" w:rightChars="40" w:firstLine="192" w:firstLineChars="80"/>
        <w:rPr>
          <w:rFonts w:hint="eastAsia" w:hAnsi="宋体" w:eastAsia="宋体"/>
          <w:bCs/>
          <w:color w:val="auto"/>
          <w:sz w:val="24"/>
          <w:highlight w:val="none"/>
        </w:rPr>
      </w:pPr>
    </w:p>
    <w:p w14:paraId="30B6C8E7">
      <w:pPr>
        <w:pStyle w:val="12"/>
        <w:snapToGrid/>
        <w:spacing w:line="400" w:lineRule="exact"/>
        <w:ind w:left="3077" w:leftChars="751" w:right="84" w:rightChars="40" w:hanging="1500" w:hangingChars="500"/>
        <w:rPr>
          <w:rFonts w:hint="eastAsia" w:ascii="仿宋_GB2312" w:hAnsi="仿宋_GB2312" w:eastAsia="仿宋_GB2312" w:cs="仿宋_GB2312"/>
          <w:b w:val="0"/>
          <w:bCs/>
          <w:color w:val="auto"/>
          <w:sz w:val="30"/>
          <w:szCs w:val="30"/>
          <w:highlight w:val="none"/>
          <w:lang w:eastAsia="zh-CN"/>
        </w:rPr>
      </w:pPr>
      <w:r>
        <w:rPr>
          <w:rFonts w:hint="eastAsia" w:ascii="仿宋_GB2312" w:hAnsi="仿宋_GB2312" w:eastAsia="仿宋_GB2312" w:cs="仿宋_GB2312"/>
          <w:b w:val="0"/>
          <w:bCs/>
          <w:color w:val="auto"/>
          <w:sz w:val="30"/>
          <w:szCs w:val="30"/>
          <w:highlight w:val="none"/>
        </w:rPr>
        <w:t>项目名称：</w:t>
      </w:r>
      <w:r>
        <w:rPr>
          <w:rFonts w:hint="eastAsia" w:ascii="仿宋_GB2312" w:hAnsi="仿宋_GB2312" w:eastAsia="仿宋_GB2312" w:cs="仿宋_GB2312"/>
          <w:b w:val="0"/>
          <w:bCs/>
          <w:color w:val="auto"/>
          <w:sz w:val="30"/>
          <w:szCs w:val="30"/>
          <w:highlight w:val="none"/>
          <w:lang w:val="en-US" w:eastAsia="zh-CN"/>
        </w:rPr>
        <w:t>猎德分公司2025年生产区域空调维修项目</w:t>
      </w:r>
    </w:p>
    <w:p w14:paraId="6F4C0E19">
      <w:pPr>
        <w:pStyle w:val="12"/>
        <w:snapToGrid/>
        <w:ind w:right="84" w:rightChars="40"/>
        <w:rPr>
          <w:rFonts w:hint="eastAsia" w:ascii="仿宋_GB2312" w:hAnsi="仿宋_GB2312" w:eastAsia="仿宋_GB2312" w:cs="仿宋_GB2312"/>
          <w:b w:val="0"/>
          <w:bCs/>
          <w:color w:val="auto"/>
          <w:sz w:val="30"/>
          <w:szCs w:val="30"/>
          <w:highlight w:val="none"/>
        </w:rPr>
      </w:pPr>
    </w:p>
    <w:p w14:paraId="17EE8C9E">
      <w:pPr>
        <w:pStyle w:val="12"/>
        <w:snapToGrid/>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合同编号：穗净水合[    ]    号</w:t>
      </w:r>
    </w:p>
    <w:p w14:paraId="18BAEE4D">
      <w:pPr>
        <w:pStyle w:val="12"/>
        <w:snapToGrid/>
        <w:spacing w:line="400" w:lineRule="exact"/>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项目编号：</w:t>
      </w:r>
    </w:p>
    <w:p w14:paraId="4AFACA14">
      <w:pPr>
        <w:pStyle w:val="12"/>
        <w:snapToGrid/>
        <w:ind w:right="84" w:rightChars="40" w:firstLine="1569"/>
        <w:rPr>
          <w:rFonts w:hint="eastAsia" w:ascii="仿宋_GB2312" w:hAnsi="仿宋_GB2312" w:eastAsia="仿宋_GB2312" w:cs="仿宋_GB2312"/>
          <w:b w:val="0"/>
          <w:bCs/>
          <w:color w:val="auto"/>
          <w:sz w:val="30"/>
          <w:szCs w:val="30"/>
          <w:highlight w:val="none"/>
        </w:rPr>
      </w:pPr>
    </w:p>
    <w:p w14:paraId="3E313B15">
      <w:pPr>
        <w:pStyle w:val="12"/>
        <w:snapToGrid/>
        <w:ind w:right="84" w:rightChars="40" w:firstLine="0"/>
        <w:rPr>
          <w:rFonts w:hint="eastAsia" w:ascii="仿宋_GB2312" w:hAnsi="仿宋_GB2312" w:eastAsia="仿宋_GB2312" w:cs="仿宋_GB2312"/>
          <w:b w:val="0"/>
          <w:bCs/>
          <w:color w:val="auto"/>
          <w:sz w:val="30"/>
          <w:szCs w:val="30"/>
          <w:highlight w:val="none"/>
        </w:rPr>
      </w:pPr>
    </w:p>
    <w:p w14:paraId="5202D32B">
      <w:pPr>
        <w:pStyle w:val="12"/>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甲方：广州市净水有限公司</w:t>
      </w:r>
    </w:p>
    <w:p w14:paraId="6199DF94">
      <w:pPr>
        <w:pStyle w:val="12"/>
        <w:snapToGrid/>
        <w:ind w:right="84" w:rightChars="40" w:firstLine="0"/>
        <w:rPr>
          <w:rFonts w:hint="eastAsia" w:ascii="仿宋_GB2312" w:hAnsi="仿宋_GB2312" w:eastAsia="仿宋_GB2312" w:cs="仿宋_GB2312"/>
          <w:b w:val="0"/>
          <w:bCs/>
          <w:color w:val="auto"/>
          <w:sz w:val="30"/>
          <w:szCs w:val="30"/>
          <w:highlight w:val="none"/>
        </w:rPr>
      </w:pPr>
    </w:p>
    <w:p w14:paraId="6ECC4D41">
      <w:pPr>
        <w:pStyle w:val="12"/>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乙方：</w:t>
      </w:r>
    </w:p>
    <w:p w14:paraId="3E5D6401">
      <w:pPr>
        <w:pStyle w:val="12"/>
        <w:snapToGrid/>
        <w:ind w:right="84" w:rightChars="40" w:firstLine="1563" w:firstLineChars="521"/>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 xml:space="preserve"> </w:t>
      </w:r>
    </w:p>
    <w:p w14:paraId="1E526E4B">
      <w:pPr>
        <w:pStyle w:val="12"/>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14:paraId="39FD3417">
      <w:pPr>
        <w:ind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签订日期：       年   月   日</w:t>
      </w:r>
    </w:p>
    <w:p w14:paraId="68982FF8">
      <w:pPr>
        <w:ind w:firstLine="1500" w:firstLineChars="500"/>
        <w:rPr>
          <w:rFonts w:hint="eastAsia" w:ascii="宋体" w:hAnsi="宋体" w:eastAsia="宋体" w:cs="宋体"/>
          <w:b/>
          <w:color w:val="auto"/>
          <w:sz w:val="30"/>
          <w:szCs w:val="30"/>
          <w:highlight w:val="none"/>
          <w:lang w:val="zh-CN"/>
        </w:rPr>
      </w:pPr>
      <w:r>
        <w:rPr>
          <w:rFonts w:hint="eastAsia" w:ascii="仿宋_GB2312" w:hAnsi="仿宋_GB2312" w:eastAsia="仿宋_GB2312" w:cs="仿宋_GB2312"/>
          <w:b w:val="0"/>
          <w:bCs/>
          <w:color w:val="auto"/>
          <w:sz w:val="30"/>
          <w:szCs w:val="30"/>
          <w:highlight w:val="none"/>
        </w:rPr>
        <w:t>签订地点：广州市</w:t>
      </w:r>
    </w:p>
    <w:p w14:paraId="6DA08A1F">
      <w:pPr>
        <w:rPr>
          <w:rFonts w:hint="eastAsia" w:ascii="宋体" w:hAnsi="宋体" w:eastAsia="宋体"/>
          <w:b/>
          <w:color w:val="auto"/>
          <w:sz w:val="44"/>
          <w:szCs w:val="44"/>
          <w:highlight w:val="none"/>
        </w:rPr>
        <w:sectPr>
          <w:headerReference r:id="rId7" w:type="default"/>
          <w:footerReference r:id="rId8" w:type="default"/>
          <w:footerReference r:id="rId9" w:type="even"/>
          <w:pgSz w:w="11906" w:h="16838"/>
          <w:pgMar w:top="1644" w:right="1701" w:bottom="1644" w:left="1701" w:header="851" w:footer="992" w:gutter="0"/>
          <w:pgNumType w:fmt="numberInDash"/>
          <w:cols w:space="708" w:num="1"/>
          <w:docGrid w:type="lines" w:linePitch="312" w:charSpace="0"/>
        </w:sectPr>
      </w:pPr>
    </w:p>
    <w:p w14:paraId="6205C23C">
      <w:pPr>
        <w:spacing w:line="240" w:lineRule="auto"/>
        <w:ind w:firstLine="480" w:firstLineChars="200"/>
        <w:rPr>
          <w:rFonts w:hint="eastAsia" w:ascii="宋体" w:hAnsi="宋体" w:eastAsia="宋体" w:cs="宋体"/>
          <w:color w:val="000000" w:themeColor="text1"/>
          <w:sz w:val="24"/>
          <w:szCs w:val="24"/>
          <w:highlight w:val="none"/>
          <w:lang w:bidi="en-US"/>
          <w14:textFill>
            <w14:solidFill>
              <w14:schemeClr w14:val="tx1"/>
            </w14:solidFill>
          </w14:textFill>
        </w:rPr>
      </w:pPr>
    </w:p>
    <w:p w14:paraId="0964A35A">
      <w:pPr>
        <w:spacing w:line="360" w:lineRule="auto"/>
        <w:rPr>
          <w:rFonts w:hint="eastAsia" w:ascii="宋体" w:hAnsi="宋体" w:cs="宋体"/>
          <w:b/>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br w:type="page"/>
      </w:r>
    </w:p>
    <w:p w14:paraId="31AA2E83">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根据《中华人民共和国</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民法典</w:t>
      </w:r>
      <w:r>
        <w:rPr>
          <w:rFonts w:hint="eastAsia" w:ascii="仿宋_GB2312" w:hAnsi="仿宋_GB2312" w:eastAsia="仿宋_GB2312" w:cs="仿宋_GB2312"/>
          <w:color w:val="000000" w:themeColor="text1"/>
          <w:sz w:val="28"/>
          <w:szCs w:val="28"/>
          <w:highlight w:val="none"/>
          <w14:textFill>
            <w14:solidFill>
              <w14:schemeClr w14:val="tx1"/>
            </w14:solidFill>
          </w14:textFill>
        </w:rPr>
        <w:t>》及其他有关法律、行政法规，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（以下简称“甲方”）与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（以下简称“乙方”）就</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猎德分公司2025年生产区域空调维修项目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承接工作事宜，遵循平等、自愿、公平和诚实信用的原则，双方协商一致，订立本合同。</w:t>
      </w:r>
    </w:p>
    <w:p w14:paraId="4FEA650B">
      <w:pPr>
        <w:spacing w:beforeLines="0" w:afterLines="0" w:line="560" w:lineRule="exact"/>
        <w:ind w:left="0" w:leftChars="0"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组成合同的文件及优先顺序</w:t>
      </w:r>
    </w:p>
    <w:p w14:paraId="6DA1A0E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下列文件（如有）均为本合同的组成部分，可视为能相互说明和补充的，如果合同文件存在歧义或相矛盾的地方，则根据以下次序判断：</w:t>
      </w:r>
    </w:p>
    <w:p w14:paraId="2066AC7D">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在本合同实施过程双方签署的补充与修正文件</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14:paraId="791963C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本合同书；</w:t>
      </w:r>
    </w:p>
    <w:p w14:paraId="523F1E9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中标通知书/发包通知书/</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成交通知书/</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委托函；</w:t>
      </w:r>
    </w:p>
    <w:p w14:paraId="26D2CD43">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招标文件/询价文件；</w:t>
      </w:r>
    </w:p>
    <w:p w14:paraId="77EB3687">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投标文件/响应文件；</w:t>
      </w:r>
    </w:p>
    <w:p w14:paraId="52D26F9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标准、规范及有关技术性文件；</w:t>
      </w:r>
    </w:p>
    <w:p w14:paraId="414F62A8">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图纸；</w:t>
      </w:r>
    </w:p>
    <w:p w14:paraId="51C448D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6237316F">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本合同其他附件；</w:t>
      </w:r>
    </w:p>
    <w:p w14:paraId="689D38B3">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第二条 项目概况、项目承包范围</w:t>
      </w:r>
    </w:p>
    <w:p w14:paraId="5E96F299">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2.1项目名称：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猎德分公司2025年生产区域空调维修项目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p>
    <w:p w14:paraId="6625297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2.2项目地点：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广州市净水有限公司猎德分公司</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2CD2C551">
      <w:pPr>
        <w:spacing w:beforeLines="0" w:afterLines="0" w:line="560" w:lineRule="exact"/>
        <w:ind w:firstLine="560" w:firstLineChars="200"/>
        <w:rPr>
          <w:rFonts w:hint="eastAsia" w:ascii="仿宋_GB2312" w:hAnsi="仿宋_GB2312" w:eastAsia="仿宋_GB2312" w:cs="仿宋_GB2312"/>
          <w:color w:val="000000" w:themeColor="text1"/>
          <w:spacing w:val="8"/>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2.3项目内容：</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对猎德分公司生产区域空调进行清洗和维修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5441C912">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2.4项目承包范围：包括提供所有需要的材料、机械、人工、设施、完成合同约定的工作和服务。按照甲方审核同意的方案、图纸所包括的实施范围和内容进行施工并在质量保修期内承担项目质量保修责任。</w:t>
      </w:r>
    </w:p>
    <w:tbl>
      <w:tblPr>
        <w:tblStyle w:val="23"/>
        <w:tblW w:w="495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2"/>
        <w:gridCol w:w="1248"/>
        <w:gridCol w:w="611"/>
        <w:gridCol w:w="659"/>
        <w:gridCol w:w="5738"/>
      </w:tblGrid>
      <w:tr w14:paraId="618B4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jc w:val="center"/>
        </w:trPr>
        <w:tc>
          <w:tcPr>
            <w:tcW w:w="402" w:type="pct"/>
            <w:tcBorders>
              <w:right w:val="single" w:color="auto" w:sz="4" w:space="0"/>
            </w:tcBorders>
            <w:vAlign w:val="center"/>
          </w:tcPr>
          <w:p w14:paraId="766544FE">
            <w:pPr>
              <w:spacing w:beforeLines="0" w:afterLines="0"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序号</w:t>
            </w:r>
          </w:p>
        </w:tc>
        <w:tc>
          <w:tcPr>
            <w:tcW w:w="695" w:type="pct"/>
            <w:tcBorders>
              <w:left w:val="single" w:color="auto" w:sz="4" w:space="0"/>
              <w:right w:val="single" w:color="auto" w:sz="4" w:space="0"/>
            </w:tcBorders>
            <w:vAlign w:val="center"/>
          </w:tcPr>
          <w:p w14:paraId="20C3CA40">
            <w:pPr>
              <w:spacing w:beforeLines="0" w:afterLines="0"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维修</w:t>
            </w:r>
            <w:r>
              <w:rPr>
                <w:rFonts w:hint="eastAsia" w:ascii="仿宋_GB2312" w:hAnsi="仿宋_GB2312" w:eastAsia="仿宋_GB2312" w:cs="仿宋_GB2312"/>
                <w:color w:val="000000" w:themeColor="text1"/>
                <w:sz w:val="24"/>
                <w:szCs w:val="24"/>
                <w:highlight w:val="none"/>
                <w14:textFill>
                  <w14:solidFill>
                    <w14:schemeClr w14:val="tx1"/>
                  </w14:solidFill>
                </w14:textFill>
              </w:rPr>
              <w:t>名称</w:t>
            </w:r>
          </w:p>
        </w:tc>
        <w:tc>
          <w:tcPr>
            <w:tcW w:w="340" w:type="pct"/>
            <w:tcBorders>
              <w:left w:val="single" w:color="auto" w:sz="4" w:space="0"/>
            </w:tcBorders>
            <w:vAlign w:val="center"/>
          </w:tcPr>
          <w:p w14:paraId="0C5A4643">
            <w:pPr>
              <w:widowControl w:val="0"/>
              <w:spacing w:beforeLines="0" w:afterLines="0" w:line="240" w:lineRule="auto"/>
              <w:jc w:val="cente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单位</w:t>
            </w:r>
          </w:p>
        </w:tc>
        <w:tc>
          <w:tcPr>
            <w:tcW w:w="367" w:type="pct"/>
            <w:tcBorders>
              <w:left w:val="single" w:color="auto" w:sz="4" w:space="0"/>
            </w:tcBorders>
            <w:vAlign w:val="center"/>
          </w:tcPr>
          <w:p w14:paraId="004CAD93">
            <w:pPr>
              <w:spacing w:beforeLines="0" w:afterLines="0" w:line="240" w:lineRule="auto"/>
              <w:jc w:val="cente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数量</w:t>
            </w:r>
          </w:p>
        </w:tc>
        <w:tc>
          <w:tcPr>
            <w:tcW w:w="3194" w:type="pct"/>
            <w:tcBorders>
              <w:left w:val="single" w:color="auto" w:sz="4" w:space="0"/>
            </w:tcBorders>
            <w:vAlign w:val="center"/>
          </w:tcPr>
          <w:p w14:paraId="1AD2FCC2">
            <w:pPr>
              <w:spacing w:beforeLines="0" w:afterLines="0" w:line="240" w:lineRule="auto"/>
              <w:jc w:val="center"/>
              <w:rPr>
                <w:rFonts w:hint="eastAsia"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备注</w:t>
            </w:r>
          </w:p>
        </w:tc>
      </w:tr>
      <w:tr w14:paraId="2503C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exact"/>
          <w:jc w:val="center"/>
        </w:trPr>
        <w:tc>
          <w:tcPr>
            <w:tcW w:w="402" w:type="pct"/>
            <w:tcBorders>
              <w:right w:val="single" w:color="auto" w:sz="4" w:space="0"/>
            </w:tcBorders>
            <w:vAlign w:val="center"/>
          </w:tcPr>
          <w:p w14:paraId="61B1BEE6">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w:t>
            </w:r>
          </w:p>
        </w:tc>
        <w:tc>
          <w:tcPr>
            <w:tcW w:w="695" w:type="pct"/>
            <w:tcBorders>
              <w:left w:val="single" w:color="auto" w:sz="4" w:space="0"/>
              <w:right w:val="single" w:color="auto" w:sz="4" w:space="0"/>
            </w:tcBorders>
            <w:vAlign w:val="center"/>
          </w:tcPr>
          <w:p w14:paraId="019BD562">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分体式空调深度清洗</w:t>
            </w:r>
          </w:p>
        </w:tc>
        <w:tc>
          <w:tcPr>
            <w:tcW w:w="340" w:type="pct"/>
            <w:tcBorders>
              <w:left w:val="single" w:color="auto" w:sz="4" w:space="0"/>
            </w:tcBorders>
            <w:vAlign w:val="center"/>
          </w:tcPr>
          <w:p w14:paraId="2D1EF8DA">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台</w:t>
            </w:r>
          </w:p>
        </w:tc>
        <w:tc>
          <w:tcPr>
            <w:tcW w:w="367" w:type="pct"/>
            <w:tcBorders>
              <w:left w:val="single" w:color="auto" w:sz="4" w:space="0"/>
            </w:tcBorders>
            <w:vAlign w:val="center"/>
          </w:tcPr>
          <w:p w14:paraId="44045094">
            <w:pPr>
              <w:spacing w:beforeLines="0" w:afterLines="0" w:line="240" w:lineRule="auto"/>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113</w:t>
            </w:r>
          </w:p>
        </w:tc>
        <w:tc>
          <w:tcPr>
            <w:tcW w:w="3194" w:type="pct"/>
            <w:tcBorders>
              <w:left w:val="single" w:color="auto" w:sz="4" w:space="0"/>
            </w:tcBorders>
            <w:vAlign w:val="center"/>
          </w:tcPr>
          <w:p w14:paraId="35F80A99">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深度清洗滤网、出风口、高温蒸汽冲洗蒸发器及室外主机，实施时按实际发生数结算。</w:t>
            </w:r>
          </w:p>
          <w:p w14:paraId="2DE8B77B">
            <w:pPr>
              <w:spacing w:beforeLines="0" w:afterLines="0" w:line="240" w:lineRule="auto"/>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空调种类：包括</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猎德分公司的</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挂壁式空调、立柜空调、</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吸顶式空调、多联式</w:t>
            </w:r>
            <w:r>
              <w:rPr>
                <w:rFonts w:hint="eastAsia" w:ascii="仿宋_GB2312" w:hAnsi="仿宋_GB2312" w:eastAsia="仿宋_GB2312" w:cs="仿宋_GB2312"/>
                <w:bCs/>
                <w:color w:val="000000" w:themeColor="text1"/>
                <w:sz w:val="24"/>
                <w:szCs w:val="24"/>
                <w:highlight w:val="none"/>
                <w14:textFill>
                  <w14:solidFill>
                    <w14:schemeClr w14:val="tx1"/>
                  </w14:solidFill>
                </w14:textFill>
              </w:rPr>
              <w:t>中央空调等</w:t>
            </w: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所有类型，按清单统一单价进行计价</w:t>
            </w:r>
            <w:r>
              <w:rPr>
                <w:rFonts w:hint="eastAsia" w:ascii="仿宋_GB2312" w:hAnsi="仿宋_GB2312" w:eastAsia="仿宋_GB2312" w:cs="仿宋_GB2312"/>
                <w:bCs/>
                <w:color w:val="000000" w:themeColor="text1"/>
                <w:sz w:val="24"/>
                <w:szCs w:val="24"/>
                <w:highlight w:val="none"/>
                <w:lang w:eastAsia="zh-CN"/>
                <w14:textFill>
                  <w14:solidFill>
                    <w14:schemeClr w14:val="tx1"/>
                  </w14:solidFill>
                </w14:textFill>
              </w:rPr>
              <w:t>）</w:t>
            </w:r>
          </w:p>
        </w:tc>
      </w:tr>
      <w:tr w14:paraId="08918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9" w:hRule="exact"/>
          <w:jc w:val="center"/>
        </w:trPr>
        <w:tc>
          <w:tcPr>
            <w:tcW w:w="402" w:type="pct"/>
            <w:tcBorders>
              <w:right w:val="single" w:color="auto" w:sz="4" w:space="0"/>
            </w:tcBorders>
            <w:vAlign w:val="center"/>
          </w:tcPr>
          <w:p w14:paraId="02F5E1FA">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2</w:t>
            </w:r>
          </w:p>
        </w:tc>
        <w:tc>
          <w:tcPr>
            <w:tcW w:w="695" w:type="pct"/>
            <w:tcBorders>
              <w:left w:val="single" w:color="auto" w:sz="4" w:space="0"/>
              <w:right w:val="single" w:color="auto" w:sz="4" w:space="0"/>
            </w:tcBorders>
            <w:vAlign w:val="center"/>
          </w:tcPr>
          <w:p w14:paraId="1CDD94B3">
            <w:pPr>
              <w:spacing w:beforeLines="0" w:afterLines="0" w:line="240" w:lineRule="auto"/>
              <w:jc w:val="cente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空调维修</w:t>
            </w:r>
          </w:p>
        </w:tc>
        <w:tc>
          <w:tcPr>
            <w:tcW w:w="340" w:type="pct"/>
            <w:tcBorders>
              <w:left w:val="single" w:color="auto" w:sz="4" w:space="0"/>
            </w:tcBorders>
            <w:vAlign w:val="center"/>
          </w:tcPr>
          <w:p w14:paraId="308C57C6">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台</w:t>
            </w:r>
          </w:p>
        </w:tc>
        <w:tc>
          <w:tcPr>
            <w:tcW w:w="367" w:type="pct"/>
            <w:tcBorders>
              <w:left w:val="single" w:color="auto" w:sz="4" w:space="0"/>
            </w:tcBorders>
            <w:vAlign w:val="center"/>
          </w:tcPr>
          <w:p w14:paraId="0E5227E9">
            <w:pPr>
              <w:spacing w:beforeLines="0" w:afterLines="0" w:line="240" w:lineRule="auto"/>
              <w:jc w:val="center"/>
              <w:rPr>
                <w:rFonts w:hint="eastAsia" w:ascii="仿宋_GB2312" w:hAnsi="仿宋_GB2312" w:eastAsia="仿宋_GB2312" w:cs="仿宋_GB2312"/>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113</w:t>
            </w:r>
          </w:p>
        </w:tc>
        <w:tc>
          <w:tcPr>
            <w:tcW w:w="3194" w:type="pct"/>
            <w:tcBorders>
              <w:left w:val="single" w:color="auto" w:sz="4" w:space="0"/>
            </w:tcBorders>
            <w:vAlign w:val="center"/>
          </w:tcPr>
          <w:p w14:paraId="1818C975">
            <w:pPr>
              <w:spacing w:beforeLines="0" w:afterLines="0" w:line="240" w:lineRule="auto"/>
              <w:jc w:val="center"/>
              <w:rPr>
                <w:rFonts w:hint="default" w:ascii="仿宋_GB2312" w:hAnsi="仿宋_GB2312" w:eastAsia="仿宋_GB2312" w:cs="仿宋_GB2312"/>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4"/>
                <w:szCs w:val="24"/>
                <w:highlight w:val="none"/>
                <w:lang w:val="en-US" w:eastAsia="zh-CN"/>
                <w14:textFill>
                  <w14:solidFill>
                    <w14:schemeClr w14:val="tx1"/>
                  </w14:solidFill>
                </w14:textFill>
              </w:rPr>
              <w:t>维修结算根据实际发生的工作量及维修报价清单中的单价按实结算，按清单统一单价进行计价。</w:t>
            </w:r>
          </w:p>
        </w:tc>
      </w:tr>
    </w:tbl>
    <w:p w14:paraId="5083CE64">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第三条 项目承包方式</w:t>
      </w:r>
    </w:p>
    <w:p w14:paraId="6A07349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包工、包料、包工期、包质量、包安全、包文明施工。综合单价包干、项目措施费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按实结算</w:t>
      </w:r>
      <w:r>
        <w:rPr>
          <w:rFonts w:hint="eastAsia" w:ascii="仿宋_GB2312" w:hAnsi="仿宋_GB2312" w:eastAsia="仿宋_GB2312" w:cs="仿宋_GB2312"/>
          <w:color w:val="000000" w:themeColor="text1"/>
          <w:sz w:val="28"/>
          <w:szCs w:val="28"/>
          <w:highlight w:val="none"/>
          <w14:textFill>
            <w14:solidFill>
              <w14:schemeClr w14:val="tx1"/>
            </w14:solidFill>
          </w14:textFill>
        </w:rPr>
        <w:t>。（单价包干要求附</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工程量清单/</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4A128714">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□包工、包料、包质量、包工期、包安全、包文明施工、包设计、包调试、包验收的施工图纸，以总价包干形式。</w:t>
      </w:r>
    </w:p>
    <w:p w14:paraId="30D3AA89">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第四条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合同价款</w:t>
      </w:r>
    </w:p>
    <w:p w14:paraId="403F85F9">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bdr w:val="single" w:color="auto" w:sz="4" w:space="0"/>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4.1合同价款按以下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w:t>
      </w:r>
    </w:p>
    <w:p w14:paraId="30AD1926">
      <w:pPr>
        <w:numPr>
          <w:ilvl w:val="-1"/>
          <w:numId w:val="0"/>
        </w:num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（大写:）。经甲方或甲方委托有资质第三方机构审核后，审核价作为合同结算价。若合同结算价超合同暂定总价，双方另行签订补充协议。</w:t>
      </w:r>
    </w:p>
    <w:p w14:paraId="160B59E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合同单价在合同有效期内为不变价。乙方已经充分考虑本合同履行期间的市场风险和国家政策性调整风险系数并已计入报价，因此合同单价在合同有效期内不因任何因素而作调整。</w:t>
      </w:r>
    </w:p>
    <w:p w14:paraId="0CECDBE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合同以总价包干形式，合同暂定总价为：</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人民币</w:t>
      </w:r>
      <w:r>
        <w:rPr>
          <w:rFonts w:hint="eastAsia" w:ascii="仿宋_GB2312" w:hAnsi="仿宋_GB2312" w:eastAsia="仿宋_GB2312" w:cs="仿宋_GB2312"/>
          <w:b/>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b/>
          <w:color w:val="000000" w:themeColor="text1"/>
          <w:sz w:val="28"/>
          <w:szCs w:val="28"/>
          <w:highlight w:val="none"/>
          <w:u w:val="single"/>
          <w14:textFill>
            <w14:solidFill>
              <w14:schemeClr w14:val="tx1"/>
            </w14:solidFill>
          </w14:textFill>
        </w:rPr>
        <w:t>元</w:t>
      </w:r>
      <w:r>
        <w:rPr>
          <w:rFonts w:hint="eastAsia" w:ascii="仿宋_GB2312" w:hAnsi="仿宋_GB2312" w:eastAsia="仿宋_GB2312" w:cs="仿宋_GB2312"/>
          <w:color w:val="000000" w:themeColor="text1"/>
          <w:sz w:val="28"/>
          <w:szCs w:val="28"/>
          <w:highlight w:val="none"/>
          <w14:textFill>
            <w14:solidFill>
              <w14:schemeClr w14:val="tx1"/>
            </w14:solidFill>
          </w14:textFill>
        </w:rPr>
        <w:t>（大写:</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）。经甲方或甲方委托有资质第三方机构审核后，若结算审核价比合同暂定总价低，则以结算审核价作为合同结算价，否则以合同暂定总价为合同结算价。</w:t>
      </w:r>
    </w:p>
    <w:p w14:paraId="101A4D5A">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4.2</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本合同约定的价格为含税价价格</w:t>
      </w:r>
      <w:r>
        <w:rPr>
          <w:rFonts w:hint="eastAsia" w:ascii="仿宋_GB2312" w:hAnsi="仿宋_GB2312" w:eastAsia="仿宋_GB2312" w:cs="仿宋_GB2312"/>
          <w:color w:val="000000" w:themeColor="text1"/>
          <w:sz w:val="28"/>
          <w:szCs w:val="28"/>
          <w:highlight w:val="none"/>
          <w14:textFill>
            <w14:solidFill>
              <w14:schemeClr w14:val="tx1"/>
            </w14:solidFill>
          </w14:textFill>
        </w:rPr>
        <w:t>（税率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），合同履行期间国家税率调整或乙方开票的实际税率与前述税率不一致的，不含税价不变，价税合计按实际税率相应调整，以开具发票时间为准。</w:t>
      </w:r>
    </w:p>
    <w:p w14:paraId="39827812">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4.3因非乙方原因引起工程量报价清单中工程量发生增减，且单个子目工程量变化幅度在25%以内（含）时，按工程量报价清单中列明的子目单价结算。否则，按新增单价执行：单个子目工程量增加幅度在25%以上时，单价按就低原则执行（原合同单价与重新组价之间比较）；单个子目工程量减少幅度在25%以上时，单价按就高原则执行（原合同单价与重新组价之间比较）。</w:t>
      </w:r>
    </w:p>
    <w:p w14:paraId="5B2AA57D">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4.4</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合同中没有适用于变更工程项目的单价的，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按新增单价执行。</w:t>
      </w:r>
    </w:p>
    <w:p w14:paraId="006A16C4">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新增单价计价原则：</w:t>
      </w:r>
    </w:p>
    <w:p w14:paraId="3A1B008A">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14:paraId="1BE9DE5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项目计价材料、设备价格的控制</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按以下顺序作为降序优先级依次采用工程开工报告中开工日期当月的下列价格</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121AB010">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（1）《广州地区建设工程常用材料税前综合价格》（下称综合价格）。</w:t>
      </w:r>
    </w:p>
    <w:p w14:paraId="299F7243">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（2）《广州地区建设工程材料（设备）厂商价格信息》（下称厂商价格）下浮10-20%。</w:t>
      </w:r>
    </w:p>
    <w:p w14:paraId="2A50A4EB">
      <w:pPr>
        <w:keepNext w:val="0"/>
        <w:keepLines w:val="0"/>
        <w:pageBreakBefore w:val="0"/>
        <w:widowControl w:val="0"/>
        <w:kinsoku/>
        <w:wordWrap/>
        <w:overflowPunct/>
        <w:topLinePunct w:val="0"/>
        <w:autoSpaceDE/>
        <w:autoSpaceDN/>
        <w:bidi w:val="0"/>
        <w:adjustRightInd/>
        <w:snapToGrid/>
        <w:spacing w:beforeLines="0" w:afterLines="0" w:line="560" w:lineRule="exact"/>
        <w:ind w:firstLine="560" w:firstLineChars="200"/>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（3）综合价格、厂商价格中缺项的，采用由北京瑞恒达建筑咨询有限公司提供服务的“慧讯网”中查到的相应材料、设备价格的工程价。</w:t>
      </w:r>
    </w:p>
    <w:p w14:paraId="7904BECE">
      <w:pPr>
        <w:pStyle w:val="48"/>
        <w:autoSpaceDE/>
        <w:autoSpaceDN/>
        <w:adjustRightIn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（4）通过市场询价双方协商确定。</w:t>
      </w:r>
    </w:p>
    <w:p w14:paraId="65723E9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3.按1、2组价后</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下浮5%/投标下浮率</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计取。</w:t>
      </w:r>
    </w:p>
    <w:p w14:paraId="6BE8D3CE">
      <w:pPr>
        <w:tabs>
          <w:tab w:val="left" w:pos="851"/>
        </w:tabs>
        <w:adjustRightInd/>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4.5</w:t>
      </w:r>
      <w:r>
        <w:rPr>
          <w:rFonts w:hint="eastAsia" w:ascii="仿宋_GB2312" w:hAnsi="仿宋_GB2312" w:eastAsia="仿宋_GB2312" w:cs="仿宋_GB2312"/>
          <w:sz w:val="28"/>
          <w:szCs w:val="28"/>
          <w:highlight w:val="none"/>
        </w:rPr>
        <w:t>乙方送审结算时，应提供（子项）工程合同清单报价（量）与送审的工程清单报价（量）对比表，包括分部分项清单、措施项目清单、其他项目清单等对比表（含纸质版盖章及软件版）、主材设备发票或其他甲方认可的收据等资料。</w:t>
      </w:r>
    </w:p>
    <w:p w14:paraId="033F9B75">
      <w:pPr>
        <w:widowControl w:val="0"/>
        <w:tabs>
          <w:tab w:val="left" w:pos="851"/>
        </w:tabs>
        <w:adjustRightInd/>
        <w:snapToGrid/>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工期及要求</w:t>
      </w:r>
    </w:p>
    <w:p w14:paraId="020E1499">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工期</w:t>
      </w:r>
    </w:p>
    <w:p w14:paraId="4F54999B">
      <w:pPr>
        <w:widowControl w:val="0"/>
        <w:spacing w:beforeLines="0" w:afterLines="0" w:line="560" w:lineRule="exact"/>
        <w:ind w:firstLine="562"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(单项项目</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/统筹项目</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适用）</w:t>
      </w:r>
      <w:r>
        <w:rPr>
          <w:rFonts w:hint="eastAsia" w:ascii="仿宋_GB2312" w:hAnsi="仿宋_GB2312" w:eastAsia="仿宋_GB2312" w:cs="仿宋_GB2312"/>
          <w:color w:val="000000" w:themeColor="text1"/>
          <w:sz w:val="28"/>
          <w:szCs w:val="28"/>
          <w:highlight w:val="none"/>
          <w14:textFill>
            <w14:solidFill>
              <w14:schemeClr w14:val="tx1"/>
            </w14:solidFill>
          </w14:textFill>
        </w:rPr>
        <w:t>合同工期为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365</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天</w:t>
      </w:r>
      <w:r>
        <w:rPr>
          <w:rFonts w:hint="eastAsia" w:ascii="仿宋_GB2312" w:hAnsi="仿宋_GB2312" w:eastAsia="仿宋_GB2312" w:cs="仿宋_GB2312"/>
          <w:color w:val="000000" w:themeColor="text1"/>
          <w:sz w:val="28"/>
          <w:szCs w:val="28"/>
          <w:highlight w:val="none"/>
          <w14:textFill>
            <w14:solidFill>
              <w14:schemeClr w14:val="tx1"/>
            </w14:solidFill>
          </w14:textFill>
        </w:rPr>
        <w:t>，其中施工工期为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365</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天</w:t>
      </w:r>
      <w:r>
        <w:rPr>
          <w:rFonts w:hint="eastAsia" w:ascii="仿宋_GB2312" w:hAnsi="仿宋_GB2312" w:eastAsia="仿宋_GB2312" w:cs="仿宋_GB2312"/>
          <w:color w:val="000000" w:themeColor="text1"/>
          <w:sz w:val="28"/>
          <w:szCs w:val="28"/>
          <w:highlight w:val="none"/>
          <w14:textFill>
            <w14:solidFill>
              <w14:schemeClr w14:val="tx1"/>
            </w14:solidFill>
          </w14:textFill>
        </w:rPr>
        <w:t>；开工日期暂定为</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，具体日期以甲方发出的开工报告/通知为准。</w:t>
      </w:r>
    </w:p>
    <w:p w14:paraId="5331F198">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乙方不能按时开工，应当于开工报告/通知载明的开工日期</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天前，以书面形式向甲方提出延期开工的理由。甲方应当在接到延期开工申请后的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内以书面形式答复乙方。甲方在接到延期开工申请后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48小时</w:t>
      </w:r>
      <w:r>
        <w:rPr>
          <w:rFonts w:hint="eastAsia" w:ascii="仿宋_GB2312" w:hAnsi="仿宋_GB2312" w:eastAsia="仿宋_GB2312" w:cs="仿宋_GB2312"/>
          <w:color w:val="000000" w:themeColor="text1"/>
          <w:sz w:val="28"/>
          <w:szCs w:val="28"/>
          <w:highlight w:val="none"/>
          <w14:textFill>
            <w14:solidFill>
              <w14:schemeClr w14:val="tx1"/>
            </w14:solidFill>
          </w14:textFill>
        </w:rPr>
        <w:t>内不答复，视为同意乙方要求，工期相应顺延。甲方不同意延期要求或乙方未在规定时间内提出延期开工，工期不予顺延。</w:t>
      </w:r>
    </w:p>
    <w:p w14:paraId="6FB631FD">
      <w:pPr>
        <w:widowControl w:val="0"/>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因乙方原因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未按甲方开工通知时间进场施工的</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2000元</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，由此而造成的经济损失由乙方负责赔偿</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480DF684">
      <w:pPr>
        <w:widowControl w:val="0"/>
        <w:numPr>
          <w:ilvl w:val="0"/>
          <w:numId w:val="0"/>
        </w:num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乙方未能按合同</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约定</w:t>
      </w:r>
      <w:r>
        <w:rPr>
          <w:rFonts w:hint="eastAsia" w:ascii="仿宋_GB2312" w:hAnsi="仿宋_GB2312" w:eastAsia="仿宋_GB2312" w:cs="仿宋_GB2312"/>
          <w:color w:val="000000" w:themeColor="text1"/>
          <w:sz w:val="28"/>
          <w:szCs w:val="28"/>
          <w:highlight w:val="none"/>
          <w14:textFill>
            <w14:solidFill>
              <w14:schemeClr w14:val="tx1"/>
            </w14:solidFill>
          </w14:textFill>
        </w:rPr>
        <w:t>竣工验收的，每逾期一天，甲方有权要求乙方按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 1%</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支付违约金，逾期达到</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20 </w:t>
      </w:r>
      <w:r>
        <w:rPr>
          <w:rFonts w:hint="eastAsia" w:ascii="仿宋_GB2312" w:hAnsi="仿宋_GB2312" w:eastAsia="仿宋_GB2312" w:cs="仿宋_GB2312"/>
          <w:color w:val="000000" w:themeColor="text1"/>
          <w:sz w:val="28"/>
          <w:szCs w:val="28"/>
          <w:highlight w:val="none"/>
          <w14:textFill>
            <w14:solidFill>
              <w14:schemeClr w14:val="tx1"/>
            </w14:solidFill>
          </w14:textFill>
        </w:rPr>
        <w:t>天及以上的，甲方有权解除合同并要求乙方支付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的20%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29C080DC">
      <w:pPr>
        <w:pStyle w:val="12"/>
        <w:spacing w:beforeLines="0" w:afterLines="0" w:line="560" w:lineRule="exact"/>
        <w:ind w:firstLine="528" w:firstLineChars="200"/>
        <w:outlineLvl w:val="9"/>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61" w:name="_Toc15706"/>
      <w:bookmarkStart w:id="62" w:name="_Toc3872"/>
      <w:r>
        <w:rPr>
          <w:rFonts w:hint="eastAsia" w:ascii="仿宋_GB2312" w:hAnsi="仿宋_GB2312" w:eastAsia="仿宋_GB2312" w:cs="仿宋_GB2312"/>
          <w:color w:val="000000" w:themeColor="text1"/>
          <w:spacing w:val="-8"/>
          <w:sz w:val="28"/>
          <w:szCs w:val="28"/>
          <w:highlight w:val="none"/>
          <w:lang w:val="en-US" w:eastAsia="zh-CN"/>
          <w14:textFill>
            <w14:solidFill>
              <w14:schemeClr w14:val="tx1"/>
            </w14:solidFill>
          </w14:textFill>
        </w:rPr>
        <w:t>5.2合同签订后，在收到甲方开工通知后7天内，乙方需提交完整的盖章版施工备案资料，</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每逾期一日，应按</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对应子项目合同暂定总价/</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子项预算价</w:t>
      </w:r>
      <w:r>
        <w:rPr>
          <w:rFonts w:hint="eastAsia" w:ascii="仿宋_GB2312" w:hAnsi="仿宋_GB2312" w:eastAsia="仿宋_GB2312" w:cs="仿宋_GB2312"/>
          <w:color w:val="000000" w:themeColor="text1"/>
          <w:kern w:val="2"/>
          <w:sz w:val="28"/>
          <w:szCs w:val="28"/>
          <w:highlight w:val="none"/>
          <w:u w:val="single"/>
          <w:lang w:val="en-US" w:eastAsia="zh-CN" w:bidi="ar-SA"/>
          <w14:textFill>
            <w14:solidFill>
              <w14:schemeClr w14:val="tx1"/>
            </w14:solidFill>
          </w14:textFill>
        </w:rPr>
        <w:t>的1%/日</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支付逾期违约金，逾期达到</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日及以上的，甲方有权解除合同。</w:t>
      </w:r>
      <w:bookmarkEnd w:id="61"/>
      <w:bookmarkEnd w:id="62"/>
    </w:p>
    <w:p w14:paraId="525E3367">
      <w:pPr>
        <w:widowControl w:val="0"/>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合同暂定总价的5%/次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作为违约金，超过三次（含三次）的，甲方有权解除合同，要求乙方支付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作为违约金。由此造成的经济和法律责任，均由乙方负责。</w:t>
      </w:r>
    </w:p>
    <w:p w14:paraId="1664B19D">
      <w:pPr>
        <w:widowControl w:val="0"/>
        <w:spacing w:beforeLines="0" w:afterLines="0" w:line="560" w:lineRule="exact"/>
        <w:ind w:left="1"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乙方应按合同及甲方提供的技术文件要求进行本项目实施和安装。乙方未经甲方同意，不得将本项目图纸泄露或转给第三人。除乙方存档需要的图纸外，乙方应于项目质量保修期满后</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15  </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日</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内将全部图纸退还给甲方。</w:t>
      </w:r>
    </w:p>
    <w:p w14:paraId="573B989A">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5.</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5</w:t>
      </w:r>
      <w:r>
        <w:rPr>
          <w:rFonts w:hint="eastAsia" w:ascii="仿宋_GB2312" w:hAnsi="仿宋_GB2312" w:eastAsia="仿宋_GB2312" w:cs="仿宋_GB2312"/>
          <w:color w:val="auto"/>
          <w:sz w:val="28"/>
          <w:szCs w:val="28"/>
          <w:highlight w:val="none"/>
        </w:rPr>
        <w:t>乙方保证其具有符合法律法规要求的完成本工程项目应具有的相应资质，禁止转包和</w:t>
      </w:r>
      <w:r>
        <w:rPr>
          <w:rFonts w:hint="eastAsia" w:ascii="仿宋_GB2312" w:hAnsi="仿宋_GB2312" w:eastAsia="仿宋_GB2312" w:cs="仿宋_GB2312"/>
          <w:color w:val="auto"/>
          <w:sz w:val="28"/>
          <w:szCs w:val="28"/>
          <w:highlight w:val="none"/>
          <w:u w:val="single"/>
          <w:lang w:val="en-US" w:eastAsia="zh-CN"/>
        </w:rPr>
        <w:t>专业</w:t>
      </w:r>
      <w:r>
        <w:rPr>
          <w:rFonts w:hint="eastAsia" w:ascii="仿宋_GB2312" w:hAnsi="仿宋_GB2312" w:eastAsia="仿宋_GB2312" w:cs="仿宋_GB2312"/>
          <w:color w:val="auto"/>
          <w:sz w:val="28"/>
          <w:szCs w:val="28"/>
          <w:highlight w:val="none"/>
          <w:u w:val="single"/>
        </w:rPr>
        <w:t>分包</w:t>
      </w:r>
      <w:r>
        <w:rPr>
          <w:rFonts w:hint="eastAsia" w:ascii="仿宋_GB2312" w:hAnsi="仿宋_GB2312" w:eastAsia="仿宋_GB2312" w:cs="仿宋_GB2312"/>
          <w:color w:val="auto"/>
          <w:sz w:val="28"/>
          <w:szCs w:val="28"/>
          <w:highlight w:val="none"/>
          <w:u w:val="single"/>
          <w:lang w:val="en-US" w:eastAsia="zh-CN"/>
        </w:rPr>
        <w:t>/分包</w:t>
      </w:r>
      <w:r>
        <w:rPr>
          <w:rFonts w:hint="eastAsia" w:ascii="仿宋_GB2312" w:hAnsi="仿宋_GB2312" w:eastAsia="仿宋_GB2312" w:cs="仿宋_GB2312"/>
          <w:color w:val="auto"/>
          <w:sz w:val="28"/>
          <w:szCs w:val="28"/>
          <w:highlight w:val="none"/>
        </w:rPr>
        <w:t>，如违反上述约定，甲方有权解除合同，要求乙方支付</w:t>
      </w:r>
      <w:r>
        <w:rPr>
          <w:rFonts w:hint="eastAsia" w:ascii="仿宋_GB2312" w:hAnsi="仿宋_GB2312" w:eastAsia="仿宋_GB2312" w:cs="仿宋_GB2312"/>
          <w:color w:val="auto"/>
          <w:sz w:val="28"/>
          <w:szCs w:val="28"/>
          <w:highlight w:val="none"/>
          <w:u w:val="single"/>
          <w:lang w:val="en-US" w:eastAsia="zh-CN"/>
        </w:rPr>
        <w:t>合同暂定总价10%</w:t>
      </w:r>
      <w:r>
        <w:rPr>
          <w:rFonts w:hint="eastAsia" w:ascii="仿宋_GB2312" w:hAnsi="仿宋_GB2312" w:eastAsia="仿宋_GB2312" w:cs="仿宋_GB2312"/>
          <w:color w:val="auto"/>
          <w:sz w:val="28"/>
          <w:szCs w:val="28"/>
          <w:highlight w:val="none"/>
        </w:rPr>
        <w:t>作为违约金</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由此造成一切责任由乙方承担。</w:t>
      </w:r>
    </w:p>
    <w:p w14:paraId="060FAEA3">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5.6乙方不得随意更换项目负责人及</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附件5中的</w:t>
      </w:r>
      <w:r>
        <w:rPr>
          <w:rFonts w:hint="eastAsia" w:ascii="仿宋_GB2312" w:hAnsi="仿宋_GB2312" w:eastAsia="仿宋_GB2312" w:cs="仿宋_GB2312"/>
          <w:color w:val="000000" w:themeColor="text1"/>
          <w:sz w:val="28"/>
          <w:szCs w:val="28"/>
          <w:highlight w:val="none"/>
          <w14:textFill>
            <w14:solidFill>
              <w14:schemeClr w14:val="tx1"/>
            </w14:solidFill>
          </w14:textFill>
        </w:rPr>
        <w:t>相关人员</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人员名单应与乙方在投标文件/报价文件中所载明的人员一致）</w:t>
      </w:r>
      <w:r>
        <w:rPr>
          <w:rFonts w:hint="eastAsia" w:ascii="仿宋_GB2312" w:hAnsi="仿宋_GB2312" w:eastAsia="仿宋_GB2312" w:cs="仿宋_GB2312"/>
          <w:color w:val="000000" w:themeColor="text1"/>
          <w:sz w:val="28"/>
          <w:szCs w:val="28"/>
          <w:highlight w:val="none"/>
          <w14:textFill>
            <w14:solidFill>
              <w14:schemeClr w14:val="tx1"/>
            </w14:solidFill>
          </w14:textFill>
        </w:rPr>
        <w:t>，如确须更换，应提前征得甲方同意。如有违反，甲方有权解除合同并要求乙方支付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1000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元/人次</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作为违约金，以及赔偿由此造成的一切损失(包含质量安全事故、工期延误、增加投资等)。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40E28D44">
      <w:pPr>
        <w:pStyle w:val="50"/>
        <w:spacing w:beforeLines="0" w:afterLines="0" w:line="560" w:lineRule="exac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5.7</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乙方需满足项目同时实施要求，拟投入工程人员配备响应表配备相应工作人员以满足甲方要求，若因人员不足或人员素质不能满足工程实际需要时，乙方需无条件按照甲方的要求更换或增加相关人员。否则甲方有权解除合同并要求乙方支付</w:t>
      </w:r>
      <w:r>
        <w:rPr>
          <w:rFonts w:hint="eastAsia" w:ascii="仿宋_GB2312" w:hAnsi="仿宋_GB2312" w:eastAsia="仿宋_GB2312" w:cs="仿宋_GB2312"/>
          <w:b w:val="0"/>
          <w:bCs/>
          <w:color w:val="000000" w:themeColor="text1"/>
          <w:spacing w:val="-8"/>
          <w:sz w:val="28"/>
          <w:szCs w:val="28"/>
          <w:highlight w:val="none"/>
          <w:u w:val="single"/>
          <w:lang w:val="en-US" w:eastAsia="zh-CN"/>
          <w14:textFill>
            <w14:solidFill>
              <w14:schemeClr w14:val="tx1"/>
            </w14:solidFill>
          </w14:textFill>
        </w:rPr>
        <w:t>5000</w:t>
      </w:r>
      <w:r>
        <w:rPr>
          <w:rFonts w:hint="eastAsia" w:ascii="仿宋_GB2312" w:hAnsi="仿宋_GB2312" w:eastAsia="仿宋_GB2312" w:cs="仿宋_GB2312"/>
          <w:b w:val="0"/>
          <w:bCs/>
          <w:color w:val="000000" w:themeColor="text1"/>
          <w:spacing w:val="-8"/>
          <w:sz w:val="28"/>
          <w:szCs w:val="28"/>
          <w:highlight w:val="none"/>
          <w:lang w:val="en-US" w:eastAsia="zh-CN"/>
          <w14:textFill>
            <w14:solidFill>
              <w14:schemeClr w14:val="tx1"/>
            </w14:solidFill>
          </w14:textFill>
        </w:rPr>
        <w:t>元作为违约金。</w:t>
      </w:r>
    </w:p>
    <w:p w14:paraId="70FB6192">
      <w:pPr>
        <w:topLinePunct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5.8施工过程中，项目负责人应驻场管理，否则甲方有权要求乙方支付违约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1000元/天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，因此造成损失的，按实际发生额赔偿。</w:t>
      </w:r>
    </w:p>
    <w:p w14:paraId="46EFD379">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5.9</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乙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合同暂定价的5%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/次的违约金。</w:t>
      </w:r>
    </w:p>
    <w:p w14:paraId="28D03C8E">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出现上述情形超过</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次（含</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次）的，甲方有权解除合同。</w:t>
      </w:r>
    </w:p>
    <w:p w14:paraId="1CF780B8">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5.10</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14:paraId="0667F64A">
      <w:pPr>
        <w:pStyle w:val="5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5.11</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乙方负责做好现场文明施工、安全围蔽及防护措施等工作，根据项目实际，充分辨识风险和制定相应管控措施，编制可行的专项施工方案应急预案并严格落实,并报甲方备案。</w:t>
      </w:r>
    </w:p>
    <w:p w14:paraId="3667E994">
      <w:pPr>
        <w:pStyle w:val="12"/>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5.12施工过程中，乙方应负责配备现场的应急物资。具体应急物资配备详见附件应急救援物资清单。</w:t>
      </w:r>
      <w:r>
        <w:rPr>
          <w:rFonts w:hint="eastAsia" w:ascii="仿宋_GB2312" w:hAnsi="仿宋_GB2312" w:eastAsia="仿宋_GB2312" w:cs="仿宋_GB2312"/>
          <w:b w:val="0"/>
          <w:bCs w:val="0"/>
          <w:color w:val="000000" w:themeColor="text1"/>
          <w:sz w:val="28"/>
          <w:szCs w:val="28"/>
          <w:highlight w:val="none"/>
          <w:lang w:val="en-US"/>
          <w14:textFill>
            <w14:solidFill>
              <w14:schemeClr w14:val="tx1"/>
            </w14:solidFill>
          </w14:textFill>
        </w:rPr>
        <w:t>如发现配备不齐全，</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要求乙方在24小时内补足，否则甲方有权</w:t>
      </w:r>
      <w:r>
        <w:rPr>
          <w:rFonts w:hint="eastAsia" w:ascii="仿宋_GB2312" w:hAnsi="仿宋_GB2312" w:eastAsia="仿宋_GB2312" w:cs="仿宋_GB2312"/>
          <w:color w:val="auto"/>
          <w:sz w:val="28"/>
          <w:szCs w:val="28"/>
          <w:highlight w:val="none"/>
        </w:rPr>
        <w:t>要求乙方支付违约金</w:t>
      </w:r>
      <w:r>
        <w:rPr>
          <w:rFonts w:hint="eastAsia" w:ascii="仿宋_GB2312" w:hAnsi="仿宋_GB2312" w:eastAsia="仿宋_GB2312" w:cs="仿宋_GB2312"/>
          <w:color w:val="auto"/>
          <w:sz w:val="28"/>
          <w:szCs w:val="28"/>
          <w:highlight w:val="none"/>
          <w:u w:val="single"/>
          <w:lang w:val="en-US" w:eastAsia="zh-CN"/>
        </w:rPr>
        <w:t>1000元</w:t>
      </w:r>
      <w:r>
        <w:rPr>
          <w:rFonts w:hint="eastAsia" w:ascii="仿宋_GB2312" w:hAnsi="仿宋_GB2312" w:eastAsia="仿宋_GB2312" w:cs="仿宋_GB2312"/>
          <w:color w:val="auto"/>
          <w:sz w:val="28"/>
          <w:szCs w:val="28"/>
          <w:highlight w:val="none"/>
          <w:lang w:val="en-US" w:eastAsia="zh-CN"/>
        </w:rPr>
        <w:t>/天，逾期</w:t>
      </w:r>
      <w:r>
        <w:rPr>
          <w:rFonts w:hint="eastAsia" w:ascii="仿宋_GB2312" w:hAnsi="仿宋_GB2312" w:eastAsia="仿宋_GB2312" w:cs="仿宋_GB2312"/>
          <w:color w:val="auto"/>
          <w:sz w:val="28"/>
          <w:szCs w:val="28"/>
          <w:highlight w:val="none"/>
          <w:u w:val="single"/>
          <w:lang w:val="en-US" w:eastAsia="zh-CN"/>
        </w:rPr>
        <w:t>7</w:t>
      </w:r>
      <w:r>
        <w:rPr>
          <w:rFonts w:hint="eastAsia" w:ascii="仿宋_GB2312" w:hAnsi="仿宋_GB2312" w:eastAsia="仿宋_GB2312" w:cs="仿宋_GB2312"/>
          <w:color w:val="auto"/>
          <w:sz w:val="28"/>
          <w:szCs w:val="28"/>
          <w:highlight w:val="none"/>
          <w:lang w:val="en-US" w:eastAsia="zh-CN"/>
        </w:rPr>
        <w:t>日，甲方有权自行购买配备齐全，相关费用在乙方结算费用中抵扣。</w:t>
      </w: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（如需）</w:t>
      </w:r>
    </w:p>
    <w:p w14:paraId="4BD016C7">
      <w:pPr>
        <w:pStyle w:val="2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u w:val="none"/>
          <w:lang w:val="en-US" w:eastAsia="zh-CN"/>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5.13项</w:t>
      </w:r>
      <w:r>
        <w:rPr>
          <w:rFonts w:hint="eastAsia" w:ascii="仿宋_GB2312" w:hAnsi="仿宋_GB2312" w:eastAsia="仿宋_GB2312" w:cs="仿宋_GB2312"/>
          <w:bCs/>
          <w:color w:val="auto"/>
          <w:sz w:val="28"/>
          <w:szCs w:val="28"/>
          <w:highlight w:val="none"/>
          <w:u w:val="none"/>
          <w:lang w:val="en-US" w:eastAsia="zh-CN"/>
        </w:rPr>
        <w:t xml:space="preserve">目实施过程中，乙方应确保准时足额支付工人工资。如因工人工资造成的纠纷，由乙方承担责任。若因乙方拖欠工人工资引发工人聚众讨薪、群体性示威、游行、上访等事件的，甲方有权按讨薪人员 </w:t>
      </w:r>
      <w:r>
        <w:rPr>
          <w:rFonts w:hint="eastAsia" w:hAnsi="仿宋_GB2312" w:cs="仿宋_GB2312"/>
          <w:bCs/>
          <w:color w:val="auto"/>
          <w:sz w:val="28"/>
          <w:szCs w:val="28"/>
          <w:highlight w:val="none"/>
          <w:u w:val="none"/>
          <w:lang w:val="en-US" w:eastAsia="zh-CN"/>
        </w:rPr>
        <w:t>1000</w:t>
      </w:r>
      <w:r>
        <w:rPr>
          <w:rFonts w:hint="eastAsia" w:ascii="仿宋_GB2312" w:hAnsi="仿宋_GB2312" w:eastAsia="仿宋_GB2312" w:cs="仿宋_GB2312"/>
          <w:bCs/>
          <w:color w:val="auto"/>
          <w:sz w:val="28"/>
          <w:szCs w:val="28"/>
          <w:highlight w:val="none"/>
          <w:u w:val="none"/>
          <w:lang w:val="en-US" w:eastAsia="zh-CN"/>
        </w:rPr>
        <w:t>元/人次的标准要求乙方支付违约金。</w:t>
      </w:r>
    </w:p>
    <w:p w14:paraId="37F1E5E0">
      <w:pPr>
        <w:pStyle w:val="22"/>
        <w:adjustRightInd/>
        <w:snapToGrid/>
        <w:spacing w:beforeLines="0" w:afterLines="0" w:line="560" w:lineRule="exact"/>
        <w:ind w:left="0" w:leftChars="0" w:firstLine="560" w:firstLineChars="200"/>
        <w:rPr>
          <w:rFonts w:hint="eastAsia" w:ascii="仿宋_GB2312" w:hAnsi="仿宋_GB2312" w:eastAsia="仿宋_GB2312" w:cs="仿宋_GB2312"/>
          <w:bCs/>
          <w:i w:val="0"/>
          <w:iCs w:val="0"/>
          <w:caps w:val="0"/>
          <w:color w:val="auto"/>
          <w:spacing w:val="0"/>
          <w:sz w:val="28"/>
          <w:szCs w:val="28"/>
          <w:highlight w:val="none"/>
          <w:u w:val="single"/>
          <w:shd w:val="clear"/>
          <w:lang w:eastAsia="zh-CN"/>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5.14</w:t>
      </w:r>
      <w:r>
        <w:rPr>
          <w:rFonts w:hint="eastAsia" w:ascii="仿宋_GB2312" w:hAnsi="仿宋_GB2312" w:eastAsia="仿宋_GB2312" w:cs="仿宋_GB2312"/>
          <w:bCs/>
          <w:i w:val="0"/>
          <w:iCs w:val="0"/>
          <w:caps w:val="0"/>
          <w:color w:val="auto"/>
          <w:spacing w:val="0"/>
          <w:sz w:val="28"/>
          <w:szCs w:val="28"/>
          <w:highlight w:val="none"/>
          <w:u w:val="none"/>
          <w:shd w:val="clear" w:fill="FFFFFF"/>
        </w:rPr>
        <w:t>甲方提供予乙方的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工程相关信息</w:t>
      </w:r>
      <w:r>
        <w:rPr>
          <w:rFonts w:hint="eastAsia" w:ascii="仿宋_GB2312" w:hAnsi="仿宋_GB2312" w:eastAsia="仿宋_GB2312" w:cs="仿宋_GB2312"/>
          <w:bCs/>
          <w:i w:val="0"/>
          <w:iCs w:val="0"/>
          <w:caps w:val="0"/>
          <w:color w:val="auto"/>
          <w:spacing w:val="0"/>
          <w:sz w:val="28"/>
          <w:szCs w:val="28"/>
          <w:highlight w:val="none"/>
          <w:u w:val="none"/>
          <w:shd w:val="clear" w:fill="FFFFFF"/>
        </w:rPr>
        <w:t>被视为保密资料，</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仅</w:t>
      </w:r>
      <w:r>
        <w:rPr>
          <w:rFonts w:hint="eastAsia" w:ascii="仿宋_GB2312" w:hAnsi="仿宋_GB2312" w:eastAsia="仿宋_GB2312" w:cs="仿宋_GB2312"/>
          <w:bCs/>
          <w:i w:val="0"/>
          <w:iCs w:val="0"/>
          <w:caps w:val="0"/>
          <w:color w:val="auto"/>
          <w:spacing w:val="0"/>
          <w:sz w:val="28"/>
          <w:szCs w:val="28"/>
          <w:highlight w:val="none"/>
          <w:u w:val="none"/>
          <w:shd w:val="clear" w:fill="FFFFFF"/>
        </w:rPr>
        <w:t>供乙方与本项目有关之用途。乙方应对甲方提供的信息资料严格保密，未经甲方书面同意，不得向任何第三方透露</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或</w:t>
      </w:r>
      <w:r>
        <w:rPr>
          <w:rFonts w:hint="eastAsia" w:ascii="仿宋_GB2312" w:hAnsi="仿宋_GB2312" w:eastAsia="仿宋_GB2312" w:cs="仿宋_GB2312"/>
          <w:bCs/>
          <w:i w:val="0"/>
          <w:iCs w:val="0"/>
          <w:caps w:val="0"/>
          <w:color w:val="auto"/>
          <w:spacing w:val="0"/>
          <w:sz w:val="28"/>
          <w:szCs w:val="28"/>
          <w:highlight w:val="none"/>
          <w:u w:val="none"/>
          <w:shd w:val="clear"/>
        </w:rPr>
        <w:t>用于其他目的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及</w:t>
      </w:r>
      <w:r>
        <w:rPr>
          <w:rFonts w:hint="eastAsia" w:ascii="仿宋_GB2312" w:hAnsi="仿宋_GB2312" w:eastAsia="仿宋_GB2312" w:cs="仿宋_GB2312"/>
          <w:bCs/>
          <w:i w:val="0"/>
          <w:iCs w:val="0"/>
          <w:caps w:val="0"/>
          <w:color w:val="auto"/>
          <w:spacing w:val="0"/>
          <w:sz w:val="28"/>
          <w:szCs w:val="28"/>
          <w:highlight w:val="none"/>
          <w:u w:val="none"/>
          <w:shd w:val="clear"/>
        </w:rPr>
        <w:t>用途</w:t>
      </w:r>
      <w:r>
        <w:rPr>
          <w:rFonts w:hint="eastAsia" w:ascii="仿宋_GB2312" w:hAnsi="仿宋_GB2312" w:eastAsia="仿宋_GB2312" w:cs="仿宋_GB2312"/>
          <w:bCs/>
          <w:i w:val="0"/>
          <w:iCs w:val="0"/>
          <w:caps w:val="0"/>
          <w:color w:val="auto"/>
          <w:spacing w:val="0"/>
          <w:sz w:val="28"/>
          <w:szCs w:val="28"/>
          <w:highlight w:val="none"/>
          <w:u w:val="none"/>
          <w:shd w:val="clear" w:fill="FFFFFF"/>
        </w:rPr>
        <w:t>，否则甲方有权单方解除合同，并按合同</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暂定总价</w:t>
      </w:r>
      <w:r>
        <w:rPr>
          <w:rFonts w:hint="eastAsia" w:ascii="仿宋_GB2312" w:hAnsi="仿宋_GB2312" w:eastAsia="仿宋_GB2312" w:cs="仿宋_GB2312"/>
          <w:bCs/>
          <w:i w:val="0"/>
          <w:iCs w:val="0"/>
          <w:caps w:val="0"/>
          <w:color w:val="auto"/>
          <w:spacing w:val="0"/>
          <w:sz w:val="28"/>
          <w:szCs w:val="28"/>
          <w:highlight w:val="none"/>
          <w:u w:val="none"/>
          <w:shd w:val="clear" w:fill="FFFFFF"/>
        </w:rPr>
        <w:t>的</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20</w:t>
      </w:r>
      <w:r>
        <w:rPr>
          <w:rFonts w:hint="eastAsia" w:ascii="仿宋_GB2312" w:hAnsi="仿宋_GB2312" w:eastAsia="仿宋_GB2312" w:cs="仿宋_GB2312"/>
          <w:bCs/>
          <w:i w:val="0"/>
          <w:iCs w:val="0"/>
          <w:caps w:val="0"/>
          <w:color w:val="auto"/>
          <w:spacing w:val="0"/>
          <w:sz w:val="28"/>
          <w:szCs w:val="28"/>
          <w:highlight w:val="none"/>
          <w:u w:val="none"/>
          <w:shd w:val="clear" w:fill="FFFFFF"/>
        </w:rPr>
        <w:t>%支付违约金</w:t>
      </w:r>
      <w:r>
        <w:rPr>
          <w:rFonts w:hint="eastAsia" w:ascii="仿宋_GB2312" w:hAnsi="仿宋_GB2312" w:eastAsia="仿宋_GB2312" w:cs="仿宋_GB2312"/>
          <w:bCs/>
          <w:i w:val="0"/>
          <w:iCs w:val="0"/>
          <w:caps w:val="0"/>
          <w:color w:val="auto"/>
          <w:spacing w:val="0"/>
          <w:sz w:val="28"/>
          <w:szCs w:val="28"/>
          <w:highlight w:val="none"/>
          <w:u w:val="none"/>
          <w:shd w:val="clear"/>
          <w:lang w:eastAsia="zh-CN"/>
        </w:rPr>
        <w:t>。</w:t>
      </w:r>
    </w:p>
    <w:p w14:paraId="45572F00">
      <w:pPr>
        <w:pStyle w:val="22"/>
        <w:adjustRightInd/>
        <w:snapToGrid/>
        <w:spacing w:beforeLines="0" w:afterLines="0" w:line="560" w:lineRule="exact"/>
        <w:ind w:left="0" w:leftChars="0"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5.15乙方不得散播与本工程项目相关的不实信息，否则，甲方有权单方解除合同，并按</w:t>
      </w:r>
      <w:r>
        <w:rPr>
          <w:rFonts w:hint="eastAsia" w:ascii="仿宋_GB2312" w:hAnsi="仿宋_GB2312" w:eastAsia="仿宋_GB2312" w:cs="仿宋_GB2312"/>
          <w:bCs/>
          <w:i w:val="0"/>
          <w:iCs w:val="0"/>
          <w:caps w:val="0"/>
          <w:color w:val="auto"/>
          <w:spacing w:val="0"/>
          <w:sz w:val="28"/>
          <w:szCs w:val="28"/>
          <w:highlight w:val="none"/>
          <w:u w:val="single"/>
          <w:shd w:val="clear"/>
          <w:lang w:val="en-US" w:eastAsia="zh-CN"/>
        </w:rPr>
        <w:t>合同暂定总价的20 %</w:t>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支付违约金。</w:t>
      </w:r>
      <w:r>
        <w:rPr>
          <w:rFonts w:hint="eastAsia" w:ascii="仿宋_GB2312" w:hAnsi="仿宋_GB2312" w:eastAsia="仿宋_GB2312" w:cs="仿宋_GB2312"/>
          <w:bCs/>
          <w:i w:val="0"/>
          <w:iCs w:val="0"/>
          <w:caps w:val="0"/>
          <w:color w:val="auto"/>
          <w:spacing w:val="0"/>
          <w:sz w:val="28"/>
          <w:szCs w:val="28"/>
          <w:highlight w:val="none"/>
          <w:u w:val="single"/>
          <w:shd w:val="clear" w:fill="FFFFFF"/>
        </w:rPr>
        <w:br w:type="textWrapping"/>
      </w:r>
      <w:r>
        <w:rPr>
          <w:rFonts w:hint="eastAsia" w:ascii="仿宋_GB2312" w:hAnsi="仿宋_GB2312" w:eastAsia="仿宋_GB2312" w:cs="仿宋_GB2312"/>
          <w:bCs/>
          <w:i w:val="0"/>
          <w:iCs w:val="0"/>
          <w:caps w:val="0"/>
          <w:color w:val="auto"/>
          <w:spacing w:val="0"/>
          <w:sz w:val="28"/>
          <w:szCs w:val="28"/>
          <w:highlight w:val="none"/>
          <w:u w:val="none"/>
          <w:shd w:val="clear"/>
          <w:lang w:val="en-US" w:eastAsia="zh-CN"/>
        </w:rPr>
        <w:t xml:space="preserve">    5.16乙方不履行合同义务、或履行合同义务不符合合同约定、或违反国家、省、市行</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业标准的，甲方有权要求乙方限期整改。乙方逾期未完成整改的，每项每超过1日支付违约金人民币</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1万元</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，超过_</w:t>
      </w:r>
      <w:r>
        <w:rPr>
          <w:rFonts w:hint="eastAsia" w:hAnsi="仿宋_GB2312" w:cs="仿宋_GB2312"/>
          <w:bCs/>
          <w:color w:val="000000" w:themeColor="text1"/>
          <w:sz w:val="28"/>
          <w:szCs w:val="28"/>
          <w:highlight w:val="none"/>
          <w:u w:val="single"/>
          <w:lang w:val="en-US" w:eastAsia="zh-CN"/>
          <w14:textFill>
            <w14:solidFill>
              <w14:schemeClr w14:val="tx1"/>
            </w14:solidFill>
          </w14:textFill>
        </w:rPr>
        <w:t>7</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日，甲方有权解除合同并要求乙方支付</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u w:val="single"/>
        </w:rPr>
        <w:t>子项目</w:t>
      </w:r>
      <w:r>
        <w:rPr>
          <w:rFonts w:hint="eastAsia" w:ascii="仿宋_GB2312" w:hAnsi="仿宋_GB2312" w:eastAsia="仿宋_GB2312" w:cs="仿宋_GB2312"/>
          <w:bCs/>
          <w:color w:val="auto"/>
          <w:sz w:val="28"/>
          <w:szCs w:val="28"/>
          <w:highlight w:val="none"/>
          <w:u w:val="single"/>
        </w:rPr>
        <w:t>合同暂定总价的20%</w:t>
      </w:r>
      <w:r>
        <w:rPr>
          <w:rFonts w:hint="eastAsia" w:ascii="仿宋_GB2312" w:hAnsi="仿宋_GB2312" w:eastAsia="仿宋_GB2312" w:cs="仿宋_GB2312"/>
          <w:bCs/>
          <w:color w:val="auto"/>
          <w:sz w:val="28"/>
          <w:szCs w:val="28"/>
          <w:highlight w:val="none"/>
          <w:u w:val="single"/>
          <w:lang w:val="en-US" w:eastAsia="zh-CN"/>
        </w:rPr>
        <w:t>/经甲方审核子项预算价20%</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r>
        <w:rPr>
          <w:rFonts w:hint="eastAsia" w:ascii="仿宋_GB2312" w:hAnsi="仿宋_GB2312" w:eastAsia="仿宋_GB2312" w:cs="仿宋_GB2312"/>
          <w:color w:val="000000" w:themeColor="text1"/>
          <w:sz w:val="28"/>
          <w:szCs w:val="28"/>
          <w:highlight w:val="none"/>
          <w14:textFill>
            <w14:solidFill>
              <w14:schemeClr w14:val="tx1"/>
            </w14:solidFill>
          </w14:textFill>
        </w:rPr>
        <w:t>如合同另行约定违约责任，从其约定</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w:t>
      </w:r>
    </w:p>
    <w:p w14:paraId="7B5D95CD">
      <w:pPr>
        <w:pStyle w:val="22"/>
        <w:adjustRightInd/>
        <w:snapToGrid/>
        <w:spacing w:beforeLines="0" w:afterLines="0" w:line="560" w:lineRule="exact"/>
        <w:ind w:left="0" w:leftChars="0"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5.17</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在合同有效期内，若乙方发生不履约行为情形的，乙方自愿接受甲方按《广州市净水有限公司经营建设项目参建企业不履约评价管理办法（试行）》处理。具体处理标准详见附件。</w:t>
      </w:r>
    </w:p>
    <w:p w14:paraId="05FA08E5">
      <w:pPr>
        <w:pStyle w:val="22"/>
        <w:adjustRightInd/>
        <w:snapToGrid/>
        <w:spacing w:beforeLines="0" w:afterLines="0" w:line="560" w:lineRule="exact"/>
        <w:ind w:left="0" w:leftChars="0" w:firstLine="560" w:firstLineChars="200"/>
        <w:rPr>
          <w:rFonts w:hint="default" w:hAnsi="仿宋_GB2312" w:eastAsia="仿宋_GB2312" w:cs="仿宋_GB2312"/>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5.18当空调设备发生突发故障时，在接到甲方通知后应提供紧急抢修服务，并在24小时内安排人员到达现场处理，原则上应于24小时内恢复空调设备的正常运行。</w:t>
      </w:r>
    </w:p>
    <w:p w14:paraId="4FC740C1">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5.19如合同服务期内清洗及维修服务累计总额达到合同暂定总价时，合同提前终止。甲方有权提前终止合同，但需提前一个月以书面形式通知乙方。</w:t>
      </w:r>
    </w:p>
    <w:p w14:paraId="3F9135B4">
      <w:pPr>
        <w:tabs>
          <w:tab w:val="left" w:pos="851"/>
        </w:tabs>
        <w:adjustRightInd/>
        <w:snapToGrid/>
        <w:spacing w:beforeLines="0" w:afterLines="0" w:line="560" w:lineRule="exact"/>
        <w:ind w:firstLine="562"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b/>
          <w:color w:val="000000" w:themeColor="text1"/>
          <w:sz w:val="28"/>
          <w:szCs w:val="28"/>
          <w:highlight w:val="none"/>
          <w14:textFill>
            <w14:solidFill>
              <w14:schemeClr w14:val="tx1"/>
            </w14:solidFill>
          </w14:textFill>
        </w:rPr>
        <w:t>第六条</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28"/>
          <w:szCs w:val="28"/>
          <w:highlight w:val="none"/>
          <w14:textFill>
            <w14:solidFill>
              <w14:schemeClr w14:val="tx1"/>
            </w14:solidFill>
          </w14:textFill>
        </w:rPr>
        <w:t>实施条件及管理要求</w:t>
      </w:r>
    </w:p>
    <w:p w14:paraId="0B954B53">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14:paraId="0B324790">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6.2施工用水用电采用以下</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（3）  </w:t>
      </w:r>
      <w:r>
        <w:rPr>
          <w:rFonts w:hint="eastAsia" w:ascii="仿宋_GB2312" w:hAnsi="仿宋_GB2312" w:eastAsia="仿宋_GB2312" w:cs="仿宋_GB2312"/>
          <w:color w:val="000000" w:themeColor="text1"/>
          <w:sz w:val="28"/>
          <w:szCs w:val="28"/>
          <w:highlight w:val="none"/>
          <w14:textFill>
            <w14:solidFill>
              <w14:schemeClr w14:val="tx1"/>
            </w14:solidFill>
          </w14:textFill>
        </w:rPr>
        <w:t>方式执行。</w:t>
      </w:r>
    </w:p>
    <w:p w14:paraId="4A0CCB4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（1）由甲方提供施工用水用电</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接口，水电费按合同综合单价水电含量计算，从甲方支付的工程款中直接扣回</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2E5A6C3">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（2）由甲方提供施工用水用电接口，费用按</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（月/项目）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结算，由乙方向甲方或甲方下辖分公司/子公司支付。水电费用按所属供电局、自来水公司收费标准，按实计算。</w:t>
      </w:r>
    </w:p>
    <w:p w14:paraId="77928E7E">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（3）由乙方自行负责。</w:t>
      </w:r>
    </w:p>
    <w:p w14:paraId="059CE8E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6.3施工时间安排：上午7：00-12：00，下午14：00-18：00，施工时间如需变动，以甲方的通知为准。</w:t>
      </w:r>
    </w:p>
    <w:p w14:paraId="7F7D08EF">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6.4进场施工人员必须严格遵守</w:t>
      </w:r>
      <w:r>
        <w:rPr>
          <w:rFonts w:hint="eastAsia" w:ascii="仿宋_GB2312" w:hAnsi="仿宋_GB2312" w:eastAsia="仿宋_GB2312" w:cs="仿宋_GB2312"/>
          <w:color w:val="000000" w:themeColor="text1"/>
          <w:kern w:val="10"/>
          <w:sz w:val="28"/>
          <w:szCs w:val="28"/>
          <w:highlight w:val="none"/>
          <w14:textFill>
            <w14:solidFill>
              <w14:schemeClr w14:val="tx1"/>
            </w14:solidFill>
          </w14:textFill>
        </w:rPr>
        <w:t>污水处理厂</w:t>
      </w:r>
      <w:r>
        <w:rPr>
          <w:rFonts w:hint="eastAsia" w:ascii="仿宋_GB2312" w:hAnsi="仿宋_GB2312" w:eastAsia="仿宋_GB2312" w:cs="仿宋_GB2312"/>
          <w:color w:val="000000" w:themeColor="text1"/>
          <w:sz w:val="28"/>
          <w:szCs w:val="28"/>
          <w:highlight w:val="none"/>
          <w14:textFill>
            <w14:solidFill>
              <w14:schemeClr w14:val="tx1"/>
            </w14:solidFill>
          </w14:textFill>
        </w:rPr>
        <w:t>一切规章制度。进入施工现场人员必须佩戴出入证，并自觉接受门岗检查。</w:t>
      </w:r>
    </w:p>
    <w:p w14:paraId="672B3AD5">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6.5环境保护要求：</w:t>
      </w:r>
    </w:p>
    <w:p w14:paraId="3D4A2750">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（1）做好施工噪声、废气、废水等控制；</w:t>
      </w:r>
    </w:p>
    <w:p w14:paraId="7B96F2EB">
      <w:pPr>
        <w:snapToGrid/>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（2）按照国家及广州市相关规定做好建筑垃圾的处理。</w:t>
      </w:r>
    </w:p>
    <w:p w14:paraId="0F2C9FC1">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6.6按相关法律法规及甲方相关作业施工管理要求执行。</w:t>
      </w:r>
    </w:p>
    <w:p w14:paraId="20F237FD">
      <w:pPr>
        <w:pStyle w:val="2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6.7关于工程签证及变更</w:t>
      </w:r>
    </w:p>
    <w:p w14:paraId="4EF55630">
      <w:pPr>
        <w:pStyle w:val="2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6.7.1 合同工程实施过程中如产生签证或变更，均需由甲乙双方、设计单位（如有）、监理单位（如有）协商一致，并以书面形式进行确认（具体流程按照甲方项目实施管理办法执行）。</w:t>
      </w:r>
    </w:p>
    <w:p w14:paraId="7D3C125D">
      <w:pPr>
        <w:pStyle w:val="22"/>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6.7.2任何未经确认的签证或变更，甲方不予确认支付。乙方自行承担所发生的费用及返工责任。</w:t>
      </w:r>
    </w:p>
    <w:p w14:paraId="4AE42DB5">
      <w:pPr>
        <w:pStyle w:val="12"/>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第七条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材料及设备供应</w:t>
      </w:r>
    </w:p>
    <w:p w14:paraId="35A43BC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本项目承包范围内所需的设备材料、成品、未成品、运输、保管、质量等责任均由乙方承担。甲方不提供材料。</w:t>
      </w:r>
    </w:p>
    <w:p w14:paraId="6A6A2A88">
      <w:pPr>
        <w:spacing w:beforeLines="0" w:afterLines="0" w:line="560" w:lineRule="exact"/>
        <w:ind w:left="-2" w:leftChars="-1"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7.1采购供应的材料、其名称、品种、型号、规格、质量等，均应符合国家、地方及行业有关规范及要求。</w:t>
      </w:r>
    </w:p>
    <w:p w14:paraId="6654BE8C">
      <w:pPr>
        <w:spacing w:beforeLines="0" w:afterLines="0" w:line="560" w:lineRule="exact"/>
        <w:ind w:left="0" w:leftChars="0"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7.2所有材料必须具备合格证明，并保证产品的有效性。</w:t>
      </w:r>
    </w:p>
    <w:p w14:paraId="3D0C9B7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7.3由于乙方提供的伪劣、假冒等所有不合格材料而导致的损失、事故及一切后果，均由乙方负责并赔偿甲方所有损失，并负责更换所有已施工的不合格材料。</w:t>
      </w:r>
    </w:p>
    <w:p w14:paraId="36AAA173">
      <w:pPr>
        <w:tabs>
          <w:tab w:val="left" w:pos="360"/>
        </w:tabs>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7.4乙方必须根据投标文件/询价响应文件（如有）上主要材料的明细（包括厂家、规格、品质等级等）提供材料。工程实施时，如发现材料不一致，甲方有权拒用，造成损失由乙方承担。</w:t>
      </w:r>
    </w:p>
    <w:p w14:paraId="01B2EBF6">
      <w:pPr>
        <w:tabs>
          <w:tab w:val="left" w:pos="360"/>
        </w:tabs>
        <w:spacing w:beforeLines="0" w:afterLines="0" w:line="560" w:lineRule="exact"/>
        <w:ind w:firstLine="48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7.5 甲方有权对施工质量进行监督、检查或检验，也可自行委托第三方进行质量检验，甲方或第三方的检验结果作为最终的质量评定结果。</w:t>
      </w:r>
    </w:p>
    <w:p w14:paraId="60E738B0">
      <w:pPr>
        <w:pStyle w:val="22"/>
        <w:spacing w:beforeLines="0" w:afterLines="0" w:line="560" w:lineRule="exact"/>
        <w:ind w:firstLine="560" w:firstLineChars="200"/>
        <w:rPr>
          <w:rFonts w:hint="eastAsia"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7.6</w:t>
      </w:r>
      <w:r>
        <w:rPr>
          <w:rFonts w:hint="eastAsia" w:ascii="仿宋_GB2312" w:hAnsi="仿宋_GB2312" w:eastAsia="仿宋_GB2312" w:cs="仿宋_GB2312"/>
          <w:color w:val="auto"/>
          <w:sz w:val="28"/>
          <w:szCs w:val="28"/>
          <w:highlight w:val="none"/>
        </w:rPr>
        <w:t>甲方有权</w:t>
      </w:r>
      <w:r>
        <w:rPr>
          <w:rFonts w:hint="eastAsia" w:ascii="仿宋_GB2312" w:hAnsi="仿宋_GB2312" w:eastAsia="仿宋_GB2312" w:cs="仿宋_GB2312"/>
          <w:color w:val="auto"/>
          <w:sz w:val="28"/>
          <w:szCs w:val="28"/>
          <w:highlight w:val="none"/>
          <w:lang w:val="en-US" w:eastAsia="zh-CN"/>
        </w:rPr>
        <w:t>对施工材料进行抽样送检，送检不合格的，</w:t>
      </w:r>
      <w:r>
        <w:rPr>
          <w:rFonts w:hint="eastAsia" w:ascii="仿宋_GB2312" w:hAnsi="仿宋_GB2312" w:eastAsia="仿宋_GB2312" w:cs="仿宋_GB2312"/>
          <w:color w:val="auto"/>
          <w:sz w:val="28"/>
          <w:szCs w:val="28"/>
          <w:highlight w:val="none"/>
        </w:rPr>
        <w:t>对乙方处以</w:t>
      </w:r>
      <w:r>
        <w:rPr>
          <w:rFonts w:hint="eastAsia" w:ascii="仿宋_GB2312" w:hAnsi="仿宋_GB2312" w:eastAsia="仿宋_GB2312" w:cs="仿宋_GB2312"/>
          <w:color w:val="auto"/>
          <w:sz w:val="28"/>
          <w:szCs w:val="28"/>
          <w:highlight w:val="none"/>
          <w:u w:val="single"/>
          <w:lang w:val="en-US" w:eastAsia="zh-CN"/>
        </w:rPr>
        <w:t>该批材料价格的</w:t>
      </w:r>
      <w:r>
        <w:rPr>
          <w:rFonts w:hint="eastAsia" w:hAnsi="仿宋_GB2312" w:cs="仿宋_GB2312"/>
          <w:color w:val="auto"/>
          <w:sz w:val="28"/>
          <w:szCs w:val="28"/>
          <w:highlight w:val="none"/>
          <w:u w:val="single"/>
          <w:lang w:val="en-US" w:eastAsia="zh-CN"/>
        </w:rPr>
        <w:t>20</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rPr>
        <w:t>的处罚</w:t>
      </w:r>
      <w:r>
        <w:rPr>
          <w:rFonts w:hint="eastAsia" w:ascii="仿宋_GB2312" w:hAnsi="仿宋_GB2312" w:eastAsia="仿宋_GB2312" w:cs="仿宋_GB2312"/>
          <w:color w:val="auto"/>
          <w:sz w:val="28"/>
          <w:szCs w:val="28"/>
          <w:highlight w:val="none"/>
          <w:lang w:eastAsia="zh-CN"/>
        </w:rPr>
        <w:t>。检测费用先由乙方支付，如果检验结果为不合格，则该费用由乙方承担，如果检验结果为合格，则该费用由甲方承担。</w:t>
      </w:r>
    </w:p>
    <w:p w14:paraId="783FD6C1">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7.</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承包范围之内工程所用之设备，由乙方提供。</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65DB9575">
      <w:pPr>
        <w:spacing w:beforeLines="0" w:afterLines="0" w:line="560" w:lineRule="exact"/>
        <w:ind w:firstLine="562"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第八条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付</w:t>
      </w:r>
      <w:r>
        <w:rPr>
          <w:rFonts w:hint="eastAsia" w:ascii="仿宋_GB2312" w:hAnsi="仿宋_GB2312" w:eastAsia="仿宋_GB2312" w:cs="仿宋_GB2312"/>
          <w:b/>
          <w:color w:val="000000" w:themeColor="text1"/>
          <w:sz w:val="28"/>
          <w:szCs w:val="28"/>
          <w:highlight w:val="none"/>
          <w14:textFill>
            <w14:solidFill>
              <w14:schemeClr w14:val="tx1"/>
            </w14:solidFill>
          </w14:textFill>
        </w:rPr>
        <w:t>款及履约担保</w:t>
      </w:r>
    </w:p>
    <w:p w14:paraId="3CDFF181">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8.1</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预付款的支付：</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无；</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有,合同签订后，乙方开具等额的增值税专用发票及</w:t>
      </w:r>
      <w:r>
        <w:rPr>
          <w:rFonts w:hint="eastAsia" w:ascii="仿宋_GB2312" w:hAnsi="仿宋_GB2312" w:eastAsia="仿宋_GB2312" w:cs="仿宋_GB2312"/>
          <w:bCs w:val="0"/>
          <w:color w:val="000000" w:themeColor="text1"/>
          <w:sz w:val="28"/>
          <w:szCs w:val="28"/>
          <w:highlight w:val="none"/>
          <w:u w:val="single"/>
          <w:lang w:val="en-US" w:eastAsia="zh-CN"/>
          <w14:textFill>
            <w14:solidFill>
              <w14:schemeClr w14:val="tx1"/>
            </w14:solidFill>
          </w14:textFill>
        </w:rPr>
        <w:t>提交预付款担保（如有）及履约担保（如有）</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后</w:t>
      </w:r>
      <w:r>
        <w:rPr>
          <w:rFonts w:hint="eastAsia" w:ascii="仿宋_GB2312" w:hAnsi="仿宋_GB2312" w:eastAsia="仿宋_GB2312" w:cs="仿宋_GB2312"/>
          <w:bCs w:val="0"/>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Cs w:val="0"/>
          <w:color w:val="000000" w:themeColor="text1"/>
          <w:sz w:val="28"/>
          <w:szCs w:val="28"/>
          <w:highlight w:val="none"/>
          <w:u w:val="single"/>
          <w:lang w:val="en-US" w:eastAsia="zh-CN"/>
          <w14:textFill>
            <w14:solidFill>
              <w14:schemeClr w14:val="tx1"/>
            </w14:solidFill>
          </w14:textFill>
        </w:rPr>
        <w:t>3</w:t>
      </w:r>
      <w:r>
        <w:rPr>
          <w:rFonts w:hint="eastAsia" w:ascii="仿宋_GB2312" w:hAnsi="仿宋_GB2312" w:eastAsia="仿宋_GB2312" w:cs="仿宋_GB2312"/>
          <w:bCs w:val="0"/>
          <w:color w:val="000000" w:themeColor="text1"/>
          <w:sz w:val="28"/>
          <w:szCs w:val="28"/>
          <w:highlight w:val="none"/>
          <w:u w:val="single"/>
          <w14:textFill>
            <w14:solidFill>
              <w14:schemeClr w14:val="tx1"/>
            </w14:solidFill>
          </w14:textFill>
        </w:rPr>
        <w:t>0 个</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工作日内，甲方支付合同</w:t>
      </w:r>
      <w:r>
        <w:rPr>
          <w:rFonts w:hint="eastAsia" w:ascii="仿宋_GB2312" w:hAnsi="仿宋_GB2312" w:eastAsia="仿宋_GB2312" w:cs="仿宋_GB2312"/>
          <w:color w:val="000000" w:themeColor="text1"/>
          <w:sz w:val="28"/>
          <w:szCs w:val="28"/>
          <w:highlight w:val="none"/>
          <w14:textFill>
            <w14:solidFill>
              <w14:schemeClr w14:val="tx1"/>
            </w14:solidFill>
          </w14:textFill>
        </w:rPr>
        <w:t>暂定总价</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不含暂列金</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bCs w:val="0"/>
          <w:color w:val="000000" w:themeColor="text1"/>
          <w:sz w:val="28"/>
          <w:szCs w:val="28"/>
          <w:highlight w:val="none"/>
          <w:u w:val="none"/>
          <w14:textFill>
            <w14:solidFill>
              <w14:schemeClr w14:val="tx1"/>
            </w14:solidFill>
          </w14:textFill>
        </w:rPr>
        <w:t>（不得超过30%）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即</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元，（大写：</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Cs w:val="0"/>
          <w:color w:val="000000" w:themeColor="text1"/>
          <w:sz w:val="28"/>
          <w:szCs w:val="28"/>
          <w:highlight w:val="none"/>
          <w14:textFill>
            <w14:solidFill>
              <w14:schemeClr w14:val="tx1"/>
            </w14:solidFill>
          </w14:textFill>
        </w:rPr>
        <w:t>作为预付款。</w:t>
      </w:r>
      <w:r>
        <w:rPr>
          <w:rFonts w:hint="eastAsia" w:ascii="仿宋_GB2312" w:hAnsi="仿宋_GB2312" w:eastAsia="仿宋_GB2312" w:cs="仿宋_GB2312"/>
          <w:color w:val="000000" w:themeColor="text1"/>
          <w:sz w:val="28"/>
          <w:szCs w:val="28"/>
          <w:highlight w:val="none"/>
          <w14:textFill>
            <w14:solidFill>
              <w14:schemeClr w14:val="tx1"/>
            </w14:solidFill>
          </w14:textFill>
        </w:rPr>
        <w:t>若合同解除或终止，乙方在</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个工作日内返还预付款（无息）。</w:t>
      </w:r>
      <w:r>
        <w:rPr>
          <w:rFonts w:hint="eastAsia" w:ascii="仿宋_GB2312" w:hAnsi="仿宋_GB2312" w:eastAsia="仿宋_GB2312" w:cs="仿宋_GB2312"/>
          <w:bCs w:val="0"/>
          <w:color w:val="000000" w:themeColor="text1"/>
          <w:kern w:val="2"/>
          <w:sz w:val="28"/>
          <w:szCs w:val="28"/>
          <w:highlight w:val="none"/>
          <w14:textFill>
            <w14:solidFill>
              <w14:schemeClr w14:val="tx1"/>
            </w14:solidFill>
          </w14:textFill>
        </w:rPr>
        <w:t>逾期未返还，每逾期一天，乙方应按</w:t>
      </w:r>
      <w:r>
        <w:rPr>
          <w:rFonts w:hint="eastAsia" w:ascii="仿宋_GB2312" w:hAnsi="仿宋_GB2312" w:eastAsia="仿宋_GB2312" w:cs="仿宋_GB2312"/>
          <w:bCs w:val="0"/>
          <w:color w:val="000000" w:themeColor="text1"/>
          <w:kern w:val="2"/>
          <w:sz w:val="28"/>
          <w:szCs w:val="28"/>
          <w:highlight w:val="none"/>
          <w:u w:val="single"/>
          <w14:textFill>
            <w14:solidFill>
              <w14:schemeClr w14:val="tx1"/>
            </w14:solidFill>
          </w14:textFill>
        </w:rPr>
        <w:t>合同暂定总价的万分之五/天</w:t>
      </w:r>
      <w:r>
        <w:rPr>
          <w:rFonts w:hint="eastAsia" w:ascii="仿宋_GB2312" w:hAnsi="仿宋_GB2312" w:eastAsia="仿宋_GB2312" w:cs="仿宋_GB2312"/>
          <w:bCs w:val="0"/>
          <w:color w:val="000000" w:themeColor="text1"/>
          <w:kern w:val="2"/>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7A904B5A">
      <w:pPr>
        <w:pStyle w:val="12"/>
        <w:tabs>
          <w:tab w:val="left" w:pos="0"/>
        </w:tabs>
        <w:adjustRightInd/>
        <w:snapToGrid/>
        <w:spacing w:beforeLines="0" w:afterLines="0"/>
        <w:ind w:firstLine="560" w:firstLineChars="200"/>
        <w:jc w:val="left"/>
        <w:outlineLvl w:val="1"/>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8.2.1</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项目/子项目竣工验收合格</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并提交工人工资结清证明（格式参照附件8）</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经甲方确定</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后，由乙方提交申请支付资料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个工作日内，甲方支付至</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合同/子项目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结算价</w:t>
      </w:r>
      <w:r>
        <w:rPr>
          <w:rFonts w:hint="eastAsia" w:ascii="仿宋_GB2312" w:hAnsi="仿宋_GB2312" w:eastAsia="仿宋_GB2312" w:cs="仿宋_GB2312"/>
          <w:color w:val="000000" w:themeColor="text1"/>
          <w:sz w:val="28"/>
          <w:szCs w:val="28"/>
          <w:highlight w:val="none"/>
          <w14:textFill>
            <w14:solidFill>
              <w14:schemeClr w14:val="tx1"/>
            </w14:solidFill>
          </w14:textFill>
        </w:rPr>
        <w:t>的9</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auto"/>
          <w:sz w:val="28"/>
          <w:szCs w:val="28"/>
          <w:highlight w:val="none"/>
        </w:rPr>
        <w:t>(含因乙方未按规定履行合同约定而产生的各种违约金、扣罚金、赔偿金以及应由乙方交纳的各种费用等)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41D3C94">
      <w:pPr>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8.2.2质保期按合同第十条规定执行，质保期满后且乙方不存在违约情形，由乙方提交申请质保金退还资料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15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个工作日内，甲方支付</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合同/子项目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结算价</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％（质保金）给乙方（无息）。</w:t>
      </w:r>
    </w:p>
    <w:p w14:paraId="262BAA06">
      <w:pPr>
        <w:keepNext w:val="0"/>
        <w:keepLines w:val="0"/>
        <w:pageBreakBefore w:val="0"/>
        <w:widowControl w:val="0"/>
        <w:kinsoku/>
        <w:wordWrap/>
        <w:overflowPunct/>
        <w:bidi w:val="0"/>
        <w:spacing w:beforeLines="0" w:afterLines="0" w:line="560" w:lineRule="exact"/>
        <w:ind w:firstLine="548"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pacing w:val="-3"/>
          <w:sz w:val="28"/>
          <w:szCs w:val="28"/>
          <w:highlight w:val="none"/>
          <w:lang w:val="en-US" w:eastAsia="zh-CN"/>
          <w14:textFill>
            <w14:solidFill>
              <w14:schemeClr w14:val="tx1"/>
            </w14:solidFill>
          </w14:textFill>
        </w:rPr>
        <w:t>8.3</w:t>
      </w:r>
      <w:r>
        <w:rPr>
          <w:rFonts w:hint="eastAsia" w:ascii="仿宋_GB2312" w:hAnsi="仿宋_GB2312" w:eastAsia="仿宋_GB2312" w:cs="仿宋_GB2312"/>
          <w:color w:val="000000" w:themeColor="text1"/>
          <w:spacing w:val="-3"/>
          <w:sz w:val="28"/>
          <w:szCs w:val="28"/>
          <w:highlight w:val="none"/>
          <w14:textFill>
            <w14:solidFill>
              <w14:schemeClr w14:val="tx1"/>
            </w14:solidFill>
          </w14:textFill>
        </w:rPr>
        <w:t>如出现合同费用超付，乙方应在获知超付之日起</w:t>
      </w:r>
      <w:r>
        <w:rPr>
          <w:rFonts w:hint="eastAsia" w:ascii="仿宋_GB2312" w:hAnsi="仿宋_GB2312" w:eastAsia="仿宋_GB2312" w:cs="仿宋_GB2312"/>
          <w:color w:val="000000" w:themeColor="text1"/>
          <w:spacing w:val="-3"/>
          <w:sz w:val="28"/>
          <w:szCs w:val="28"/>
          <w:highlight w:val="none"/>
          <w:u w:val="single"/>
          <w14:textFill>
            <w14:solidFill>
              <w14:schemeClr w14:val="tx1"/>
            </w14:solidFill>
          </w14:textFill>
        </w:rPr>
        <w:t>7个</w:t>
      </w:r>
      <w:r>
        <w:rPr>
          <w:rFonts w:hint="eastAsia" w:ascii="仿宋_GB2312" w:hAnsi="仿宋_GB2312" w:eastAsia="仿宋_GB2312" w:cs="仿宋_GB2312"/>
          <w:color w:val="000000" w:themeColor="text1"/>
          <w:spacing w:val="-3"/>
          <w:sz w:val="28"/>
          <w:szCs w:val="28"/>
          <w:highlight w:val="none"/>
          <w14:textFill>
            <w14:solidFill>
              <w14:schemeClr w14:val="tx1"/>
            </w14:solidFill>
          </w14:textFill>
        </w:rPr>
        <w:t>工作日内返还超付款项（无息）。</w:t>
      </w:r>
      <w:r>
        <w:rPr>
          <w:rFonts w:hint="eastAsia" w:ascii="仿宋_GB2312" w:hAnsi="仿宋_GB2312" w:eastAsia="仿宋_GB2312" w:cs="仿宋_GB2312"/>
          <w:color w:val="000000" w:themeColor="text1"/>
          <w:sz w:val="28"/>
          <w:szCs w:val="28"/>
          <w:highlight w:val="none"/>
          <w14:textFill>
            <w14:solidFill>
              <w14:schemeClr w14:val="tx1"/>
            </w14:solidFill>
          </w14:textFill>
        </w:rPr>
        <w:t>每逾期一周乙方承担超付款项的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w:t>
      </w:r>
      <w:r>
        <w:rPr>
          <w:rFonts w:hint="eastAsia" w:ascii="仿宋_GB2312" w:hAnsi="仿宋_GB2312" w:eastAsia="仿宋_GB2312" w:cs="仿宋_GB2312"/>
          <w:color w:val="000000" w:themeColor="text1"/>
          <w:sz w:val="28"/>
          <w:szCs w:val="28"/>
          <w:highlight w:val="none"/>
          <w14:textFill>
            <w14:solidFill>
              <w14:schemeClr w14:val="tx1"/>
            </w14:solidFill>
          </w14:textFill>
        </w:rPr>
        <w:t>的逾期违约金，且支付超付款项相应存款利息。</w:t>
      </w:r>
    </w:p>
    <w:p w14:paraId="539E11AE">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8.4</w:t>
      </w:r>
      <w:r>
        <w:rPr>
          <w:rFonts w:hint="eastAsia" w:ascii="仿宋_GB2312" w:hAnsi="仿宋_GB2312" w:eastAsia="仿宋_GB2312" w:cs="仿宋_GB2312"/>
          <w:color w:val="000000" w:themeColor="text1"/>
          <w:sz w:val="28"/>
          <w:szCs w:val="28"/>
          <w:highlight w:val="none"/>
          <w14:textFill>
            <w14:solidFill>
              <w14:schemeClr w14:val="tx1"/>
            </w14:solidFill>
          </w14:textFill>
        </w:rPr>
        <w:t>结算审定价超过合同暂定总价时，暂停合同的工程款支付程序，签订补充协议后支付。</w:t>
      </w:r>
    </w:p>
    <w:p w14:paraId="6B2418D9">
      <w:pPr>
        <w:pStyle w:val="12"/>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8.5</w:t>
      </w:r>
      <w:r>
        <w:rPr>
          <w:rFonts w:hint="eastAsia" w:ascii="仿宋_GB2312" w:hAnsi="仿宋_GB2312" w:eastAsia="仿宋_GB2312" w:cs="仿宋_GB2312"/>
          <w:color w:val="000000" w:themeColor="text1"/>
          <w:sz w:val="28"/>
          <w:szCs w:val="28"/>
          <w:highlight w:val="none"/>
          <w14:textFill>
            <w14:solidFill>
              <w14:schemeClr w14:val="tx1"/>
            </w14:solidFill>
          </w14:textFill>
        </w:rPr>
        <w:t>本项目工程款的支付单位为：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 </w:t>
      </w:r>
    </w:p>
    <w:p w14:paraId="741124F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乙方收款账户：</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5466210B">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收款账号：</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2C5627A7">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开户行：</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p>
    <w:p w14:paraId="4F01629C">
      <w:pPr>
        <w:spacing w:beforeLines="0" w:afterLines="0" w:line="560" w:lineRule="exact"/>
        <w:ind w:firstLine="560" w:firstLineChars="200"/>
        <w:outlineLvl w:val="9"/>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8.7</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乙方在收款前需提交等额增值税专用发票给甲方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乙方提交的发票被作废或红冲的，在乙方更换有效发票前，甲方有权要求退回该发票对应的已支付款项并不再给予支付后续的全部合同款项，由此造成甲方损失的，由乙方承担赔偿责任。增值税专用发票信息：</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14A4C33B">
      <w:pPr>
        <w:keepNext w:val="0"/>
        <w:keepLines w:val="0"/>
        <w:pageBreakBefore w:val="0"/>
        <w:widowControl w:val="0"/>
        <w:tabs>
          <w:tab w:val="left" w:pos="851"/>
        </w:tabs>
        <w:kinsoku/>
        <w:wordWrap/>
        <w:overflowPunct/>
        <w:bidi w:val="0"/>
        <w:adjustRightInd/>
        <w:snapToGrid/>
        <w:spacing w:beforeLines="0" w:afterLines="0" w:line="560" w:lineRule="exact"/>
        <w:ind w:firstLine="560" w:firstLineChars="200"/>
        <w:jc w:val="left"/>
        <w:rPr>
          <w:rFonts w:hint="eastAsia" w:ascii="仿宋_GB2312" w:hAnsi="仿宋_GB2312" w:eastAsia="仿宋_GB2312" w:cs="仿宋_GB2312"/>
          <w:b/>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b/>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b/>
          <w:color w:val="000000" w:themeColor="text1"/>
          <w:sz w:val="28"/>
          <w:szCs w:val="28"/>
          <w:highlight w:val="none"/>
          <w:lang w:val="en-US" w:eastAsia="zh-CN"/>
          <w14:textFill>
            <w14:solidFill>
              <w14:schemeClr w14:val="tx1"/>
            </w14:solidFill>
          </w14:textFill>
        </w:rPr>
        <w:t>及预付款担保</w:t>
      </w:r>
    </w:p>
    <w:p w14:paraId="22B5E214">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无；    </w:t>
      </w:r>
      <w:r>
        <w:rPr>
          <w:rFonts w:hint="eastAsia" w:ascii="仿宋_GB2312" w:hAnsi="仿宋_GB2312" w:eastAsia="仿宋_GB2312" w:cs="仿宋_GB2312"/>
          <w:bCs/>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bCs/>
          <w:color w:val="000000" w:themeColor="text1"/>
          <w:sz w:val="28"/>
          <w:szCs w:val="28"/>
          <w:highlight w:val="none"/>
          <w14:textFill>
            <w14:solidFill>
              <w14:schemeClr w14:val="tx1"/>
            </w14:solidFill>
          </w14:textFill>
        </w:rPr>
        <w:t>有，</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乙方于</w:t>
      </w:r>
      <w:r>
        <w:rPr>
          <w:rFonts w:hint="eastAsia" w:ascii="仿宋_GB2312" w:hAnsi="仿宋_GB2312" w:eastAsia="仿宋_GB2312" w:cs="仿宋_GB2312"/>
          <w:color w:val="000000" w:themeColor="text1"/>
          <w:sz w:val="28"/>
          <w:szCs w:val="28"/>
          <w:highlight w:val="none"/>
          <w14:textFill>
            <w14:solidFill>
              <w14:schemeClr w14:val="tx1"/>
            </w14:solidFill>
          </w14:textFill>
        </w:rPr>
        <w:t>本合同签订后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按照</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总</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价的</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0%</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提交</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履约</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担保</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金额为：</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（大写人民币：</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未按时提供履约担保的，甲方有权解除合同并要求乙方支付</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合同暂定总价20%</w:t>
      </w:r>
      <w:r>
        <w:rPr>
          <w:rFonts w:hint="eastAsia" w:ascii="仿宋_GB2312" w:hAnsi="仿宋_GB2312" w:eastAsia="仿宋_GB2312" w:cs="仿宋_GB2312"/>
          <w:color w:val="000000" w:themeColor="text1"/>
          <w:sz w:val="28"/>
          <w:szCs w:val="28"/>
          <w:highlight w:val="none"/>
          <w14:textFill>
            <w14:solidFill>
              <w14:schemeClr w14:val="tx1"/>
            </w14:solidFill>
          </w14:textFill>
        </w:rPr>
        <w:t>作为违约金。</w:t>
      </w:r>
    </w:p>
    <w:p w14:paraId="27D6C933">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8.8.1</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履约担保按以下任一种形式提供：</w:t>
      </w:r>
    </w:p>
    <w:p w14:paraId="29E1706F">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（1）符合甲方要求的银行独立保函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517859F9">
      <w:pPr>
        <w:pStyle w:val="21"/>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（2）担保公司担保：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所在地担保公司出具并经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认可的无条件、不可撤销的连带担保</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621CE9B">
      <w:pPr>
        <w:pStyle w:val="21"/>
        <w:widowControl w:val="0"/>
        <w:numPr>
          <w:ilvl w:val="12"/>
          <w:numId w:val="0"/>
        </w:numPr>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保证保险：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所在地保险公司出具并经</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认可的无条件、不可撤销的保证保险</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p>
    <w:p w14:paraId="3864621D">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现金转账至甲方以下指定账户：</w:t>
      </w:r>
    </w:p>
    <w:p w14:paraId="2BF6B98A">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户名：</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w:t>
      </w:r>
    </w:p>
    <w:p w14:paraId="2E1B4A27">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账号：</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w:t>
      </w:r>
    </w:p>
    <w:p w14:paraId="30E734FF">
      <w:pPr>
        <w:keepNext w:val="0"/>
        <w:keepLines w:val="0"/>
        <w:pageBreakBefore w:val="0"/>
        <w:widowControl w:val="0"/>
        <w:tabs>
          <w:tab w:val="left" w:pos="1995"/>
        </w:tabs>
        <w:kinsoku/>
        <w:wordWrap/>
        <w:overflowPunct/>
        <w:bidi w:val="0"/>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u w:val="none"/>
          <w14:textFill>
            <w14:solidFill>
              <w14:schemeClr w14:val="tx1"/>
            </w14:solidFill>
          </w14:textFill>
        </w:rPr>
        <w:t>开户行：</w:t>
      </w:r>
      <w:r>
        <w:rPr>
          <w:rFonts w:hint="eastAsia" w:ascii="仿宋_GB2312" w:hAnsi="仿宋_GB2312" w:eastAsia="仿宋_GB2312" w:cs="仿宋_GB2312"/>
          <w:bCs/>
          <w:color w:val="000000" w:themeColor="text1"/>
          <w:sz w:val="28"/>
          <w:szCs w:val="28"/>
          <w:highlight w:val="none"/>
          <w:u w:val="single"/>
          <w:lang w:val="en-US" w:eastAsia="zh-CN"/>
          <w14:textFill>
            <w14:solidFill>
              <w14:schemeClr w14:val="tx1"/>
            </w14:solidFill>
          </w14:textFill>
        </w:rPr>
        <w:t xml:space="preserve">         </w:t>
      </w:r>
    </w:p>
    <w:p w14:paraId="2170F5BD">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8.8.2</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履约担保的担保期限和返还</w:t>
      </w:r>
    </w:p>
    <w:p w14:paraId="5159D6AE">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担保期限：从提供履约担保（或转账成功）之日起至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B42B5BC">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履约银行保函</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担保公司担保、保证保险</w:t>
      </w:r>
      <w:r>
        <w:rPr>
          <w:rFonts w:hint="eastAsia" w:ascii="仿宋_GB2312" w:hAnsi="仿宋_GB2312" w:eastAsia="仿宋_GB2312" w:cs="仿宋_GB2312"/>
          <w:color w:val="000000" w:themeColor="text1"/>
          <w:sz w:val="28"/>
          <w:szCs w:val="28"/>
          <w:highlight w:val="none"/>
          <w14:textFill>
            <w14:solidFill>
              <w14:schemeClr w14:val="tx1"/>
            </w14:solidFill>
          </w14:textFill>
        </w:rPr>
        <w:t>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后，由乙方提出申请，甲方在28日内返还，不支付利息：</w:t>
      </w:r>
    </w:p>
    <w:p w14:paraId="20EAC50E">
      <w:pPr>
        <w:keepNext w:val="0"/>
        <w:keepLines w:val="0"/>
        <w:pageBreakBefore w:val="0"/>
        <w:widowControl w:val="0"/>
        <w:kinsoku/>
        <w:wordWrap/>
        <w:overflowPunct/>
        <w:bidi w:val="0"/>
        <w:spacing w:beforeLines="0" w:afterLines="0" w:line="560" w:lineRule="exact"/>
        <w:ind w:firstLine="560" w:firstLineChars="200"/>
        <w:outlineLvl w:val="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延长担保期限。乙方应在履约担保有效期届满之日的7天前，向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提交同样格式且更新日期后的有效担保替代原担保，否则，每逾期一天，</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14:textFill>
            <w14:solidFill>
              <w14:schemeClr w14:val="tx1"/>
            </w14:solidFill>
          </w14:textFill>
        </w:rPr>
        <w:t>应向</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支付违约金</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2万元/天</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且</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甲方有权提取全部履约担保金额并解除合同。</w:t>
      </w:r>
    </w:p>
    <w:p w14:paraId="4EB78BF5">
      <w:pPr>
        <w:pStyle w:val="21"/>
        <w:keepNext w:val="0"/>
        <w:keepLines w:val="0"/>
        <w:pageBreakBefore w:val="0"/>
        <w:widowControl w:val="0"/>
        <w:kinsoku/>
        <w:wordWrap/>
        <w:overflowPunct/>
        <w:bidi w:val="0"/>
        <w:spacing w:before="0" w:beforeLines="0" w:beforeAutospacing="0" w:after="0" w:afterLines="0" w:afterAutospacing="0" w:line="560" w:lineRule="exact"/>
        <w:ind w:firstLine="560" w:firstLineChars="200"/>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现金履约保证金的退还：</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项目（全部子项目）结算完成</w:t>
      </w:r>
      <w:r>
        <w:rPr>
          <w:rFonts w:hint="eastAsia" w:ascii="仿宋_GB2312" w:hAnsi="仿宋_GB2312" w:eastAsia="仿宋_GB2312" w:cs="仿宋_GB2312"/>
          <w:color w:val="000000" w:themeColor="text1"/>
          <w:sz w:val="28"/>
          <w:szCs w:val="28"/>
          <w:highlight w:val="none"/>
          <w14:textFill>
            <w14:solidFill>
              <w14:schemeClr w14:val="tx1"/>
            </w14:solidFill>
          </w14:textFill>
        </w:rPr>
        <w:t>后，由乙方提出申请，甲方在</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内将剩余保证金（无息）返还。</w:t>
      </w:r>
    </w:p>
    <w:p w14:paraId="62E3360C">
      <w:pPr>
        <w:keepNext w:val="0"/>
        <w:keepLines w:val="0"/>
        <w:pageBreakBefore w:val="0"/>
        <w:widowControl w:val="0"/>
        <w:kinsoku/>
        <w:wordWrap/>
        <w:overflowPunct/>
        <w:bidi w:val="0"/>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8.8.3</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甲方按本合同规定提取履约担保金额后，乙方应在收到甲方通知后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7  </w:t>
      </w:r>
      <w:r>
        <w:rPr>
          <w:rFonts w:hint="eastAsia" w:ascii="仿宋_GB2312" w:hAnsi="仿宋_GB2312" w:eastAsia="仿宋_GB2312" w:cs="仿宋_GB2312"/>
          <w:color w:val="000000" w:themeColor="text1"/>
          <w:sz w:val="28"/>
          <w:szCs w:val="28"/>
          <w:highlight w:val="none"/>
          <w14:textFill>
            <w14:solidFill>
              <w14:schemeClr w14:val="tx1"/>
            </w14:solidFill>
          </w14:textFill>
        </w:rPr>
        <w:t>日内补足数额，逾期未补足的，则甲方有权提取履约担保的全部余额并解除合同。</w:t>
      </w:r>
    </w:p>
    <w:p w14:paraId="74C19873">
      <w:pPr>
        <w:spacing w:beforeLines="0" w:afterLines="0" w:line="560" w:lineRule="exact"/>
        <w:ind w:left="479" w:leftChars="228" w:firstLine="0" w:firstLineChars="0"/>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8.</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预付款担保</w:t>
      </w:r>
      <w:r>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8"/>
          <w:szCs w:val="28"/>
          <w:highlight w:val="none"/>
          <w:shd w:val="clear"/>
          <w:lang w:val="en-US" w:eastAsia="zh-CN"/>
          <w14:textFill>
            <w14:solidFill>
              <w14:schemeClr w14:val="tx1"/>
            </w14:solidFill>
          </w14:textFill>
        </w:rPr>
        <w:t>如需</w:t>
      </w:r>
      <w:r>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t>）</w:t>
      </w:r>
    </w:p>
    <w:p w14:paraId="3B692325">
      <w:pPr>
        <w:spacing w:beforeLines="0" w:afterLines="0" w:line="560" w:lineRule="exact"/>
        <w:ind w:left="0" w:leftChars="0" w:firstLine="560" w:firstLineChars="200"/>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（1）</w:t>
      </w:r>
      <w:r>
        <w:rPr>
          <w:rFonts w:hint="eastAsia" w:ascii="仿宋_GB2312" w:hAnsi="仿宋_GB2312" w:eastAsia="仿宋_GB2312" w:cs="仿宋_GB2312"/>
          <w:color w:val="000000"/>
          <w:kern w:val="0"/>
          <w:sz w:val="28"/>
          <w:szCs w:val="28"/>
          <w:highlight w:val="none"/>
          <w:lang w:val="en-US" w:eastAsia="zh-CN"/>
        </w:rPr>
        <w:t>乙方向甲方提供无条件、不可撤销的银行独立保函作为预付款担保（预付款保函格式详见附件）。</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预付款担保的担保金额应与预付款金额相同。预付款从应支付给乙方的进度款中扣回。</w:t>
      </w:r>
    </w:p>
    <w:p w14:paraId="114C9CEB">
      <w:pPr>
        <w:spacing w:beforeLines="0" w:afterLines="0" w:line="560" w:lineRule="exact"/>
        <w:ind w:left="0" w:leftChars="0" w:firstLine="560" w:firstLineChars="200"/>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（2）预付款担保应在预付款扣清后</w:t>
      </w:r>
      <w:r>
        <w:rPr>
          <w:rFonts w:hint="eastAsia" w:ascii="仿宋_GB2312" w:hAnsi="仿宋_GB2312" w:eastAsia="仿宋_GB2312" w:cs="仿宋_GB2312"/>
          <w:i w:val="0"/>
          <w:iCs w:val="0"/>
          <w:caps w:val="0"/>
          <w:color w:val="000000" w:themeColor="text1"/>
          <w:spacing w:val="0"/>
          <w:sz w:val="28"/>
          <w:szCs w:val="28"/>
          <w:highlight w:val="none"/>
          <w:u w:val="single"/>
          <w:shd w:val="clear"/>
          <w:lang w:eastAsia="zh-CN"/>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14:textFill>
            <w14:solidFill>
              <w14:schemeClr w14:val="tx1"/>
            </w14:solidFill>
          </w14:textFill>
        </w:rPr>
        <w:t>28</w:t>
      </w: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日内退还给乙方。甲方不承</w:t>
      </w:r>
    </w:p>
    <w:p w14:paraId="6B7ECE46">
      <w:pPr>
        <w:spacing w:beforeLines="0" w:afterLines="0" w:line="560" w:lineRule="exact"/>
        <w:ind w:left="0" w:leftChars="0" w:firstLine="0" w:firstLineChars="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14:textFill>
            <w14:solidFill>
              <w14:schemeClr w14:val="tx1"/>
            </w14:solidFill>
          </w14:textFill>
        </w:rPr>
        <w:t>担乙方与预付款担保有关的任何利息或其他类似的费用或收益</w:t>
      </w:r>
      <w:r>
        <w:rPr>
          <w:rFonts w:hint="eastAsia" w:ascii="仿宋_GB2312" w:hAnsi="仿宋_GB2312" w:eastAsia="仿宋_GB2312" w:cs="仿宋_GB2312"/>
          <w:i w:val="0"/>
          <w:iCs w:val="0"/>
          <w:caps w:val="0"/>
          <w:color w:val="000000" w:themeColor="text1"/>
          <w:spacing w:val="0"/>
          <w:sz w:val="28"/>
          <w:szCs w:val="28"/>
          <w:highlight w:val="none"/>
          <w:shd w:val="clear"/>
          <w:lang w:eastAsia="zh-CN"/>
          <w14:textFill>
            <w14:solidFill>
              <w14:schemeClr w14:val="tx1"/>
            </w14:solidFill>
          </w14:textFill>
        </w:rPr>
        <w:t>。</w:t>
      </w:r>
    </w:p>
    <w:p w14:paraId="3FD804B5">
      <w:pPr>
        <w:adjustRightInd/>
        <w:snapToGrid/>
        <w:spacing w:beforeLines="0" w:afterLines="0" w:line="560" w:lineRule="exact"/>
        <w:ind w:firstLine="560" w:firstLineChars="200"/>
        <w:jc w:val="left"/>
        <w:outlineLvl w:val="9"/>
        <w:rPr>
          <w:rFonts w:hint="eastAsia" w:ascii="仿宋_GB2312" w:hAnsi="仿宋_GB2312" w:eastAsia="仿宋_GB2312" w:cs="仿宋_GB2312"/>
          <w:bCs/>
          <w:color w:val="000000" w:themeColor="text1"/>
          <w:sz w:val="28"/>
          <w:szCs w:val="28"/>
          <w:highlight w:val="none"/>
          <w:bdr w:val="single" w:color="auto" w:sz="4" w:space="0"/>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8.10</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付款方式：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FE"/>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网银支付；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支票；   </w:t>
      </w:r>
      <w:r>
        <w:rPr>
          <w:rFonts w:hint="eastAsia" w:ascii="仿宋_GB2312" w:hAnsi="仿宋_GB2312" w:eastAsia="仿宋_GB2312" w:cs="仿宋_GB2312"/>
          <w:color w:val="000000" w:themeColor="text1"/>
          <w:sz w:val="28"/>
          <w:szCs w:val="28"/>
          <w:highlight w:val="none"/>
          <w14:textFill>
            <w14:solidFill>
              <w14:schemeClr w14:val="tx1"/>
            </w14:solidFill>
          </w14:textFill>
        </w:rPr>
        <w:sym w:font="Wingdings" w:char="00A8"/>
      </w:r>
      <w:r>
        <w:rPr>
          <w:rFonts w:hint="eastAsia" w:ascii="仿宋_GB2312" w:hAnsi="仿宋_GB2312" w:eastAsia="仿宋_GB2312" w:cs="仿宋_GB2312"/>
          <w:color w:val="000000" w:themeColor="text1"/>
          <w:sz w:val="28"/>
          <w:szCs w:val="28"/>
          <w:highlight w:val="none"/>
          <w14:textFill>
            <w14:solidFill>
              <w14:schemeClr w14:val="tx1"/>
            </w14:solidFill>
          </w14:textFill>
        </w:rPr>
        <w:t>其他</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p>
    <w:p w14:paraId="5851615F">
      <w:pPr>
        <w:pStyle w:val="12"/>
        <w:spacing w:beforeLines="0" w:afterLines="0" w:line="560" w:lineRule="exact"/>
        <w:ind w:firstLine="560" w:firstLineChars="200"/>
        <w:outlineLvl w:val="1"/>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（建议采用网银支付、支票两种形式中之一）。</w:t>
      </w:r>
    </w:p>
    <w:p w14:paraId="433711F1">
      <w:pPr>
        <w:spacing w:beforeLines="0" w:afterLines="0" w:line="560" w:lineRule="exact"/>
        <w:ind w:firstLine="562" w:firstLineChars="200"/>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第九条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竣工验收</w:t>
      </w:r>
    </w:p>
    <w:p w14:paraId="7AEB0DE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9.1乙方应在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项目/子项目</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工程完工后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30天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内将经甲方审核的完整竣工资料（含竣工图）和竣工验收报告各</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一式四份</w:t>
      </w:r>
      <w:r>
        <w:rPr>
          <w:rFonts w:hint="eastAsia" w:ascii="仿宋_GB2312" w:hAnsi="仿宋_GB2312" w:eastAsia="仿宋_GB2312" w:cs="仿宋_GB2312"/>
          <w:color w:val="000000" w:themeColor="text1"/>
          <w:sz w:val="28"/>
          <w:szCs w:val="28"/>
          <w:highlight w:val="none"/>
          <w14:textFill>
            <w14:solidFill>
              <w14:schemeClr w14:val="tx1"/>
            </w14:solidFill>
          </w14:textFill>
        </w:rPr>
        <w:t>交甲方，不按时报送工程竣工资料的，每逾期一天，甲方要求乙方支付</w:t>
      </w:r>
      <w:r>
        <w:rPr>
          <w:rFonts w:hint="eastAsia" w:ascii="仿宋_GB2312" w:hAnsi="仿宋_GB2312" w:eastAsia="仿宋_GB2312" w:cs="仿宋_GB2312"/>
          <w:i w:val="0"/>
          <w:iCs w:val="0"/>
          <w:caps w:val="0"/>
          <w:color w:val="000000" w:themeColor="text1"/>
          <w:spacing w:val="0"/>
          <w:sz w:val="28"/>
          <w:szCs w:val="28"/>
          <w:highlight w:val="none"/>
          <w:u w:val="single"/>
          <w:shd w:val="clear"/>
          <w:lang w:bidi="ar"/>
          <w14:textFill>
            <w14:solidFill>
              <w14:schemeClr w14:val="tx1"/>
            </w14:solidFill>
          </w14:textFill>
        </w:rPr>
        <w:t>项目</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bidi="ar"/>
          <w14:textFill>
            <w14:solidFill>
              <w14:schemeClr w14:val="tx1"/>
            </w14:solidFill>
          </w14:textFill>
        </w:rPr>
        <w:t>/对应子项目</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合同暂定总价</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万分之五/天</w:t>
      </w:r>
      <w:r>
        <w:rPr>
          <w:rFonts w:hint="eastAsia" w:ascii="仿宋_GB2312" w:hAnsi="仿宋_GB2312" w:eastAsia="仿宋_GB2312" w:cs="仿宋_GB2312"/>
          <w:color w:val="000000" w:themeColor="text1"/>
          <w:sz w:val="28"/>
          <w:szCs w:val="28"/>
          <w:highlight w:val="none"/>
          <w14:textFill>
            <w14:solidFill>
              <w14:schemeClr w14:val="tx1"/>
            </w14:solidFill>
          </w14:textFill>
        </w:rPr>
        <w:t>，并在支付合同款时抵扣。</w:t>
      </w:r>
    </w:p>
    <w:p w14:paraId="4F537678">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内组织有关单位进行验收，工程竣工验收严格按国家、省、市、部门有关文件执行，并在验收后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10天</w:t>
      </w:r>
      <w:r>
        <w:rPr>
          <w:rFonts w:hint="eastAsia" w:ascii="仿宋_GB2312" w:hAnsi="仿宋_GB2312" w:eastAsia="仿宋_GB2312" w:cs="仿宋_GB2312"/>
          <w:color w:val="000000" w:themeColor="text1"/>
          <w:sz w:val="28"/>
          <w:szCs w:val="28"/>
          <w:highlight w:val="none"/>
          <w14:textFill>
            <w14:solidFill>
              <w14:schemeClr w14:val="tx1"/>
            </w14:solidFill>
          </w14:textFill>
        </w:rPr>
        <w:t>内给予认可或提出修改意见。乙方按要求修改，并承担修改的费用。</w:t>
      </w:r>
    </w:p>
    <w:p w14:paraId="05256EB4">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9.3工程竣工验收通过，乙方送交完整的竣工验收资料和竣工验收报告的日期为实际竣工日期。工程按甲方要求修改后通过竣工验收的，实际竣工日期为乙方修改后提请甲方验收的日期。</w:t>
      </w:r>
    </w:p>
    <w:p w14:paraId="564C8FD1">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9.4隐蔽工程验收</w:t>
      </w:r>
    </w:p>
    <w:p w14:paraId="4B3745B2">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当项目具备覆盖、掩盖条件或达到中间验收部位后，乙方自检，并提前48 小时以书面形式通知甲方参加验收，经甲方验收合格并在验收记录上签字后，方可进行隐蔽和继续施工。</w:t>
      </w:r>
    </w:p>
    <w:p w14:paraId="619B0416">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lang w:val="en-US" w:eastAsia="zh-CN" w:bidi="ar"/>
          <w14:textFill>
            <w14:solidFill>
              <w14:schemeClr w14:val="tx1"/>
            </w14:solidFill>
          </w14:textFill>
        </w:rPr>
        <w:t>9.5</w:t>
      </w: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 xml:space="preserve"> 工程竣工验收通过后</w:t>
      </w:r>
      <w:r>
        <w:rPr>
          <w:rFonts w:hint="eastAsia" w:ascii="仿宋_GB2312" w:hAnsi="仿宋_GB2312" w:eastAsia="仿宋_GB2312" w:cs="仿宋_GB2312"/>
          <w:i w:val="0"/>
          <w:iCs w:val="0"/>
          <w:caps w:val="0"/>
          <w:color w:val="000000" w:themeColor="text1"/>
          <w:spacing w:val="0"/>
          <w:kern w:val="2"/>
          <w:sz w:val="28"/>
          <w:szCs w:val="28"/>
          <w:highlight w:val="none"/>
          <w:u w:val="single"/>
          <w:shd w:val="clear" w:fill="auto"/>
          <w:lang w:val="en-US" w:eastAsia="zh-CN" w:bidi="ar"/>
          <w14:textFill>
            <w14:solidFill>
              <w14:schemeClr w14:val="tx1"/>
            </w14:solidFill>
          </w14:textFill>
        </w:rPr>
        <w:t xml:space="preserve"> 7 日</w:t>
      </w: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内，乙方应按以下要求对施工场地进行清理，直至甲方检验合格为止。竣工清场费用由乙方承担。</w:t>
      </w:r>
    </w:p>
    <w:p w14:paraId="56784B54">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（1）清除施工场地内残留的垃圾（包括但不限于：施工的淤泥渣土、废弃的施工设备和材料等)。</w:t>
      </w:r>
    </w:p>
    <w:p w14:paraId="3D252873">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right="0" w:firstLine="560" w:firstLineChars="20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（2）如涉及临时工程，乙方负责拆除并对场地进行清理、平整或复原。</w:t>
      </w:r>
    </w:p>
    <w:p w14:paraId="7A6FF68F">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479" w:leftChars="228" w:right="0" w:firstLine="0" w:firstLineChars="0"/>
        <w:jc w:val="left"/>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（3）对乙方设备和剩余的材料进行撤场。</w:t>
      </w:r>
    </w:p>
    <w:p w14:paraId="77020837">
      <w:pPr>
        <w:keepNext w:val="0"/>
        <w:keepLines w:val="0"/>
        <w:widowControl w:val="0"/>
        <w:suppressLineNumbers w:val="0"/>
        <w:pBdr>
          <w:top w:val="none" w:color="auto" w:sz="0" w:space="0"/>
          <w:left w:val="none" w:color="auto" w:sz="0" w:space="0"/>
          <w:bottom w:val="none" w:color="auto" w:sz="0" w:space="0"/>
          <w:right w:val="none" w:color="auto" w:sz="0" w:space="0"/>
        </w:pBdr>
        <w:shd w:val="clear" w:fill="auto"/>
        <w:bidi w:val="0"/>
        <w:spacing w:before="0" w:beforeLines="0" w:beforeAutospacing="0" w:after="0" w:afterLines="0" w:afterAutospacing="0" w:line="560" w:lineRule="exact"/>
        <w:ind w:left="0" w:leftChars="0" w:right="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2"/>
          <w:sz w:val="28"/>
          <w:szCs w:val="28"/>
          <w:highlight w:val="none"/>
          <w:shd w:val="clear" w:fill="auto"/>
          <w:lang w:val="en-US" w:eastAsia="zh-CN" w:bidi="ar"/>
          <w14:textFill>
            <w14:solidFill>
              <w14:schemeClr w14:val="tx1"/>
            </w14:solidFill>
          </w14:textFill>
        </w:rPr>
        <w:t>如乙方逾期未能对施工场地进行清理，甲方有权委托第三方清理，清理费用由乙方承担，并在应付款项中抵扣。</w:t>
      </w:r>
    </w:p>
    <w:p w14:paraId="557771EA">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lang w:eastAsia="zh-CN" w:bidi="ar"/>
          <w14:textFill>
            <w14:solidFill>
              <w14:schemeClr w14:val="tx1"/>
            </w14:solidFill>
          </w14:textFill>
        </w:rPr>
        <w:t>9</w:t>
      </w:r>
      <w:r>
        <w:rPr>
          <w:rFonts w:hint="eastAsia" w:ascii="仿宋_GB2312" w:hAnsi="仿宋_GB2312" w:eastAsia="仿宋_GB2312" w:cs="仿宋_GB2312"/>
          <w:i w:val="0"/>
          <w:iCs w:val="0"/>
          <w:caps w:val="0"/>
          <w:color w:val="000000" w:themeColor="text1"/>
          <w:spacing w:val="0"/>
          <w:sz w:val="28"/>
          <w:szCs w:val="28"/>
          <w:highlight w:val="none"/>
          <w:shd w:val="clear"/>
          <w:lang w:val="en-US" w:eastAsia="zh-CN" w:bidi="ar"/>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 xml:space="preserve"> 竣工档案的整理和移交</w:t>
      </w:r>
    </w:p>
    <w:p w14:paraId="2881147F">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14:paraId="4ED33AE7">
      <w:pPr>
        <w:widowControl w:val="0"/>
        <w:pBdr>
          <w:top w:val="none" w:color="auto" w:sz="0" w:space="0"/>
          <w:left w:val="none" w:color="auto" w:sz="0" w:space="0"/>
          <w:bottom w:val="none" w:color="auto" w:sz="0" w:space="0"/>
          <w:right w:val="none" w:color="auto" w:sz="0" w:space="0"/>
        </w:pBdr>
        <w:spacing w:beforeLines="0" w:afterLines="0" w:line="560" w:lineRule="exact"/>
        <w:ind w:left="0" w:leftChars="0" w:firstLine="560" w:firstLineChars="200"/>
        <w:jc w:val="left"/>
        <w:rPr>
          <w:rFonts w:hint="eastAsia" w:ascii="仿宋_GB2312" w:hAnsi="仿宋_GB2312" w:eastAsia="仿宋_GB2312" w:cs="仿宋_GB2312"/>
          <w:i w:val="0"/>
          <w:iCs w:val="0"/>
          <w:caps w:val="0"/>
          <w:color w:val="000000" w:themeColor="text1"/>
          <w:spacing w:val="0"/>
          <w:sz w:val="28"/>
          <w:szCs w:val="28"/>
          <w:highlight w:val="none"/>
          <w:shd w:val="clear"/>
          <w:lang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（a）竣工文件资料、竣工图档案（原件）各一式四份；</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（b）与本款（a）项内容相同的电子版档案一式二份；</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（2）乙方移交竣工档案的时限：乙方应于工程竣工验收后</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 xml:space="preserve"> 30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 xml:space="preserve">内将竣工档案提交甲方签认。乙方应于甲方签认后 </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10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内将竣工档案移交给甲方归档并同时移交有关归档的证明文件。甲方经审查合格的，应在收到竣工档案后</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 xml:space="preserve"> 10 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内签署档案验收意见；不合格的，乙方应按甲方要求限期补正，直至合格为止。乙超过本条规定的时限，每逾期一天</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项目</w:t>
      </w:r>
      <w:r>
        <w:rPr>
          <w:rFonts w:hint="eastAsia" w:ascii="仿宋_GB2312" w:hAnsi="仿宋_GB2312" w:eastAsia="仿宋_GB2312" w:cs="仿宋_GB2312"/>
          <w:i w:val="0"/>
          <w:iCs w:val="0"/>
          <w:caps w:val="0"/>
          <w:color w:val="000000" w:themeColor="text1"/>
          <w:spacing w:val="0"/>
          <w:sz w:val="28"/>
          <w:szCs w:val="28"/>
          <w:highlight w:val="none"/>
          <w:u w:val="single"/>
          <w:shd w:val="clear"/>
          <w:lang w:val="en-US" w:eastAsia="zh-CN" w:bidi="ar"/>
          <w14:textFill>
            <w14:solidFill>
              <w14:schemeClr w14:val="tx1"/>
            </w14:solidFill>
          </w14:textFill>
        </w:rPr>
        <w:t>/对应子项目</w:t>
      </w:r>
      <w:r>
        <w:rPr>
          <w:rFonts w:hint="eastAsia" w:ascii="仿宋_GB2312" w:hAnsi="仿宋_GB2312" w:eastAsia="仿宋_GB2312" w:cs="仿宋_GB2312"/>
          <w:i w:val="0"/>
          <w:iCs w:val="0"/>
          <w:caps w:val="0"/>
          <w:color w:val="000000" w:themeColor="text1"/>
          <w:spacing w:val="0"/>
          <w:sz w:val="28"/>
          <w:szCs w:val="28"/>
          <w:highlight w:val="none"/>
          <w:u w:val="single"/>
          <w:shd w:val="clear" w:fill="auto"/>
          <w:lang w:bidi="ar"/>
          <w14:textFill>
            <w14:solidFill>
              <w14:schemeClr w14:val="tx1"/>
            </w14:solidFill>
          </w14:textFill>
        </w:rPr>
        <w:t>合同暂定总价万分之五/天</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违约金。</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br w:type="textWrapping"/>
      </w:r>
      <w:r>
        <w:rPr>
          <w:rFonts w:hint="eastAsia" w:ascii="仿宋_GB2312" w:hAnsi="仿宋_GB2312" w:eastAsia="仿宋_GB2312" w:cs="仿宋_GB2312"/>
          <w:i w:val="0"/>
          <w:iCs w:val="0"/>
          <w:caps w:val="0"/>
          <w:color w:val="000000" w:themeColor="text1"/>
          <w:spacing w:val="0"/>
          <w:sz w:val="28"/>
          <w:szCs w:val="28"/>
          <w:highlight w:val="none"/>
          <w:shd w:val="clear" w:fill="auto"/>
          <w:lang w:val="en-US" w:eastAsia="zh-CN" w:bidi="ar"/>
          <w14:textFill>
            <w14:solidFill>
              <w14:schemeClr w14:val="tx1"/>
            </w14:solidFill>
          </w14:textFill>
        </w:rPr>
        <w:t xml:space="preserve">    </w:t>
      </w:r>
      <w:r>
        <w:rPr>
          <w:rFonts w:hint="eastAsia" w:ascii="仿宋_GB2312" w:hAnsi="仿宋_GB2312" w:eastAsia="仿宋_GB2312" w:cs="仿宋_GB2312"/>
          <w:i w:val="0"/>
          <w:iCs w:val="0"/>
          <w:caps w:val="0"/>
          <w:color w:val="000000" w:themeColor="text1"/>
          <w:spacing w:val="0"/>
          <w:sz w:val="28"/>
          <w:szCs w:val="28"/>
          <w:highlight w:val="none"/>
          <w:shd w:val="clear" w:fill="auto"/>
          <w:lang w:bidi="ar"/>
          <w14:textFill>
            <w14:solidFill>
              <w14:schemeClr w14:val="tx1"/>
            </w14:solidFill>
          </w14:textFill>
        </w:rPr>
        <w:t>（3）电子版竣工图的编制，以甲方提供的电子版施工图为基础。乙方在移交竣工档案时，应一并移交甲方提供的电子版施工图。电子版施工图和电子版竣工图的知识产权归属甲方所有，非经甲方许可，乙方不得以任何方式复制、备份、转让和利用。否则，由此引起的任何纠纷和责任由乙方承担。</w:t>
      </w:r>
    </w:p>
    <w:p w14:paraId="13501748">
      <w:pPr>
        <w:widowControl w:val="0"/>
        <w:pBdr>
          <w:top w:val="none" w:color="auto" w:sz="0" w:space="0"/>
          <w:left w:val="none" w:color="auto" w:sz="0" w:space="0"/>
          <w:bottom w:val="none" w:color="auto" w:sz="0" w:space="0"/>
          <w:right w:val="none" w:color="auto" w:sz="0" w:space="0"/>
        </w:pBd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bidi="ar"/>
          <w14:textFill>
            <w14:solidFill>
              <w14:schemeClr w14:val="tx1"/>
            </w14:solidFill>
          </w14:textFill>
        </w:rPr>
        <w:t>9.7</w:t>
      </w:r>
      <w:r>
        <w:rPr>
          <w:rFonts w:hint="eastAsia" w:ascii="仿宋_GB2312" w:hAnsi="仿宋_GB2312" w:eastAsia="仿宋_GB2312" w:cs="仿宋_GB2312"/>
          <w:color w:val="000000" w:themeColor="text1"/>
          <w:sz w:val="28"/>
          <w:szCs w:val="28"/>
          <w:highlight w:val="none"/>
          <w:lang w:bidi="ar"/>
          <w14:textFill>
            <w14:solidFill>
              <w14:schemeClr w14:val="tx1"/>
            </w14:solidFill>
          </w14:textFill>
        </w:rPr>
        <w:t>本合同竣工验收单位为</w:t>
      </w:r>
      <w:r>
        <w:rPr>
          <w:rFonts w:hint="eastAsia" w:ascii="仿宋_GB2312" w:hAnsi="仿宋_GB2312" w:eastAsia="仿宋_GB2312" w:cs="仿宋_GB2312"/>
          <w:color w:val="000000" w:themeColor="text1"/>
          <w:sz w:val="28"/>
          <w:szCs w:val="28"/>
          <w:highlight w:val="none"/>
          <w:u w:val="none"/>
          <w:lang w:eastAsia="zh-CN" w:bidi="ar"/>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bidi="ar"/>
          <w14:textFill>
            <w14:solidFill>
              <w14:schemeClr w14:val="tx1"/>
            </w14:solidFill>
          </w14:textFill>
        </w:rPr>
        <w:t xml:space="preserve"> 广州市净水有限公司猎德分公司   。</w:t>
      </w:r>
    </w:p>
    <w:p w14:paraId="25DA8DA3">
      <w:pPr>
        <w:numPr>
          <w:ilvl w:val="0"/>
          <w:numId w:val="4"/>
        </w:numPr>
        <w:spacing w:before="0"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bookmarkStart w:id="63" w:name="_Toc520190034"/>
      <w:bookmarkStart w:id="64" w:name="_Toc518992994"/>
      <w:bookmarkStart w:id="65" w:name="_Toc474245220"/>
      <w:r>
        <w:rPr>
          <w:rFonts w:hint="eastAsia" w:ascii="仿宋_GB2312" w:hAnsi="仿宋_GB2312" w:eastAsia="仿宋_GB2312" w:cs="仿宋_GB2312"/>
          <w:b/>
          <w:bCs/>
          <w:color w:val="000000" w:themeColor="text1"/>
          <w:sz w:val="28"/>
          <w:szCs w:val="28"/>
          <w:highlight w:val="none"/>
          <w14:textFill>
            <w14:solidFill>
              <w14:schemeClr w14:val="tx1"/>
            </w14:solidFill>
          </w14:textFill>
        </w:rPr>
        <w:t>质量保证</w:t>
      </w:r>
      <w:bookmarkEnd w:id="63"/>
      <w:bookmarkEnd w:id="64"/>
      <w:bookmarkEnd w:id="65"/>
    </w:p>
    <w:p w14:paraId="4EA7F079">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10.1乙方保证所承包的项目质量符合国家相关标准和规范。对产品质量依据原厂商标准及国家标准从严执行。</w:t>
      </w:r>
    </w:p>
    <w:p w14:paraId="6997CDE7">
      <w:pPr>
        <w:autoSpaceDE/>
        <w:autoSpaceDN/>
        <w:adjustRightInd/>
        <w:spacing w:beforeLines="0" w:afterLines="0" w:line="560" w:lineRule="exact"/>
        <w:ind w:left="0" w:firstLine="560" w:firstLineChars="200"/>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10.2本项目质量保修期为</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自验收合格之日起</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 xml:space="preserve"> 1 </w:t>
      </w:r>
      <w:r>
        <w:rPr>
          <w:rFonts w:hint="eastAsia" w:ascii="仿宋_GB2312" w:hAnsi="仿宋_GB2312" w:eastAsia="仿宋_GB2312" w:cs="仿宋_GB2312"/>
          <w:color w:val="000000" w:themeColor="text1"/>
          <w:kern w:val="0"/>
          <w:sz w:val="28"/>
          <w:szCs w:val="28"/>
          <w:highlight w:val="none"/>
          <w:lang w:val="zh-CN"/>
          <w14:textFill>
            <w14:solidFill>
              <w14:schemeClr w14:val="tx1"/>
            </w14:solidFill>
          </w14:textFill>
        </w:rPr>
        <w:t>年</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,且不低于法定保修年限。</w:t>
      </w:r>
    </w:p>
    <w:p w14:paraId="10603FDC">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10.3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仿宋_GB2312" w:hAnsi="仿宋_GB2312" w:eastAsia="仿宋_GB2312" w:cs="仿宋_GB2312"/>
          <w:bCs/>
          <w:color w:val="000000" w:themeColor="text1"/>
          <w:sz w:val="28"/>
          <w:szCs w:val="28"/>
          <w:highlight w:val="none"/>
          <w:u w:val="single"/>
          <w14:textFill>
            <w14:solidFill>
              <w14:schemeClr w14:val="tx1"/>
            </w14:solidFill>
          </w14:textFill>
        </w:rPr>
        <w:t>合同暂定总价的10%/次</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作为违约金。</w:t>
      </w:r>
    </w:p>
    <w:p w14:paraId="7FF978F2">
      <w:pPr>
        <w:tabs>
          <w:tab w:val="left" w:pos="851"/>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10.4</w:t>
      </w:r>
      <w:r>
        <w:rPr>
          <w:rFonts w:hint="eastAsia" w:ascii="仿宋_GB2312" w:hAnsi="仿宋_GB2312" w:eastAsia="仿宋_GB2312" w:cs="仿宋_GB2312"/>
          <w:color w:val="000000" w:themeColor="text1"/>
          <w:sz w:val="28"/>
          <w:szCs w:val="28"/>
          <w:highlight w:val="none"/>
          <w14:textFill>
            <w14:solidFill>
              <w14:schemeClr w14:val="tx1"/>
            </w14:solidFill>
          </w14:textFill>
        </w:rPr>
        <w:t>约定的保修期限终止后，由乙方提出支付申请，甲方审核后</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28日</w:t>
      </w:r>
      <w:r>
        <w:rPr>
          <w:rFonts w:hint="eastAsia" w:ascii="仿宋_GB2312" w:hAnsi="仿宋_GB2312" w:eastAsia="仿宋_GB2312" w:cs="仿宋_GB2312"/>
          <w:color w:val="000000" w:themeColor="text1"/>
          <w:sz w:val="28"/>
          <w:szCs w:val="28"/>
          <w:highlight w:val="none"/>
          <w14:textFill>
            <w14:solidFill>
              <w14:schemeClr w14:val="tx1"/>
            </w14:solidFill>
          </w14:textFill>
        </w:rPr>
        <w:t>内将剩余的质量保证金（无息）返还。</w:t>
      </w:r>
    </w:p>
    <w:p w14:paraId="25745ADD">
      <w:pPr>
        <w:spacing w:beforeLines="0" w:afterLines="0" w:line="560" w:lineRule="exact"/>
        <w:ind w:firstLine="562"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bookmarkStart w:id="66" w:name="_Toc107447255"/>
      <w:bookmarkStart w:id="67" w:name="_Toc518993000"/>
      <w:bookmarkStart w:id="68" w:name="_Toc520190040"/>
      <w:bookmarkStart w:id="69" w:name="_Toc19692"/>
      <w:bookmarkStart w:id="70" w:name="_Toc183666531"/>
      <w:bookmarkStart w:id="71" w:name="_Toc306350467"/>
      <w:bookmarkStart w:id="72" w:name="_Toc474245226"/>
      <w:bookmarkStart w:id="73" w:name="_Toc107446862"/>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第十一条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不可抗力</w:t>
      </w:r>
      <w:bookmarkEnd w:id="66"/>
      <w:bookmarkEnd w:id="67"/>
      <w:bookmarkEnd w:id="68"/>
      <w:bookmarkEnd w:id="69"/>
      <w:bookmarkEnd w:id="70"/>
      <w:bookmarkEnd w:id="71"/>
      <w:bookmarkEnd w:id="72"/>
      <w:bookmarkEnd w:id="73"/>
    </w:p>
    <w:p w14:paraId="6450A55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74" w:name="_Toc306350468"/>
      <w:bookmarkStart w:id="75" w:name="_Toc12010"/>
      <w:bookmarkStart w:id="76" w:name="_Toc183666532"/>
      <w:r>
        <w:rPr>
          <w:rFonts w:hint="eastAsia" w:ascii="仿宋_GB2312" w:hAnsi="仿宋_GB2312" w:eastAsia="仿宋_GB2312" w:cs="仿宋_GB2312"/>
          <w:bCs/>
          <w:color w:val="000000" w:themeColor="text1"/>
          <w:sz w:val="28"/>
          <w:szCs w:val="28"/>
          <w:highlight w:val="none"/>
          <w14:textFill>
            <w14:solidFill>
              <w14:schemeClr w14:val="tx1"/>
            </w14:solidFill>
          </w14:textFill>
        </w:rPr>
        <w:t>11.1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4070FB0E">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地震、火山爆发、滑坡、暴雨（橙色预警及以上）、台风（黄色预警及以上）、海啸、龙卷风、大面积流行病(如：非典型性肺炎等)或瘟疫；</w:t>
      </w:r>
    </w:p>
    <w:p w14:paraId="55678E30">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28"/>
          <w:szCs w:val="28"/>
          <w:highlight w:val="none"/>
          <w14:textFill>
            <w14:solidFill>
              <w14:schemeClr w14:val="tx1"/>
            </w14:solidFill>
          </w14:textFill>
        </w:rPr>
        <w:t>战争行为、入侵、武装冲突或外敌行为、封锁、暴乱、恐怖行为或军事演习；</w:t>
      </w:r>
    </w:p>
    <w:p w14:paraId="63814203">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5BD56C84">
      <w:pPr>
        <w:widowControl w:val="0"/>
        <w:autoSpaceDE/>
        <w:autoSpaceDN/>
        <w:adjustRightInd/>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32E0F8C6">
      <w:pPr>
        <w:spacing w:beforeLines="0" w:afterLines="0" w:line="560" w:lineRule="exact"/>
        <w:ind w:firstLine="560" w:firstLineChars="200"/>
        <w:jc w:val="left"/>
        <w:rPr>
          <w:rFonts w:hint="eastAsia" w:ascii="仿宋_GB2312" w:hAnsi="仿宋_GB2312" w:eastAsia="仿宋_GB2312" w:cs="仿宋_GB2312"/>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11.4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77" w:name="_Toc107446864"/>
      <w:bookmarkStart w:id="78" w:name="_Toc520190041"/>
      <w:bookmarkStart w:id="79" w:name="_Toc107447257"/>
      <w:bookmarkStart w:id="80" w:name="_Toc518993001"/>
      <w:bookmarkStart w:id="81" w:name="_Toc118172294"/>
      <w:bookmarkStart w:id="82" w:name="_Toc474245227"/>
    </w:p>
    <w:p w14:paraId="73279AE6">
      <w:pPr>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第</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十二条</w:t>
      </w:r>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争议解决</w:t>
      </w:r>
      <w:bookmarkEnd w:id="74"/>
      <w:bookmarkEnd w:id="75"/>
      <w:bookmarkEnd w:id="76"/>
      <w:bookmarkEnd w:id="77"/>
      <w:bookmarkEnd w:id="78"/>
      <w:bookmarkEnd w:id="79"/>
      <w:bookmarkEnd w:id="80"/>
      <w:bookmarkEnd w:id="81"/>
      <w:bookmarkEnd w:id="82"/>
    </w:p>
    <w:p w14:paraId="09ECB2BE">
      <w:pPr>
        <w:spacing w:beforeLines="0" w:afterLines="0" w:line="560" w:lineRule="exact"/>
        <w:ind w:firstLine="560" w:firstLineChars="200"/>
        <w:rPr>
          <w:rFonts w:hint="eastAsia" w:ascii="仿宋_GB2312" w:hAnsi="仿宋_GB2312" w:eastAsia="仿宋_GB2312" w:cs="仿宋_GB2312"/>
          <w:bCs/>
          <w:color w:val="000000" w:themeColor="text1"/>
          <w:sz w:val="28"/>
          <w:szCs w:val="28"/>
          <w:highlight w:val="none"/>
          <w14:textFill>
            <w14:solidFill>
              <w14:schemeClr w14:val="tx1"/>
            </w14:solidFill>
          </w14:textFill>
        </w:rPr>
      </w:pPr>
      <w:bookmarkStart w:id="83" w:name="_Toc306350469"/>
      <w:bookmarkStart w:id="84" w:name="_Toc183666533"/>
      <w:r>
        <w:rPr>
          <w:rFonts w:hint="eastAsia" w:ascii="仿宋_GB2312" w:hAnsi="仿宋_GB2312" w:eastAsia="仿宋_GB2312" w:cs="仿宋_GB2312"/>
          <w:bCs/>
          <w:color w:val="000000" w:themeColor="text1"/>
          <w:sz w:val="28"/>
          <w:szCs w:val="28"/>
          <w:highlight w:val="none"/>
          <w14:textFill>
            <w14:solidFill>
              <w14:schemeClr w14:val="tx1"/>
            </w14:solidFill>
          </w14:textFill>
        </w:rPr>
        <w:t>12.1甲乙双方应通过友好协商，解决在执行本合同所发生的或与本合同有关的一切争议。如协商不能解决争议，任何一方均可依法向甲方所在地人民法院提起诉讼。</w:t>
      </w:r>
    </w:p>
    <w:p w14:paraId="7FAD7C2B">
      <w:pPr>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bCs/>
          <w:color w:val="000000" w:themeColor="text1"/>
          <w:sz w:val="28"/>
          <w:szCs w:val="28"/>
          <w:highlight w:val="none"/>
          <w14:textFill>
            <w14:solidFill>
              <w14:schemeClr w14:val="tx1"/>
            </w14:solidFill>
          </w14:textFill>
        </w:rPr>
        <w:t xml:space="preserve">12.2 </w:t>
      </w:r>
      <w:r>
        <w:rPr>
          <w:rFonts w:hint="eastAsia" w:ascii="仿宋_GB2312" w:hAnsi="仿宋_GB2312" w:eastAsia="仿宋_GB2312" w:cs="仿宋_GB2312"/>
          <w:color w:val="000000" w:themeColor="text1"/>
          <w:sz w:val="28"/>
          <w:szCs w:val="28"/>
          <w:highlight w:val="none"/>
          <w14:textFill>
            <w14:solidFill>
              <w14:schemeClr w14:val="tx1"/>
            </w14:solidFill>
          </w14:textFill>
        </w:rPr>
        <w:t>在甲方同意的情况下，除有争端之外的合同其它部分在争端解决前应继续执行。</w:t>
      </w:r>
      <w:bookmarkEnd w:id="83"/>
      <w:bookmarkEnd w:id="84"/>
      <w:bookmarkStart w:id="85" w:name="_Toc520190043"/>
      <w:bookmarkStart w:id="86" w:name="_Toc518993003"/>
      <w:bookmarkStart w:id="87" w:name="_Toc474245229"/>
    </w:p>
    <w:p w14:paraId="6B8B9BAA">
      <w:pPr>
        <w:spacing w:beforeLines="0" w:afterLines="0" w:line="560" w:lineRule="exact"/>
        <w:ind w:firstLine="562" w:firstLineChars="200"/>
        <w:jc w:val="left"/>
        <w:rPr>
          <w:rFonts w:hint="eastAsia" w:ascii="仿宋_GB2312" w:hAnsi="仿宋_GB2312" w:eastAsia="仿宋_GB2312" w:cs="仿宋_GB2312"/>
          <w:b/>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bCs/>
          <w:color w:val="000000" w:themeColor="text1"/>
          <w:sz w:val="28"/>
          <w:szCs w:val="28"/>
          <w:highlight w:val="none"/>
          <w14:textFill>
            <w14:solidFill>
              <w14:schemeClr w14:val="tx1"/>
            </w14:solidFill>
          </w14:textFill>
        </w:rPr>
        <w:t>第十三条</w:t>
      </w:r>
      <w:bookmarkStart w:id="88" w:name="_Toc107447264"/>
      <w:bookmarkStart w:id="89" w:name="_Toc107446871"/>
      <w:r>
        <w:rPr>
          <w:rFonts w:hint="eastAsia" w:ascii="仿宋_GB2312" w:hAnsi="仿宋_GB2312" w:eastAsia="仿宋_GB2312" w:cs="仿宋_GB2312"/>
          <w:b/>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highlight w:val="none"/>
          <w14:textFill>
            <w14:solidFill>
              <w14:schemeClr w14:val="tx1"/>
            </w14:solidFill>
          </w14:textFill>
        </w:rPr>
        <w:t>合同生效及其他</w:t>
      </w:r>
      <w:bookmarkEnd w:id="85"/>
      <w:bookmarkEnd w:id="86"/>
      <w:bookmarkEnd w:id="87"/>
      <w:bookmarkEnd w:id="88"/>
      <w:bookmarkEnd w:id="89"/>
    </w:p>
    <w:p w14:paraId="77FF683C">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13.1本合同经双方法定代表人或授权代表签字并加盖双方公章后生效.</w:t>
      </w:r>
    </w:p>
    <w:p w14:paraId="674F3C06">
      <w:pPr>
        <w:spacing w:beforeLines="0" w:afterLines="0"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13.2本合同正文一式</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陆 </w:t>
      </w:r>
      <w:r>
        <w:rPr>
          <w:rFonts w:hint="eastAsia" w:ascii="仿宋_GB2312" w:hAnsi="仿宋_GB2312" w:eastAsia="仿宋_GB2312" w:cs="仿宋_GB2312"/>
          <w:color w:val="000000" w:themeColor="text1"/>
          <w:sz w:val="28"/>
          <w:szCs w:val="28"/>
          <w:highlight w:val="none"/>
          <w14:textFill>
            <w14:solidFill>
              <w14:schemeClr w14:val="tx1"/>
            </w14:solidFill>
          </w14:textFill>
        </w:rPr>
        <w:t>份，其中：甲方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肆 </w:t>
      </w:r>
      <w:r>
        <w:rPr>
          <w:rFonts w:hint="eastAsia" w:ascii="仿宋_GB2312" w:hAnsi="仿宋_GB2312" w:eastAsia="仿宋_GB2312" w:cs="仿宋_GB2312"/>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贰 </w:t>
      </w:r>
      <w:r>
        <w:rPr>
          <w:rFonts w:hint="eastAsia" w:ascii="仿宋_GB2312" w:hAnsi="仿宋_GB2312" w:eastAsia="仿宋_GB2312" w:cs="仿宋_GB2312"/>
          <w:color w:val="000000" w:themeColor="text1"/>
          <w:sz w:val="28"/>
          <w:szCs w:val="28"/>
          <w:highlight w:val="none"/>
          <w14:textFill>
            <w14:solidFill>
              <w14:schemeClr w14:val="tx1"/>
            </w14:solidFill>
          </w14:textFill>
        </w:rPr>
        <w:t>份。</w:t>
      </w:r>
    </w:p>
    <w:p w14:paraId="301CBE87">
      <w:pPr>
        <w:spacing w:beforeLines="0" w:afterLines="0" w:line="560" w:lineRule="exact"/>
        <w:ind w:firstLine="560" w:firstLineChars="200"/>
        <w:rPr>
          <w:rFonts w:hint="default" w:ascii="仿宋_GB2312" w:hAnsi="仿宋_GB2312" w:eastAsia="仿宋_GB2312" w:cs="仿宋_GB2312"/>
          <w:color w:val="000000" w:themeColor="text1"/>
          <w:sz w:val="28"/>
          <w:szCs w:val="28"/>
          <w:highlight w:val="none"/>
          <w:u w:val="singl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13.3补充条款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p>
    <w:p w14:paraId="5DF7352D">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09E62F50">
      <w:pPr>
        <w:spacing w:line="560" w:lineRule="exact"/>
        <w:ind w:firstLine="560" w:firstLineChars="2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附件：1.</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成交通知书</w:t>
      </w:r>
    </w:p>
    <w:p w14:paraId="45347D6E">
      <w:pPr>
        <w:numPr>
          <w:ilvl w:val="-1"/>
          <w:numId w:val="0"/>
        </w:num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highlight w:val="none"/>
          <w14:textFill>
            <w14:solidFill>
              <w14:schemeClr w14:val="tx1"/>
            </w14:solidFill>
          </w14:textFill>
        </w:rPr>
        <w:t>廉洁协议</w:t>
      </w:r>
    </w:p>
    <w:p w14:paraId="05ED8455">
      <w:pPr>
        <w:keepNext w:val="0"/>
        <w:keepLines w:val="0"/>
        <w:pageBreakBefore w:val="0"/>
        <w:kinsoku/>
        <w:wordWrap/>
        <w:overflowPunct/>
        <w:topLinePunct w:val="0"/>
        <w:autoSpaceDE/>
        <w:autoSpaceDN/>
        <w:bidi w:val="0"/>
        <w:spacing w:line="560" w:lineRule="exact"/>
        <w:ind w:firstLine="1400" w:firstLineChars="5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highlight w:val="none"/>
          <w14:textFill>
            <w14:solidFill>
              <w14:schemeClr w14:val="tx1"/>
            </w14:solidFill>
          </w14:textFill>
        </w:rPr>
        <w:t>.不履约行为的情形及相应被暂停参与投标活动的处理标准</w:t>
      </w:r>
    </w:p>
    <w:p w14:paraId="4034ACC6">
      <w:pPr>
        <w:keepNext w:val="0"/>
        <w:keepLines w:val="0"/>
        <w:pageBreakBefore w:val="0"/>
        <w:kinsoku/>
        <w:wordWrap/>
        <w:overflowPunct/>
        <w:topLinePunct w:val="0"/>
        <w:autoSpaceDE/>
        <w:autoSpaceDN/>
        <w:bidi w:val="0"/>
        <w:spacing w:line="560" w:lineRule="exact"/>
        <w:ind w:firstLine="1400" w:firstLineChars="5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营运场所施工安全及消防安全协议书</w:t>
      </w:r>
    </w:p>
    <w:p w14:paraId="49E971D3">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5</w:t>
      </w:r>
      <w:r>
        <w:rPr>
          <w:rFonts w:hint="eastAsia" w:ascii="仿宋_GB2312" w:hAnsi="仿宋_GB2312" w:eastAsia="仿宋_GB2312" w:cs="仿宋_GB2312"/>
          <w:color w:val="000000" w:themeColor="text1"/>
          <w:sz w:val="28"/>
          <w:szCs w:val="28"/>
          <w:highlight w:val="none"/>
          <w14:textFill>
            <w14:solidFill>
              <w14:schemeClr w14:val="tx1"/>
            </w14:solidFill>
          </w14:textFill>
        </w:rPr>
        <w:t>.工程量清单报价</w:t>
      </w:r>
    </w:p>
    <w:p w14:paraId="34A27459">
      <w:pPr>
        <w:spacing w:line="560" w:lineRule="exact"/>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6.</w:t>
      </w:r>
      <w:r>
        <w:rPr>
          <w:rFonts w:hint="eastAsia" w:ascii="仿宋_GB2312" w:hAnsi="仿宋_GB2312" w:eastAsia="仿宋_GB2312" w:cs="仿宋_GB2312"/>
          <w:color w:val="000000" w:themeColor="text1"/>
          <w:sz w:val="28"/>
          <w:szCs w:val="28"/>
          <w:highlight w:val="none"/>
          <w14:textFill>
            <w14:solidFill>
              <w14:schemeClr w14:val="tx1"/>
            </w14:solidFill>
          </w14:textFill>
        </w:rPr>
        <w:t xml:space="preserve">项目投入人员架构表 </w:t>
      </w:r>
    </w:p>
    <w:p w14:paraId="6814E36D">
      <w:pPr>
        <w:spacing w:line="560" w:lineRule="exact"/>
        <w:ind w:firstLine="1400" w:firstLineChars="500"/>
        <w:rPr>
          <w:rFonts w:hint="eastAsia" w:ascii="仿宋_GB2312" w:hAnsi="仿宋_GB2312" w:eastAsia="仿宋_GB2312" w:cs="仿宋_GB2312"/>
          <w:b w:val="0"/>
          <w:bCs w:val="0"/>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28"/>
          <w:szCs w:val="28"/>
          <w:highlight w:val="none"/>
          <w14:textFill>
            <w14:solidFill>
              <w14:schemeClr w14:val="tx1"/>
            </w14:solidFill>
          </w14:textFill>
        </w:rPr>
        <w:t>应急救援物资清单</w:t>
      </w:r>
    </w:p>
    <w:p w14:paraId="3854EFF9">
      <w:pPr>
        <w:spacing w:line="560" w:lineRule="exact"/>
        <w:ind w:firstLine="1400" w:firstLineChars="50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工人工资结清证明（模板）</w:t>
      </w:r>
    </w:p>
    <w:p w14:paraId="055496F0">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A916D70">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甲方：广州市净水有限公司（盖章）</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乙方：（盖章）</w:t>
      </w:r>
    </w:p>
    <w:p w14:paraId="30E78E7A">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法定代表或</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法定代表人或</w:t>
      </w:r>
    </w:p>
    <w:p w14:paraId="26E7887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授权代理人：</w:t>
      </w:r>
    </w:p>
    <w:p w14:paraId="1BB7ECC3">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地址：</w:t>
      </w:r>
    </w:p>
    <w:p w14:paraId="55835C9F">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经办人：</w:t>
      </w:r>
    </w:p>
    <w:p w14:paraId="55F7396E">
      <w:pPr>
        <w:spacing w:line="56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0ACEEAE6">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传真：</w:t>
      </w:r>
    </w:p>
    <w:p w14:paraId="7A78CDC1">
      <w:pPr>
        <w:spacing w:line="560" w:lineRule="exact"/>
        <w:ind w:left="6360" w:hanging="7420" w:hangingChars="2650"/>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签署日期：</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p>
    <w:p w14:paraId="7D13B18E">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7ED1C417">
      <w:pPr>
        <w:spacing w:line="240" w:lineRule="auto"/>
        <w:jc w:val="left"/>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1B7C5B01">
      <w:pPr>
        <w:spacing w:line="360" w:lineRule="auto"/>
        <w:jc w:val="both"/>
        <w:rPr>
          <w:rFonts w:hint="eastAsia" w:ascii="黑体" w:hAnsi="黑体" w:eastAsia="黑体" w:cs="黑体"/>
          <w:b w:val="0"/>
          <w:bCs w:val="0"/>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1</w:t>
      </w:r>
    </w:p>
    <w:p w14:paraId="6B6B37B7">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5E09A868">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p>
    <w:p w14:paraId="045AB550">
      <w:pPr>
        <w:spacing w:line="240" w:lineRule="auto"/>
        <w:jc w:val="left"/>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7227A82E">
      <w:pPr>
        <w:spacing w:line="360" w:lineRule="auto"/>
        <w:jc w:val="both"/>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附件2</w:t>
      </w:r>
    </w:p>
    <w:p w14:paraId="4BFB8246">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44"/>
          <w:szCs w:val="44"/>
          <w:highlight w:val="none"/>
          <w14:textFill>
            <w14:solidFill>
              <w14:schemeClr w14:val="tx1"/>
            </w14:solidFill>
          </w14:textFill>
        </w:rPr>
        <w:t>廉洁协议</w:t>
      </w:r>
    </w:p>
    <w:p w14:paraId="1B35ED61">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572AF4F">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广州市净水有限公司</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(以下称甲方)与</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(以下称乙方)，特此订立本协议共同遵照执行。</w:t>
      </w:r>
    </w:p>
    <w:p w14:paraId="32FFB59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第一条 甲乙双方的权利和义务</w:t>
      </w:r>
    </w:p>
    <w:p w14:paraId="0692F012">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（一）甲乙双方严格遵守国家关于市场准入、项目招标投标、市场经营活动等有关法律、法规相关政策及廉政建设的各项规定。</w:t>
      </w:r>
    </w:p>
    <w:p w14:paraId="2AE3A2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（二）严格执行</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猎德分公司2025年生产区域空调维修项目</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合同（以下简称：主合同），自觉履行合同约定的相关义务。</w:t>
      </w:r>
    </w:p>
    <w:p w14:paraId="04FB575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（三）在业务活动中坚持公开、公正、诚信、透明的原则，不得损害国家、集体利益。</w:t>
      </w:r>
    </w:p>
    <w:p w14:paraId="06AF38E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（四）建立健全廉洁从业制度，开展廉洁教育，公布举报电话，监督并认真查处不廉洁及违法违纪行为。</w:t>
      </w:r>
    </w:p>
    <w:p w14:paraId="2C59451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（五）发现对方在业务活动中有不廉洁行为，应及时提醒对方纠正。情节严重的，应向其有关监督部门</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检举。</w:t>
      </w:r>
    </w:p>
    <w:p w14:paraId="63C2979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第二条甲方的义务</w:t>
      </w:r>
    </w:p>
    <w:p w14:paraId="75B6610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（一）甲方及其工作人员不得索要或接受乙方的礼金、有价证券和贵重物品，不得在乙方报销任何应由甲方或个人支付的费用等。</w:t>
      </w:r>
    </w:p>
    <w:p w14:paraId="2547FFE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14:paraId="5A971095">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（三）甲方及其工作人员不得要求或者接受乙方为其住房装修、婚丧嫁娶活动、配偶子女工作安排以及出国出境、旅游等提供方便等。</w:t>
      </w:r>
    </w:p>
    <w:p w14:paraId="430D5F46">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（四）甲方工作人员不得在乙方或与乙方有股权关联的企业兼职，不得向乙方介绍家属或者亲友从事与甲方业务有关的经济活动。</w:t>
      </w:r>
    </w:p>
    <w:p w14:paraId="0C02646C">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14:paraId="7C5DBC56">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（六）甲方工作人员不得利用职务之便收受乙方以回扣、手续费、加班费、咨询费、劳务费、协调费、辛苦费等各种名义给予或赠送的钱物。</w:t>
      </w:r>
    </w:p>
    <w:p w14:paraId="6C282C19">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（七）甲方工作人员不得接受乙方给予或赠送的干股或红利。</w:t>
      </w:r>
    </w:p>
    <w:p w14:paraId="1CA4ABAA">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0674116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第三条乙方的义务</w:t>
      </w:r>
    </w:p>
    <w:p w14:paraId="6F37E731">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（一）乙方不得以任何理由向甲方及其工作人员行贿或馈赠礼金、有价证券、贵重礼品。</w:t>
      </w:r>
    </w:p>
    <w:p w14:paraId="28DA008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（二)乙方不得以任何名义为甲方及其工作人员报销应由甲方单位或个人支付的任何费用。</w:t>
      </w:r>
    </w:p>
    <w:p w14:paraId="147643AF">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（三）乙方不得以任何理由安排甲方工作人员参加可能影响相关业务公开、公正、公平性的宴请及娱乐活动。</w:t>
      </w:r>
    </w:p>
    <w:p w14:paraId="19A06992">
      <w:pPr>
        <w:pStyle w:val="2"/>
        <w:keepNext w:val="0"/>
        <w:keepLines w:val="0"/>
        <w:pageBreakBefore w:val="0"/>
        <w:kinsoku/>
        <w:wordWrap/>
        <w:overflowPunct/>
        <w:topLinePunct w:val="0"/>
        <w:autoSpaceDE/>
        <w:autoSpaceDN/>
        <w:bidi w:val="0"/>
        <w:adjustRightInd/>
        <w:snapToGrid/>
        <w:spacing w:after="0"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（四）乙方不得为甲方单位和个人购置或提供通讯工具和高档办公用品等物品，也不得为甲方提供与工作无关的房屋、汽车等。</w:t>
      </w:r>
    </w:p>
    <w:p w14:paraId="11D414B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（五）乙方不得擅自与甲方工作人员就</w:t>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主</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合同中的质量、数量、价格、工程量、验收等条款进行私下商谈或者达成默契。</w:t>
      </w:r>
    </w:p>
    <w:p w14:paraId="5EDE92FF">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（六）乙方不得以回扣、手续费、加班费、咨询费、劳务费、协调费、辛苦费等各种名义向甲方工作人员给予或赠送钱物。</w:t>
      </w:r>
    </w:p>
    <w:p w14:paraId="5F8CA054">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（七）乙方不得向甲方工作人员提供干股或红利。</w:t>
      </w:r>
    </w:p>
    <w:p w14:paraId="338BF9A8">
      <w:pPr>
        <w:keepNext w:val="0"/>
        <w:keepLines w:val="0"/>
        <w:pageBreakBefore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（八）不得存在其他违反廉洁规定的行为。</w:t>
      </w:r>
    </w:p>
    <w:p w14:paraId="1AB9EE33">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第四条违约责任</w:t>
      </w:r>
    </w:p>
    <w:p w14:paraId="52F795F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（一）甲方及其工作人员违反本协议第一、二条。甲方按管理权限，对相关责任人依据有关规定给予处理；涉嫌犯罪的，移交司法机关追究刑事责任；给乙方单位造成经济损失的，应予以赔偿。</w:t>
      </w:r>
    </w:p>
    <w:p w14:paraId="7A2B826D">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甲方举报投诉联系部门：广州市净水有限公司</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纪检室</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，联系电话：</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 xml:space="preserve"> 020-38890265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w:t>
      </w:r>
    </w:p>
    <w:p w14:paraId="2C1EB2EC">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（二）乙方及其工作人员</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存在</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的行为</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无论该行为是否与主合同有关，</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甲方</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均</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有权根据具体情节和造成的后果，对乙方采取以下处理</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方式</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103BD98E">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1、扣除主合同的全部履约保证金；</w:t>
      </w:r>
    </w:p>
    <w:p w14:paraId="51292B73">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2、解除</w:t>
      </w:r>
      <w:r>
        <w:rPr>
          <w:rFonts w:hint="eastAsia" w:ascii="仿宋_GB2312" w:hAnsi="仿宋_GB2312" w:eastAsia="仿宋_GB2312" w:cs="仿宋_GB2312"/>
          <w:b w:val="0"/>
          <w:bCs/>
          <w:i w:val="0"/>
          <w:iCs w:val="0"/>
          <w:caps w:val="0"/>
          <w:color w:val="000000" w:themeColor="text1"/>
          <w:spacing w:val="0"/>
          <w:sz w:val="28"/>
          <w:szCs w:val="28"/>
          <w:highlight w:val="none"/>
          <w:lang w:val="en-US" w:eastAsia="zh-CN"/>
          <w14:textFill>
            <w14:solidFill>
              <w14:schemeClr w14:val="tx1"/>
            </w14:solidFill>
          </w14:textFill>
        </w:rPr>
        <w:t>主合同</w:t>
      </w: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w:t>
      </w:r>
    </w:p>
    <w:p w14:paraId="3A88FA9A">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3、追究乙方其他违约责任；</w:t>
      </w:r>
    </w:p>
    <w:p w14:paraId="12695B49">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4、根据甲方的有关规章制度，在一定时间内暂停乙方参与甲方及下属单位所有项目的交易资格；</w:t>
      </w:r>
    </w:p>
    <w:p w14:paraId="1EF69751">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5、根据甲方的有关规章制度，将乙方清退出甲方相关企业库；</w:t>
      </w:r>
    </w:p>
    <w:p w14:paraId="66A09DD0">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6、根据甲方上级单位、行政主管部门的意见、决定执行；</w:t>
      </w:r>
    </w:p>
    <w:p w14:paraId="7689CEF1">
      <w:pPr>
        <w:pStyle w:val="2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firstLine="560" w:firstLineChars="200"/>
        <w:textAlignment w:val="auto"/>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7、按规定向有关行政监督部门、乙方业务管理部门进行投诉、报告。</w:t>
      </w:r>
    </w:p>
    <w:p w14:paraId="556AD857">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i w:val="0"/>
          <w:iCs w:val="0"/>
          <w:caps w:val="0"/>
          <w:color w:val="000000" w:themeColor="text1"/>
          <w:spacing w:val="0"/>
          <w:sz w:val="28"/>
          <w:szCs w:val="28"/>
          <w:highlight w:val="none"/>
          <w14:textFill>
            <w14:solidFill>
              <w14:schemeClr w14:val="tx1"/>
            </w14:solidFill>
          </w14:textFill>
        </w:rPr>
        <w:t>乙方无条件接受甲方的处理决定并承担给甲方造成的损失，全额返还通过不正当手段获取的非法所得，并承担相应的法律责任。</w:t>
      </w:r>
    </w:p>
    <w:p w14:paraId="12B81899">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第五条</w:t>
      </w:r>
      <w:r>
        <w:rPr>
          <w:rFonts w:hint="eastAsia" w:ascii="仿宋_GB2312" w:hAnsi="仿宋_GB2312" w:eastAsia="仿宋_GB2312" w:cs="仿宋_GB2312"/>
          <w:b w:val="0"/>
          <w:bCs/>
          <w:color w:val="000000" w:themeColor="text1"/>
          <w:kern w:val="0"/>
          <w:sz w:val="28"/>
          <w:szCs w:val="28"/>
          <w:highlight w:val="none"/>
          <w14:textFill>
            <w14:solidFill>
              <w14:schemeClr w14:val="tx1"/>
            </w14:solidFill>
          </w14:textFill>
        </w:rPr>
        <w:t xml:space="preserve">本协议执行情况，接受有管辖权的纪检、监察部门的监督，双方应予以配合检查调查。 </w:t>
      </w:r>
    </w:p>
    <w:p w14:paraId="47B2B8E5">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第六条本协议作为</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u w:val="single"/>
          <w:lang w:val="en-US" w:eastAsia="zh-CN"/>
          <w14:textFill>
            <w14:solidFill>
              <w14:schemeClr w14:val="tx1"/>
            </w14:solidFill>
          </w14:textFill>
        </w:rPr>
        <w:t>猎德分公司2025年生产区域空调维修项目</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）+（穗净水合[    ]    号）</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合同的附件，并具有同等的法律效力，本协议自双方签字盖章之日起生效，与主合同同时终止。</w:t>
      </w:r>
    </w:p>
    <w:p w14:paraId="5E8F931E">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第七条本协议一式</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份，甲方</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份，乙方</w:t>
      </w:r>
      <w:r>
        <w:rPr>
          <w:rFonts w:hint="eastAsia" w:ascii="仿宋_GB2312" w:hAnsi="仿宋_GB2312" w:eastAsia="仿宋_GB2312" w:cs="仿宋_GB2312"/>
          <w:b w:val="0"/>
          <w:bCs/>
          <w:color w:val="000000" w:themeColor="text1"/>
          <w:sz w:val="28"/>
          <w:szCs w:val="28"/>
          <w:highlight w:val="none"/>
          <w:u w:val="single"/>
          <w14:textFill>
            <w14:solidFill>
              <w14:schemeClr w14:val="tx1"/>
            </w14:solidFill>
          </w14:textFill>
        </w:rPr>
        <w:t>…</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份。</w:t>
      </w:r>
    </w:p>
    <w:p w14:paraId="637A4C29">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0CB0CE8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甲方（盖章）：                     乙方（盖章）：</w:t>
      </w:r>
    </w:p>
    <w:p w14:paraId="12ADB735">
      <w:pPr>
        <w:pStyle w:val="35"/>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p>
    <w:p w14:paraId="5523F191">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签约代表：                         签约代表：</w:t>
      </w:r>
    </w:p>
    <w:p w14:paraId="4F06670F">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ab/>
      </w:r>
      <w:r>
        <w:rPr>
          <w:rFonts w:hint="eastAsia" w:ascii="仿宋_GB2312" w:hAnsi="仿宋_GB2312" w:eastAsia="仿宋_GB2312" w:cs="仿宋_GB2312"/>
          <w:b w:val="0"/>
          <w:bCs/>
          <w:color w:val="000000" w:themeColor="text1"/>
          <w:sz w:val="28"/>
          <w:szCs w:val="28"/>
          <w:highlight w:val="none"/>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z w:val="28"/>
          <w:szCs w:val="28"/>
          <w:highlight w:val="none"/>
          <w14:textFill>
            <w14:solidFill>
              <w14:schemeClr w14:val="tx1"/>
            </w14:solidFill>
          </w14:textFill>
        </w:rPr>
        <w:t>日期：  年  月  日</w:t>
      </w:r>
    </w:p>
    <w:p w14:paraId="675EC515">
      <w:pPr>
        <w:pStyle w:val="22"/>
        <w:rPr>
          <w:rFonts w:hint="eastAsia" w:ascii="宋体" w:hAnsi="宋体" w:eastAsia="宋体" w:cs="宋体"/>
          <w:b w:val="0"/>
          <w:bCs/>
          <w:color w:val="000000" w:themeColor="text1"/>
          <w:sz w:val="24"/>
          <w:szCs w:val="24"/>
          <w:highlight w:val="none"/>
          <w14:textFill>
            <w14:solidFill>
              <w14:schemeClr w14:val="tx1"/>
            </w14:solidFill>
          </w14:textFill>
        </w:rPr>
      </w:pPr>
    </w:p>
    <w:p w14:paraId="7F0275A1">
      <w:pPr>
        <w:pStyle w:val="22"/>
        <w:rPr>
          <w:rFonts w:hint="eastAsia" w:ascii="宋体" w:hAnsi="宋体" w:eastAsia="宋体" w:cs="宋体"/>
          <w:b w:val="0"/>
          <w:bCs/>
          <w:color w:val="000000" w:themeColor="text1"/>
          <w:sz w:val="24"/>
          <w:szCs w:val="24"/>
          <w:highlight w:val="none"/>
          <w14:textFill>
            <w14:solidFill>
              <w14:schemeClr w14:val="tx1"/>
            </w14:solidFill>
          </w14:textFill>
        </w:rPr>
      </w:pPr>
    </w:p>
    <w:p w14:paraId="534F231C">
      <w:pPr>
        <w:spacing w:line="240" w:lineRule="auto"/>
        <w:jc w:val="left"/>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br w:type="page"/>
      </w:r>
    </w:p>
    <w:p w14:paraId="400C1CF0">
      <w:pPr>
        <w:spacing w:line="440" w:lineRule="exact"/>
        <w:jc w:val="both"/>
        <w:rPr>
          <w:rFonts w:hint="eastAsia" w:ascii="宋体" w:hAnsi="宋体" w:cs="宋体"/>
          <w:b/>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3</w:t>
      </w:r>
    </w:p>
    <w:p w14:paraId="05FB0000">
      <w:pPr>
        <w:adjustRightInd w:val="0"/>
        <w:snapToGrid w:val="0"/>
        <w:jc w:val="both"/>
        <w:rPr>
          <w:rFonts w:hint="eastAsia" w:ascii="方正小标宋简体" w:hAnsi="方正小标宋简体" w:eastAsia="方正小标宋简体" w:cs="方正小标宋简体"/>
          <w:sz w:val="32"/>
          <w:szCs w:val="32"/>
        </w:rPr>
      </w:pPr>
    </w:p>
    <w:p w14:paraId="5EA59802">
      <w:pPr>
        <w:adjustRightInd w:val="0"/>
        <w:snapToGrid w:val="0"/>
        <w:jc w:val="both"/>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w:t>
      </w:r>
      <w:r>
        <w:rPr>
          <w:rFonts w:hint="eastAsia" w:ascii="方正小标宋简体" w:hAnsi="方正小标宋简体" w:eastAsia="方正小标宋简体" w:cs="方正小标宋简体"/>
          <w:sz w:val="32"/>
          <w:szCs w:val="32"/>
          <w:lang w:val="en-US" w:eastAsia="zh-CN"/>
        </w:rPr>
        <w:t>履约</w:t>
      </w:r>
      <w:r>
        <w:rPr>
          <w:rFonts w:hint="eastAsia" w:ascii="方正小标宋简体" w:hAnsi="方正小标宋简体" w:eastAsia="方正小标宋简体" w:cs="方正小标宋简体"/>
          <w:sz w:val="32"/>
          <w:szCs w:val="32"/>
        </w:rPr>
        <w:t>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14:paraId="01ED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23688F0">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14:paraId="5FBE22FA">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14:paraId="204F238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处理</w:t>
            </w:r>
          </w:p>
          <w:p w14:paraId="186403F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14:paraId="0C4F2E8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14:paraId="29D69F4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备注</w:t>
            </w:r>
          </w:p>
        </w:tc>
      </w:tr>
      <w:tr w14:paraId="7F14F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903C08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0361E75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安全不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4FBE6C2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7CB8C8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14:paraId="4DC06B7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14:paraId="796C345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14:paraId="37F9B37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14:paraId="3C082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EE4FA85">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3AA404A5">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68DD23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347C607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FB03199">
            <w:pPr>
              <w:adjustRightInd w:val="0"/>
              <w:snapToGrid w:val="0"/>
              <w:rPr>
                <w:rFonts w:hint="eastAsia" w:ascii="仿宋_GB2312" w:hAnsi="仿宋_GB2312" w:eastAsia="仿宋_GB2312" w:cs="仿宋_GB2312"/>
                <w:szCs w:val="24"/>
              </w:rPr>
            </w:pPr>
          </w:p>
        </w:tc>
      </w:tr>
      <w:tr w14:paraId="0306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284A3C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0AE6167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A960E1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BA8FCF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45B28F62">
            <w:pPr>
              <w:adjustRightInd w:val="0"/>
              <w:snapToGrid w:val="0"/>
              <w:rPr>
                <w:rFonts w:hint="eastAsia" w:ascii="仿宋_GB2312" w:hAnsi="仿宋_GB2312" w:eastAsia="仿宋_GB2312" w:cs="仿宋_GB2312"/>
                <w:szCs w:val="24"/>
              </w:rPr>
            </w:pPr>
          </w:p>
        </w:tc>
      </w:tr>
      <w:tr w14:paraId="77A2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F2C6A3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547249D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质量不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61DD1B3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C9556F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F5497A7">
            <w:pPr>
              <w:adjustRightInd w:val="0"/>
              <w:snapToGrid w:val="0"/>
              <w:rPr>
                <w:rFonts w:hint="eastAsia" w:ascii="仿宋_GB2312" w:hAnsi="仿宋_GB2312" w:eastAsia="仿宋_GB2312" w:cs="仿宋_GB2312"/>
                <w:szCs w:val="24"/>
              </w:rPr>
            </w:pPr>
          </w:p>
        </w:tc>
      </w:tr>
      <w:tr w14:paraId="0001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C4D705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AEDE949">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45E0CB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0CBC689D">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14:paraId="478049C1">
            <w:pPr>
              <w:adjustRightInd w:val="0"/>
              <w:snapToGrid w:val="0"/>
              <w:rPr>
                <w:rFonts w:hint="eastAsia" w:ascii="仿宋_GB2312" w:hAnsi="仿宋_GB2312" w:eastAsia="仿宋_GB2312" w:cs="仿宋_GB2312"/>
                <w:szCs w:val="24"/>
              </w:rPr>
            </w:pPr>
          </w:p>
        </w:tc>
      </w:tr>
      <w:tr w14:paraId="4F2D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6A0B37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8190159">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1D4409B">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634826C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FB97901">
            <w:pPr>
              <w:adjustRightInd w:val="0"/>
              <w:snapToGrid w:val="0"/>
              <w:rPr>
                <w:rFonts w:hint="eastAsia" w:ascii="仿宋_GB2312" w:hAnsi="仿宋_GB2312" w:eastAsia="仿宋_GB2312" w:cs="仿宋_GB2312"/>
                <w:szCs w:val="24"/>
              </w:rPr>
            </w:pPr>
          </w:p>
        </w:tc>
      </w:tr>
      <w:tr w14:paraId="01EC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AB1CA3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14:paraId="1F2C7EA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其他不</w:t>
            </w:r>
            <w:r>
              <w:rPr>
                <w:rFonts w:hint="eastAsia" w:ascii="仿宋_GB2312" w:hAnsi="仿宋_GB2312" w:eastAsia="仿宋_GB2312" w:cs="仿宋_GB2312"/>
                <w:szCs w:val="24"/>
                <w:lang w:val="en-US" w:eastAsia="zh-CN"/>
              </w:rPr>
              <w:t>履约</w:t>
            </w:r>
          </w:p>
          <w:p w14:paraId="3BAD04C0">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14:paraId="4818F9FA">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14:paraId="1D771EFC">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532012CC">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5C31A11">
            <w:pPr>
              <w:adjustRightInd w:val="0"/>
              <w:snapToGrid w:val="0"/>
              <w:rPr>
                <w:rFonts w:hint="eastAsia" w:ascii="仿宋_GB2312" w:hAnsi="仿宋_GB2312" w:eastAsia="仿宋_GB2312" w:cs="仿宋_GB2312"/>
                <w:szCs w:val="24"/>
              </w:rPr>
            </w:pPr>
          </w:p>
        </w:tc>
      </w:tr>
      <w:tr w14:paraId="45F8C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BAD55A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EB64EEA">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BAA9ED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53850E0">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3429053D">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06775E1">
            <w:pPr>
              <w:adjustRightInd w:val="0"/>
              <w:snapToGrid w:val="0"/>
              <w:rPr>
                <w:rFonts w:hint="eastAsia" w:ascii="仿宋_GB2312" w:hAnsi="仿宋_GB2312" w:eastAsia="仿宋_GB2312" w:cs="仿宋_GB2312"/>
                <w:szCs w:val="24"/>
              </w:rPr>
            </w:pPr>
          </w:p>
        </w:tc>
      </w:tr>
      <w:tr w14:paraId="0CC1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62F1E4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C35D2C2">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2E7E6272">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14:paraId="0FA96AC9">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05E62F66">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6A0166C">
            <w:pPr>
              <w:adjustRightInd w:val="0"/>
              <w:snapToGrid w:val="0"/>
              <w:rPr>
                <w:rFonts w:hint="eastAsia" w:ascii="仿宋_GB2312" w:hAnsi="仿宋_GB2312" w:eastAsia="仿宋_GB2312" w:cs="仿宋_GB2312"/>
                <w:szCs w:val="24"/>
              </w:rPr>
            </w:pPr>
          </w:p>
        </w:tc>
      </w:tr>
      <w:tr w14:paraId="5733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EF9EAC6">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6E978CF">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28C1F29">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7D8EDE7">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38ADA8E6">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F2AF233">
            <w:pPr>
              <w:adjustRightInd w:val="0"/>
              <w:snapToGrid w:val="0"/>
              <w:rPr>
                <w:rFonts w:hint="eastAsia" w:ascii="仿宋_GB2312" w:hAnsi="仿宋_GB2312" w:eastAsia="仿宋_GB2312" w:cs="仿宋_GB2312"/>
                <w:szCs w:val="24"/>
              </w:rPr>
            </w:pPr>
          </w:p>
        </w:tc>
      </w:tr>
      <w:tr w14:paraId="5A6D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9BBFBE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403C657C">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B6C26D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479A734B">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14:paraId="236A1931">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F14380D">
            <w:pPr>
              <w:adjustRightInd w:val="0"/>
              <w:snapToGrid w:val="0"/>
              <w:rPr>
                <w:rFonts w:hint="eastAsia" w:ascii="仿宋_GB2312" w:hAnsi="仿宋_GB2312" w:eastAsia="仿宋_GB2312" w:cs="仿宋_GB2312"/>
                <w:szCs w:val="24"/>
              </w:rPr>
            </w:pPr>
          </w:p>
        </w:tc>
      </w:tr>
      <w:tr w14:paraId="374D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71E52BF">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DEAEAF7">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E1D42E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14:paraId="5C05B87C">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716F0F77">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6B0AD2D">
            <w:pPr>
              <w:adjustRightInd w:val="0"/>
              <w:snapToGrid w:val="0"/>
              <w:rPr>
                <w:rFonts w:hint="eastAsia" w:ascii="仿宋_GB2312" w:hAnsi="仿宋_GB2312" w:eastAsia="仿宋_GB2312" w:cs="仿宋_GB2312"/>
                <w:szCs w:val="24"/>
              </w:rPr>
            </w:pPr>
          </w:p>
        </w:tc>
      </w:tr>
      <w:tr w14:paraId="3B03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9C9BEFC">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499BA2E">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67DC14E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BB671F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5F9BA54">
            <w:pPr>
              <w:adjustRightInd w:val="0"/>
              <w:snapToGrid w:val="0"/>
              <w:rPr>
                <w:rFonts w:hint="eastAsia" w:ascii="仿宋_GB2312" w:hAnsi="仿宋_GB2312" w:eastAsia="仿宋_GB2312" w:cs="仿宋_GB2312"/>
                <w:szCs w:val="24"/>
              </w:rPr>
            </w:pPr>
          </w:p>
        </w:tc>
      </w:tr>
      <w:tr w14:paraId="37949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EDF82F5">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2B68F91">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551185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14:paraId="73BF0B04">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5BD6921D">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58F56B6E">
            <w:pPr>
              <w:adjustRightInd w:val="0"/>
              <w:snapToGrid w:val="0"/>
              <w:rPr>
                <w:rFonts w:hint="eastAsia" w:ascii="仿宋_GB2312" w:hAnsi="仿宋_GB2312" w:eastAsia="仿宋_GB2312" w:cs="仿宋_GB2312"/>
                <w:szCs w:val="24"/>
              </w:rPr>
            </w:pPr>
          </w:p>
        </w:tc>
      </w:tr>
      <w:tr w14:paraId="6DFB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2D3B5DEE">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9CF86C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343447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14:paraId="04D37DB2">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0FADFC5D">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6201E74A">
            <w:pPr>
              <w:adjustRightInd w:val="0"/>
              <w:snapToGrid w:val="0"/>
              <w:rPr>
                <w:rFonts w:hint="eastAsia" w:ascii="仿宋_GB2312" w:hAnsi="仿宋_GB2312" w:eastAsia="仿宋_GB2312" w:cs="仿宋_GB2312"/>
                <w:szCs w:val="24"/>
              </w:rPr>
            </w:pPr>
          </w:p>
        </w:tc>
      </w:tr>
      <w:tr w14:paraId="6C7E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7373545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52342C7F">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568CCA1F">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14:paraId="32E09E3F">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14:paraId="63709BCE">
            <w:pPr>
              <w:jc w:val="center"/>
              <w:rPr>
                <w:rFonts w:hint="eastAsia"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CA4FB22">
            <w:pPr>
              <w:adjustRightInd w:val="0"/>
              <w:snapToGrid w:val="0"/>
              <w:rPr>
                <w:rFonts w:hint="eastAsia" w:ascii="仿宋_GB2312" w:hAnsi="仿宋_GB2312" w:eastAsia="仿宋_GB2312" w:cs="仿宋_GB2312"/>
                <w:szCs w:val="24"/>
              </w:rPr>
            </w:pPr>
          </w:p>
        </w:tc>
      </w:tr>
      <w:tr w14:paraId="1F7D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4946A47">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62297C9E">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7D89147C">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245F4D7E">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036744CD">
            <w:pPr>
              <w:adjustRightInd w:val="0"/>
              <w:snapToGrid w:val="0"/>
              <w:rPr>
                <w:rFonts w:hint="eastAsia" w:ascii="仿宋_GB2312" w:hAnsi="仿宋_GB2312" w:eastAsia="仿宋_GB2312" w:cs="仿宋_GB2312"/>
                <w:szCs w:val="24"/>
              </w:rPr>
            </w:pPr>
          </w:p>
        </w:tc>
      </w:tr>
      <w:tr w14:paraId="6271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0C9C1631">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2E9A89BE">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32377543">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14628CF">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1FBA815">
            <w:pPr>
              <w:adjustRightInd w:val="0"/>
              <w:snapToGrid w:val="0"/>
              <w:rPr>
                <w:rFonts w:hint="eastAsia" w:ascii="仿宋_GB2312" w:hAnsi="仿宋_GB2312" w:eastAsia="仿宋_GB2312" w:cs="仿宋_GB2312"/>
                <w:szCs w:val="24"/>
              </w:rPr>
            </w:pPr>
          </w:p>
        </w:tc>
      </w:tr>
      <w:tr w14:paraId="665E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AAF54CB">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40CA752">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4AD6A7E7">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9A3D78D">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3AAB6875">
            <w:pPr>
              <w:adjustRightInd w:val="0"/>
              <w:snapToGrid w:val="0"/>
              <w:rPr>
                <w:rFonts w:hint="eastAsia" w:ascii="仿宋_GB2312" w:hAnsi="仿宋_GB2312" w:eastAsia="仿宋_GB2312" w:cs="仿宋_GB2312"/>
                <w:szCs w:val="24"/>
              </w:rPr>
            </w:pPr>
          </w:p>
        </w:tc>
      </w:tr>
      <w:tr w14:paraId="7D31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47E7952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79C6FC5B">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03A5F64">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7029B91F">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49328F5E">
            <w:pPr>
              <w:adjustRightInd w:val="0"/>
              <w:snapToGrid w:val="0"/>
              <w:rPr>
                <w:rFonts w:hint="eastAsia" w:ascii="仿宋_GB2312" w:hAnsi="仿宋_GB2312" w:eastAsia="仿宋_GB2312" w:cs="仿宋_GB2312"/>
                <w:szCs w:val="24"/>
              </w:rPr>
            </w:pPr>
          </w:p>
        </w:tc>
      </w:tr>
      <w:tr w14:paraId="0AA86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316B0854">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D7572A8">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0FB12FE8">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112A6E8B">
            <w:pPr>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156014DC">
            <w:pPr>
              <w:adjustRightInd w:val="0"/>
              <w:snapToGrid w:val="0"/>
              <w:rPr>
                <w:rFonts w:hint="eastAsia" w:ascii="仿宋_GB2312" w:hAnsi="仿宋_GB2312" w:eastAsia="仿宋_GB2312" w:cs="仿宋_GB2312"/>
                <w:szCs w:val="24"/>
              </w:rPr>
            </w:pPr>
          </w:p>
        </w:tc>
      </w:tr>
      <w:tr w14:paraId="6FB7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14:paraId="10D3B092">
            <w:pPr>
              <w:adjustRightInd w:val="0"/>
              <w:snapToGrid w:val="0"/>
              <w:jc w:val="center"/>
              <w:rPr>
                <w:rFonts w:hint="eastAsia"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14:paraId="1345C1E6">
            <w:pPr>
              <w:rPr>
                <w:rFonts w:hint="eastAsia"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14:paraId="1429CA93">
            <w:pPr>
              <w:adjustRightInd w:val="0"/>
              <w:snapToGrid w:val="0"/>
              <w:jc w:val="left"/>
              <w:rPr>
                <w:rFonts w:hint="eastAsia" w:ascii="仿宋_GB2312" w:hAnsi="仿宋_GB2312" w:eastAsia="仿宋_GB2312" w:cs="仿宋_GB2312"/>
                <w:szCs w:val="24"/>
              </w:rPr>
            </w:pPr>
            <w:r>
              <w:rPr>
                <w:rFonts w:hint="eastAsia" w:ascii="仿宋_GB2312" w:hAnsi="仿宋_GB2312" w:eastAsia="仿宋_GB2312" w:cs="仿宋_GB2312"/>
                <w:szCs w:val="24"/>
              </w:rPr>
              <w:t>（十二）经发包人认定的其他不</w:t>
            </w:r>
            <w:r>
              <w:rPr>
                <w:rFonts w:hint="eastAsia" w:ascii="仿宋_GB2312" w:hAnsi="仿宋_GB2312" w:eastAsia="仿宋_GB2312" w:cs="仿宋_GB2312"/>
                <w:szCs w:val="24"/>
                <w:lang w:val="en-US" w:eastAsia="zh-CN"/>
              </w:rPr>
              <w:t>履约</w:t>
            </w:r>
            <w:r>
              <w:rPr>
                <w:rFonts w:hint="eastAsia" w:ascii="仿宋_GB2312" w:hAnsi="仿宋_GB2312" w:eastAsia="仿宋_GB2312" w:cs="仿宋_GB2312"/>
                <w:szCs w:val="24"/>
              </w:rPr>
              <w:t>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14:paraId="4F099711">
            <w:pPr>
              <w:adjustRightInd w:val="0"/>
              <w:snapToGrid w:val="0"/>
              <w:rPr>
                <w:rFonts w:hint="eastAsia"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14:paraId="2D88A5EA">
            <w:pPr>
              <w:adjustRightInd w:val="0"/>
              <w:snapToGrid w:val="0"/>
              <w:rPr>
                <w:rFonts w:hint="eastAsia" w:ascii="仿宋_GB2312" w:hAnsi="仿宋_GB2312" w:eastAsia="仿宋_GB2312" w:cs="仿宋_GB2312"/>
                <w:szCs w:val="24"/>
              </w:rPr>
            </w:pPr>
          </w:p>
        </w:tc>
      </w:tr>
    </w:tbl>
    <w:p w14:paraId="593DD626">
      <w:pPr>
        <w:pStyle w:val="2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sz w:val="24"/>
          <w:szCs w:val="24"/>
        </w:rPr>
        <w:t>广州市净水有限公司经营建设项目参建企业</w:t>
      </w:r>
      <w:r>
        <w:rPr>
          <w:rFonts w:hint="eastAsia" w:ascii="仿宋_GB2312" w:hAnsi="仿宋_GB2312" w:eastAsia="仿宋_GB2312" w:cs="仿宋_GB2312"/>
          <w:sz w:val="24"/>
          <w:szCs w:val="24"/>
          <w:lang w:val="en-US" w:eastAsia="zh-CN"/>
        </w:rPr>
        <w:t>不履约评价</w:t>
      </w:r>
      <w:r>
        <w:rPr>
          <w:rFonts w:hint="eastAsia" w:ascii="仿宋_GB2312" w:hAnsi="仿宋_GB2312" w:eastAsia="仿宋_GB2312" w:cs="仿宋_GB2312"/>
          <w:sz w:val="24"/>
          <w:szCs w:val="24"/>
        </w:rPr>
        <w:t>管理办法（试行）</w:t>
      </w:r>
      <w:r>
        <w:rPr>
          <w:rFonts w:hint="eastAsia" w:ascii="仿宋_GB2312" w:hAnsi="仿宋_GB2312" w:eastAsia="仿宋_GB2312" w:cs="仿宋_GB2312"/>
          <w:color w:val="000000"/>
          <w:sz w:val="24"/>
          <w:szCs w:val="24"/>
          <w:highlight w:val="none"/>
        </w:rPr>
        <w:t>》</w:t>
      </w:r>
      <w:r>
        <w:rPr>
          <w:rFonts w:hint="eastAsia" w:ascii="仿宋_GB2312" w:hAnsi="仿宋_GB2312" w:eastAsia="仿宋_GB2312" w:cs="仿宋_GB2312"/>
          <w:color w:val="000000"/>
          <w:sz w:val="24"/>
          <w:szCs w:val="24"/>
          <w:highlight w:val="none"/>
          <w:lang w:eastAsia="zh-CN"/>
        </w:rPr>
        <w:t>。</w:t>
      </w:r>
    </w:p>
    <w:p w14:paraId="2C447ABB">
      <w:pPr>
        <w:pStyle w:val="22"/>
        <w:ind w:firstLine="0" w:firstLineChars="0"/>
        <w:rPr>
          <w:rFonts w:hint="eastAsia" w:ascii="宋体" w:hAnsi="宋体" w:eastAsia="宋体" w:cs="宋体"/>
          <w:b w:val="0"/>
          <w:bCs/>
          <w:color w:val="000000" w:themeColor="text1"/>
          <w:sz w:val="24"/>
          <w:szCs w:val="24"/>
          <w:highlight w:val="none"/>
          <w14:textFill>
            <w14:solidFill>
              <w14:schemeClr w14:val="tx1"/>
            </w14:solidFill>
          </w14:textFill>
        </w:rPr>
      </w:pPr>
    </w:p>
    <w:p w14:paraId="556FD14F">
      <w:pPr>
        <w:spacing w:line="240" w:lineRule="auto"/>
        <w:jc w:val="left"/>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br w:type="page"/>
      </w:r>
    </w:p>
    <w:p w14:paraId="304B514D">
      <w:pPr>
        <w:spacing w:line="440" w:lineRule="exact"/>
        <w:jc w:val="both"/>
        <w:rPr>
          <w:rFonts w:hint="eastAsia" w:ascii="宋体" w:hAnsi="宋体" w:cs="宋体"/>
          <w:b/>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4</w:t>
      </w:r>
    </w:p>
    <w:p w14:paraId="753CC052">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营运场所施工安全及消防安全协议书</w:t>
      </w:r>
    </w:p>
    <w:p w14:paraId="5F7C8B49">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63220668">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广州市净水有限公司</w:t>
      </w:r>
    </w:p>
    <w:p w14:paraId="4FBECE1F">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 xml:space="preserve">乙方： </w:t>
      </w:r>
    </w:p>
    <w:p w14:paraId="1611277B">
      <w:pPr>
        <w:keepNext w:val="0"/>
        <w:keepLines w:val="0"/>
        <w:pageBreakBefore w:val="0"/>
        <w:kinsoku/>
        <w:wordWrap/>
        <w:overflowPunct/>
        <w:topLinePunct w:val="0"/>
        <w:autoSpaceDE/>
        <w:autoSpaceDN/>
        <w:bidi w:val="0"/>
        <w:spacing w:line="500" w:lineRule="exac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p>
    <w:p w14:paraId="166DFA20">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根据《中华人民共和国安全生产法》、</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《中华人民共和国消防法》、</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《生产安全事故报告和调查处理条例》</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、《建设工程安全生产管理条例》</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等国家及地方有关安全生产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法律法规，甲乙双方就安全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及消防安全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事宜，</w:t>
      </w:r>
      <w:r>
        <w:rPr>
          <w:rFonts w:hint="eastAsia" w:ascii="仿宋_GB2312" w:hAnsi="仿宋_GB2312" w:eastAsia="仿宋_GB2312" w:cs="仿宋_GB2312"/>
          <w:color w:val="000000" w:themeColor="text1"/>
          <w:sz w:val="28"/>
          <w:szCs w:val="28"/>
          <w:highlight w:val="none"/>
          <w14:textFill>
            <w14:solidFill>
              <w14:schemeClr w14:val="tx1"/>
            </w14:solidFill>
          </w14:textFill>
        </w:rPr>
        <w:t>经双方友好协商，达成如下协议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p>
    <w:p w14:paraId="5E2D911F">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一、总则</w:t>
      </w:r>
    </w:p>
    <w:p w14:paraId="7CBBEBB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本协议是合同</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（穗净水合〔    〕   号） </w:t>
      </w:r>
      <w:r>
        <w:rPr>
          <w:rFonts w:hint="eastAsia" w:ascii="仿宋_GB2312" w:hAnsi="仿宋_GB2312" w:eastAsia="仿宋_GB2312" w:cs="仿宋_GB2312"/>
          <w:color w:val="000000" w:themeColor="text1"/>
          <w:sz w:val="28"/>
          <w:szCs w:val="28"/>
          <w:highlight w:val="none"/>
          <w14:textFill>
            <w14:solidFill>
              <w14:schemeClr w14:val="tx1"/>
            </w14:solidFill>
          </w14:textFill>
        </w:rPr>
        <w:t>的组成部分。</w:t>
      </w:r>
    </w:p>
    <w:p w14:paraId="5B66726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乙双方应遵守国家、省、市有关安全生产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消防安全的法律、法规、规章，履行</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消防安全职责，保障人员生命、财产安全。</w:t>
      </w:r>
    </w:p>
    <w:p w14:paraId="01E5D82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乙双方应当逐级落实</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消防安全责任制，明确逐级岗位人员的安全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生产、消防安全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职责。</w:t>
      </w:r>
    </w:p>
    <w:p w14:paraId="0C7F8B5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本协议是对在满足法律法规规定的双方安全及消防安全责任的基础上的补充事项。</w:t>
      </w:r>
    </w:p>
    <w:p w14:paraId="3395C9F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（五）当同一个场所、池体内，甲方安排两个或以上的承包单位同时施工的，由甲方组织各承包单位签订《营运场所交叉作业安全及消防安全协议书》。</w:t>
      </w:r>
    </w:p>
    <w:p w14:paraId="3E97392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乙方的单位及人员资质（</w:t>
      </w:r>
      <w:r>
        <w:rPr>
          <w:rFonts w:hint="eastAsia" w:ascii="仿宋_GB2312" w:hAnsi="仿宋_GB2312" w:eastAsia="仿宋_GB2312" w:cs="仿宋_GB2312"/>
          <w:b/>
          <w:bCs w:val="0"/>
          <w:color w:val="000000" w:themeColor="text1"/>
          <w:kern w:val="0"/>
          <w:sz w:val="28"/>
          <w:szCs w:val="28"/>
          <w:highlight w:val="none"/>
          <w:lang w:val="en-US" w:eastAsia="zh-CN"/>
          <w14:textFill>
            <w14:solidFill>
              <w14:schemeClr w14:val="tx1"/>
            </w14:solidFill>
          </w14:textFill>
        </w:rPr>
        <w:t>单项选择并填写</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7E73713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1.详见合同第</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条。</w:t>
      </w:r>
    </w:p>
    <w:p w14:paraId="4D5B9D9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2.详见文件《</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1AC8C535">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二、甲方的安全及消防安全责任</w:t>
      </w:r>
    </w:p>
    <w:p w14:paraId="5C9FD2D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交底告知</w:t>
      </w:r>
    </w:p>
    <w:p w14:paraId="00B107D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000000" w:themeColor="text1"/>
          <w:sz w:val="28"/>
          <w:szCs w:val="28"/>
          <w:highlight w:val="none"/>
          <w14:textFill>
            <w14:solidFill>
              <w14:schemeClr w14:val="tx1"/>
            </w14:solidFill>
          </w14:textFill>
        </w:rPr>
        <w:t>允许进出及行走的路线、禁止触动甲方设备设施等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；项目备案的要求。</w:t>
      </w:r>
    </w:p>
    <w:p w14:paraId="2E1CB8F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2.乙方进场作业前，</w:t>
      </w:r>
      <w:r>
        <w:rPr>
          <w:rFonts w:hint="eastAsia" w:ascii="仿宋_GB2312" w:hAnsi="仿宋_GB2312" w:eastAsia="仿宋_GB2312" w:cs="仿宋_GB2312"/>
          <w:color w:val="000000" w:themeColor="text1"/>
          <w:sz w:val="28"/>
          <w:szCs w:val="28"/>
          <w:highlight w:val="none"/>
          <w14:textFill>
            <w14:solidFill>
              <w14:schemeClr w14:val="tx1"/>
            </w14:solidFill>
          </w14:textFill>
        </w:rPr>
        <w:t>应对乙方进行交底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再次向乙方强调</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上述内容，以及施工期间的其他特殊注意事项，如生产方面的调度协调配合等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32F3F3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3.当乙方提出相关规范或乙方内部管理制度，比甲方规定的</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安全生产及消防安全管理要求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更严格的，应当接纳乙方的建议。</w:t>
      </w:r>
    </w:p>
    <w:p w14:paraId="01DC36D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（二）落实配合措施</w:t>
      </w:r>
    </w:p>
    <w:p w14:paraId="10EB877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1.落实生产营运等相关配合措施，提供必要的施工条件。</w:t>
      </w:r>
    </w:p>
    <w:p w14:paraId="134CF11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）安全及消防安全隐患</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检查与督促整改</w:t>
      </w:r>
    </w:p>
    <w:p w14:paraId="445B443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3ACFEAB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重大安全风险、生产安全重大事故隐患（重大火灾隐患）等情况报告及举报</w:t>
      </w:r>
    </w:p>
    <w:p w14:paraId="472179D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1.对乙方上报的重大安全风险、生产安全重大事故隐患（重大火灾隐患），应当如实向水投集团报告。</w:t>
      </w:r>
    </w:p>
    <w:p w14:paraId="044173E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2.如发现乙方瞒报重大安全风险、生产安全重大事故隐患（重大火灾隐患），甲方除向水投集团报告外，有权向属地安全应急管理部门、属地行业主管部门举报。</w:t>
      </w:r>
    </w:p>
    <w:p w14:paraId="7B7F3BF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3.甲方发现乙方在项目范围内（含工地范围内的住宿、办公等区域）开展违法、犯罪活动，向公安部门举报。</w:t>
      </w:r>
    </w:p>
    <w:p w14:paraId="6126964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（五）事故报告及举报</w:t>
      </w:r>
    </w:p>
    <w:p w14:paraId="5F432B4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1.对乙方上报的安全事故及消防安全事故，应当按水投集团有关程序，如实向集团报告。</w:t>
      </w:r>
    </w:p>
    <w:p w14:paraId="61993C6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2.如发现乙方瞒报安全事故及消防安全事故，甲方除向水投集团报告外，有权向属地安全应急管理部门、属地行业主管部门举报。</w:t>
      </w:r>
    </w:p>
    <w:p w14:paraId="74637D6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（六）补充条款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2899BAA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三、乙方的安全及消防安全责任</w:t>
      </w:r>
    </w:p>
    <w:p w14:paraId="50B7495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接受交底告知并复核确认安全风险，落实管控措施</w:t>
      </w:r>
    </w:p>
    <w:p w14:paraId="59471F3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1.乙方接受甲方交底。</w:t>
      </w:r>
    </w:p>
    <w:p w14:paraId="3C4EC3B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2.编制的方案应响应甲方告知，明确相应的措施。</w:t>
      </w:r>
    </w:p>
    <w:p w14:paraId="4750C69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3.根据甲方项目备案的要求，提交项目备案材料</w:t>
      </w:r>
    </w:p>
    <w:p w14:paraId="57CE146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4.当甲方规定的安全生产及消防安全管理要求，比相关规范或乙方内部管理制度严格的，按甲方的执行。</w:t>
      </w:r>
    </w:p>
    <w:p w14:paraId="4BEB2E4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5.当相关规范或乙方内部管理制度，比甲方规定的安全生产及消防安全管理要求严格的，应明确告知甲方确认，并按相关规范或乙方内部管理制度执行。</w:t>
      </w:r>
    </w:p>
    <w:p w14:paraId="5F61C84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告知甲方需要配合的事项</w:t>
      </w:r>
    </w:p>
    <w:p w14:paraId="08CF65B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1.向甲方告知在施工作业期间，需要甲方配合落实的措施</w:t>
      </w:r>
    </w:p>
    <w:p w14:paraId="0384E5A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落实安全及消防安全隐患排查与整改，并接受检查</w:t>
      </w:r>
    </w:p>
    <w:p w14:paraId="3D72ED8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乙方应做好的每日安全生产、消防安全巡查及开展人员安全生产、消防安全教育，确保场所、场地、区域、施工、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仓储、住宿、办公</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等，符合国家、行业安全生产、消防安全相关要求，无对甲方、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乙方以及周边第三方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生产安全、消防安全、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人身安全等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14:paraId="772DA85F">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2.接受甲方“四不两直”的不定期检查。</w:t>
      </w:r>
    </w:p>
    <w:p w14:paraId="021CF10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重大安全风险、生产安全重大事故隐患（重大火灾隐患）报告</w:t>
      </w:r>
    </w:p>
    <w:p w14:paraId="6474A80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1.乙方识别存在重大安全风险的，应研究并落实管控措施，降低风险等级，并向甲方、属地安全应急管理部门、属地行业主管部门上报。</w:t>
      </w:r>
    </w:p>
    <w:p w14:paraId="52BD737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2.乙方自查或被外单位检查发现生产安全重大事故隐患（重大火灾隐患）的，应当立即向甲方、属地安全应急管理部门、属地行业主管部门上报。</w:t>
      </w:r>
    </w:p>
    <w:p w14:paraId="41CB781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3.如甲方未收到乙方关于重大安全风险、生产安全重大事故隐患（重大火灾隐患）的报告，但由其他途径获知信息的，视为瞒报。</w:t>
      </w:r>
    </w:p>
    <w:p w14:paraId="5FA21FB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4.不得谎报信息。</w:t>
      </w:r>
    </w:p>
    <w:p w14:paraId="1F1C2FC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（四）事故报告</w:t>
      </w:r>
    </w:p>
    <w:p w14:paraId="0DD8443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1.项目发生安全事故及消防安全事故的，乙方应当在预案规定时间内立即向甲方上报。否则视为迟报。</w:t>
      </w:r>
    </w:p>
    <w:p w14:paraId="15F2288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2.如甲方未收到乙方关于安全事故及消防安全事故的报告，但由其他途径获知信息的，视为瞒报。</w:t>
      </w:r>
    </w:p>
    <w:p w14:paraId="2A67B7D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3.不得谎报信息。</w:t>
      </w:r>
    </w:p>
    <w:p w14:paraId="3612920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3B93E946">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四、违约责任</w:t>
      </w:r>
    </w:p>
    <w:p w14:paraId="2205B21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未发生安全事故或消防安全事故的违约责任</w:t>
      </w:r>
    </w:p>
    <w:p w14:paraId="6ED61BF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1.乙方未履行安全及消防安全责任的，甲方有权按合同相关条款处理。</w:t>
      </w:r>
    </w:p>
    <w:p w14:paraId="22F6E9B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2.因甲方未履行安全及消防安全责任，乙方有权按合同相关条款处理。</w:t>
      </w:r>
    </w:p>
    <w:p w14:paraId="0006576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（二）发生安全事故或消防安全事故的违约责任</w:t>
      </w:r>
    </w:p>
    <w:p w14:paraId="34EE0857">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548CAC9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2.如甲方未能提供甲方履职证明的，根据责任调查报告（意见）承担责任。</w:t>
      </w:r>
    </w:p>
    <w:p w14:paraId="507D0260">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五、附则</w:t>
      </w:r>
    </w:p>
    <w:p w14:paraId="3DADE24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（一）本协议未尽事宜，依据有关法律、法规、规章处理。法律、法规、规章没有明确规定的，经双方协商处理解决。</w:t>
      </w:r>
    </w:p>
    <w:p w14:paraId="327EB56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（二）在合同（协议）执行期间，因国家、地方、以及广州市净水有限公司印发有关文件，加强安全管理要求的，乙方应按最新要求无条件执行。如不执行，甲方有权根据合同或有关文件进行处理。</w:t>
      </w:r>
    </w:p>
    <w:p w14:paraId="236BDED9">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作为合同的附件</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签字、同事盖章</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、同时生效、同时终止，具有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同等</w:t>
      </w:r>
      <w:r>
        <w:rPr>
          <w:rFonts w:hint="eastAsia" w:ascii="仿宋_GB2312" w:hAnsi="仿宋_GB2312" w:eastAsia="仿宋_GB2312" w:cs="仿宋_GB2312"/>
          <w:color w:val="000000" w:themeColor="text1"/>
          <w:sz w:val="28"/>
          <w:szCs w:val="28"/>
          <w:highlight w:val="none"/>
          <w14:textFill>
            <w14:solidFill>
              <w14:schemeClr w14:val="tx1"/>
            </w14:solidFill>
          </w14:textFill>
        </w:rPr>
        <w:t>的法律效力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甲方、乙方双方执持数量与合同一致。</w:t>
      </w:r>
    </w:p>
    <w:p w14:paraId="49E37CF3">
      <w:pPr>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28A9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189FAD31">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1AD3A434">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1B9D67CB">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6EDA9EBD">
            <w:pPr>
              <w:adjustRightInd/>
              <w:snapToGrid/>
              <w:spacing w:line="500" w:lineRule="exact"/>
              <w:ind w:firstLine="280" w:firstLineChars="100"/>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c>
          <w:tcPr>
            <w:tcW w:w="4474" w:type="dxa"/>
          </w:tcPr>
          <w:p w14:paraId="00DE7291">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712A2D02">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50C93243">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362A8484">
            <w:pPr>
              <w:adjustRightInd/>
              <w:snapToGrid/>
              <w:spacing w:line="500" w:lineRule="exact"/>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r>
    </w:tbl>
    <w:p w14:paraId="46D8B301">
      <w:pPr>
        <w:rPr>
          <w:rFonts w:hint="eastAsia" w:ascii="宋体" w:hAnsi="宋体" w:cs="宋体"/>
          <w:color w:val="000000" w:themeColor="text1"/>
          <w:sz w:val="24"/>
          <w:highlight w:val="none"/>
          <w14:textFill>
            <w14:solidFill>
              <w14:schemeClr w14:val="tx1"/>
            </w14:solidFill>
          </w14:textFill>
        </w:rPr>
      </w:pPr>
    </w:p>
    <w:p w14:paraId="3E253C05">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60146C48">
      <w:pPr>
        <w:spacing w:line="360" w:lineRule="auto"/>
        <w:rPr>
          <w:rFonts w:hint="eastAsia" w:ascii="宋体" w:hAnsi="宋体" w:cs="宋体"/>
          <w:b/>
          <w:bCs/>
          <w:color w:val="000000" w:themeColor="text1"/>
          <w:sz w:val="24"/>
          <w:szCs w:val="24"/>
          <w:highlight w:val="none"/>
          <w14:textFill>
            <w14:solidFill>
              <w14:schemeClr w14:val="tx1"/>
            </w14:solidFill>
          </w14:textFill>
        </w:rPr>
      </w:pPr>
    </w:p>
    <w:p w14:paraId="2C9F4158">
      <w:pPr>
        <w:spacing w:line="240" w:lineRule="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14BF9827">
      <w:pPr>
        <w:spacing w:line="320" w:lineRule="exact"/>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5</w:t>
      </w:r>
      <w:r>
        <w:rPr>
          <w:rFonts w:hint="eastAsia" w:ascii="黑体" w:hAnsi="黑体" w:eastAsia="黑体" w:cs="黑体"/>
          <w:color w:val="000000" w:themeColor="text1"/>
          <w:sz w:val="32"/>
          <w:szCs w:val="32"/>
          <w:highlight w:val="none"/>
          <w:lang w:eastAsia="zh-CN"/>
          <w14:textFill>
            <w14:solidFill>
              <w14:schemeClr w14:val="tx1"/>
            </w14:solidFill>
          </w14:textFill>
        </w:rPr>
        <w:t xml:space="preserve"> </w:t>
      </w:r>
      <w:r>
        <w:rPr>
          <w:rFonts w:hint="eastAsia" w:ascii="黑体" w:hAnsi="黑体" w:eastAsia="黑体" w:cs="黑体"/>
          <w:color w:val="000000" w:themeColor="text1"/>
          <w:sz w:val="32"/>
          <w:szCs w:val="32"/>
          <w:highlight w:val="none"/>
          <w14:textFill>
            <w14:solidFill>
              <w14:schemeClr w14:val="tx1"/>
            </w14:solidFill>
          </w14:textFill>
        </w:rPr>
        <w:t>工程量清单报价</w:t>
      </w:r>
    </w:p>
    <w:p w14:paraId="2C9DC241">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p>
    <w:p w14:paraId="26344452">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p>
    <w:p w14:paraId="3E1888E6">
      <w:pPr>
        <w:spacing w:line="240" w:lineRule="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3B230665">
      <w:pPr>
        <w:spacing w:line="360" w:lineRule="auto"/>
        <w:rPr>
          <w:rFonts w:hint="eastAsia" w:ascii="宋体" w:hAnsi="宋体" w:cs="宋体"/>
          <w:b/>
          <w:bCs/>
          <w:szCs w:val="21"/>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6</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highlight w:val="none"/>
          <w14:textFill>
            <w14:solidFill>
              <w14:schemeClr w14:val="tx1"/>
            </w14:solidFill>
          </w14:textFill>
        </w:rPr>
        <w:t>项目投入人员架构表</w:t>
      </w:r>
    </w:p>
    <w:tbl>
      <w:tblPr>
        <w:tblStyle w:val="23"/>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968"/>
        <w:gridCol w:w="764"/>
        <w:gridCol w:w="2482"/>
        <w:gridCol w:w="2604"/>
        <w:gridCol w:w="1956"/>
      </w:tblGrid>
      <w:tr w14:paraId="3FAF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0295E900">
            <w:pPr>
              <w:widowControl/>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序号</w:t>
            </w:r>
          </w:p>
        </w:tc>
        <w:tc>
          <w:tcPr>
            <w:tcW w:w="968" w:type="dxa"/>
            <w:tcBorders>
              <w:top w:val="single" w:color="auto" w:sz="4" w:space="0"/>
              <w:left w:val="single" w:color="auto" w:sz="4" w:space="0"/>
              <w:bottom w:val="single" w:color="auto" w:sz="4" w:space="0"/>
              <w:right w:val="single" w:color="auto" w:sz="4" w:space="0"/>
            </w:tcBorders>
            <w:vAlign w:val="center"/>
          </w:tcPr>
          <w:p w14:paraId="57A382C6">
            <w:pPr>
              <w:widowControl/>
              <w:spacing w:line="360" w:lineRule="auto"/>
              <w:jc w:val="center"/>
              <w:rPr>
                <w:rFonts w:ascii="宋体" w:hAnsi="宋体" w:cs="宋体"/>
                <w:sz w:val="24"/>
              </w:rPr>
            </w:pPr>
            <w:r>
              <w:rPr>
                <w:rFonts w:hint="eastAsia" w:ascii="宋体" w:hAnsi="宋体" w:cs="宋体"/>
                <w:sz w:val="24"/>
              </w:rPr>
              <w:t>姓名</w:t>
            </w:r>
          </w:p>
        </w:tc>
        <w:tc>
          <w:tcPr>
            <w:tcW w:w="764" w:type="dxa"/>
            <w:tcBorders>
              <w:top w:val="single" w:color="auto" w:sz="4" w:space="0"/>
              <w:left w:val="single" w:color="auto" w:sz="4" w:space="0"/>
              <w:bottom w:val="single" w:color="auto" w:sz="4" w:space="0"/>
              <w:right w:val="single" w:color="auto" w:sz="4" w:space="0"/>
            </w:tcBorders>
            <w:vAlign w:val="center"/>
          </w:tcPr>
          <w:p w14:paraId="3512554B">
            <w:pPr>
              <w:widowControl/>
              <w:spacing w:line="360" w:lineRule="auto"/>
              <w:jc w:val="center"/>
              <w:rPr>
                <w:rFonts w:ascii="宋体" w:hAnsi="宋体" w:cs="宋体"/>
                <w:sz w:val="24"/>
              </w:rPr>
            </w:pPr>
            <w:r>
              <w:rPr>
                <w:rFonts w:hint="eastAsia" w:ascii="宋体" w:hAnsi="宋体" w:cs="宋体"/>
                <w:sz w:val="24"/>
              </w:rPr>
              <w:t>性别</w:t>
            </w:r>
          </w:p>
        </w:tc>
        <w:tc>
          <w:tcPr>
            <w:tcW w:w="2482" w:type="dxa"/>
            <w:tcBorders>
              <w:top w:val="single" w:color="auto" w:sz="4" w:space="0"/>
              <w:left w:val="single" w:color="auto" w:sz="4" w:space="0"/>
              <w:bottom w:val="single" w:color="auto" w:sz="4" w:space="0"/>
              <w:right w:val="single" w:color="auto" w:sz="4" w:space="0"/>
            </w:tcBorders>
            <w:vAlign w:val="center"/>
          </w:tcPr>
          <w:p w14:paraId="18C1CA5C">
            <w:pPr>
              <w:widowControl/>
              <w:spacing w:line="360" w:lineRule="auto"/>
              <w:jc w:val="center"/>
              <w:rPr>
                <w:rFonts w:ascii="宋体" w:hAnsi="宋体" w:cs="宋体"/>
                <w:sz w:val="24"/>
              </w:rPr>
            </w:pPr>
            <w:r>
              <w:rPr>
                <w:rFonts w:hint="eastAsia" w:ascii="宋体" w:hAnsi="宋体" w:cs="宋体"/>
                <w:sz w:val="24"/>
              </w:rPr>
              <w:t>身份证号</w:t>
            </w:r>
          </w:p>
        </w:tc>
        <w:tc>
          <w:tcPr>
            <w:tcW w:w="2604" w:type="dxa"/>
            <w:tcBorders>
              <w:top w:val="single" w:color="auto" w:sz="4" w:space="0"/>
              <w:left w:val="single" w:color="auto" w:sz="4" w:space="0"/>
              <w:bottom w:val="single" w:color="auto" w:sz="4" w:space="0"/>
              <w:right w:val="single" w:color="auto" w:sz="4" w:space="0"/>
            </w:tcBorders>
            <w:vAlign w:val="center"/>
          </w:tcPr>
          <w:p w14:paraId="189A280B">
            <w:pPr>
              <w:widowControl/>
              <w:spacing w:line="360" w:lineRule="auto"/>
              <w:jc w:val="center"/>
              <w:rPr>
                <w:rFonts w:ascii="宋体" w:hAnsi="宋体" w:cs="宋体"/>
                <w:sz w:val="24"/>
              </w:rPr>
            </w:pPr>
            <w:r>
              <w:rPr>
                <w:rFonts w:hint="eastAsia" w:ascii="宋体" w:hAnsi="宋体" w:cs="宋体"/>
                <w:sz w:val="24"/>
              </w:rPr>
              <w:t>执业或职业资格证明</w:t>
            </w:r>
          </w:p>
        </w:tc>
        <w:tc>
          <w:tcPr>
            <w:tcW w:w="1956" w:type="dxa"/>
            <w:tcBorders>
              <w:top w:val="single" w:color="auto" w:sz="4" w:space="0"/>
              <w:left w:val="single" w:color="auto" w:sz="4" w:space="0"/>
              <w:bottom w:val="single" w:color="auto" w:sz="4" w:space="0"/>
              <w:right w:val="single" w:color="auto" w:sz="4" w:space="0"/>
            </w:tcBorders>
            <w:vAlign w:val="center"/>
          </w:tcPr>
          <w:p w14:paraId="0B06C2EF">
            <w:pPr>
              <w:widowControl/>
              <w:spacing w:line="360" w:lineRule="auto"/>
              <w:jc w:val="center"/>
              <w:rPr>
                <w:rFonts w:ascii="宋体" w:hAnsi="宋体" w:cs="宋体"/>
                <w:sz w:val="24"/>
              </w:rPr>
            </w:pPr>
            <w:r>
              <w:rPr>
                <w:rFonts w:hint="eastAsia" w:ascii="宋体" w:hAnsi="宋体" w:cs="宋体"/>
                <w:sz w:val="24"/>
              </w:rPr>
              <w:t>备注</w:t>
            </w:r>
          </w:p>
        </w:tc>
      </w:tr>
      <w:tr w14:paraId="4DD9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46BAE78F">
            <w:pPr>
              <w:widowControl/>
              <w:spacing w:line="360" w:lineRule="auto"/>
              <w:jc w:val="center"/>
              <w:rPr>
                <w:rFonts w:hint="eastAsia"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36DECC27">
            <w:pPr>
              <w:widowControl/>
              <w:spacing w:line="360" w:lineRule="auto"/>
              <w:jc w:val="center"/>
              <w:rPr>
                <w:rFonts w:hint="default" w:ascii="宋体" w:hAnsi="宋体" w:eastAsia="宋体" w:cs="宋体"/>
                <w:sz w:val="24"/>
                <w:lang w:val="en-US"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24755779">
            <w:pPr>
              <w:widowControl/>
              <w:spacing w:line="360" w:lineRule="auto"/>
              <w:jc w:val="center"/>
              <w:rPr>
                <w:rFonts w:ascii="宋体" w:hAnsi="宋体" w:cs="宋体"/>
                <w:sz w:val="24"/>
              </w:rPr>
            </w:pPr>
          </w:p>
        </w:tc>
        <w:tc>
          <w:tcPr>
            <w:tcW w:w="2482" w:type="dxa"/>
            <w:tcBorders>
              <w:top w:val="single" w:color="auto" w:sz="4" w:space="0"/>
              <w:left w:val="single" w:color="auto" w:sz="4" w:space="0"/>
              <w:bottom w:val="single" w:color="auto" w:sz="4" w:space="0"/>
              <w:right w:val="single" w:color="auto" w:sz="4" w:space="0"/>
            </w:tcBorders>
            <w:vAlign w:val="center"/>
          </w:tcPr>
          <w:p w14:paraId="54769F0B">
            <w:pPr>
              <w:widowControl/>
              <w:spacing w:line="360" w:lineRule="auto"/>
              <w:jc w:val="center"/>
              <w:rPr>
                <w:rFonts w:hint="default" w:ascii="宋体" w:hAnsi="宋体" w:eastAsia="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2800616F">
            <w:pPr>
              <w:widowControl/>
              <w:spacing w:line="360" w:lineRule="auto"/>
              <w:jc w:val="center"/>
              <w:rPr>
                <w:rFonts w:hint="default" w:ascii="宋体" w:hAnsi="宋体" w:eastAsia="宋体" w:cs="宋体"/>
                <w:sz w:val="24"/>
                <w:lang w:val="en-US" w:eastAsia="zh-CN"/>
              </w:rPr>
            </w:pPr>
          </w:p>
        </w:tc>
        <w:tc>
          <w:tcPr>
            <w:tcW w:w="1956" w:type="dxa"/>
            <w:tcBorders>
              <w:top w:val="single" w:color="auto" w:sz="4" w:space="0"/>
              <w:left w:val="single" w:color="auto" w:sz="4" w:space="0"/>
              <w:bottom w:val="single" w:color="auto" w:sz="4" w:space="0"/>
              <w:right w:val="single" w:color="auto" w:sz="4" w:space="0"/>
            </w:tcBorders>
            <w:vAlign w:val="center"/>
          </w:tcPr>
          <w:p w14:paraId="400E4C35">
            <w:pPr>
              <w:widowControl/>
              <w:spacing w:line="360" w:lineRule="auto"/>
              <w:jc w:val="center"/>
              <w:rPr>
                <w:rFonts w:hint="eastAsia" w:ascii="宋体" w:hAnsi="宋体" w:eastAsia="宋体" w:cs="宋体"/>
                <w:sz w:val="24"/>
                <w:lang w:val="en-US" w:eastAsia="zh-CN"/>
              </w:rPr>
            </w:pPr>
          </w:p>
        </w:tc>
      </w:tr>
      <w:tr w14:paraId="6D11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0B3389B1">
            <w:pPr>
              <w:widowControl/>
              <w:spacing w:line="360" w:lineRule="auto"/>
              <w:jc w:val="center"/>
              <w:rPr>
                <w:rFonts w:hint="eastAsia"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54C9745F">
            <w:pPr>
              <w:widowControl/>
              <w:spacing w:line="360" w:lineRule="auto"/>
              <w:jc w:val="center"/>
              <w:rPr>
                <w:rFonts w:hint="eastAsia" w:ascii="宋体" w:hAnsi="宋体" w:eastAsia="宋体" w:cs="宋体"/>
                <w:sz w:val="24"/>
                <w:lang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50968B29">
            <w:pPr>
              <w:widowControl/>
              <w:spacing w:line="360" w:lineRule="auto"/>
              <w:jc w:val="center"/>
              <w:rPr>
                <w:rFonts w:ascii="宋体" w:hAnsi="宋体" w:cs="宋体"/>
                <w:sz w:val="24"/>
              </w:rPr>
            </w:pPr>
          </w:p>
        </w:tc>
        <w:tc>
          <w:tcPr>
            <w:tcW w:w="2482" w:type="dxa"/>
            <w:tcBorders>
              <w:top w:val="single" w:color="auto" w:sz="4" w:space="0"/>
              <w:left w:val="single" w:color="auto" w:sz="4" w:space="0"/>
              <w:bottom w:val="single" w:color="auto" w:sz="4" w:space="0"/>
              <w:right w:val="single" w:color="auto" w:sz="4" w:space="0"/>
            </w:tcBorders>
            <w:vAlign w:val="center"/>
          </w:tcPr>
          <w:p w14:paraId="5EBBB519">
            <w:pPr>
              <w:widowControl/>
              <w:spacing w:line="360" w:lineRule="auto"/>
              <w:jc w:val="center"/>
              <w:rPr>
                <w:rFonts w:hint="default" w:ascii="宋体" w:hAnsi="宋体" w:eastAsia="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52BD294A">
            <w:pPr>
              <w:widowControl/>
              <w:spacing w:line="360" w:lineRule="auto"/>
              <w:jc w:val="center"/>
              <w:rPr>
                <w:rFonts w:ascii="宋体" w:hAnsi="宋体" w:cs="宋体"/>
                <w:sz w:val="24"/>
              </w:rPr>
            </w:pPr>
          </w:p>
        </w:tc>
        <w:tc>
          <w:tcPr>
            <w:tcW w:w="1956" w:type="dxa"/>
            <w:tcBorders>
              <w:top w:val="single" w:color="auto" w:sz="4" w:space="0"/>
              <w:left w:val="single" w:color="auto" w:sz="4" w:space="0"/>
              <w:bottom w:val="single" w:color="auto" w:sz="4" w:space="0"/>
              <w:right w:val="single" w:color="auto" w:sz="4" w:space="0"/>
            </w:tcBorders>
            <w:vAlign w:val="center"/>
          </w:tcPr>
          <w:p w14:paraId="53116810">
            <w:pPr>
              <w:widowControl/>
              <w:spacing w:line="360" w:lineRule="auto"/>
              <w:jc w:val="center"/>
              <w:rPr>
                <w:rFonts w:ascii="宋体" w:hAnsi="宋体" w:cs="宋体"/>
                <w:sz w:val="24"/>
              </w:rPr>
            </w:pPr>
          </w:p>
        </w:tc>
      </w:tr>
      <w:tr w14:paraId="67179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4F72F955">
            <w:pPr>
              <w:widowControl/>
              <w:spacing w:line="360" w:lineRule="auto"/>
              <w:jc w:val="center"/>
              <w:rPr>
                <w:rFonts w:hint="default"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0C4D9EA7">
            <w:pPr>
              <w:widowControl/>
              <w:spacing w:line="360" w:lineRule="auto"/>
              <w:jc w:val="center"/>
              <w:rPr>
                <w:rFonts w:hint="default" w:ascii="宋体" w:hAnsi="宋体" w:cs="宋体"/>
                <w:sz w:val="24"/>
                <w:lang w:val="en-US"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216D3F26">
            <w:pPr>
              <w:widowControl/>
              <w:spacing w:line="360" w:lineRule="auto"/>
              <w:jc w:val="center"/>
              <w:rPr>
                <w:rFonts w:hint="eastAsia" w:ascii="宋体" w:hAnsi="宋体" w:eastAsia="宋体" w:cs="宋体"/>
                <w:sz w:val="24"/>
                <w:lang w:val="en-US" w:eastAsia="zh-CN"/>
              </w:rPr>
            </w:pPr>
          </w:p>
        </w:tc>
        <w:tc>
          <w:tcPr>
            <w:tcW w:w="2482" w:type="dxa"/>
            <w:tcBorders>
              <w:top w:val="single" w:color="auto" w:sz="4" w:space="0"/>
              <w:left w:val="single" w:color="auto" w:sz="4" w:space="0"/>
              <w:bottom w:val="single" w:color="auto" w:sz="4" w:space="0"/>
              <w:right w:val="single" w:color="auto" w:sz="4" w:space="0"/>
            </w:tcBorders>
            <w:vAlign w:val="center"/>
          </w:tcPr>
          <w:p w14:paraId="22FA0B57">
            <w:pPr>
              <w:widowControl/>
              <w:spacing w:line="360" w:lineRule="auto"/>
              <w:jc w:val="center"/>
              <w:rPr>
                <w:rFonts w:hint="eastAsia" w:ascii="宋体" w:hAnsi="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6D5C17AD">
            <w:pPr>
              <w:widowControl/>
              <w:spacing w:line="360" w:lineRule="auto"/>
              <w:jc w:val="center"/>
              <w:rPr>
                <w:rFonts w:hint="default" w:ascii="宋体" w:hAnsi="宋体"/>
                <w:strike w:val="0"/>
                <w:dstrike w:val="0"/>
                <w:color w:val="auto"/>
                <w:szCs w:val="21"/>
                <w:highlight w:val="none"/>
                <w:lang w:val="en-US" w:eastAsia="zh-CN"/>
              </w:rPr>
            </w:pPr>
          </w:p>
        </w:tc>
        <w:tc>
          <w:tcPr>
            <w:tcW w:w="1956" w:type="dxa"/>
            <w:tcBorders>
              <w:top w:val="single" w:color="auto" w:sz="4" w:space="0"/>
              <w:left w:val="single" w:color="auto" w:sz="4" w:space="0"/>
              <w:bottom w:val="single" w:color="auto" w:sz="4" w:space="0"/>
              <w:right w:val="single" w:color="auto" w:sz="4" w:space="0"/>
            </w:tcBorders>
            <w:vAlign w:val="center"/>
          </w:tcPr>
          <w:p w14:paraId="7B4C8FBB">
            <w:pPr>
              <w:widowControl/>
              <w:spacing w:line="360" w:lineRule="auto"/>
              <w:jc w:val="center"/>
              <w:rPr>
                <w:rFonts w:hint="eastAsia" w:ascii="宋体" w:hAnsi="宋体" w:eastAsia="宋体" w:cs="宋体"/>
                <w:sz w:val="24"/>
                <w:lang w:val="en-US" w:eastAsia="zh-CN"/>
              </w:rPr>
            </w:pPr>
          </w:p>
        </w:tc>
      </w:tr>
      <w:tr w14:paraId="704F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3" w:type="dxa"/>
            <w:tcBorders>
              <w:top w:val="single" w:color="auto" w:sz="4" w:space="0"/>
              <w:left w:val="single" w:color="auto" w:sz="4" w:space="0"/>
              <w:bottom w:val="single" w:color="auto" w:sz="4" w:space="0"/>
              <w:right w:val="single" w:color="auto" w:sz="4" w:space="0"/>
            </w:tcBorders>
            <w:vAlign w:val="center"/>
          </w:tcPr>
          <w:p w14:paraId="5E860DC3">
            <w:pPr>
              <w:widowControl/>
              <w:spacing w:line="360" w:lineRule="auto"/>
              <w:jc w:val="center"/>
              <w:rPr>
                <w:rFonts w:hint="default" w:ascii="宋体" w:hAnsi="宋体" w:eastAsia="宋体" w:cs="宋体"/>
                <w:sz w:val="24"/>
                <w:lang w:val="en-US" w:eastAsia="zh-CN"/>
              </w:rPr>
            </w:pPr>
          </w:p>
        </w:tc>
        <w:tc>
          <w:tcPr>
            <w:tcW w:w="968" w:type="dxa"/>
            <w:tcBorders>
              <w:top w:val="single" w:color="auto" w:sz="4" w:space="0"/>
              <w:left w:val="single" w:color="auto" w:sz="4" w:space="0"/>
              <w:bottom w:val="single" w:color="auto" w:sz="4" w:space="0"/>
              <w:right w:val="single" w:color="auto" w:sz="4" w:space="0"/>
            </w:tcBorders>
            <w:vAlign w:val="center"/>
          </w:tcPr>
          <w:p w14:paraId="0FAEB34F">
            <w:pPr>
              <w:widowControl/>
              <w:spacing w:line="360" w:lineRule="auto"/>
              <w:jc w:val="center"/>
              <w:rPr>
                <w:rFonts w:hint="default" w:ascii="宋体" w:hAnsi="宋体" w:cs="宋体"/>
                <w:sz w:val="24"/>
                <w:lang w:val="en-US" w:eastAsia="zh-CN"/>
              </w:rPr>
            </w:pPr>
          </w:p>
        </w:tc>
        <w:tc>
          <w:tcPr>
            <w:tcW w:w="764" w:type="dxa"/>
            <w:tcBorders>
              <w:top w:val="single" w:color="auto" w:sz="4" w:space="0"/>
              <w:left w:val="single" w:color="auto" w:sz="4" w:space="0"/>
              <w:bottom w:val="single" w:color="auto" w:sz="4" w:space="0"/>
              <w:right w:val="single" w:color="auto" w:sz="4" w:space="0"/>
            </w:tcBorders>
            <w:vAlign w:val="center"/>
          </w:tcPr>
          <w:p w14:paraId="7CEBAA7C">
            <w:pPr>
              <w:widowControl/>
              <w:spacing w:line="360" w:lineRule="auto"/>
              <w:jc w:val="center"/>
              <w:rPr>
                <w:rFonts w:hint="eastAsia" w:ascii="宋体" w:hAnsi="宋体" w:eastAsia="宋体" w:cs="宋体"/>
                <w:sz w:val="24"/>
                <w:lang w:val="en-US" w:eastAsia="zh-CN"/>
              </w:rPr>
            </w:pPr>
          </w:p>
        </w:tc>
        <w:tc>
          <w:tcPr>
            <w:tcW w:w="2482" w:type="dxa"/>
            <w:tcBorders>
              <w:top w:val="single" w:color="auto" w:sz="4" w:space="0"/>
              <w:left w:val="single" w:color="auto" w:sz="4" w:space="0"/>
              <w:bottom w:val="single" w:color="auto" w:sz="4" w:space="0"/>
              <w:right w:val="single" w:color="auto" w:sz="4" w:space="0"/>
            </w:tcBorders>
            <w:vAlign w:val="center"/>
          </w:tcPr>
          <w:p w14:paraId="526F6ED1">
            <w:pPr>
              <w:widowControl/>
              <w:spacing w:line="360" w:lineRule="auto"/>
              <w:jc w:val="center"/>
              <w:rPr>
                <w:rFonts w:hint="eastAsia" w:ascii="宋体" w:hAnsi="宋体" w:cs="宋体"/>
                <w:sz w:val="24"/>
                <w:lang w:val="en-US" w:eastAsia="zh-CN"/>
              </w:rPr>
            </w:pPr>
          </w:p>
        </w:tc>
        <w:tc>
          <w:tcPr>
            <w:tcW w:w="2604" w:type="dxa"/>
            <w:tcBorders>
              <w:top w:val="single" w:color="auto" w:sz="4" w:space="0"/>
              <w:left w:val="single" w:color="auto" w:sz="4" w:space="0"/>
              <w:bottom w:val="single" w:color="auto" w:sz="4" w:space="0"/>
              <w:right w:val="single" w:color="auto" w:sz="4" w:space="0"/>
            </w:tcBorders>
            <w:vAlign w:val="center"/>
          </w:tcPr>
          <w:p w14:paraId="314E4EF4">
            <w:pPr>
              <w:widowControl/>
              <w:spacing w:line="360" w:lineRule="auto"/>
              <w:jc w:val="center"/>
              <w:rPr>
                <w:rFonts w:hint="default" w:ascii="宋体" w:hAnsi="宋体"/>
                <w:strike w:val="0"/>
                <w:dstrike w:val="0"/>
                <w:color w:val="auto"/>
                <w:szCs w:val="21"/>
                <w:highlight w:val="none"/>
                <w:lang w:val="en-US" w:eastAsia="zh-CN"/>
              </w:rPr>
            </w:pPr>
          </w:p>
        </w:tc>
        <w:tc>
          <w:tcPr>
            <w:tcW w:w="1956" w:type="dxa"/>
            <w:tcBorders>
              <w:top w:val="single" w:color="auto" w:sz="4" w:space="0"/>
              <w:left w:val="single" w:color="auto" w:sz="4" w:space="0"/>
              <w:bottom w:val="single" w:color="auto" w:sz="4" w:space="0"/>
              <w:right w:val="single" w:color="auto" w:sz="4" w:space="0"/>
            </w:tcBorders>
            <w:vAlign w:val="center"/>
          </w:tcPr>
          <w:p w14:paraId="17BAD6AC">
            <w:pPr>
              <w:widowControl/>
              <w:spacing w:line="360" w:lineRule="auto"/>
              <w:jc w:val="center"/>
              <w:rPr>
                <w:rFonts w:hint="eastAsia" w:ascii="宋体" w:hAnsi="宋体" w:eastAsia="宋体" w:cs="宋体"/>
                <w:sz w:val="24"/>
                <w:lang w:val="en-US" w:eastAsia="zh-CN"/>
              </w:rPr>
            </w:pPr>
          </w:p>
        </w:tc>
      </w:tr>
    </w:tbl>
    <w:p w14:paraId="2F52656C">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p>
    <w:p w14:paraId="2AE3B54D">
      <w:pPr>
        <w:spacing w:line="240" w:lineRule="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br w:type="page"/>
      </w:r>
    </w:p>
    <w:p w14:paraId="654A33CF">
      <w:pPr>
        <w:spacing w:line="240" w:lineRule="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附件</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7</w:t>
      </w:r>
      <w:r>
        <w:rPr>
          <w:rFonts w:hint="eastAsia" w:ascii="黑体" w:hAnsi="黑体" w:eastAsia="黑体" w:cs="黑体"/>
          <w:b w:val="0"/>
          <w:bCs w:val="0"/>
          <w:color w:val="000000" w:themeColor="text1"/>
          <w:sz w:val="32"/>
          <w:szCs w:val="32"/>
          <w:highlight w:val="none"/>
          <w:lang w:eastAsia="zh-CN"/>
          <w14:textFill>
            <w14:solidFill>
              <w14:schemeClr w14:val="tx1"/>
            </w14:solidFill>
          </w14:textFill>
        </w:rPr>
        <w:t xml:space="preserve"> </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应急物资清单</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2387"/>
        <w:gridCol w:w="2124"/>
        <w:gridCol w:w="1812"/>
        <w:gridCol w:w="1812"/>
      </w:tblGrid>
      <w:tr w14:paraId="7B32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7388DABC">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2387" w:type="dxa"/>
            <w:vAlign w:val="center"/>
          </w:tcPr>
          <w:p w14:paraId="0C883063">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分类</w:t>
            </w:r>
          </w:p>
        </w:tc>
        <w:tc>
          <w:tcPr>
            <w:tcW w:w="2124" w:type="dxa"/>
            <w:vAlign w:val="center"/>
          </w:tcPr>
          <w:p w14:paraId="20C5D7B9">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设备设施、材料</w:t>
            </w:r>
          </w:p>
        </w:tc>
        <w:tc>
          <w:tcPr>
            <w:tcW w:w="1812" w:type="dxa"/>
            <w:vAlign w:val="center"/>
          </w:tcPr>
          <w:p w14:paraId="1E14074C">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数量</w:t>
            </w:r>
          </w:p>
        </w:tc>
        <w:tc>
          <w:tcPr>
            <w:tcW w:w="1812" w:type="dxa"/>
            <w:vAlign w:val="center"/>
          </w:tcPr>
          <w:p w14:paraId="7CEDADCC">
            <w:pPr>
              <w:widowControl/>
              <w:spacing w:line="360" w:lineRule="auto"/>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备注</w:t>
            </w:r>
          </w:p>
        </w:tc>
      </w:tr>
      <w:tr w14:paraId="567D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48A50D66">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387" w:type="dxa"/>
            <w:vAlign w:val="center"/>
          </w:tcPr>
          <w:p w14:paraId="2029AE04">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124" w:type="dxa"/>
            <w:vAlign w:val="center"/>
          </w:tcPr>
          <w:p w14:paraId="4FBA4A14">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354061E3">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66256967">
            <w:pPr>
              <w:widowControl/>
              <w:spacing w:line="360" w:lineRule="auto"/>
              <w:jc w:val="center"/>
              <w:rPr>
                <w:rFonts w:hint="eastAsia" w:ascii="宋体" w:hAnsi="宋体" w:eastAsia="宋体" w:cs="宋体"/>
                <w:color w:val="auto"/>
                <w:sz w:val="24"/>
                <w:szCs w:val="24"/>
                <w:highlight w:val="none"/>
                <w:vertAlign w:val="baseline"/>
                <w:lang w:val="en-US" w:eastAsia="zh-CN"/>
              </w:rPr>
            </w:pPr>
          </w:p>
        </w:tc>
      </w:tr>
      <w:tr w14:paraId="7892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514B68B8">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387" w:type="dxa"/>
            <w:vAlign w:val="center"/>
          </w:tcPr>
          <w:p w14:paraId="14B23A23">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124" w:type="dxa"/>
            <w:vAlign w:val="center"/>
          </w:tcPr>
          <w:p w14:paraId="058C99A4">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0196371B">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274F5D75">
            <w:pPr>
              <w:widowControl/>
              <w:spacing w:line="360" w:lineRule="auto"/>
              <w:jc w:val="center"/>
              <w:rPr>
                <w:rFonts w:hint="eastAsia" w:ascii="宋体" w:hAnsi="宋体" w:eastAsia="宋体" w:cs="宋体"/>
                <w:color w:val="auto"/>
                <w:sz w:val="24"/>
                <w:szCs w:val="24"/>
                <w:highlight w:val="none"/>
                <w:vertAlign w:val="baseline"/>
                <w:lang w:val="en-US" w:eastAsia="zh-CN"/>
              </w:rPr>
            </w:pPr>
          </w:p>
        </w:tc>
      </w:tr>
      <w:tr w14:paraId="63A2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vAlign w:val="center"/>
          </w:tcPr>
          <w:p w14:paraId="4E493D79">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387" w:type="dxa"/>
            <w:vAlign w:val="center"/>
          </w:tcPr>
          <w:p w14:paraId="58AB29DA">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2124" w:type="dxa"/>
            <w:vAlign w:val="center"/>
          </w:tcPr>
          <w:p w14:paraId="0EC969BB">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5C336E3C">
            <w:pPr>
              <w:widowControl/>
              <w:spacing w:line="360" w:lineRule="auto"/>
              <w:jc w:val="center"/>
              <w:rPr>
                <w:rFonts w:hint="eastAsia" w:ascii="宋体" w:hAnsi="宋体" w:eastAsia="宋体" w:cs="宋体"/>
                <w:color w:val="auto"/>
                <w:sz w:val="24"/>
                <w:szCs w:val="24"/>
                <w:highlight w:val="none"/>
                <w:vertAlign w:val="baseline"/>
                <w:lang w:val="en-US" w:eastAsia="zh-CN"/>
              </w:rPr>
            </w:pPr>
          </w:p>
        </w:tc>
        <w:tc>
          <w:tcPr>
            <w:tcW w:w="1812" w:type="dxa"/>
            <w:vAlign w:val="center"/>
          </w:tcPr>
          <w:p w14:paraId="0B3B97C1">
            <w:pPr>
              <w:widowControl/>
              <w:spacing w:line="360" w:lineRule="auto"/>
              <w:jc w:val="center"/>
              <w:rPr>
                <w:rFonts w:hint="eastAsia" w:ascii="宋体" w:hAnsi="宋体" w:eastAsia="宋体" w:cs="宋体"/>
                <w:color w:val="auto"/>
                <w:sz w:val="24"/>
                <w:szCs w:val="24"/>
                <w:highlight w:val="none"/>
                <w:vertAlign w:val="baseline"/>
                <w:lang w:val="en-US" w:eastAsia="zh-CN"/>
              </w:rPr>
            </w:pPr>
          </w:p>
        </w:tc>
      </w:tr>
    </w:tbl>
    <w:p w14:paraId="2F6A6981">
      <w:pPr>
        <w:spacing w:line="240" w:lineRule="auto"/>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br w:type="page"/>
      </w:r>
    </w:p>
    <w:p w14:paraId="6BB0014C">
      <w:pPr>
        <w:spacing w:line="320" w:lineRule="exact"/>
        <w:rPr>
          <w:rFonts w:hint="eastAsia" w:ascii="黑体" w:hAnsi="黑体" w:eastAsia="黑体" w:cs="黑体"/>
          <w:sz w:val="32"/>
          <w:szCs w:val="32"/>
          <w:highlight w:val="none"/>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附件8</w:t>
      </w:r>
    </w:p>
    <w:p w14:paraId="2E6D63DA">
      <w:pPr>
        <w:jc w:val="center"/>
        <w:rPr>
          <w:rFonts w:hint="eastAsia" w:ascii="方正小标宋简体" w:hAnsi="方正小标宋简体" w:eastAsia="方正小标宋简体" w:cs="方正小标宋简体"/>
          <w:b w:val="0"/>
          <w:bCs w:val="0"/>
          <w:sz w:val="44"/>
          <w:szCs w:val="44"/>
          <w:highlight w:val="none"/>
          <w:lang w:eastAsia="zh-CN"/>
        </w:rPr>
      </w:pPr>
      <w:r>
        <w:rPr>
          <w:rFonts w:hint="eastAsia" w:ascii="方正小标宋简体" w:hAnsi="方正小标宋简体" w:eastAsia="方正小标宋简体" w:cs="方正小标宋简体"/>
          <w:b w:val="0"/>
          <w:bCs w:val="0"/>
          <w:sz w:val="44"/>
          <w:szCs w:val="44"/>
          <w:highlight w:val="none"/>
        </w:rPr>
        <w:t>施工作业人员工资支付情况说明</w:t>
      </w:r>
      <w:r>
        <w:rPr>
          <w:rFonts w:hint="eastAsia" w:ascii="方正小标宋简体" w:hAnsi="方正小标宋简体" w:eastAsia="方正小标宋简体" w:cs="方正小标宋简体"/>
          <w:b w:val="0"/>
          <w:bCs w:val="0"/>
          <w:sz w:val="44"/>
          <w:szCs w:val="44"/>
          <w:highlight w:val="none"/>
          <w:lang w:eastAsia="zh-CN"/>
        </w:rPr>
        <w:t>（</w:t>
      </w:r>
      <w:r>
        <w:rPr>
          <w:rFonts w:hint="eastAsia" w:ascii="方正小标宋简体" w:hAnsi="方正小标宋简体" w:eastAsia="方正小标宋简体" w:cs="方正小标宋简体"/>
          <w:b w:val="0"/>
          <w:bCs w:val="0"/>
          <w:sz w:val="44"/>
          <w:szCs w:val="44"/>
          <w:highlight w:val="none"/>
          <w:lang w:val="en-US" w:eastAsia="zh-CN"/>
        </w:rPr>
        <w:t>模板</w:t>
      </w:r>
      <w:r>
        <w:rPr>
          <w:rFonts w:hint="eastAsia" w:ascii="方正小标宋简体" w:hAnsi="方正小标宋简体" w:eastAsia="方正小标宋简体" w:cs="方正小标宋简体"/>
          <w:b w:val="0"/>
          <w:bCs w:val="0"/>
          <w:sz w:val="44"/>
          <w:szCs w:val="44"/>
          <w:highlight w:val="none"/>
          <w:lang w:eastAsia="zh-CN"/>
        </w:rPr>
        <w:t>）</w:t>
      </w:r>
    </w:p>
    <w:p w14:paraId="1822B988">
      <w:pPr>
        <w:jc w:val="both"/>
        <w:rPr>
          <w:rFonts w:hint="eastAsia"/>
          <w:sz w:val="40"/>
          <w:szCs w:val="40"/>
          <w:highlight w:val="none"/>
        </w:rPr>
      </w:pPr>
    </w:p>
    <w:p w14:paraId="33EAF00F">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广州</w:t>
      </w:r>
      <w:r>
        <w:rPr>
          <w:rFonts w:hint="eastAsia" w:ascii="仿宋_GB2312" w:hAnsi="仿宋_GB2312" w:eastAsia="仿宋_GB2312" w:cs="仿宋_GB2312"/>
          <w:sz w:val="28"/>
          <w:szCs w:val="28"/>
          <w:highlight w:val="none"/>
          <w:lang w:val="en-US" w:eastAsia="zh-CN"/>
        </w:rPr>
        <w:t>市</w:t>
      </w:r>
      <w:r>
        <w:rPr>
          <w:rFonts w:hint="eastAsia" w:ascii="仿宋_GB2312" w:hAnsi="仿宋_GB2312" w:eastAsia="仿宋_GB2312" w:cs="仿宋_GB2312"/>
          <w:sz w:val="28"/>
          <w:szCs w:val="28"/>
          <w:highlight w:val="none"/>
        </w:rPr>
        <w:t>净水有限公司:</w:t>
      </w:r>
    </w:p>
    <w:p w14:paraId="0DD64FEA">
      <w:pPr>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我公司负责建设的《</w:t>
      </w:r>
      <w:r>
        <w:rPr>
          <w:rFonts w:hint="eastAsia" w:ascii="仿宋_GB2312" w:hAnsi="仿宋_GB2312" w:eastAsia="仿宋_GB2312" w:cs="仿宋_GB2312"/>
          <w:sz w:val="28"/>
          <w:szCs w:val="28"/>
          <w:highlight w:val="none"/>
          <w:lang w:val="en-US" w:eastAsia="zh-CN"/>
        </w:rPr>
        <w:t>XX合同（统筹项目XX子项）</w:t>
      </w:r>
      <w:r>
        <w:rPr>
          <w:rFonts w:hint="eastAsia" w:ascii="仿宋_GB2312" w:hAnsi="仿宋_GB2312" w:eastAsia="仿宋_GB2312" w:cs="仿宋_GB2312"/>
          <w:sz w:val="28"/>
          <w:szCs w:val="28"/>
          <w:highlight w:val="none"/>
        </w:rPr>
        <w:t>》已经按合同约定完成</w:t>
      </w:r>
      <w:r>
        <w:rPr>
          <w:rFonts w:hint="eastAsia" w:ascii="仿宋_GB2312" w:hAnsi="仿宋_GB2312" w:eastAsia="仿宋_GB2312" w:cs="仿宋_GB2312"/>
          <w:sz w:val="28"/>
          <w:szCs w:val="28"/>
          <w:highlight w:val="none"/>
          <w:lang w:val="en-US" w:eastAsia="zh-CN"/>
        </w:rPr>
        <w:t>施工</w:t>
      </w:r>
      <w:r>
        <w:rPr>
          <w:rFonts w:hint="eastAsia" w:ascii="仿宋_GB2312" w:hAnsi="仿宋_GB2312" w:eastAsia="仿宋_GB2312" w:cs="仿宋_GB2312"/>
          <w:sz w:val="28"/>
          <w:szCs w:val="28"/>
          <w:highlight w:val="none"/>
        </w:rPr>
        <w:t>，该项目施工作业人员工资已相应支付，</w:t>
      </w:r>
      <w:r>
        <w:rPr>
          <w:rFonts w:hint="eastAsia" w:ascii="仿宋_GB2312" w:hAnsi="仿宋_GB2312" w:eastAsia="仿宋_GB2312" w:cs="仿宋_GB2312"/>
          <w:sz w:val="28"/>
          <w:szCs w:val="28"/>
          <w:highlight w:val="none"/>
          <w:lang w:val="en-US" w:eastAsia="zh-CN"/>
        </w:rPr>
        <w:t>无扣款、</w:t>
      </w:r>
      <w:r>
        <w:rPr>
          <w:rFonts w:hint="eastAsia" w:ascii="仿宋_GB2312" w:hAnsi="仿宋_GB2312" w:eastAsia="仿宋_GB2312" w:cs="仿宋_GB2312"/>
          <w:sz w:val="28"/>
          <w:szCs w:val="28"/>
          <w:highlight w:val="none"/>
        </w:rPr>
        <w:t>无拖延拖欠情况。</w:t>
      </w:r>
    </w:p>
    <w:p w14:paraId="7B33B053">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特此说明!</w:t>
      </w:r>
    </w:p>
    <w:p w14:paraId="6720763F">
      <w:pPr>
        <w:rPr>
          <w:rFonts w:hint="eastAsia" w:ascii="仿宋_GB2312" w:hAnsi="仿宋_GB2312" w:eastAsia="仿宋_GB2312" w:cs="仿宋_GB2312"/>
          <w:sz w:val="28"/>
          <w:szCs w:val="28"/>
          <w:highlight w:val="none"/>
        </w:rPr>
      </w:pPr>
    </w:p>
    <w:p w14:paraId="01132111">
      <w:pPr>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     </w:t>
      </w:r>
    </w:p>
    <w:p w14:paraId="443E9F61">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项目承包单位(公章):</w:t>
      </w:r>
    </w:p>
    <w:p w14:paraId="75DFA8C5">
      <w:pPr>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项目负责人(签名):</w:t>
      </w:r>
    </w:p>
    <w:p w14:paraId="3463F9CB">
      <w:pPr>
        <w:ind w:firstLine="5600" w:firstLineChars="20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 xml:space="preserve">   日</w:t>
      </w:r>
    </w:p>
    <w:p w14:paraId="20F34B6A">
      <w:pPr>
        <w:jc w:val="both"/>
        <w:rPr>
          <w:rFonts w:hint="eastAsia" w:ascii="仿宋_GB2312" w:hAnsi="仿宋_GB2312" w:eastAsia="仿宋_GB2312" w:cs="仿宋_GB2312"/>
          <w:sz w:val="28"/>
          <w:szCs w:val="28"/>
          <w:highlight w:val="none"/>
          <w:lang w:val="en-US" w:eastAsia="zh-CN"/>
        </w:rPr>
      </w:pPr>
    </w:p>
    <w:p w14:paraId="757C8F2A">
      <w:pPr>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 xml:space="preserve">（该项目所有施工作业人员）施工作业人员确认签字（加盖手印）： </w:t>
      </w:r>
    </w:p>
    <w:p w14:paraId="573D581B">
      <w:pPr>
        <w:pStyle w:val="22"/>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224E183A">
      <w:pPr>
        <w:spacing w:line="360" w:lineRule="auto"/>
        <w:rPr>
          <w:rFonts w:ascii="宋体" w:hAnsi="宋体" w:cs="宋体"/>
          <w:color w:val="auto"/>
          <w:sz w:val="24"/>
          <w:szCs w:val="24"/>
        </w:rPr>
      </w:pPr>
    </w:p>
    <w:p w14:paraId="0030FA07">
      <w:pPr>
        <w:spacing w:line="360" w:lineRule="auto"/>
        <w:jc w:val="center"/>
        <w:rPr>
          <w:rFonts w:ascii="宋体" w:hAnsi="宋体" w:cs="宋体"/>
          <w:color w:val="auto"/>
          <w:sz w:val="24"/>
          <w:szCs w:val="24"/>
        </w:rPr>
      </w:pPr>
    </w:p>
    <w:p w14:paraId="51CFA925">
      <w:pPr>
        <w:pStyle w:val="2"/>
        <w:rPr>
          <w:rFonts w:hint="eastAsia" w:ascii="仿宋_GB2312" w:eastAsia="仿宋_GB2312" w:hAnsiTheme="minorEastAsia"/>
          <w:color w:val="auto"/>
          <w:sz w:val="28"/>
          <w:szCs w:val="28"/>
          <w:highlight w:val="none"/>
        </w:rPr>
      </w:pPr>
    </w:p>
    <w:p w14:paraId="659137F7">
      <w:pPr>
        <w:pStyle w:val="2"/>
        <w:rPr>
          <w:rFonts w:hint="eastAsia" w:ascii="仿宋_GB2312" w:eastAsia="仿宋_GB2312" w:hAnsiTheme="minorEastAsia"/>
          <w:color w:val="auto"/>
          <w:sz w:val="28"/>
          <w:szCs w:val="28"/>
          <w:highlight w:val="none"/>
        </w:rPr>
      </w:pPr>
    </w:p>
    <w:p w14:paraId="0A95C7BD">
      <w:pPr>
        <w:pStyle w:val="2"/>
        <w:rPr>
          <w:rFonts w:hint="eastAsia" w:ascii="仿宋_GB2312" w:eastAsia="仿宋_GB2312" w:hAnsiTheme="minorEastAsia"/>
          <w:color w:val="auto"/>
          <w:sz w:val="28"/>
          <w:szCs w:val="28"/>
          <w:highlight w:val="none"/>
        </w:rPr>
      </w:pPr>
    </w:p>
    <w:p w14:paraId="08111D65">
      <w:pPr>
        <w:pStyle w:val="2"/>
        <w:rPr>
          <w:rFonts w:hint="eastAsia" w:ascii="仿宋_GB2312" w:eastAsia="仿宋_GB2312" w:hAnsiTheme="minorEastAsia"/>
          <w:color w:val="auto"/>
          <w:sz w:val="28"/>
          <w:szCs w:val="28"/>
          <w:highlight w:val="none"/>
        </w:rPr>
      </w:pPr>
    </w:p>
    <w:p w14:paraId="0AD87BB2">
      <w:pPr>
        <w:pStyle w:val="2"/>
        <w:rPr>
          <w:rFonts w:hint="eastAsia" w:ascii="仿宋_GB2312" w:eastAsia="仿宋_GB2312" w:hAnsiTheme="minorEastAsia"/>
          <w:color w:val="auto"/>
          <w:sz w:val="28"/>
          <w:szCs w:val="28"/>
          <w:highlight w:val="none"/>
        </w:rPr>
      </w:pPr>
    </w:p>
    <w:p w14:paraId="28746CE2">
      <w:pPr>
        <w:pStyle w:val="2"/>
        <w:rPr>
          <w:rFonts w:hint="eastAsia" w:ascii="仿宋_GB2312" w:eastAsia="仿宋_GB2312" w:hAnsiTheme="minorEastAsia"/>
          <w:color w:val="auto"/>
          <w:sz w:val="28"/>
          <w:szCs w:val="28"/>
          <w:highlight w:val="none"/>
        </w:rPr>
      </w:pPr>
    </w:p>
    <w:p w14:paraId="785BC6F0">
      <w:pPr>
        <w:pStyle w:val="2"/>
        <w:rPr>
          <w:rFonts w:hint="eastAsia" w:ascii="仿宋_GB2312" w:eastAsia="仿宋_GB2312" w:hAnsiTheme="minorEastAsia"/>
          <w:color w:val="auto"/>
          <w:sz w:val="28"/>
          <w:szCs w:val="28"/>
          <w:highlight w:val="none"/>
        </w:rPr>
      </w:pPr>
    </w:p>
    <w:p w14:paraId="660F8C76">
      <w:pPr>
        <w:pStyle w:val="2"/>
        <w:rPr>
          <w:rFonts w:hint="eastAsia" w:ascii="仿宋_GB2312" w:eastAsia="仿宋_GB2312" w:hAnsiTheme="minorEastAsia"/>
          <w:color w:val="auto"/>
          <w:sz w:val="28"/>
          <w:szCs w:val="28"/>
          <w:highlight w:val="none"/>
        </w:rPr>
      </w:pPr>
    </w:p>
    <w:p w14:paraId="69B5E857">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14:paraId="1F9E4B79">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14:paraId="1BBF2F69">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14:paraId="33F9BD9B">
      <w:pPr>
        <w:pStyle w:val="3"/>
        <w:rPr>
          <w:color w:val="auto"/>
          <w:highlight w:val="none"/>
        </w:rPr>
      </w:pPr>
      <w:r>
        <w:rPr>
          <w:rFonts w:hint="eastAsia"/>
          <w:color w:val="auto"/>
          <w:highlight w:val="none"/>
        </w:rPr>
        <w:t>响应文件</w:t>
      </w:r>
      <w:r>
        <w:rPr>
          <w:rFonts w:hint="eastAsia"/>
          <w:color w:val="auto"/>
          <w:highlight w:val="none"/>
          <w:lang w:val="en-US" w:eastAsia="zh-CN"/>
        </w:rPr>
        <w:t>格式要求</w:t>
      </w:r>
    </w:p>
    <w:p w14:paraId="047C439B">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14:paraId="38F4F10B">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71247FA">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14:paraId="0F28F459">
      <w:pPr>
        <w:adjustRightInd w:val="0"/>
        <w:snapToGrid w:val="0"/>
        <w:spacing w:beforeLines="50" w:afterLines="50" w:line="600" w:lineRule="exact"/>
        <w:jc w:val="center"/>
        <w:rPr>
          <w:rFonts w:ascii="仿宋_GB2312" w:eastAsia="仿宋_GB2312"/>
          <w:color w:val="auto"/>
          <w:sz w:val="30"/>
          <w:szCs w:val="30"/>
          <w:highlight w:val="none"/>
        </w:rPr>
      </w:pPr>
    </w:p>
    <w:p w14:paraId="525FAE94">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14:paraId="57B69BE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6D7BBC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FDE759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4FCD33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D5D3926">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5F526E4">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D04669A">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D72D19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82D47F7">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190BC93F">
      <w:pPr>
        <w:jc w:val="center"/>
        <w:rPr>
          <w:rFonts w:hint="eastAsia" w:ascii="方正小标宋简体" w:eastAsia="方正小标宋简体"/>
          <w:color w:val="auto"/>
          <w:sz w:val="48"/>
          <w:szCs w:val="48"/>
          <w:highlight w:val="none"/>
        </w:rPr>
      </w:pPr>
    </w:p>
    <w:p w14:paraId="7035BFEB">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1745F819">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60D01D4E">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14:paraId="7049738A">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1CD1946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14:paraId="23F01450">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90" w:name="_Toc88209952"/>
      <w:bookmarkStart w:id="91" w:name="_Toc87616389"/>
      <w:r>
        <w:rPr>
          <w:rFonts w:hint="eastAsia" w:ascii="仿宋_GB2312" w:eastAsia="仿宋_GB2312"/>
          <w:color w:val="auto"/>
          <w:sz w:val="28"/>
          <w:szCs w:val="28"/>
          <w:highlight w:val="none"/>
        </w:rPr>
        <w:t>1.响应函</w:t>
      </w:r>
      <w:bookmarkEnd w:id="90"/>
      <w:bookmarkEnd w:id="91"/>
    </w:p>
    <w:p w14:paraId="118028D2">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92" w:name="_Toc87616390"/>
      <w:bookmarkStart w:id="93" w:name="_Toc88209953"/>
      <w:r>
        <w:rPr>
          <w:rFonts w:hint="eastAsia" w:ascii="仿宋_GB2312" w:eastAsia="仿宋_GB2312"/>
          <w:color w:val="auto"/>
          <w:sz w:val="28"/>
          <w:szCs w:val="28"/>
          <w:highlight w:val="none"/>
        </w:rPr>
        <w:t>2.法定代表人证明或授权委托书</w:t>
      </w:r>
      <w:bookmarkEnd w:id="92"/>
      <w:bookmarkEnd w:id="93"/>
      <w:bookmarkStart w:id="94" w:name="_Toc88209956"/>
      <w:bookmarkStart w:id="9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5041F0A0">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94"/>
      <w:bookmarkEnd w:id="95"/>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14:paraId="569A3EF6">
      <w:pPr>
        <w:spacing w:line="360" w:lineRule="auto"/>
        <w:rPr>
          <w:rFonts w:hint="eastAsia" w:ascii="黑体" w:hAnsi="黑体" w:eastAsia="黑体" w:cs="黑体"/>
          <w:b/>
          <w:bCs/>
          <w:color w:val="auto"/>
          <w:sz w:val="32"/>
          <w:szCs w:val="32"/>
          <w:highlight w:val="none"/>
        </w:rPr>
      </w:pPr>
      <w:bookmarkStart w:id="96" w:name="_Toc6313"/>
      <w:bookmarkStart w:id="97" w:name="_Toc28619645"/>
      <w:bookmarkStart w:id="98" w:name="_Toc88209957"/>
      <w:bookmarkStart w:id="99" w:name="_Toc87616394"/>
      <w:bookmarkStart w:id="100" w:name="_Toc12665"/>
      <w:r>
        <w:rPr>
          <w:rFonts w:hint="eastAsia" w:ascii="黑体" w:hAnsi="黑体" w:eastAsia="黑体" w:cs="黑体"/>
          <w:b/>
          <w:bCs/>
          <w:color w:val="auto"/>
          <w:sz w:val="32"/>
          <w:szCs w:val="32"/>
          <w:highlight w:val="none"/>
        </w:rPr>
        <w:t>1.响应函</w:t>
      </w:r>
      <w:bookmarkEnd w:id="96"/>
      <w:bookmarkEnd w:id="97"/>
      <w:bookmarkEnd w:id="98"/>
      <w:bookmarkEnd w:id="99"/>
      <w:bookmarkEnd w:id="100"/>
    </w:p>
    <w:p w14:paraId="02B73D64">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14:paraId="41631CC1">
      <w:pPr>
        <w:spacing w:line="360" w:lineRule="auto"/>
        <w:rPr>
          <w:rFonts w:ascii="仿宋_GB2312" w:hAnsi="黑体" w:eastAsia="仿宋_GB2312"/>
          <w:color w:val="auto"/>
          <w:sz w:val="28"/>
          <w:szCs w:val="28"/>
          <w:highlight w:val="none"/>
          <w:u w:val="single"/>
        </w:rPr>
      </w:pPr>
    </w:p>
    <w:p w14:paraId="7D6132E0">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4B13C3C0">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14:paraId="1E59AC7F">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4DF03D03">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5467D5A7">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05CA07FD">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2942E2FD">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6CFCB05F">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4265551B">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71CCA284">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518E052C">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14:paraId="6B2D8E69">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7ADD9279">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1FA92E27">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215C8A35">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2AF800F1">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7B9B6887">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47902C18">
      <w:pPr>
        <w:pStyle w:val="2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14:paraId="09176FD9">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5C545E61">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14:paraId="15755049">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00E2097D">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248C1C39">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64F0FCB4">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601C6444">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37C53D9D">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54424771">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5D55E0B4">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491D2BB0">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2D9B8A11">
      <w:pPr>
        <w:rPr>
          <w:rFonts w:hint="eastAsia" w:asciiTheme="minorEastAsia" w:hAnsiTheme="minorEastAsia" w:eastAsiaTheme="minorEastAsia"/>
          <w:color w:val="auto"/>
          <w:sz w:val="28"/>
          <w:szCs w:val="28"/>
          <w:highlight w:val="none"/>
        </w:rPr>
      </w:pPr>
      <w:bookmarkStart w:id="101" w:name="_Toc88209958"/>
      <w:bookmarkStart w:id="102" w:name="_Toc87616395"/>
      <w:bookmarkStart w:id="103" w:name="_Toc22527"/>
      <w:bookmarkStart w:id="104" w:name="_Toc29833"/>
      <w:r>
        <w:rPr>
          <w:rFonts w:hint="eastAsia" w:asciiTheme="minorEastAsia" w:hAnsiTheme="minorEastAsia" w:eastAsiaTheme="minorEastAsia"/>
          <w:color w:val="auto"/>
          <w:sz w:val="28"/>
          <w:szCs w:val="28"/>
          <w:highlight w:val="none"/>
        </w:rPr>
        <w:br w:type="page"/>
      </w:r>
    </w:p>
    <w:p w14:paraId="6EBB67B9">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bookmarkEnd w:id="101"/>
      <w:bookmarkEnd w:id="102"/>
      <w:bookmarkEnd w:id="103"/>
      <w:bookmarkEnd w:id="104"/>
    </w:p>
    <w:p w14:paraId="48471F22">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14:paraId="3BB09C7D">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518E652A">
      <w:pPr>
        <w:pStyle w:val="40"/>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50DF5A31">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14:paraId="780ADAD2">
      <w:pPr>
        <w:pStyle w:val="39"/>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4B7ADE5E">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724D3016">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38A9509C">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221EF6E3">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2B3D5779">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71AE39DD">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5FB25369">
      <w:pPr>
        <w:pStyle w:val="29"/>
        <w:snapToGrid w:val="0"/>
        <w:spacing w:line="600" w:lineRule="exact"/>
        <w:ind w:firstLine="3907" w:firstLineChars="1221"/>
        <w:rPr>
          <w:rFonts w:ascii="仿宋_GB2312" w:hAnsi="宋体" w:eastAsia="仿宋_GB2312" w:cs="Times New Roman"/>
          <w:color w:val="auto"/>
          <w:sz w:val="32"/>
          <w:szCs w:val="32"/>
          <w:highlight w:val="none"/>
        </w:rPr>
      </w:pPr>
    </w:p>
    <w:p w14:paraId="14B61102">
      <w:pPr>
        <w:pStyle w:val="29"/>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46C8B710">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0307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14:paraId="354BA043">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人像</w:t>
            </w:r>
            <w:r>
              <w:rPr>
                <w:rFonts w:hint="eastAsia" w:ascii="仿宋_GB2312" w:hAnsi="仿宋_GB2312" w:eastAsia="仿宋_GB2312" w:cs="仿宋_GB2312"/>
                <w:sz w:val="24"/>
                <w:szCs w:val="24"/>
              </w:rPr>
              <w:t>面）</w:t>
            </w:r>
          </w:p>
        </w:tc>
        <w:tc>
          <w:tcPr>
            <w:tcW w:w="4530" w:type="dxa"/>
            <w:vAlign w:val="center"/>
          </w:tcPr>
          <w:p w14:paraId="5CA5E096">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sz w:val="24"/>
                <w:szCs w:val="24"/>
              </w:rPr>
              <w:t>身份证复印件（</w:t>
            </w:r>
            <w:r>
              <w:rPr>
                <w:rFonts w:hint="eastAsia" w:ascii="仿宋_GB2312" w:hAnsi="仿宋_GB2312" w:eastAsia="仿宋_GB2312" w:cs="仿宋_GB2312"/>
                <w:sz w:val="24"/>
                <w:szCs w:val="24"/>
                <w:lang w:val="en-US" w:eastAsia="zh-CN"/>
              </w:rPr>
              <w:t>国徽</w:t>
            </w:r>
            <w:r>
              <w:rPr>
                <w:rFonts w:hint="eastAsia" w:ascii="仿宋_GB2312" w:hAnsi="仿宋_GB2312" w:eastAsia="仿宋_GB2312" w:cs="仿宋_GB2312"/>
                <w:sz w:val="24"/>
                <w:szCs w:val="24"/>
              </w:rPr>
              <w:t>面）</w:t>
            </w:r>
          </w:p>
        </w:tc>
      </w:tr>
      <w:tr w14:paraId="7D0D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14:paraId="58E49C15">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14:paraId="0FBEF274">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14:paraId="0D4B24DE">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6369C55F">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7063FE6B">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615553D1">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082F19E3">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402F573B">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77B3D3EB">
      <w:pPr>
        <w:pStyle w:val="3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14:paraId="0271887B">
      <w:pPr>
        <w:pStyle w:val="38"/>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14:paraId="3FC5AF56">
      <w:pPr>
        <w:pStyle w:val="38"/>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14:paraId="6BA7775D">
      <w:pPr>
        <w:pStyle w:val="29"/>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0607134A">
      <w:pPr>
        <w:pStyle w:val="29"/>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3914C999">
      <w:pPr>
        <w:pStyle w:val="29"/>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531D1FCF">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1F769366">
      <w:pPr>
        <w:pStyle w:val="22"/>
        <w:ind w:left="0" w:leftChars="0" w:firstLine="0" w:firstLineChars="0"/>
        <w:rPr>
          <w:rFonts w:hint="eastAsia" w:ascii="仿宋_GB2312" w:hAnsi="宋体" w:eastAsia="仿宋_GB2312"/>
          <w:color w:val="auto"/>
          <w:sz w:val="30"/>
          <w:szCs w:val="30"/>
          <w:highlight w:val="none"/>
        </w:rPr>
      </w:pPr>
    </w:p>
    <w:p w14:paraId="0B21EE60">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14:paraId="01E0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14:paraId="39169171">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人像</w:t>
            </w:r>
            <w:r>
              <w:rPr>
                <w:rFonts w:hint="eastAsia" w:ascii="仿宋_GB2312" w:hAnsi="仿宋_GB2312" w:eastAsia="仿宋_GB2312" w:cs="仿宋_GB2312"/>
                <w:sz w:val="28"/>
                <w:szCs w:val="28"/>
              </w:rPr>
              <w:t>面）</w:t>
            </w:r>
          </w:p>
        </w:tc>
        <w:tc>
          <w:tcPr>
            <w:tcW w:w="4530" w:type="dxa"/>
            <w:vAlign w:val="center"/>
          </w:tcPr>
          <w:p w14:paraId="3DA08AE3">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sz w:val="28"/>
                <w:szCs w:val="28"/>
              </w:rPr>
              <w:t>身份证复印件（</w:t>
            </w:r>
            <w:r>
              <w:rPr>
                <w:rFonts w:hint="eastAsia" w:ascii="仿宋_GB2312" w:hAnsi="仿宋_GB2312" w:eastAsia="仿宋_GB2312" w:cs="仿宋_GB2312"/>
                <w:sz w:val="28"/>
                <w:szCs w:val="28"/>
                <w:lang w:val="en-US" w:eastAsia="zh-CN"/>
              </w:rPr>
              <w:t>国徽</w:t>
            </w:r>
            <w:r>
              <w:rPr>
                <w:rFonts w:hint="eastAsia" w:ascii="仿宋_GB2312" w:hAnsi="仿宋_GB2312" w:eastAsia="仿宋_GB2312" w:cs="仿宋_GB2312"/>
                <w:sz w:val="28"/>
                <w:szCs w:val="28"/>
              </w:rPr>
              <w:t>面）</w:t>
            </w:r>
          </w:p>
        </w:tc>
      </w:tr>
      <w:tr w14:paraId="5AC7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14:paraId="723D1AEB">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c>
          <w:tcPr>
            <w:tcW w:w="4530" w:type="dxa"/>
            <w:vAlign w:val="top"/>
          </w:tcPr>
          <w:p w14:paraId="7A1DA263">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sz w:val="28"/>
                <w:szCs w:val="28"/>
              </w:rPr>
            </w:pPr>
          </w:p>
        </w:tc>
      </w:tr>
    </w:tbl>
    <w:p w14:paraId="5B99DDA7">
      <w:pPr>
        <w:pStyle w:val="6"/>
        <w:spacing w:after="0" w:line="600" w:lineRule="exact"/>
        <w:ind w:left="0" w:leftChars="0" w:firstLine="0" w:firstLineChars="0"/>
        <w:rPr>
          <w:rFonts w:ascii="仿宋_GB2312" w:eastAsia="仿宋_GB2312"/>
          <w:color w:val="auto"/>
          <w:highlight w:val="none"/>
        </w:rPr>
      </w:pPr>
    </w:p>
    <w:p w14:paraId="3F9ED717">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7CBA3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760A707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14:paraId="1DC0373D">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14:paraId="0A7C4235">
      <w:pPr>
        <w:spacing w:line="360" w:lineRule="auto"/>
        <w:rPr>
          <w:rFonts w:hint="eastAsia" w:ascii="黑体" w:hAnsi="黑体" w:eastAsia="黑体" w:cs="黑体"/>
          <w:b/>
          <w:bCs/>
          <w:color w:val="auto"/>
          <w:sz w:val="32"/>
          <w:szCs w:val="32"/>
          <w:highlight w:val="none"/>
        </w:rPr>
      </w:pPr>
      <w:bookmarkStart w:id="105" w:name="_Toc87616400"/>
      <w:bookmarkStart w:id="106" w:name="_Toc19830"/>
      <w:bookmarkStart w:id="107" w:name="_Toc88209963"/>
      <w:bookmarkStart w:id="108" w:name="_Toc8086"/>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105"/>
      <w:bookmarkEnd w:id="106"/>
      <w:bookmarkEnd w:id="107"/>
      <w:bookmarkEnd w:id="108"/>
    </w:p>
    <w:p w14:paraId="5843C8D0">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7FA897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314C27F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14:paraId="7ACAD08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1CED8E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2E1F7B4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14:paraId="3EEF245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73C1E7A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14:paraId="0435276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46ACF4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14:paraId="3684F71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6F59063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5DC152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599B95F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14:paraId="10212A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64D645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14:paraId="4B25C19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14:paraId="60F1E61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7D60563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14:paraId="27862D6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14:paraId="075CE9B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00132A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46E2E9B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14:paraId="335A62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320D97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27C98FC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14:paraId="248B9B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14:paraId="4FC65FC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14:paraId="3898695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14:paraId="2797A13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14:paraId="590DEEC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14:paraId="15D1ED4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3256AE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7076835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14:paraId="444012C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14:paraId="2725B5B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14:paraId="0845667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14:paraId="5FE9B4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14:paraId="2A70DF6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14:paraId="76E4DEF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14:paraId="2490F2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1D0CD61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14:paraId="0ED0710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14:paraId="6155AD3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0B2A43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D610DB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14:paraId="2AEF81C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14:paraId="06940E3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14:paraId="24201C0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14:paraId="53B7273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754C47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06F9633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14:paraId="0697B78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2D8417A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3962C62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14:paraId="4C96F86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37503D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5764E13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14:paraId="53D5CB4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5E28B9B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21EEE16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14:paraId="454EC6E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246D39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01481DB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14:paraId="540BDA5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67F84BB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599B505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14:paraId="2590750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6E5348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4570A5A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14:paraId="5FB2BED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14:paraId="14137BB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14:paraId="280DC6B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14:paraId="579769F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18BA17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14:paraId="5024D0D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14:paraId="77D4236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14:paraId="298A54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14:paraId="6DC8D53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14:paraId="2EBCADA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14:paraId="0845F0D7">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2DCC400C">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109" w:name="_Hlk59025866"/>
      <w:r>
        <w:rPr>
          <w:rFonts w:hint="eastAsia" w:ascii="宋体" w:hAnsi="宋体" w:eastAsia="宋体" w:cs="宋体"/>
          <w:color w:val="auto"/>
          <w:kern w:val="2"/>
          <w:sz w:val="24"/>
          <w:szCs w:val="24"/>
          <w:highlight w:val="none"/>
          <w:lang w:val="en-GB"/>
        </w:rPr>
        <w:t>供应商名称（加盖公章）：</w:t>
      </w:r>
    </w:p>
    <w:p w14:paraId="52F204E9">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14:paraId="6AA90FCF">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09"/>
    <w:p w14:paraId="44411447">
      <w:pPr>
        <w:adjustRightInd w:val="0"/>
        <w:snapToGrid w:val="0"/>
        <w:spacing w:line="360" w:lineRule="auto"/>
        <w:rPr>
          <w:rFonts w:hint="eastAsia" w:ascii="宋体" w:hAnsi="宋体" w:eastAsia="宋体" w:cs="宋体"/>
          <w:color w:val="auto"/>
          <w:kern w:val="2"/>
          <w:sz w:val="24"/>
          <w:szCs w:val="24"/>
          <w:highlight w:val="none"/>
          <w:lang w:val="en-GB"/>
        </w:rPr>
      </w:pPr>
    </w:p>
    <w:p w14:paraId="02A459DF">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14:paraId="7FD25077">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14:paraId="382ACBBD">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198EBF21">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14:paraId="7B9C1A18">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14:paraId="16118CAB">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14:paraId="41634B8F">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14:paraId="5098DC88">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14:paraId="38D848DF">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14:paraId="445E2965">
      <w:pPr>
        <w:pStyle w:val="2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14:paraId="46E108AB">
      <w:pPr>
        <w:pStyle w:val="2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14:paraId="374EA613">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14:paraId="59EFCF6A">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14:paraId="7A320567">
      <w:pPr>
        <w:adjustRightInd w:val="0"/>
        <w:snapToGrid w:val="0"/>
        <w:spacing w:line="360" w:lineRule="auto"/>
        <w:rPr>
          <w:rFonts w:hint="eastAsia" w:ascii="宋体" w:hAnsi="宋体" w:eastAsia="宋体" w:cs="宋体"/>
          <w:b/>
          <w:color w:val="auto"/>
          <w:sz w:val="21"/>
          <w:szCs w:val="21"/>
          <w:highlight w:val="none"/>
        </w:rPr>
      </w:pPr>
    </w:p>
    <w:p w14:paraId="0AC5272C">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14:paraId="0B413698">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14:paraId="6E26AC4F">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14:paraId="6DABD2E5">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4.拟投入本项目的团队情况表</w:t>
      </w:r>
    </w:p>
    <w:p w14:paraId="21E45340">
      <w:pPr>
        <w:jc w:val="both"/>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4.1</w:t>
      </w:r>
      <w:r>
        <w:rPr>
          <w:rFonts w:hint="eastAsia" w:ascii="仿宋" w:hAnsi="仿宋" w:eastAsia="仿宋" w:cs="仿宋_GB2312"/>
          <w:b/>
          <w:color w:val="auto"/>
          <w:sz w:val="28"/>
          <w:szCs w:val="28"/>
          <w:highlight w:val="none"/>
        </w:rPr>
        <w:t>拟投入本项目的项目负责人情况表</w:t>
      </w:r>
    </w:p>
    <w:p w14:paraId="40C678F5">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09C5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6D3E66A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14:paraId="6193F6DD">
            <w:pPr>
              <w:jc w:val="center"/>
              <w:rPr>
                <w:rFonts w:ascii="仿宋" w:hAnsi="仿宋" w:eastAsia="仿宋" w:cs="仿宋_GB2312"/>
                <w:b/>
                <w:color w:val="auto"/>
                <w:sz w:val="28"/>
                <w:szCs w:val="28"/>
                <w:highlight w:val="none"/>
              </w:rPr>
            </w:pPr>
          </w:p>
        </w:tc>
        <w:tc>
          <w:tcPr>
            <w:tcW w:w="1613" w:type="dxa"/>
            <w:gridSpan w:val="2"/>
            <w:noWrap w:val="0"/>
            <w:vAlign w:val="center"/>
          </w:tcPr>
          <w:p w14:paraId="338FAA5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14:paraId="174B9DB8">
            <w:pPr>
              <w:jc w:val="center"/>
              <w:rPr>
                <w:rFonts w:ascii="仿宋" w:hAnsi="仿宋" w:eastAsia="仿宋" w:cs="仿宋_GB2312"/>
                <w:b/>
                <w:color w:val="auto"/>
                <w:sz w:val="28"/>
                <w:szCs w:val="28"/>
                <w:highlight w:val="none"/>
              </w:rPr>
            </w:pPr>
          </w:p>
        </w:tc>
        <w:tc>
          <w:tcPr>
            <w:tcW w:w="2198" w:type="dxa"/>
            <w:gridSpan w:val="2"/>
            <w:noWrap w:val="0"/>
            <w:vAlign w:val="center"/>
          </w:tcPr>
          <w:p w14:paraId="0898750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14:paraId="0AACEF76">
            <w:pPr>
              <w:jc w:val="center"/>
              <w:rPr>
                <w:rFonts w:ascii="仿宋" w:hAnsi="仿宋" w:eastAsia="仿宋" w:cs="仿宋_GB2312"/>
                <w:b/>
                <w:color w:val="auto"/>
                <w:sz w:val="28"/>
                <w:szCs w:val="28"/>
                <w:highlight w:val="none"/>
              </w:rPr>
            </w:pPr>
          </w:p>
        </w:tc>
      </w:tr>
      <w:tr w14:paraId="342F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3868EF8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14:paraId="3B5C3464">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45F02E4C">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14:paraId="37B0AD49">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6953515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14:paraId="796E736B">
            <w:pPr>
              <w:spacing w:line="360" w:lineRule="exact"/>
              <w:jc w:val="center"/>
              <w:rPr>
                <w:rFonts w:ascii="仿宋" w:hAnsi="仿宋" w:eastAsia="仿宋" w:cs="仿宋_GB2312"/>
                <w:b/>
                <w:color w:val="auto"/>
                <w:sz w:val="28"/>
                <w:szCs w:val="28"/>
                <w:highlight w:val="none"/>
              </w:rPr>
            </w:pPr>
          </w:p>
        </w:tc>
      </w:tr>
      <w:tr w14:paraId="6F1E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0FEECC9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14:paraId="2431C055">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3C2DA5E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14:paraId="6901931F">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71F72BE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14:paraId="3EEB3D4A">
            <w:pPr>
              <w:spacing w:line="360" w:lineRule="exact"/>
              <w:jc w:val="center"/>
              <w:rPr>
                <w:rFonts w:ascii="仿宋" w:hAnsi="仿宋" w:eastAsia="仿宋" w:cs="仿宋_GB2312"/>
                <w:b/>
                <w:color w:val="auto"/>
                <w:sz w:val="28"/>
                <w:szCs w:val="28"/>
                <w:highlight w:val="none"/>
              </w:rPr>
            </w:pPr>
          </w:p>
        </w:tc>
      </w:tr>
      <w:tr w14:paraId="2AA5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60B6765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7208901F">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14:paraId="6244707D">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324A01A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735736A0">
            <w:pPr>
              <w:spacing w:line="360" w:lineRule="exact"/>
              <w:jc w:val="center"/>
              <w:rPr>
                <w:rFonts w:ascii="仿宋" w:hAnsi="仿宋" w:eastAsia="仿宋" w:cs="仿宋_GB2312"/>
                <w:b/>
                <w:color w:val="auto"/>
                <w:sz w:val="28"/>
                <w:szCs w:val="28"/>
                <w:highlight w:val="none"/>
              </w:rPr>
            </w:pPr>
          </w:p>
        </w:tc>
      </w:tr>
      <w:tr w14:paraId="0690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3B4587FB">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14:paraId="779954AE">
            <w:pPr>
              <w:jc w:val="center"/>
              <w:rPr>
                <w:rFonts w:ascii="仿宋" w:hAnsi="仿宋" w:eastAsia="仿宋" w:cs="仿宋_GB2312"/>
                <w:b/>
                <w:color w:val="auto"/>
                <w:sz w:val="28"/>
                <w:szCs w:val="28"/>
                <w:highlight w:val="none"/>
              </w:rPr>
            </w:pPr>
          </w:p>
        </w:tc>
        <w:tc>
          <w:tcPr>
            <w:tcW w:w="2198" w:type="dxa"/>
            <w:gridSpan w:val="2"/>
            <w:noWrap w:val="0"/>
            <w:vAlign w:val="center"/>
          </w:tcPr>
          <w:p w14:paraId="2AAE9C5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25EC8607">
            <w:pPr>
              <w:jc w:val="center"/>
              <w:rPr>
                <w:rFonts w:ascii="仿宋" w:hAnsi="仿宋" w:eastAsia="仿宋" w:cs="仿宋_GB2312"/>
                <w:b/>
                <w:color w:val="auto"/>
                <w:sz w:val="28"/>
                <w:szCs w:val="28"/>
                <w:highlight w:val="none"/>
              </w:rPr>
            </w:pPr>
          </w:p>
        </w:tc>
      </w:tr>
      <w:tr w14:paraId="6C1F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14:paraId="621B7C9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3049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14:paraId="4E8322B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14:paraId="67CBF8F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14:paraId="797D6287">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14:paraId="0BFC851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14:paraId="1AE001A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74EF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65CF93E8">
            <w:pPr>
              <w:jc w:val="center"/>
              <w:rPr>
                <w:rFonts w:ascii="仿宋" w:hAnsi="仿宋" w:eastAsia="仿宋" w:cs="仿宋_GB2312"/>
                <w:b/>
                <w:color w:val="auto"/>
                <w:sz w:val="28"/>
                <w:szCs w:val="28"/>
                <w:highlight w:val="none"/>
              </w:rPr>
            </w:pPr>
          </w:p>
        </w:tc>
        <w:tc>
          <w:tcPr>
            <w:tcW w:w="1993" w:type="dxa"/>
            <w:gridSpan w:val="2"/>
            <w:noWrap w:val="0"/>
            <w:vAlign w:val="top"/>
          </w:tcPr>
          <w:p w14:paraId="5AD46471">
            <w:pPr>
              <w:jc w:val="center"/>
              <w:rPr>
                <w:rFonts w:ascii="仿宋" w:hAnsi="仿宋" w:eastAsia="仿宋" w:cs="仿宋_GB2312"/>
                <w:b/>
                <w:color w:val="auto"/>
                <w:sz w:val="28"/>
                <w:szCs w:val="28"/>
                <w:highlight w:val="none"/>
              </w:rPr>
            </w:pPr>
          </w:p>
        </w:tc>
        <w:tc>
          <w:tcPr>
            <w:tcW w:w="1993" w:type="dxa"/>
            <w:gridSpan w:val="2"/>
            <w:noWrap w:val="0"/>
            <w:vAlign w:val="top"/>
          </w:tcPr>
          <w:p w14:paraId="36BCC50D">
            <w:pPr>
              <w:jc w:val="center"/>
              <w:rPr>
                <w:rFonts w:ascii="仿宋" w:hAnsi="仿宋" w:eastAsia="仿宋" w:cs="仿宋_GB2312"/>
                <w:b/>
                <w:color w:val="auto"/>
                <w:sz w:val="28"/>
                <w:szCs w:val="28"/>
                <w:highlight w:val="none"/>
              </w:rPr>
            </w:pPr>
          </w:p>
        </w:tc>
        <w:tc>
          <w:tcPr>
            <w:tcW w:w="1993" w:type="dxa"/>
            <w:gridSpan w:val="2"/>
            <w:noWrap w:val="0"/>
            <w:vAlign w:val="top"/>
          </w:tcPr>
          <w:p w14:paraId="2350DDD3">
            <w:pPr>
              <w:jc w:val="center"/>
              <w:rPr>
                <w:rFonts w:ascii="仿宋" w:hAnsi="仿宋" w:eastAsia="仿宋" w:cs="仿宋_GB2312"/>
                <w:b/>
                <w:color w:val="auto"/>
                <w:sz w:val="28"/>
                <w:szCs w:val="28"/>
                <w:highlight w:val="none"/>
              </w:rPr>
            </w:pPr>
          </w:p>
        </w:tc>
        <w:tc>
          <w:tcPr>
            <w:tcW w:w="1453" w:type="dxa"/>
            <w:gridSpan w:val="2"/>
            <w:noWrap w:val="0"/>
            <w:vAlign w:val="top"/>
          </w:tcPr>
          <w:p w14:paraId="46F36428">
            <w:pPr>
              <w:jc w:val="center"/>
              <w:rPr>
                <w:rFonts w:ascii="仿宋" w:hAnsi="仿宋" w:eastAsia="仿宋" w:cs="仿宋_GB2312"/>
                <w:b/>
                <w:color w:val="auto"/>
                <w:sz w:val="28"/>
                <w:szCs w:val="28"/>
                <w:highlight w:val="none"/>
              </w:rPr>
            </w:pPr>
          </w:p>
        </w:tc>
      </w:tr>
      <w:tr w14:paraId="1B51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53587A53">
            <w:pPr>
              <w:jc w:val="center"/>
              <w:rPr>
                <w:rFonts w:ascii="仿宋" w:hAnsi="仿宋" w:eastAsia="仿宋" w:cs="仿宋_GB2312"/>
                <w:b/>
                <w:color w:val="auto"/>
                <w:sz w:val="28"/>
                <w:szCs w:val="28"/>
                <w:highlight w:val="none"/>
              </w:rPr>
            </w:pPr>
          </w:p>
        </w:tc>
        <w:tc>
          <w:tcPr>
            <w:tcW w:w="1993" w:type="dxa"/>
            <w:gridSpan w:val="2"/>
            <w:noWrap w:val="0"/>
            <w:vAlign w:val="top"/>
          </w:tcPr>
          <w:p w14:paraId="22DE47C8">
            <w:pPr>
              <w:jc w:val="center"/>
              <w:rPr>
                <w:rFonts w:ascii="仿宋" w:hAnsi="仿宋" w:eastAsia="仿宋" w:cs="仿宋_GB2312"/>
                <w:b/>
                <w:color w:val="auto"/>
                <w:sz w:val="28"/>
                <w:szCs w:val="28"/>
                <w:highlight w:val="none"/>
              </w:rPr>
            </w:pPr>
          </w:p>
        </w:tc>
        <w:tc>
          <w:tcPr>
            <w:tcW w:w="1993" w:type="dxa"/>
            <w:gridSpan w:val="2"/>
            <w:noWrap w:val="0"/>
            <w:vAlign w:val="top"/>
          </w:tcPr>
          <w:p w14:paraId="03561A5C">
            <w:pPr>
              <w:jc w:val="center"/>
              <w:rPr>
                <w:rFonts w:ascii="仿宋" w:hAnsi="仿宋" w:eastAsia="仿宋" w:cs="仿宋_GB2312"/>
                <w:b/>
                <w:color w:val="auto"/>
                <w:sz w:val="28"/>
                <w:szCs w:val="28"/>
                <w:highlight w:val="none"/>
              </w:rPr>
            </w:pPr>
          </w:p>
        </w:tc>
        <w:tc>
          <w:tcPr>
            <w:tcW w:w="1993" w:type="dxa"/>
            <w:gridSpan w:val="2"/>
            <w:noWrap w:val="0"/>
            <w:vAlign w:val="top"/>
          </w:tcPr>
          <w:p w14:paraId="7683392D">
            <w:pPr>
              <w:jc w:val="center"/>
              <w:rPr>
                <w:rFonts w:ascii="仿宋" w:hAnsi="仿宋" w:eastAsia="仿宋" w:cs="仿宋_GB2312"/>
                <w:b/>
                <w:color w:val="auto"/>
                <w:sz w:val="28"/>
                <w:szCs w:val="28"/>
                <w:highlight w:val="none"/>
              </w:rPr>
            </w:pPr>
          </w:p>
        </w:tc>
        <w:tc>
          <w:tcPr>
            <w:tcW w:w="1453" w:type="dxa"/>
            <w:gridSpan w:val="2"/>
            <w:noWrap w:val="0"/>
            <w:vAlign w:val="top"/>
          </w:tcPr>
          <w:p w14:paraId="090DA75E">
            <w:pPr>
              <w:jc w:val="center"/>
              <w:rPr>
                <w:rFonts w:ascii="仿宋" w:hAnsi="仿宋" w:eastAsia="仿宋" w:cs="仿宋_GB2312"/>
                <w:b/>
                <w:color w:val="auto"/>
                <w:sz w:val="28"/>
                <w:szCs w:val="28"/>
                <w:highlight w:val="none"/>
              </w:rPr>
            </w:pPr>
          </w:p>
        </w:tc>
      </w:tr>
      <w:tr w14:paraId="7C48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44BCEA85">
            <w:pPr>
              <w:jc w:val="center"/>
              <w:rPr>
                <w:rFonts w:ascii="仿宋" w:hAnsi="仿宋" w:eastAsia="仿宋" w:cs="仿宋_GB2312"/>
                <w:b/>
                <w:color w:val="auto"/>
                <w:sz w:val="28"/>
                <w:szCs w:val="28"/>
                <w:highlight w:val="none"/>
              </w:rPr>
            </w:pPr>
          </w:p>
        </w:tc>
        <w:tc>
          <w:tcPr>
            <w:tcW w:w="1993" w:type="dxa"/>
            <w:gridSpan w:val="2"/>
            <w:noWrap w:val="0"/>
            <w:vAlign w:val="top"/>
          </w:tcPr>
          <w:p w14:paraId="166B6919">
            <w:pPr>
              <w:jc w:val="center"/>
              <w:rPr>
                <w:rFonts w:ascii="仿宋" w:hAnsi="仿宋" w:eastAsia="仿宋" w:cs="仿宋_GB2312"/>
                <w:b/>
                <w:color w:val="auto"/>
                <w:sz w:val="28"/>
                <w:szCs w:val="28"/>
                <w:highlight w:val="none"/>
              </w:rPr>
            </w:pPr>
          </w:p>
        </w:tc>
        <w:tc>
          <w:tcPr>
            <w:tcW w:w="1993" w:type="dxa"/>
            <w:gridSpan w:val="2"/>
            <w:noWrap w:val="0"/>
            <w:vAlign w:val="top"/>
          </w:tcPr>
          <w:p w14:paraId="6E83BA71">
            <w:pPr>
              <w:jc w:val="center"/>
              <w:rPr>
                <w:rFonts w:ascii="仿宋" w:hAnsi="仿宋" w:eastAsia="仿宋" w:cs="仿宋_GB2312"/>
                <w:b/>
                <w:color w:val="auto"/>
                <w:sz w:val="28"/>
                <w:szCs w:val="28"/>
                <w:highlight w:val="none"/>
              </w:rPr>
            </w:pPr>
          </w:p>
        </w:tc>
        <w:tc>
          <w:tcPr>
            <w:tcW w:w="1993" w:type="dxa"/>
            <w:gridSpan w:val="2"/>
            <w:noWrap w:val="0"/>
            <w:vAlign w:val="top"/>
          </w:tcPr>
          <w:p w14:paraId="25BB23AC">
            <w:pPr>
              <w:jc w:val="center"/>
              <w:rPr>
                <w:rFonts w:ascii="仿宋" w:hAnsi="仿宋" w:eastAsia="仿宋" w:cs="仿宋_GB2312"/>
                <w:b/>
                <w:color w:val="auto"/>
                <w:sz w:val="28"/>
                <w:szCs w:val="28"/>
                <w:highlight w:val="none"/>
              </w:rPr>
            </w:pPr>
          </w:p>
        </w:tc>
        <w:tc>
          <w:tcPr>
            <w:tcW w:w="1453" w:type="dxa"/>
            <w:gridSpan w:val="2"/>
            <w:noWrap w:val="0"/>
            <w:vAlign w:val="top"/>
          </w:tcPr>
          <w:p w14:paraId="2D537E86">
            <w:pPr>
              <w:jc w:val="center"/>
              <w:rPr>
                <w:rFonts w:ascii="仿宋" w:hAnsi="仿宋" w:eastAsia="仿宋" w:cs="仿宋_GB2312"/>
                <w:b/>
                <w:color w:val="auto"/>
                <w:sz w:val="28"/>
                <w:szCs w:val="28"/>
                <w:highlight w:val="none"/>
              </w:rPr>
            </w:pPr>
          </w:p>
        </w:tc>
      </w:tr>
    </w:tbl>
    <w:p w14:paraId="30F91EE5">
      <w:pPr>
        <w:pStyle w:val="22"/>
        <w:rPr>
          <w:rFonts w:hint="default" w:ascii="仿宋_GB2312" w:eastAsia="仿宋_GB2312" w:hAnsiTheme="minorEastAsia"/>
          <w:color w:val="auto"/>
          <w:sz w:val="28"/>
          <w:szCs w:val="28"/>
          <w:highlight w:val="none"/>
          <w:lang w:val="en-US" w:eastAsia="zh-CN"/>
        </w:rPr>
      </w:pPr>
    </w:p>
    <w:p w14:paraId="2DD478FF">
      <w:pPr>
        <w:pStyle w:val="22"/>
        <w:rPr>
          <w:rFonts w:hint="default" w:ascii="仿宋_GB2312" w:eastAsia="仿宋_GB2312" w:hAnsiTheme="minorEastAsia"/>
          <w:color w:val="auto"/>
          <w:sz w:val="28"/>
          <w:szCs w:val="28"/>
          <w:highlight w:val="none"/>
          <w:lang w:val="en-US" w:eastAsia="zh-CN"/>
        </w:rPr>
      </w:pPr>
    </w:p>
    <w:p w14:paraId="6538EC28">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3A52F2D2">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1CA87C4A">
      <w:pPr>
        <w:pStyle w:val="2"/>
        <w:rPr>
          <w:rFonts w:hint="eastAsia" w:ascii="宋体" w:hAnsi="宋体" w:eastAsia="宋体" w:cs="宋体"/>
          <w:color w:val="auto"/>
          <w:kern w:val="2"/>
          <w:sz w:val="24"/>
          <w:szCs w:val="24"/>
          <w:highlight w:val="none"/>
          <w:lang w:val="en-GB"/>
        </w:rPr>
      </w:pPr>
    </w:p>
    <w:p w14:paraId="4AF41644">
      <w:pPr>
        <w:pStyle w:val="2"/>
        <w:rPr>
          <w:rFonts w:hint="eastAsia" w:ascii="宋体" w:hAnsi="宋体" w:eastAsia="宋体" w:cs="宋体"/>
          <w:color w:val="auto"/>
          <w:kern w:val="2"/>
          <w:sz w:val="24"/>
          <w:szCs w:val="24"/>
          <w:highlight w:val="none"/>
          <w:lang w:val="en-GB"/>
        </w:rPr>
      </w:pPr>
    </w:p>
    <w:p w14:paraId="1A6498D5">
      <w:pPr>
        <w:jc w:val="both"/>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4.2</w:t>
      </w:r>
      <w:r>
        <w:rPr>
          <w:rFonts w:hint="eastAsia" w:ascii="仿宋" w:hAnsi="仿宋" w:eastAsia="仿宋" w:cs="仿宋_GB2312"/>
          <w:b/>
          <w:color w:val="auto"/>
          <w:sz w:val="28"/>
          <w:szCs w:val="28"/>
          <w:highlight w:val="none"/>
        </w:rPr>
        <w:t>拟投入本项目的</w:t>
      </w:r>
      <w:r>
        <w:rPr>
          <w:rFonts w:hint="eastAsia" w:ascii="仿宋" w:hAnsi="仿宋" w:eastAsia="仿宋" w:cs="仿宋_GB2312"/>
          <w:b/>
          <w:color w:val="auto"/>
          <w:sz w:val="28"/>
          <w:szCs w:val="28"/>
          <w:highlight w:val="none"/>
          <w:lang w:val="en-US" w:eastAsia="zh-CN"/>
        </w:rPr>
        <w:t>技术</w:t>
      </w:r>
      <w:r>
        <w:rPr>
          <w:rFonts w:hint="eastAsia" w:ascii="仿宋" w:hAnsi="仿宋" w:eastAsia="仿宋" w:cs="仿宋_GB2312"/>
          <w:b/>
          <w:color w:val="auto"/>
          <w:sz w:val="28"/>
          <w:szCs w:val="28"/>
          <w:highlight w:val="none"/>
        </w:rPr>
        <w:t>负责人情况表</w:t>
      </w:r>
    </w:p>
    <w:p w14:paraId="7AC6614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w:t>
      </w:r>
      <w:r>
        <w:rPr>
          <w:rFonts w:hint="eastAsia" w:ascii="仿宋" w:hAnsi="仿宋" w:eastAsia="仿宋" w:cs="仿宋_GB2312"/>
          <w:b/>
          <w:color w:val="auto"/>
          <w:sz w:val="28"/>
          <w:szCs w:val="28"/>
          <w:highlight w:val="none"/>
          <w:lang w:val="en-US" w:eastAsia="zh-CN"/>
        </w:rPr>
        <w:t>技术</w:t>
      </w:r>
      <w:r>
        <w:rPr>
          <w:rFonts w:hint="eastAsia" w:ascii="仿宋" w:hAnsi="仿宋" w:eastAsia="仿宋" w:cs="仿宋_GB2312"/>
          <w:b/>
          <w:color w:val="auto"/>
          <w:sz w:val="28"/>
          <w:szCs w:val="28"/>
          <w:highlight w:val="none"/>
        </w:rPr>
        <w:t>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7332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679E362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14:paraId="6724F3B0">
            <w:pPr>
              <w:jc w:val="center"/>
              <w:rPr>
                <w:rFonts w:ascii="仿宋" w:hAnsi="仿宋" w:eastAsia="仿宋" w:cs="仿宋_GB2312"/>
                <w:b/>
                <w:color w:val="auto"/>
                <w:sz w:val="28"/>
                <w:szCs w:val="28"/>
                <w:highlight w:val="none"/>
              </w:rPr>
            </w:pPr>
          </w:p>
        </w:tc>
        <w:tc>
          <w:tcPr>
            <w:tcW w:w="1613" w:type="dxa"/>
            <w:gridSpan w:val="2"/>
            <w:noWrap w:val="0"/>
            <w:vAlign w:val="center"/>
          </w:tcPr>
          <w:p w14:paraId="7ABA1F2E">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14:paraId="40D7355C">
            <w:pPr>
              <w:jc w:val="center"/>
              <w:rPr>
                <w:rFonts w:ascii="仿宋" w:hAnsi="仿宋" w:eastAsia="仿宋" w:cs="仿宋_GB2312"/>
                <w:b/>
                <w:color w:val="auto"/>
                <w:sz w:val="28"/>
                <w:szCs w:val="28"/>
                <w:highlight w:val="none"/>
              </w:rPr>
            </w:pPr>
          </w:p>
        </w:tc>
        <w:tc>
          <w:tcPr>
            <w:tcW w:w="2198" w:type="dxa"/>
            <w:gridSpan w:val="2"/>
            <w:noWrap w:val="0"/>
            <w:vAlign w:val="center"/>
          </w:tcPr>
          <w:p w14:paraId="25370BC8">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14:paraId="3113F171">
            <w:pPr>
              <w:jc w:val="center"/>
              <w:rPr>
                <w:rFonts w:ascii="仿宋" w:hAnsi="仿宋" w:eastAsia="仿宋" w:cs="仿宋_GB2312"/>
                <w:b/>
                <w:color w:val="auto"/>
                <w:sz w:val="28"/>
                <w:szCs w:val="28"/>
                <w:highlight w:val="none"/>
              </w:rPr>
            </w:pPr>
          </w:p>
        </w:tc>
      </w:tr>
      <w:tr w14:paraId="5CB6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08CE00F1">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14:paraId="47B02826">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4F597A0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14:paraId="7B1BBCBD">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416EDFAB">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14:paraId="1EB73725">
            <w:pPr>
              <w:spacing w:line="360" w:lineRule="exact"/>
              <w:jc w:val="center"/>
              <w:rPr>
                <w:rFonts w:ascii="仿宋" w:hAnsi="仿宋" w:eastAsia="仿宋" w:cs="仿宋_GB2312"/>
                <w:b/>
                <w:color w:val="auto"/>
                <w:sz w:val="28"/>
                <w:szCs w:val="28"/>
                <w:highlight w:val="none"/>
              </w:rPr>
            </w:pPr>
          </w:p>
        </w:tc>
      </w:tr>
      <w:tr w14:paraId="6598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14:paraId="006BE729">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14:paraId="27B9B1C5">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14:paraId="224D2812">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14:paraId="2F41BE88">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4F08A4F5">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14:paraId="773E9AF0">
            <w:pPr>
              <w:spacing w:line="360" w:lineRule="exact"/>
              <w:jc w:val="center"/>
              <w:rPr>
                <w:rFonts w:ascii="仿宋" w:hAnsi="仿宋" w:eastAsia="仿宋" w:cs="仿宋_GB2312"/>
                <w:b/>
                <w:color w:val="auto"/>
                <w:sz w:val="28"/>
                <w:szCs w:val="28"/>
                <w:highlight w:val="none"/>
              </w:rPr>
            </w:pPr>
          </w:p>
        </w:tc>
      </w:tr>
      <w:tr w14:paraId="16C4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742B0A91">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1FF58120">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14:paraId="528D9CEC">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14:paraId="0080CB76">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2C2A23BB">
            <w:pPr>
              <w:spacing w:line="360" w:lineRule="exact"/>
              <w:jc w:val="center"/>
              <w:rPr>
                <w:rFonts w:ascii="仿宋" w:hAnsi="仿宋" w:eastAsia="仿宋" w:cs="仿宋_GB2312"/>
                <w:b/>
                <w:color w:val="auto"/>
                <w:sz w:val="28"/>
                <w:szCs w:val="28"/>
                <w:highlight w:val="none"/>
              </w:rPr>
            </w:pPr>
          </w:p>
        </w:tc>
      </w:tr>
      <w:tr w14:paraId="7823E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14:paraId="11DA717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14:paraId="264B46A7">
            <w:pPr>
              <w:jc w:val="center"/>
              <w:rPr>
                <w:rFonts w:ascii="仿宋" w:hAnsi="仿宋" w:eastAsia="仿宋" w:cs="仿宋_GB2312"/>
                <w:b/>
                <w:color w:val="auto"/>
                <w:sz w:val="28"/>
                <w:szCs w:val="28"/>
                <w:highlight w:val="none"/>
              </w:rPr>
            </w:pPr>
          </w:p>
        </w:tc>
        <w:tc>
          <w:tcPr>
            <w:tcW w:w="2198" w:type="dxa"/>
            <w:gridSpan w:val="2"/>
            <w:noWrap w:val="0"/>
            <w:vAlign w:val="center"/>
          </w:tcPr>
          <w:p w14:paraId="1E1F0E7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14:paraId="48493912">
            <w:pPr>
              <w:jc w:val="center"/>
              <w:rPr>
                <w:rFonts w:ascii="仿宋" w:hAnsi="仿宋" w:eastAsia="仿宋" w:cs="仿宋_GB2312"/>
                <w:b/>
                <w:color w:val="auto"/>
                <w:sz w:val="28"/>
                <w:szCs w:val="28"/>
                <w:highlight w:val="none"/>
              </w:rPr>
            </w:pPr>
          </w:p>
        </w:tc>
      </w:tr>
      <w:tr w14:paraId="7152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14:paraId="501241E2">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1183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14:paraId="548E62D3">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14:paraId="2563D8DA">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14:paraId="702C805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14:paraId="167E36D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14:paraId="625DFD8F">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2830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4CBDF2E9">
            <w:pPr>
              <w:jc w:val="center"/>
              <w:rPr>
                <w:rFonts w:ascii="仿宋" w:hAnsi="仿宋" w:eastAsia="仿宋" w:cs="仿宋_GB2312"/>
                <w:b/>
                <w:color w:val="auto"/>
                <w:sz w:val="28"/>
                <w:szCs w:val="28"/>
                <w:highlight w:val="none"/>
              </w:rPr>
            </w:pPr>
          </w:p>
        </w:tc>
        <w:tc>
          <w:tcPr>
            <w:tcW w:w="1993" w:type="dxa"/>
            <w:gridSpan w:val="2"/>
            <w:noWrap w:val="0"/>
            <w:vAlign w:val="top"/>
          </w:tcPr>
          <w:p w14:paraId="68979CA2">
            <w:pPr>
              <w:jc w:val="center"/>
              <w:rPr>
                <w:rFonts w:ascii="仿宋" w:hAnsi="仿宋" w:eastAsia="仿宋" w:cs="仿宋_GB2312"/>
                <w:b/>
                <w:color w:val="auto"/>
                <w:sz w:val="28"/>
                <w:szCs w:val="28"/>
                <w:highlight w:val="none"/>
              </w:rPr>
            </w:pPr>
          </w:p>
        </w:tc>
        <w:tc>
          <w:tcPr>
            <w:tcW w:w="1993" w:type="dxa"/>
            <w:gridSpan w:val="2"/>
            <w:noWrap w:val="0"/>
            <w:vAlign w:val="top"/>
          </w:tcPr>
          <w:p w14:paraId="34C60A45">
            <w:pPr>
              <w:jc w:val="center"/>
              <w:rPr>
                <w:rFonts w:ascii="仿宋" w:hAnsi="仿宋" w:eastAsia="仿宋" w:cs="仿宋_GB2312"/>
                <w:b/>
                <w:color w:val="auto"/>
                <w:sz w:val="28"/>
                <w:szCs w:val="28"/>
                <w:highlight w:val="none"/>
              </w:rPr>
            </w:pPr>
          </w:p>
        </w:tc>
        <w:tc>
          <w:tcPr>
            <w:tcW w:w="1993" w:type="dxa"/>
            <w:gridSpan w:val="2"/>
            <w:noWrap w:val="0"/>
            <w:vAlign w:val="top"/>
          </w:tcPr>
          <w:p w14:paraId="564AA8D4">
            <w:pPr>
              <w:jc w:val="center"/>
              <w:rPr>
                <w:rFonts w:ascii="仿宋" w:hAnsi="仿宋" w:eastAsia="仿宋" w:cs="仿宋_GB2312"/>
                <w:b/>
                <w:color w:val="auto"/>
                <w:sz w:val="28"/>
                <w:szCs w:val="28"/>
                <w:highlight w:val="none"/>
              </w:rPr>
            </w:pPr>
          </w:p>
        </w:tc>
        <w:tc>
          <w:tcPr>
            <w:tcW w:w="1453" w:type="dxa"/>
            <w:gridSpan w:val="2"/>
            <w:noWrap w:val="0"/>
            <w:vAlign w:val="top"/>
          </w:tcPr>
          <w:p w14:paraId="31F5179A">
            <w:pPr>
              <w:jc w:val="center"/>
              <w:rPr>
                <w:rFonts w:ascii="仿宋" w:hAnsi="仿宋" w:eastAsia="仿宋" w:cs="仿宋_GB2312"/>
                <w:b/>
                <w:color w:val="auto"/>
                <w:sz w:val="28"/>
                <w:szCs w:val="28"/>
                <w:highlight w:val="none"/>
              </w:rPr>
            </w:pPr>
          </w:p>
        </w:tc>
      </w:tr>
      <w:tr w14:paraId="2E767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778E12B2">
            <w:pPr>
              <w:jc w:val="center"/>
              <w:rPr>
                <w:rFonts w:ascii="仿宋" w:hAnsi="仿宋" w:eastAsia="仿宋" w:cs="仿宋_GB2312"/>
                <w:b/>
                <w:color w:val="auto"/>
                <w:sz w:val="28"/>
                <w:szCs w:val="28"/>
                <w:highlight w:val="none"/>
              </w:rPr>
            </w:pPr>
          </w:p>
        </w:tc>
        <w:tc>
          <w:tcPr>
            <w:tcW w:w="1993" w:type="dxa"/>
            <w:gridSpan w:val="2"/>
            <w:noWrap w:val="0"/>
            <w:vAlign w:val="top"/>
          </w:tcPr>
          <w:p w14:paraId="72309FAF">
            <w:pPr>
              <w:jc w:val="center"/>
              <w:rPr>
                <w:rFonts w:ascii="仿宋" w:hAnsi="仿宋" w:eastAsia="仿宋" w:cs="仿宋_GB2312"/>
                <w:b/>
                <w:color w:val="auto"/>
                <w:sz w:val="28"/>
                <w:szCs w:val="28"/>
                <w:highlight w:val="none"/>
              </w:rPr>
            </w:pPr>
          </w:p>
        </w:tc>
        <w:tc>
          <w:tcPr>
            <w:tcW w:w="1993" w:type="dxa"/>
            <w:gridSpan w:val="2"/>
            <w:noWrap w:val="0"/>
            <w:vAlign w:val="top"/>
          </w:tcPr>
          <w:p w14:paraId="02C40049">
            <w:pPr>
              <w:jc w:val="center"/>
              <w:rPr>
                <w:rFonts w:ascii="仿宋" w:hAnsi="仿宋" w:eastAsia="仿宋" w:cs="仿宋_GB2312"/>
                <w:b/>
                <w:color w:val="auto"/>
                <w:sz w:val="28"/>
                <w:szCs w:val="28"/>
                <w:highlight w:val="none"/>
              </w:rPr>
            </w:pPr>
          </w:p>
        </w:tc>
        <w:tc>
          <w:tcPr>
            <w:tcW w:w="1993" w:type="dxa"/>
            <w:gridSpan w:val="2"/>
            <w:noWrap w:val="0"/>
            <w:vAlign w:val="top"/>
          </w:tcPr>
          <w:p w14:paraId="3E3B53B7">
            <w:pPr>
              <w:jc w:val="center"/>
              <w:rPr>
                <w:rFonts w:ascii="仿宋" w:hAnsi="仿宋" w:eastAsia="仿宋" w:cs="仿宋_GB2312"/>
                <w:b/>
                <w:color w:val="auto"/>
                <w:sz w:val="28"/>
                <w:szCs w:val="28"/>
                <w:highlight w:val="none"/>
              </w:rPr>
            </w:pPr>
          </w:p>
        </w:tc>
        <w:tc>
          <w:tcPr>
            <w:tcW w:w="1453" w:type="dxa"/>
            <w:gridSpan w:val="2"/>
            <w:noWrap w:val="0"/>
            <w:vAlign w:val="top"/>
          </w:tcPr>
          <w:p w14:paraId="27C86B86">
            <w:pPr>
              <w:jc w:val="center"/>
              <w:rPr>
                <w:rFonts w:ascii="仿宋" w:hAnsi="仿宋" w:eastAsia="仿宋" w:cs="仿宋_GB2312"/>
                <w:b/>
                <w:color w:val="auto"/>
                <w:sz w:val="28"/>
                <w:szCs w:val="28"/>
                <w:highlight w:val="none"/>
              </w:rPr>
            </w:pPr>
          </w:p>
        </w:tc>
      </w:tr>
      <w:tr w14:paraId="6264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5EDD896F">
            <w:pPr>
              <w:jc w:val="center"/>
              <w:rPr>
                <w:rFonts w:ascii="仿宋" w:hAnsi="仿宋" w:eastAsia="仿宋" w:cs="仿宋_GB2312"/>
                <w:b/>
                <w:color w:val="auto"/>
                <w:sz w:val="28"/>
                <w:szCs w:val="28"/>
                <w:highlight w:val="none"/>
              </w:rPr>
            </w:pPr>
          </w:p>
        </w:tc>
        <w:tc>
          <w:tcPr>
            <w:tcW w:w="1993" w:type="dxa"/>
            <w:gridSpan w:val="2"/>
            <w:noWrap w:val="0"/>
            <w:vAlign w:val="top"/>
          </w:tcPr>
          <w:p w14:paraId="47A4B858">
            <w:pPr>
              <w:jc w:val="center"/>
              <w:rPr>
                <w:rFonts w:ascii="仿宋" w:hAnsi="仿宋" w:eastAsia="仿宋" w:cs="仿宋_GB2312"/>
                <w:b/>
                <w:color w:val="auto"/>
                <w:sz w:val="28"/>
                <w:szCs w:val="28"/>
                <w:highlight w:val="none"/>
              </w:rPr>
            </w:pPr>
          </w:p>
        </w:tc>
        <w:tc>
          <w:tcPr>
            <w:tcW w:w="1993" w:type="dxa"/>
            <w:gridSpan w:val="2"/>
            <w:noWrap w:val="0"/>
            <w:vAlign w:val="top"/>
          </w:tcPr>
          <w:p w14:paraId="2382BC2C">
            <w:pPr>
              <w:jc w:val="center"/>
              <w:rPr>
                <w:rFonts w:ascii="仿宋" w:hAnsi="仿宋" w:eastAsia="仿宋" w:cs="仿宋_GB2312"/>
                <w:b/>
                <w:color w:val="auto"/>
                <w:sz w:val="28"/>
                <w:szCs w:val="28"/>
                <w:highlight w:val="none"/>
              </w:rPr>
            </w:pPr>
          </w:p>
        </w:tc>
        <w:tc>
          <w:tcPr>
            <w:tcW w:w="1993" w:type="dxa"/>
            <w:gridSpan w:val="2"/>
            <w:noWrap w:val="0"/>
            <w:vAlign w:val="top"/>
          </w:tcPr>
          <w:p w14:paraId="75AC49D9">
            <w:pPr>
              <w:jc w:val="center"/>
              <w:rPr>
                <w:rFonts w:ascii="仿宋" w:hAnsi="仿宋" w:eastAsia="仿宋" w:cs="仿宋_GB2312"/>
                <w:b/>
                <w:color w:val="auto"/>
                <w:sz w:val="28"/>
                <w:szCs w:val="28"/>
                <w:highlight w:val="none"/>
              </w:rPr>
            </w:pPr>
          </w:p>
        </w:tc>
        <w:tc>
          <w:tcPr>
            <w:tcW w:w="1453" w:type="dxa"/>
            <w:gridSpan w:val="2"/>
            <w:noWrap w:val="0"/>
            <w:vAlign w:val="top"/>
          </w:tcPr>
          <w:p w14:paraId="2AC6DC75">
            <w:pPr>
              <w:jc w:val="center"/>
              <w:rPr>
                <w:rFonts w:ascii="仿宋" w:hAnsi="仿宋" w:eastAsia="仿宋" w:cs="仿宋_GB2312"/>
                <w:b/>
                <w:color w:val="auto"/>
                <w:sz w:val="28"/>
                <w:szCs w:val="28"/>
                <w:highlight w:val="none"/>
              </w:rPr>
            </w:pPr>
          </w:p>
        </w:tc>
      </w:tr>
    </w:tbl>
    <w:p w14:paraId="492880F1">
      <w:pPr>
        <w:pStyle w:val="22"/>
        <w:rPr>
          <w:rFonts w:hint="default" w:ascii="仿宋_GB2312" w:eastAsia="仿宋_GB2312" w:hAnsiTheme="minorEastAsia"/>
          <w:color w:val="auto"/>
          <w:sz w:val="28"/>
          <w:szCs w:val="28"/>
          <w:highlight w:val="none"/>
          <w:lang w:val="en-US" w:eastAsia="zh-CN"/>
        </w:rPr>
      </w:pPr>
    </w:p>
    <w:p w14:paraId="0E0B4B46">
      <w:pPr>
        <w:pStyle w:val="22"/>
        <w:rPr>
          <w:rFonts w:hint="default" w:ascii="仿宋_GB2312" w:eastAsia="仿宋_GB2312" w:hAnsiTheme="minorEastAsia"/>
          <w:color w:val="auto"/>
          <w:sz w:val="28"/>
          <w:szCs w:val="28"/>
          <w:highlight w:val="none"/>
          <w:lang w:val="en-US" w:eastAsia="zh-CN"/>
        </w:rPr>
      </w:pPr>
    </w:p>
    <w:p w14:paraId="6EC3C2C1">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1C66CB61">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52537384">
      <w:pPr>
        <w:pStyle w:val="2"/>
        <w:rPr>
          <w:rFonts w:hint="eastAsia" w:ascii="宋体" w:hAnsi="宋体" w:eastAsia="宋体" w:cs="宋体"/>
          <w:color w:val="auto"/>
          <w:kern w:val="2"/>
          <w:sz w:val="24"/>
          <w:szCs w:val="24"/>
          <w:highlight w:val="none"/>
          <w:lang w:val="en-GB"/>
        </w:rPr>
      </w:pPr>
    </w:p>
    <w:p w14:paraId="23231EDE">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14:paraId="16071D80">
      <w:pPr>
        <w:jc w:val="both"/>
        <w:rPr>
          <w:rFonts w:ascii="仿宋" w:hAnsi="仿宋" w:eastAsia="仿宋" w:cs="仿宋_GB2312"/>
          <w:b/>
          <w:color w:val="auto"/>
          <w:sz w:val="28"/>
          <w:szCs w:val="28"/>
          <w:highlight w:val="none"/>
        </w:rPr>
      </w:pPr>
      <w:bookmarkStart w:id="110" w:name="_Toc32430"/>
      <w:bookmarkStart w:id="111" w:name="_Toc19423"/>
      <w:r>
        <w:rPr>
          <w:rFonts w:hint="eastAsia" w:ascii="仿宋" w:hAnsi="仿宋" w:eastAsia="仿宋" w:cs="仿宋_GB2312"/>
          <w:b/>
          <w:color w:val="auto"/>
          <w:sz w:val="28"/>
          <w:szCs w:val="28"/>
          <w:highlight w:val="none"/>
          <w:lang w:val="en-US" w:eastAsia="zh-CN"/>
        </w:rPr>
        <w:t>4.3</w:t>
      </w:r>
      <w:r>
        <w:rPr>
          <w:rFonts w:hint="eastAsia" w:ascii="仿宋" w:hAnsi="仿宋" w:eastAsia="仿宋" w:cs="仿宋_GB2312"/>
          <w:b/>
          <w:color w:val="auto"/>
          <w:sz w:val="28"/>
          <w:szCs w:val="28"/>
          <w:highlight w:val="none"/>
        </w:rPr>
        <w:t>拟投入本项目的工程人员配备响应表</w:t>
      </w:r>
    </w:p>
    <w:p w14:paraId="12E43738">
      <w:pPr>
        <w:spacing w:line="240" w:lineRule="auto"/>
        <w:jc w:val="center"/>
        <w:outlineLvl w:val="9"/>
        <w:rPr>
          <w:rFonts w:hint="eastAsia" w:ascii="仿宋" w:hAnsi="仿宋" w:eastAsia="仿宋" w:cs="仿宋_GB2312"/>
          <w:b/>
          <w:bCs w:val="0"/>
          <w:color w:val="auto"/>
          <w:sz w:val="28"/>
          <w:szCs w:val="28"/>
          <w:highlight w:val="none"/>
        </w:rPr>
      </w:pPr>
      <w:r>
        <w:rPr>
          <w:rFonts w:hint="eastAsia" w:ascii="仿宋" w:hAnsi="仿宋" w:eastAsia="仿宋" w:cs="仿宋_GB2312"/>
          <w:b/>
          <w:color w:val="auto"/>
          <w:sz w:val="28"/>
          <w:szCs w:val="28"/>
          <w:highlight w:val="none"/>
        </w:rPr>
        <w:t>拟投入工程人员配备响应表</w:t>
      </w:r>
    </w:p>
    <w:p w14:paraId="1F815F74">
      <w:pPr>
        <w:spacing w:line="360" w:lineRule="auto"/>
        <w:jc w:val="center"/>
        <w:outlineLvl w:val="3"/>
        <w:rPr>
          <w:rFonts w:ascii="宋体" w:hAnsi="宋体" w:eastAsia="宋体" w:cs="Times New Roman"/>
          <w:b/>
          <w:bCs/>
          <w:sz w:val="24"/>
          <w:szCs w:val="24"/>
        </w:rPr>
      </w:pPr>
    </w:p>
    <w:tbl>
      <w:tblPr>
        <w:tblStyle w:val="23"/>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982"/>
        <w:gridCol w:w="907"/>
        <w:gridCol w:w="2225"/>
        <w:gridCol w:w="2093"/>
        <w:gridCol w:w="1184"/>
      </w:tblGrid>
      <w:tr w14:paraId="428D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7EA02FB7">
            <w:pPr>
              <w:spacing w:line="360" w:lineRule="auto"/>
              <w:jc w:val="center"/>
              <w:rPr>
                <w:rFonts w:ascii="宋体" w:hAnsi="宋体" w:eastAsia="宋体" w:cs="Times New Roman"/>
                <w:sz w:val="18"/>
                <w:szCs w:val="18"/>
              </w:rPr>
            </w:pPr>
            <w:r>
              <w:rPr>
                <w:rFonts w:hint="eastAsia" w:ascii="宋体" w:hAnsi="宋体" w:eastAsia="宋体" w:cs="宋体"/>
                <w:sz w:val="18"/>
                <w:szCs w:val="18"/>
              </w:rPr>
              <w:t>岗位</w:t>
            </w:r>
          </w:p>
        </w:tc>
        <w:tc>
          <w:tcPr>
            <w:tcW w:w="982" w:type="dxa"/>
            <w:tcBorders>
              <w:top w:val="single" w:color="auto" w:sz="4" w:space="0"/>
              <w:left w:val="single" w:color="auto" w:sz="4" w:space="0"/>
              <w:bottom w:val="single" w:color="auto" w:sz="4" w:space="0"/>
              <w:right w:val="single" w:color="auto" w:sz="4" w:space="0"/>
            </w:tcBorders>
            <w:noWrap w:val="0"/>
            <w:vAlign w:val="center"/>
          </w:tcPr>
          <w:p w14:paraId="25F584D0">
            <w:pPr>
              <w:spacing w:line="360" w:lineRule="auto"/>
              <w:jc w:val="center"/>
              <w:rPr>
                <w:rFonts w:ascii="宋体" w:hAnsi="宋体" w:eastAsia="宋体" w:cs="Times New Roman"/>
                <w:sz w:val="18"/>
                <w:szCs w:val="18"/>
              </w:rPr>
            </w:pPr>
            <w:r>
              <w:rPr>
                <w:rFonts w:hint="eastAsia" w:ascii="宋体" w:hAnsi="宋体" w:eastAsia="宋体" w:cs="宋体"/>
                <w:sz w:val="18"/>
                <w:szCs w:val="18"/>
              </w:rPr>
              <w:t>姓名</w:t>
            </w:r>
          </w:p>
        </w:tc>
        <w:tc>
          <w:tcPr>
            <w:tcW w:w="907" w:type="dxa"/>
            <w:tcBorders>
              <w:top w:val="single" w:color="auto" w:sz="4" w:space="0"/>
              <w:left w:val="single" w:color="auto" w:sz="4" w:space="0"/>
              <w:bottom w:val="single" w:color="auto" w:sz="4" w:space="0"/>
              <w:right w:val="single" w:color="auto" w:sz="4" w:space="0"/>
            </w:tcBorders>
            <w:noWrap w:val="0"/>
            <w:vAlign w:val="center"/>
          </w:tcPr>
          <w:p w14:paraId="269548CD">
            <w:pPr>
              <w:spacing w:line="360" w:lineRule="auto"/>
              <w:jc w:val="center"/>
              <w:rPr>
                <w:rFonts w:ascii="宋体" w:hAnsi="宋体" w:eastAsia="宋体" w:cs="Times New Roman"/>
                <w:sz w:val="18"/>
                <w:szCs w:val="18"/>
              </w:rPr>
            </w:pPr>
            <w:r>
              <w:rPr>
                <w:rFonts w:hint="eastAsia" w:ascii="宋体" w:hAnsi="宋体" w:eastAsia="宋体" w:cs="宋体"/>
                <w:sz w:val="18"/>
                <w:szCs w:val="18"/>
              </w:rPr>
              <w:t>性别</w:t>
            </w: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4C9E710">
            <w:pPr>
              <w:spacing w:line="360" w:lineRule="auto"/>
              <w:jc w:val="center"/>
              <w:rPr>
                <w:rFonts w:ascii="宋体" w:hAnsi="宋体" w:eastAsia="宋体" w:cs="Times New Roman"/>
                <w:sz w:val="18"/>
                <w:szCs w:val="18"/>
              </w:rPr>
            </w:pPr>
            <w:r>
              <w:rPr>
                <w:rFonts w:hint="eastAsia" w:ascii="宋体" w:hAnsi="宋体" w:eastAsia="宋体" w:cs="宋体"/>
                <w:sz w:val="18"/>
                <w:szCs w:val="18"/>
              </w:rPr>
              <w:t>身份证号</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0C6022E">
            <w:pPr>
              <w:spacing w:line="360" w:lineRule="auto"/>
              <w:jc w:val="center"/>
              <w:rPr>
                <w:rFonts w:ascii="宋体" w:hAnsi="宋体" w:eastAsia="宋体" w:cs="Times New Roman"/>
                <w:sz w:val="18"/>
                <w:szCs w:val="18"/>
              </w:rPr>
            </w:pPr>
            <w:r>
              <w:rPr>
                <w:rFonts w:hint="eastAsia" w:ascii="宋体" w:hAnsi="宋体" w:eastAsia="宋体" w:cs="宋体"/>
                <w:sz w:val="18"/>
                <w:szCs w:val="18"/>
              </w:rPr>
              <w:t>执业或职业资格证明</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DD5ED46">
            <w:pPr>
              <w:spacing w:line="360" w:lineRule="auto"/>
              <w:jc w:val="center"/>
              <w:rPr>
                <w:rFonts w:ascii="宋体" w:hAnsi="宋体" w:eastAsia="宋体" w:cs="Times New Roman"/>
                <w:sz w:val="18"/>
                <w:szCs w:val="18"/>
              </w:rPr>
            </w:pPr>
            <w:r>
              <w:rPr>
                <w:rFonts w:hint="eastAsia" w:ascii="宋体" w:hAnsi="宋体" w:eastAsia="宋体" w:cs="宋体"/>
                <w:sz w:val="18"/>
                <w:szCs w:val="18"/>
              </w:rPr>
              <w:t>备注</w:t>
            </w:r>
          </w:p>
        </w:tc>
      </w:tr>
      <w:tr w14:paraId="77F4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3AF4576E">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3FFC75CB">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43F84DB7">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93EFF2C">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9463BAB">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CF2E3C6">
            <w:pPr>
              <w:spacing w:line="360" w:lineRule="auto"/>
              <w:jc w:val="center"/>
              <w:rPr>
                <w:rFonts w:ascii="宋体" w:hAnsi="宋体" w:eastAsia="宋体" w:cs="Times New Roman"/>
                <w:sz w:val="18"/>
                <w:szCs w:val="18"/>
              </w:rPr>
            </w:pPr>
          </w:p>
        </w:tc>
      </w:tr>
      <w:tr w14:paraId="4E192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02D84FAB">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5899F699">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717CC297">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D7B9BB7">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A4B6A7A">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2371624C">
            <w:pPr>
              <w:spacing w:line="360" w:lineRule="auto"/>
              <w:jc w:val="center"/>
              <w:rPr>
                <w:rFonts w:ascii="宋体" w:hAnsi="宋体" w:eastAsia="宋体" w:cs="Times New Roman"/>
                <w:sz w:val="18"/>
                <w:szCs w:val="18"/>
              </w:rPr>
            </w:pPr>
          </w:p>
        </w:tc>
      </w:tr>
      <w:tr w14:paraId="3D8C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66C4FDE3">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4E884889">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3411E6DA">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BE4EB79">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26D57B39">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EA808D6">
            <w:pPr>
              <w:spacing w:line="360" w:lineRule="auto"/>
              <w:jc w:val="center"/>
              <w:rPr>
                <w:rFonts w:ascii="宋体" w:hAnsi="宋体" w:eastAsia="宋体" w:cs="Times New Roman"/>
                <w:sz w:val="18"/>
                <w:szCs w:val="18"/>
              </w:rPr>
            </w:pPr>
          </w:p>
        </w:tc>
      </w:tr>
      <w:tr w14:paraId="1451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760EB2A6">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F6FB654">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61371750">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79996337">
            <w:pPr>
              <w:spacing w:line="360" w:lineRule="auto"/>
              <w:jc w:val="center"/>
              <w:rPr>
                <w:rFonts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EA324B8">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CEC250E">
            <w:pPr>
              <w:spacing w:line="360" w:lineRule="auto"/>
              <w:jc w:val="center"/>
              <w:rPr>
                <w:rFonts w:ascii="宋体" w:hAnsi="宋体" w:eastAsia="宋体" w:cs="Times New Roman"/>
                <w:sz w:val="18"/>
                <w:szCs w:val="18"/>
              </w:rPr>
            </w:pPr>
          </w:p>
        </w:tc>
      </w:tr>
      <w:tr w14:paraId="4A516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16AC1BC8">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5EE40D0A">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3AA465EB">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4FB3F1C8">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680FCE2">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34528813">
            <w:pPr>
              <w:spacing w:line="360" w:lineRule="auto"/>
              <w:jc w:val="center"/>
              <w:rPr>
                <w:rFonts w:ascii="宋体" w:hAnsi="宋体" w:eastAsia="宋体" w:cs="Times New Roman"/>
                <w:sz w:val="18"/>
                <w:szCs w:val="18"/>
              </w:rPr>
            </w:pPr>
          </w:p>
        </w:tc>
      </w:tr>
      <w:tr w14:paraId="3EE30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4AAAEEB3">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25F6BB56">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1E75BFD2">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1AC2D672">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3B00CC40">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041515C3">
            <w:pPr>
              <w:spacing w:line="360" w:lineRule="auto"/>
              <w:jc w:val="center"/>
              <w:rPr>
                <w:rFonts w:ascii="宋体" w:hAnsi="宋体" w:eastAsia="宋体" w:cs="Times New Roman"/>
                <w:sz w:val="18"/>
                <w:szCs w:val="18"/>
              </w:rPr>
            </w:pPr>
          </w:p>
        </w:tc>
      </w:tr>
      <w:tr w14:paraId="6C63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13E4EAE5">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D760DEB">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31490D84">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53720565">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195B2969">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C826E96">
            <w:pPr>
              <w:spacing w:line="360" w:lineRule="auto"/>
              <w:jc w:val="center"/>
              <w:rPr>
                <w:rFonts w:ascii="宋体" w:hAnsi="宋体" w:eastAsia="宋体" w:cs="Times New Roman"/>
                <w:sz w:val="18"/>
                <w:szCs w:val="18"/>
              </w:rPr>
            </w:pPr>
          </w:p>
        </w:tc>
      </w:tr>
      <w:tr w14:paraId="577B0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14:paraId="2D4D0F35">
            <w:pPr>
              <w:spacing w:line="360" w:lineRule="auto"/>
              <w:jc w:val="center"/>
              <w:rPr>
                <w:rFonts w:ascii="宋体" w:hAnsi="宋体" w:eastAsia="宋体" w:cs="Times New Roman"/>
                <w:sz w:val="18"/>
                <w:szCs w:val="18"/>
              </w:rPr>
            </w:pPr>
          </w:p>
        </w:tc>
        <w:tc>
          <w:tcPr>
            <w:tcW w:w="982" w:type="dxa"/>
            <w:tcBorders>
              <w:top w:val="single" w:color="auto" w:sz="4" w:space="0"/>
              <w:left w:val="single" w:color="auto" w:sz="4" w:space="0"/>
              <w:bottom w:val="single" w:color="auto" w:sz="4" w:space="0"/>
              <w:right w:val="single" w:color="auto" w:sz="4" w:space="0"/>
            </w:tcBorders>
            <w:noWrap w:val="0"/>
            <w:vAlign w:val="center"/>
          </w:tcPr>
          <w:p w14:paraId="0DA32088">
            <w:pPr>
              <w:spacing w:line="360" w:lineRule="auto"/>
              <w:jc w:val="center"/>
              <w:rPr>
                <w:rFonts w:ascii="宋体" w:hAnsi="宋体" w:eastAsia="宋体" w:cs="Times New Roman"/>
                <w:sz w:val="18"/>
                <w:szCs w:val="18"/>
              </w:rPr>
            </w:pPr>
          </w:p>
        </w:tc>
        <w:tc>
          <w:tcPr>
            <w:tcW w:w="907" w:type="dxa"/>
            <w:tcBorders>
              <w:top w:val="single" w:color="auto" w:sz="4" w:space="0"/>
              <w:left w:val="single" w:color="auto" w:sz="4" w:space="0"/>
              <w:bottom w:val="single" w:color="auto" w:sz="4" w:space="0"/>
              <w:right w:val="single" w:color="auto" w:sz="4" w:space="0"/>
            </w:tcBorders>
            <w:noWrap w:val="0"/>
            <w:vAlign w:val="center"/>
          </w:tcPr>
          <w:p w14:paraId="2195F39E">
            <w:pPr>
              <w:spacing w:line="360" w:lineRule="auto"/>
              <w:jc w:val="center"/>
              <w:rPr>
                <w:rFonts w:ascii="宋体" w:hAnsi="宋体" w:eastAsia="宋体" w:cs="Times New Roman"/>
                <w:sz w:val="18"/>
                <w:szCs w:val="18"/>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14:paraId="2D3AB61F">
            <w:pPr>
              <w:spacing w:line="360" w:lineRule="auto"/>
              <w:jc w:val="center"/>
              <w:rPr>
                <w:rFonts w:hint="eastAsia" w:ascii="宋体" w:hAnsi="宋体" w:eastAsia="宋体" w:cs="Times New Roman"/>
                <w:sz w:val="18"/>
                <w:szCs w:val="18"/>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73F5F2EB">
            <w:pPr>
              <w:spacing w:line="360" w:lineRule="auto"/>
              <w:jc w:val="center"/>
              <w:rPr>
                <w:rFonts w:ascii="宋体" w:hAnsi="宋体" w:eastAsia="宋体" w:cs="Times New Roman"/>
                <w:sz w:val="18"/>
                <w:szCs w:val="18"/>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1F60EA7">
            <w:pPr>
              <w:spacing w:line="360" w:lineRule="auto"/>
              <w:jc w:val="center"/>
              <w:rPr>
                <w:rFonts w:ascii="宋体" w:hAnsi="宋体" w:eastAsia="宋体" w:cs="Times New Roman"/>
                <w:sz w:val="18"/>
                <w:szCs w:val="18"/>
              </w:rPr>
            </w:pPr>
          </w:p>
        </w:tc>
      </w:tr>
    </w:tbl>
    <w:p w14:paraId="3A8EA2BE">
      <w:pPr>
        <w:rPr>
          <w:rFonts w:hint="eastAsia" w:ascii="仿宋_GB2312" w:eastAsia="仿宋_GB2312" w:hAnsiTheme="minorEastAsia"/>
          <w:color w:val="auto"/>
          <w:sz w:val="28"/>
          <w:szCs w:val="28"/>
          <w:highlight w:val="none"/>
          <w:lang w:val="en-US" w:eastAsia="zh-CN"/>
        </w:rPr>
      </w:pPr>
    </w:p>
    <w:p w14:paraId="3232D8E0">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14:paraId="78777D41">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110"/>
      <w:bookmarkEnd w:id="111"/>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096"/>
        <w:gridCol w:w="2964"/>
      </w:tblGrid>
      <w:tr w14:paraId="0223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2273" w:type="pct"/>
            <w:tcBorders>
              <w:top w:val="single" w:color="000000" w:sz="4" w:space="0"/>
              <w:left w:val="single" w:color="000000" w:sz="4" w:space="0"/>
              <w:bottom w:val="single" w:color="000000" w:sz="4" w:space="0"/>
              <w:right w:val="single" w:color="000000" w:sz="4" w:space="0"/>
            </w:tcBorders>
            <w:noWrap/>
            <w:vAlign w:val="center"/>
          </w:tcPr>
          <w:p w14:paraId="22B63F9A">
            <w:pPr>
              <w:keepNext w:val="0"/>
              <w:keepLines w:val="0"/>
              <w:widowControl/>
              <w:suppressLineNumbers w:val="0"/>
              <w:snapToGrid w:val="0"/>
              <w:jc w:val="center"/>
              <w:textAlignment w:val="center"/>
              <w:rPr>
                <w:rFonts w:hint="eastAsia" w:ascii="宋体" w:eastAsia="宋体" w:cs="宋体"/>
                <w:b/>
                <w:bCs/>
                <w:i w:val="0"/>
                <w:iCs w:val="0"/>
                <w:color w:val="000000"/>
                <w:sz w:val="24"/>
                <w:szCs w:val="24"/>
                <w:u w:val="none"/>
                <w:lang w:val="en-US" w:eastAsia="zh-CN"/>
              </w:rPr>
            </w:pPr>
            <w:r>
              <w:rPr>
                <w:rFonts w:hint="eastAsia" w:ascii="宋体" w:eastAsia="宋体" w:cs="宋体"/>
                <w:b/>
                <w:bCs/>
                <w:i w:val="0"/>
                <w:iCs w:val="0"/>
                <w:color w:val="000000"/>
                <w:sz w:val="24"/>
                <w:szCs w:val="24"/>
                <w:u w:val="none"/>
                <w:lang w:val="en-US" w:eastAsia="zh-CN"/>
              </w:rPr>
              <w:t>采购内容</w:t>
            </w:r>
          </w:p>
        </w:tc>
        <w:tc>
          <w:tcPr>
            <w:tcW w:w="2726" w:type="pct"/>
            <w:tcBorders>
              <w:top w:val="single" w:color="000000" w:sz="4" w:space="0"/>
              <w:left w:val="single" w:color="000000" w:sz="4" w:space="0"/>
              <w:bottom w:val="single" w:color="000000" w:sz="4" w:space="0"/>
              <w:right w:val="single" w:color="000000" w:sz="4" w:space="0"/>
            </w:tcBorders>
            <w:noWrap/>
            <w:vAlign w:val="center"/>
          </w:tcPr>
          <w:p w14:paraId="7F296D73">
            <w:pPr>
              <w:pStyle w:val="22"/>
              <w:adjustRightInd w:val="0"/>
              <w:snapToGrid w:val="0"/>
              <w:spacing w:after="0" w:line="240" w:lineRule="auto"/>
              <w:ind w:firstLine="0"/>
              <w:jc w:val="center"/>
              <w:rPr>
                <w:rFonts w:hint="eastAsia" w:ascii="宋体" w:eastAsia="宋体" w:cs="宋体"/>
                <w:b/>
                <w:bCs/>
                <w:i w:val="0"/>
                <w:iCs w:val="0"/>
                <w:color w:val="000000"/>
                <w:sz w:val="24"/>
                <w:szCs w:val="24"/>
                <w:u w:val="none"/>
                <w:lang w:val="en-US" w:eastAsia="zh-CN"/>
              </w:rPr>
            </w:pPr>
            <w:r>
              <w:rPr>
                <w:rFonts w:hint="eastAsia" w:ascii="宋体" w:eastAsia="宋体" w:cs="宋体"/>
                <w:b/>
                <w:bCs/>
                <w:i w:val="0"/>
                <w:iCs w:val="0"/>
                <w:color w:val="000000"/>
                <w:sz w:val="24"/>
                <w:szCs w:val="24"/>
                <w:u w:val="none"/>
                <w:lang w:val="en-US" w:eastAsia="zh-CN"/>
              </w:rPr>
              <w:t>单位</w:t>
            </w:r>
          </w:p>
        </w:tc>
      </w:tr>
      <w:tr w14:paraId="5643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73" w:type="pct"/>
            <w:tcBorders>
              <w:top w:val="single" w:color="000000" w:sz="4" w:space="0"/>
              <w:left w:val="single" w:color="000000" w:sz="4" w:space="0"/>
              <w:bottom w:val="single" w:color="000000" w:sz="4" w:space="0"/>
              <w:right w:val="single" w:color="000000" w:sz="4" w:space="0"/>
            </w:tcBorders>
            <w:noWrap/>
            <w:vAlign w:val="center"/>
          </w:tcPr>
          <w:p w14:paraId="76295929">
            <w:pPr>
              <w:keepNext w:val="0"/>
              <w:keepLines w:val="0"/>
              <w:widowControl/>
              <w:suppressLineNumbers w:val="0"/>
              <w:snapToGrid w:val="0"/>
              <w:jc w:val="center"/>
              <w:textAlignment w:val="center"/>
              <w:rPr>
                <w:rFonts w:hint="eastAsia" w:ascii="宋体" w:eastAsia="宋体" w:cs="宋体"/>
                <w:i w:val="0"/>
                <w:iCs w:val="0"/>
                <w:color w:val="000000"/>
                <w:sz w:val="24"/>
                <w:szCs w:val="24"/>
                <w:u w:val="none"/>
                <w:lang w:val="en-US" w:eastAsia="zh-CN"/>
              </w:rPr>
            </w:pPr>
            <w:r>
              <w:rPr>
                <w:rFonts w:hint="eastAsia" w:ascii="宋体" w:eastAsia="宋体" w:cs="宋体"/>
                <w:i w:val="0"/>
                <w:iCs w:val="0"/>
                <w:color w:val="000000"/>
                <w:sz w:val="24"/>
                <w:szCs w:val="24"/>
                <w:u w:val="none"/>
                <w:lang w:val="en-US" w:eastAsia="zh-CN"/>
              </w:rPr>
              <w:t>猎德分公司2025年生产区域空调维修项目基准价下浮率</w:t>
            </w:r>
          </w:p>
        </w:tc>
        <w:tc>
          <w:tcPr>
            <w:tcW w:w="2726" w:type="pct"/>
            <w:tcBorders>
              <w:top w:val="single" w:color="000000" w:sz="4" w:space="0"/>
              <w:left w:val="single" w:color="000000" w:sz="4" w:space="0"/>
              <w:bottom w:val="single" w:color="000000" w:sz="4" w:space="0"/>
              <w:right w:val="single" w:color="000000" w:sz="4" w:space="0"/>
            </w:tcBorders>
            <w:noWrap/>
            <w:vAlign w:val="center"/>
          </w:tcPr>
          <w:p w14:paraId="636EE3A2">
            <w:pPr>
              <w:pStyle w:val="22"/>
              <w:adjustRightInd w:val="0"/>
              <w:snapToGrid w:val="0"/>
              <w:spacing w:after="0" w:line="240" w:lineRule="auto"/>
              <w:ind w:firstLine="0"/>
              <w:jc w:val="center"/>
              <w:rPr>
                <w:rFonts w:hint="eastAsia" w:ascii="宋体" w:eastAsia="宋体" w:cs="宋体"/>
                <w:sz w:val="24"/>
                <w:lang w:val="en-US" w:eastAsia="zh-CN"/>
              </w:rPr>
            </w:pPr>
            <w:r>
              <w:rPr>
                <w:rFonts w:hint="eastAsia" w:cs="宋体"/>
                <w:i w:val="0"/>
                <w:iCs w:val="0"/>
                <w:color w:val="000000"/>
                <w:sz w:val="24"/>
                <w:szCs w:val="24"/>
                <w:u w:val="single"/>
                <w:lang w:val="en-US" w:eastAsia="zh-CN"/>
              </w:rPr>
              <w:t xml:space="preserve">    </w:t>
            </w:r>
            <w:r>
              <w:rPr>
                <w:rFonts w:hint="eastAsia" w:ascii="宋体" w:cs="宋体"/>
                <w:i w:val="0"/>
                <w:iCs w:val="0"/>
                <w:color w:val="000000"/>
                <w:sz w:val="24"/>
                <w:szCs w:val="24"/>
                <w:u w:val="none"/>
                <w:lang w:val="en-US" w:eastAsia="zh-CN"/>
              </w:rPr>
              <w:t>%</w:t>
            </w:r>
          </w:p>
        </w:tc>
      </w:tr>
      <w:tr w14:paraId="49CD4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2273" w:type="pct"/>
            <w:tcBorders>
              <w:top w:val="single" w:color="000000" w:sz="4" w:space="0"/>
              <w:left w:val="single" w:color="000000" w:sz="4" w:space="0"/>
              <w:bottom w:val="single" w:color="000000" w:sz="4" w:space="0"/>
              <w:right w:val="single" w:color="000000" w:sz="4" w:space="0"/>
            </w:tcBorders>
            <w:noWrap/>
            <w:vAlign w:val="center"/>
          </w:tcPr>
          <w:p w14:paraId="61476A4D">
            <w:pPr>
              <w:keepNext w:val="0"/>
              <w:keepLines w:val="0"/>
              <w:widowControl/>
              <w:suppressLineNumbers w:val="0"/>
              <w:snapToGrid w:val="0"/>
              <w:jc w:val="center"/>
              <w:textAlignment w:val="center"/>
              <w:rPr>
                <w:rFonts w:hint="eastAsia" w:ascii="宋体" w:eastAsia="宋体" w:cs="宋体"/>
                <w:i w:val="0"/>
                <w:iCs w:val="0"/>
                <w:color w:val="000000"/>
                <w:sz w:val="24"/>
                <w:szCs w:val="24"/>
                <w:u w:val="none"/>
                <w:lang w:val="en-US" w:eastAsia="zh-CN"/>
              </w:rPr>
            </w:pPr>
            <w:r>
              <w:rPr>
                <w:rFonts w:hint="eastAsia" w:ascii="宋体" w:hAnsi="Times New Roman" w:eastAsia="宋体" w:cs="宋体"/>
                <w:color w:val="000000"/>
                <w:sz w:val="24"/>
                <w:szCs w:val="24"/>
                <w:u w:val="none"/>
                <w:lang w:val="en-US" w:eastAsia="zh-CN"/>
              </w:rPr>
              <w:t>税率</w:t>
            </w:r>
          </w:p>
        </w:tc>
        <w:tc>
          <w:tcPr>
            <w:tcW w:w="2726" w:type="pct"/>
            <w:tcBorders>
              <w:top w:val="single" w:color="000000" w:sz="4" w:space="0"/>
              <w:left w:val="single" w:color="000000" w:sz="4" w:space="0"/>
              <w:bottom w:val="single" w:color="000000" w:sz="4" w:space="0"/>
              <w:right w:val="single" w:color="000000" w:sz="4" w:space="0"/>
            </w:tcBorders>
            <w:noWrap/>
            <w:vAlign w:val="center"/>
          </w:tcPr>
          <w:p w14:paraId="02FA7039">
            <w:pPr>
              <w:adjustRightInd w:val="0"/>
              <w:snapToGrid w:val="0"/>
              <w:spacing w:after="0" w:line="240" w:lineRule="auto"/>
              <w:jc w:val="center"/>
              <w:textAlignment w:val="center"/>
              <w:rPr>
                <w:rFonts w:hint="eastAsia" w:ascii="宋体" w:hAnsi="Times New Roman" w:eastAsia="宋体" w:cs="宋体"/>
                <w:i w:val="0"/>
                <w:iCs w:val="0"/>
                <w:color w:val="000000"/>
                <w:sz w:val="24"/>
                <w:szCs w:val="24"/>
                <w:u w:val="none"/>
                <w:lang w:val="en-US" w:eastAsia="zh-CN"/>
              </w:rPr>
            </w:pPr>
            <w:r>
              <w:rPr>
                <w:rFonts w:hint="eastAsia" w:cs="宋体"/>
                <w:i w:val="0"/>
                <w:iCs w:val="0"/>
                <w:color w:val="000000"/>
                <w:sz w:val="24"/>
                <w:szCs w:val="24"/>
                <w:u w:val="single"/>
                <w:lang w:val="en-US" w:eastAsia="zh-CN"/>
              </w:rPr>
              <w:t xml:space="preserve">    </w:t>
            </w:r>
            <w:r>
              <w:rPr>
                <w:rFonts w:hint="eastAsia" w:ascii="宋体" w:cs="宋体"/>
                <w:i w:val="0"/>
                <w:iCs w:val="0"/>
                <w:color w:val="000000"/>
                <w:sz w:val="24"/>
                <w:szCs w:val="24"/>
                <w:u w:val="none"/>
                <w:lang w:val="en-US" w:eastAsia="zh-CN"/>
              </w:rPr>
              <w:t>%</w:t>
            </w:r>
          </w:p>
        </w:tc>
      </w:tr>
    </w:tbl>
    <w:p w14:paraId="43E0EF6B">
      <w:pPr>
        <w:adjustRightInd w:val="0"/>
        <w:snapToGrid w:val="0"/>
        <w:spacing w:line="360" w:lineRule="auto"/>
        <w:ind w:firstLine="0" w:firstLineChars="0"/>
        <w:jc w:val="left"/>
        <w:rPr>
          <w:rFonts w:hint="default" w:ascii="宋体" w:eastAsia="宋体" w:cs="宋体"/>
          <w:color w:val="auto"/>
          <w:sz w:val="24"/>
          <w:szCs w:val="24"/>
          <w:highlight w:val="none"/>
          <w:lang w:val="en-US" w:eastAsia="zh-CN"/>
        </w:rPr>
      </w:pPr>
      <w:r>
        <w:rPr>
          <w:rFonts w:hint="default" w:ascii="宋体" w:eastAsia="宋体" w:cs="宋体"/>
          <w:color w:val="auto"/>
          <w:sz w:val="24"/>
          <w:szCs w:val="24"/>
          <w:highlight w:val="none"/>
          <w:lang w:val="en-US" w:eastAsia="zh-CN"/>
        </w:rPr>
        <w:t>备注：</w:t>
      </w:r>
    </w:p>
    <w:p w14:paraId="6CECD54B">
      <w:pPr>
        <w:adjustRightInd w:val="0"/>
        <w:snapToGrid w:val="0"/>
        <w:spacing w:line="360" w:lineRule="auto"/>
        <w:ind w:firstLine="0" w:firstLineChars="0"/>
        <w:jc w:val="left"/>
        <w:rPr>
          <w:rFonts w:hint="default" w:ascii="宋体" w:eastAsia="宋体" w:cs="宋体"/>
          <w:color w:val="auto"/>
          <w:sz w:val="24"/>
          <w:szCs w:val="24"/>
          <w:highlight w:val="none"/>
          <w:lang w:val="en-US" w:eastAsia="zh-CN"/>
        </w:rPr>
      </w:pPr>
      <w:r>
        <w:rPr>
          <w:rFonts w:hint="default" w:ascii="宋体" w:eastAsia="宋体" w:cs="宋体"/>
          <w:color w:val="auto"/>
          <w:sz w:val="24"/>
          <w:szCs w:val="24"/>
          <w:highlight w:val="none"/>
          <w:lang w:val="en-US" w:eastAsia="zh-CN"/>
        </w:rPr>
        <w:t>1.所填报</w:t>
      </w:r>
      <w:r>
        <w:rPr>
          <w:rFonts w:hint="eastAsia" w:ascii="宋体" w:eastAsia="宋体" w:cs="宋体"/>
          <w:i w:val="0"/>
          <w:iCs w:val="0"/>
          <w:color w:val="000000"/>
          <w:sz w:val="24"/>
          <w:szCs w:val="24"/>
          <w:u w:val="none"/>
          <w:lang w:val="en-US" w:eastAsia="zh-CN"/>
        </w:rPr>
        <w:t>猎德分公司2025年生产区域空调维修项目</w:t>
      </w:r>
      <w:r>
        <w:rPr>
          <w:rFonts w:hint="default" w:ascii="宋体" w:eastAsia="宋体" w:cs="宋体"/>
          <w:color w:val="auto"/>
          <w:sz w:val="24"/>
          <w:szCs w:val="24"/>
          <w:highlight w:val="none"/>
          <w:lang w:val="en-US" w:eastAsia="zh-CN"/>
        </w:rPr>
        <w:t>基准价的下浮率：0≤基准价的下浮率≤100%，上述报价须为固定值（如10%），不得存在区间值（如0～10%）。协议期内空调</w:t>
      </w:r>
      <w:r>
        <w:rPr>
          <w:rFonts w:hint="eastAsia" w:ascii="宋体" w:eastAsia="宋体" w:cs="宋体"/>
          <w:color w:val="auto"/>
          <w:sz w:val="24"/>
          <w:szCs w:val="24"/>
          <w:highlight w:val="none"/>
          <w:lang w:val="en-US" w:eastAsia="zh-CN"/>
        </w:rPr>
        <w:t>维修</w:t>
      </w:r>
      <w:r>
        <w:rPr>
          <w:rFonts w:hint="default" w:ascii="宋体" w:eastAsia="宋体" w:cs="宋体"/>
          <w:color w:val="auto"/>
          <w:sz w:val="24"/>
          <w:szCs w:val="24"/>
          <w:highlight w:val="none"/>
          <w:lang w:val="en-US" w:eastAsia="zh-CN"/>
        </w:rPr>
        <w:t>项目的下浮率不作调整。报价中包含所有税费，报价单位的下浮率若高于40%，必须在响应文件实质性响应一览表中说明报价理由。</w:t>
      </w:r>
    </w:p>
    <w:p w14:paraId="60ADE715">
      <w:pPr>
        <w:adjustRightInd w:val="0"/>
        <w:snapToGrid w:val="0"/>
        <w:spacing w:line="360" w:lineRule="auto"/>
        <w:ind w:firstLine="0" w:firstLineChars="0"/>
        <w:jc w:val="left"/>
        <w:rPr>
          <w:rFonts w:hint="default" w:ascii="宋体" w:eastAsia="宋体" w:cs="宋体"/>
          <w:color w:val="auto"/>
          <w:sz w:val="24"/>
          <w:szCs w:val="24"/>
          <w:highlight w:val="none"/>
          <w:lang w:val="en-US" w:eastAsia="zh-CN"/>
        </w:rPr>
      </w:pPr>
      <w:r>
        <w:rPr>
          <w:rFonts w:hint="default" w:ascii="宋体" w:eastAsia="宋体" w:cs="宋体"/>
          <w:color w:val="auto"/>
          <w:sz w:val="24"/>
          <w:szCs w:val="24"/>
          <w:highlight w:val="none"/>
          <w:lang w:val="en-US" w:eastAsia="zh-CN"/>
        </w:rPr>
        <w:t>2.本项目的</w:t>
      </w:r>
      <w:r>
        <w:rPr>
          <w:rFonts w:hint="eastAsia" w:ascii="宋体" w:eastAsia="宋体" w:cs="宋体"/>
          <w:color w:val="auto"/>
          <w:sz w:val="24"/>
          <w:szCs w:val="24"/>
          <w:highlight w:val="none"/>
          <w:lang w:val="en-US" w:eastAsia="zh-CN"/>
        </w:rPr>
        <w:t>维修</w:t>
      </w:r>
      <w:r>
        <w:rPr>
          <w:rFonts w:hint="default" w:ascii="宋体" w:eastAsia="宋体" w:cs="宋体"/>
          <w:color w:val="auto"/>
          <w:sz w:val="24"/>
          <w:szCs w:val="24"/>
          <w:highlight w:val="none"/>
          <w:lang w:val="en-US" w:eastAsia="zh-CN"/>
        </w:rPr>
        <w:t>费包含</w:t>
      </w:r>
      <w:r>
        <w:rPr>
          <w:rFonts w:hint="eastAsia" w:ascii="宋体" w:eastAsia="宋体" w:cs="宋体"/>
          <w:color w:val="auto"/>
          <w:sz w:val="24"/>
          <w:szCs w:val="24"/>
          <w:highlight w:val="none"/>
          <w:lang w:val="en-US" w:eastAsia="zh-CN"/>
        </w:rPr>
        <w:t>维修</w:t>
      </w:r>
      <w:r>
        <w:rPr>
          <w:rFonts w:hint="default" w:ascii="宋体" w:eastAsia="宋体" w:cs="宋体"/>
          <w:color w:val="auto"/>
          <w:sz w:val="24"/>
          <w:szCs w:val="24"/>
          <w:highlight w:val="none"/>
          <w:lang w:val="en-US" w:eastAsia="zh-CN"/>
        </w:rPr>
        <w:t>期内空调设备清洗消毒、维修时产生的人工劳务费、</w:t>
      </w:r>
      <w:r>
        <w:rPr>
          <w:rFonts w:hint="eastAsia" w:ascii="宋体" w:eastAsia="宋体" w:cs="宋体"/>
          <w:color w:val="auto"/>
          <w:sz w:val="24"/>
          <w:szCs w:val="24"/>
          <w:highlight w:val="none"/>
          <w:lang w:val="en-US" w:eastAsia="zh-CN"/>
        </w:rPr>
        <w:t>维修</w:t>
      </w:r>
      <w:r>
        <w:rPr>
          <w:rFonts w:hint="default" w:ascii="宋体" w:eastAsia="宋体" w:cs="宋体"/>
          <w:color w:val="auto"/>
          <w:sz w:val="24"/>
          <w:szCs w:val="24"/>
          <w:highlight w:val="none"/>
          <w:lang w:val="en-US" w:eastAsia="zh-CN"/>
        </w:rPr>
        <w:t>工器具使用费、维修时产生的零配件、冷媒及耗材费用（分体空调设备支架、分体空调拆装费另计)、特殊位置的辅助作业费用（如高空作业）、交通差旅费及税费。</w:t>
      </w:r>
    </w:p>
    <w:p w14:paraId="11A7538D">
      <w:pPr>
        <w:adjustRightInd w:val="0"/>
        <w:snapToGrid w:val="0"/>
        <w:spacing w:line="360" w:lineRule="auto"/>
        <w:ind w:firstLine="0" w:firstLineChars="0"/>
        <w:jc w:val="left"/>
        <w:rPr>
          <w:rFonts w:hint="default"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3</w:t>
      </w:r>
      <w:r>
        <w:rPr>
          <w:rFonts w:hint="default" w:ascii="宋体" w:eastAsia="宋体" w:cs="宋体"/>
          <w:color w:val="auto"/>
          <w:sz w:val="24"/>
          <w:szCs w:val="24"/>
          <w:highlight w:val="none"/>
          <w:lang w:val="en-US" w:eastAsia="zh-CN"/>
        </w:rPr>
        <w:t>.</w:t>
      </w:r>
      <w:r>
        <w:rPr>
          <w:rFonts w:hint="eastAsia" w:ascii="宋体" w:eastAsia="宋体" w:cs="宋体"/>
          <w:color w:val="auto"/>
          <w:sz w:val="24"/>
          <w:szCs w:val="24"/>
          <w:highlight w:val="none"/>
          <w:lang w:val="en-US" w:eastAsia="zh-CN"/>
        </w:rPr>
        <w:t>空调种类：包括猎德分公司的挂壁式空调、立柜空调、吸顶式空调、多联式中央空调等所有类型，按清单统一单价进行计价</w:t>
      </w:r>
      <w:r>
        <w:rPr>
          <w:rFonts w:hint="default" w:ascii="宋体" w:eastAsia="宋体" w:cs="宋体"/>
          <w:color w:val="auto"/>
          <w:sz w:val="24"/>
          <w:szCs w:val="24"/>
          <w:highlight w:val="none"/>
          <w:lang w:val="en-US" w:eastAsia="zh-CN"/>
        </w:rPr>
        <w:t>。</w:t>
      </w:r>
    </w:p>
    <w:p w14:paraId="2E349FAD">
      <w:pPr>
        <w:adjustRightInd w:val="0"/>
        <w:snapToGrid w:val="0"/>
        <w:spacing w:line="360" w:lineRule="auto"/>
        <w:ind w:firstLine="0" w:firstLineChars="0"/>
        <w:jc w:val="left"/>
        <w:rPr>
          <w:rFonts w:hint="default" w:ascii="宋体" w:eastAsia="宋体" w:cs="宋体"/>
          <w:color w:val="auto"/>
          <w:sz w:val="24"/>
          <w:szCs w:val="24"/>
          <w:highlight w:val="none"/>
          <w:lang w:val="en-US" w:eastAsia="zh-CN"/>
        </w:rPr>
      </w:pPr>
      <w:r>
        <w:rPr>
          <w:rFonts w:hint="default" w:ascii="宋体" w:eastAsia="宋体" w:cs="宋体"/>
          <w:color w:val="auto"/>
          <w:sz w:val="24"/>
          <w:szCs w:val="24"/>
          <w:highlight w:val="none"/>
          <w:lang w:val="en-US" w:eastAsia="zh-CN"/>
        </w:rPr>
        <w:t>5.供应商为一般纳税人的，需按法定税率报价。</w:t>
      </w:r>
    </w:p>
    <w:p w14:paraId="049FF82C">
      <w:pPr>
        <w:pStyle w:val="2"/>
        <w:adjustRightInd w:val="0"/>
        <w:snapToGrid w:val="0"/>
        <w:spacing w:after="0" w:line="360" w:lineRule="auto"/>
        <w:ind w:left="0" w:leftChars="0"/>
        <w:rPr>
          <w:rFonts w:hint="default"/>
          <w:lang w:val="en-US" w:eastAsia="zh-CN"/>
        </w:rPr>
      </w:pPr>
      <w:r>
        <w:rPr>
          <w:rFonts w:hint="eastAsia" w:ascii="宋体" w:cs="宋体"/>
          <w:color w:val="auto"/>
          <w:sz w:val="24"/>
          <w:szCs w:val="24"/>
          <w:highlight w:val="none"/>
          <w:lang w:val="en-US" w:eastAsia="zh-CN"/>
        </w:rPr>
        <w:t>6.</w:t>
      </w:r>
      <w:r>
        <w:rPr>
          <w:rFonts w:hint="eastAsia" w:ascii="宋体" w:eastAsia="宋体" w:cs="宋体"/>
          <w:i w:val="0"/>
          <w:iCs w:val="0"/>
          <w:color w:val="000000"/>
          <w:sz w:val="24"/>
          <w:szCs w:val="24"/>
          <w:u w:val="none"/>
          <w:lang w:val="en-US" w:eastAsia="zh-CN"/>
        </w:rPr>
        <w:t>该项目</w:t>
      </w:r>
      <w:r>
        <w:rPr>
          <w:rFonts w:hint="eastAsia" w:ascii="宋体" w:cs="宋体"/>
          <w:color w:val="auto"/>
          <w:sz w:val="24"/>
          <w:szCs w:val="24"/>
          <w:highlight w:val="none"/>
          <w:lang w:val="en-US" w:eastAsia="zh-CN"/>
        </w:rPr>
        <w:t>基准价详见</w:t>
      </w:r>
      <w:r>
        <w:rPr>
          <w:rFonts w:hint="eastAsia" w:ascii="宋体" w:eastAsia="宋体" w:cs="宋体"/>
          <w:i w:val="0"/>
          <w:iCs w:val="0"/>
          <w:color w:val="000000"/>
          <w:sz w:val="24"/>
          <w:szCs w:val="24"/>
          <w:u w:val="none"/>
          <w:lang w:val="en-US" w:eastAsia="zh-CN"/>
        </w:rPr>
        <w:t>猎德分公司2025年生产区域空调维修项目</w:t>
      </w:r>
      <w:r>
        <w:rPr>
          <w:rFonts w:hint="eastAsia" w:ascii="宋体" w:cs="宋体"/>
          <w:color w:val="auto"/>
          <w:sz w:val="24"/>
          <w:szCs w:val="24"/>
          <w:highlight w:val="none"/>
          <w:lang w:val="en-US" w:eastAsia="zh-CN"/>
        </w:rPr>
        <w:t>基准价清单</w:t>
      </w:r>
    </w:p>
    <w:p w14:paraId="77C486BB">
      <w:pPr>
        <w:pStyle w:val="2"/>
        <w:wordWrap w:val="0"/>
        <w:spacing w:after="0" w:line="360" w:lineRule="auto"/>
        <w:ind w:left="0" w:leftChars="0" w:firstLine="0" w:firstLineChars="0"/>
        <w:jc w:val="both"/>
        <w:rPr>
          <w:rFonts w:hint="eastAsia" w:ascii="仿宋_GB2312" w:hAnsi="仿宋_GB2312" w:eastAsia="仿宋_GB2312" w:cs="仿宋_GB2312"/>
          <w:color w:val="auto"/>
          <w:sz w:val="32"/>
          <w:szCs w:val="32"/>
          <w:highlight w:val="none"/>
          <w:lang w:val="en-US" w:eastAsia="zh-CN"/>
        </w:rPr>
      </w:pPr>
      <w:r>
        <w:rPr>
          <w:rFonts w:hint="eastAsia" w:ascii="宋体" w:cs="宋体"/>
          <w:color w:val="auto"/>
          <w:sz w:val="24"/>
          <w:szCs w:val="24"/>
          <w:highlight w:val="none"/>
          <w:lang w:val="en-US" w:eastAsia="zh-CN"/>
        </w:rPr>
        <w:t>7.</w:t>
      </w:r>
      <w:r>
        <w:rPr>
          <w:rFonts w:hint="default" w:ascii="宋体" w:eastAsia="宋体" w:cs="宋体"/>
          <w:color w:val="auto"/>
          <w:sz w:val="24"/>
          <w:szCs w:val="24"/>
          <w:highlight w:val="none"/>
          <w:lang w:val="en-US" w:eastAsia="zh-CN"/>
        </w:rPr>
        <w:t>含税价=不含税价*（1+税率）</w:t>
      </w:r>
    </w:p>
    <w:p w14:paraId="7A29BFE6">
      <w:pPr>
        <w:pStyle w:val="2"/>
        <w:wordWrap w:val="0"/>
        <w:spacing w:after="0" w:line="360" w:lineRule="auto"/>
        <w:ind w:left="0" w:leftChars="0" w:firstLine="0" w:firstLineChars="0"/>
        <w:jc w:val="both"/>
        <w:rPr>
          <w:rFonts w:hint="eastAsia" w:ascii="宋体" w:hAnsi="宋体" w:eastAsia="宋体" w:cs="宋体"/>
          <w:b w:val="0"/>
          <w:bCs w:val="0"/>
          <w:sz w:val="24"/>
          <w:szCs w:val="24"/>
          <w:highlight w:val="none"/>
          <w:lang w:val="en-US" w:eastAsia="zh-CN"/>
        </w:rPr>
      </w:pPr>
      <w:r>
        <w:rPr>
          <w:rFonts w:hint="eastAsia" w:ascii="宋体" w:hAnsi="宋体" w:cs="宋体"/>
          <w:sz w:val="24"/>
          <w:szCs w:val="24"/>
          <w:lang w:val="en-US" w:eastAsia="zh-CN"/>
        </w:rPr>
        <w:t>附：猎德分公司2025年生产区域空调维修项目</w:t>
      </w:r>
      <w:r>
        <w:rPr>
          <w:rFonts w:hint="eastAsia" w:ascii="宋体" w:hAnsi="宋体" w:eastAsia="宋体" w:cs="宋体"/>
          <w:b w:val="0"/>
          <w:bCs w:val="0"/>
          <w:sz w:val="24"/>
          <w:szCs w:val="24"/>
          <w:highlight w:val="none"/>
          <w:lang w:val="en-US" w:eastAsia="zh-CN"/>
        </w:rPr>
        <w:t>基准价清单</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2622"/>
        <w:gridCol w:w="538"/>
        <w:gridCol w:w="538"/>
        <w:gridCol w:w="759"/>
        <w:gridCol w:w="529"/>
        <w:gridCol w:w="1546"/>
        <w:gridCol w:w="529"/>
        <w:gridCol w:w="529"/>
        <w:gridCol w:w="849"/>
      </w:tblGrid>
      <w:tr w14:paraId="2DE08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0" w:type="auto"/>
            <w:gridSpan w:val="10"/>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61D729">
            <w:pPr>
              <w:keepNext w:val="0"/>
              <w:keepLines w:val="0"/>
              <w:widowControl/>
              <w:suppressLineNumbers w:val="0"/>
              <w:jc w:val="center"/>
              <w:textAlignment w:val="center"/>
              <w:rPr>
                <w:rFonts w:hint="eastAsia" w:ascii="宋体" w:hAnsi="宋体" w:eastAsia="宋体" w:cs="宋体"/>
                <w:i w:val="0"/>
                <w:iCs w:val="0"/>
                <w:color w:val="000000"/>
                <w:kern w:val="0"/>
                <w:sz w:val="32"/>
                <w:szCs w:val="32"/>
                <w:u w:val="none"/>
                <w:lang w:val="en-US" w:eastAsia="zh-CN" w:bidi="ar"/>
              </w:rPr>
            </w:pPr>
            <w:r>
              <w:rPr>
                <w:rFonts w:hint="eastAsia" w:ascii="宋体" w:hAnsi="宋体" w:eastAsia="宋体" w:cs="宋体"/>
                <w:i w:val="0"/>
                <w:iCs w:val="0"/>
                <w:color w:val="000000"/>
                <w:kern w:val="0"/>
                <w:sz w:val="22"/>
                <w:szCs w:val="22"/>
                <w:u w:val="none"/>
                <w:lang w:val="en-US" w:eastAsia="zh-CN" w:bidi="ar"/>
              </w:rPr>
              <w:t>猎德分公司2025年生产区域空调维修项目基准价清单</w:t>
            </w:r>
          </w:p>
        </w:tc>
      </w:tr>
      <w:tr w14:paraId="1ADD4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1D3526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DF5AF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CD990F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EBA08B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0" w:type="auto"/>
            <w:tcBorders>
              <w:top w:val="single" w:color="000000" w:sz="8" w:space="0"/>
              <w:left w:val="single" w:color="000000" w:sz="8" w:space="0"/>
              <w:right w:val="single" w:color="000000" w:sz="8" w:space="0"/>
            </w:tcBorders>
            <w:shd w:val="clear" w:color="auto" w:fill="auto"/>
            <w:vAlign w:val="center"/>
          </w:tcPr>
          <w:p w14:paraId="6335437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基准价</w:t>
            </w:r>
          </w:p>
          <w:p w14:paraId="1D8637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（元）</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CBD302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B89970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项目名称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4814A3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单位</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DDB2AC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数量</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61004A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基准价</w:t>
            </w:r>
          </w:p>
          <w:p w14:paraId="492140C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（元）</w:t>
            </w:r>
          </w:p>
        </w:tc>
      </w:tr>
      <w:tr w14:paraId="075A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36711A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A5D129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深度清洗</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705A54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5E14E5D">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98B954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F09BB2">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29</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D70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更换面板卡扣</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E0E1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A616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784F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68.25</w:t>
            </w:r>
          </w:p>
        </w:tc>
      </w:tr>
      <w:tr w14:paraId="7F516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87C99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00FC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更换1-1.5P压缩机（分体机）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1EDE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7412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8466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1575</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F7636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30</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EA47A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更换内机控制板</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B0B8A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731E1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1D7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682.5</w:t>
            </w:r>
          </w:p>
        </w:tc>
      </w:tr>
      <w:tr w14:paraId="219EB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23039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0E03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更换2压缩机（分体机）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7BC26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8E96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CE3D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AFF8181">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31</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986F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更换外机控制板</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2AB0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F2FC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7A8D4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682.5</w:t>
            </w:r>
          </w:p>
        </w:tc>
      </w:tr>
      <w:tr w14:paraId="3901E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BC4D1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51A8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更换3压缩机（分体机）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01E1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352E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30F6F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061D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32</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22464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更换显示板</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BC9B1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7002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BD9E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w:t>
            </w:r>
          </w:p>
        </w:tc>
      </w:tr>
      <w:tr w14:paraId="0100D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1FD71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5</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CFEA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更换5压缩机（分体机）</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46299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D7CC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00A26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18CB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33</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F6D11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更换感温包</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E04C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37AA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068B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6B496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3DD31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6</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9B69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更换变频压缩机（多联机10匹以下）</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F75C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5D35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1D64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80B4B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34</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9290A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更换遥控器</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E0B59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BE827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26B8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6AA0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80E7E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7</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60ECF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更换蒸发器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414F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9870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201FC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3C30E9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35</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A8A03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更换接收头</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B06F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0C38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BE3CD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689E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53AAF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BE649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更换冷凝器</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7F8979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3F05F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5D748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3150</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837023">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36</w:t>
            </w:r>
          </w:p>
        </w:tc>
        <w:tc>
          <w:tcPr>
            <w:tcW w:w="15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5DB7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Style w:val="52"/>
                <w:sz w:val="18"/>
                <w:szCs w:val="18"/>
                <w:lang w:val="en-US" w:eastAsia="zh-CN" w:bidi="ar"/>
              </w:rPr>
              <w:t>更换外机风扇电 机</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3479D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3770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06B8F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r>
      <w:tr w14:paraId="77E9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BE6F1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5407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更换四通阀</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2997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F38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221B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58E2CE6">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37</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59F10A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更换内机风扇电机</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55BD6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5DF4A2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7F8ED0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546</w:t>
            </w:r>
          </w:p>
        </w:tc>
      </w:tr>
      <w:tr w14:paraId="56104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D4C4A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82EE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补加制冷剂</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78B6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A04C8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C1FC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10C7FB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38</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706E59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更换控制主板</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30B53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92136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123091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546</w:t>
            </w:r>
          </w:p>
        </w:tc>
      </w:tr>
      <w:tr w14:paraId="0C6D3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73E2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4EE4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查漏补漏</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BF1E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BE7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9AB7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7911A6C">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39</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40F6BB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更换扫风电机</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D31BC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9DF77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49E8DB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7DC3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D6233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5B7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更换喇叭口</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6177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E74F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AA2D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841972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40</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44A6F0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更换压缩机电容</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25246F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39A06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3A1143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03FBB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4518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A0FD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更换电磁阀阀体</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3454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C16B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6A79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78C238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41</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45CA8D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更换风机电容</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6C879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601C2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38DC4F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69FC5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2572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6B2F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更换内机管路</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050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10D73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F382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BAECA0A">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42</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5448C7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更换保险管</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364CA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A81A6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28F4A3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7BBBD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461D2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01C2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更换气液分离器</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90FB4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13EE6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DD13D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2F8D34D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43</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3E110A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更换阀体线圈</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DF824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0C051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62DDFF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w:t>
            </w:r>
          </w:p>
        </w:tc>
      </w:tr>
      <w:tr w14:paraId="167F1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C76872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DD4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更换压力开关</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8952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E5AF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F938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1CEC597">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44</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708F8B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更换继电器</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55C33C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CD76C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277E29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r>
      <w:tr w14:paraId="11643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E0FED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FB56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调整管路</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FF0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8CFF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9D72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E7C6BB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45</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13B23BD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更换电抗器</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505B1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166E1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5BD3F6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345</w:t>
            </w:r>
          </w:p>
        </w:tc>
      </w:tr>
      <w:tr w14:paraId="45A7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FD9D4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7E15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更换内机风叶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D8E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8C11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0EA4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73C634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46</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025E7C9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更换开关电源</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555CD5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BFF57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0CAB89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r>
      <w:tr w14:paraId="4120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73EB5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19</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382D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更换外机风叶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AEE1C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374E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06C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190FF5D">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47</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391294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更换水泵</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45B3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5B4D16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2691F8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w:t>
            </w:r>
          </w:p>
        </w:tc>
      </w:tr>
      <w:tr w14:paraId="10A3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0435D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20</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7AE4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排除零部件噪音</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519A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9953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7F19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1791C565">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48</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589E18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更换电加热管</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1F806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29C584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41B245D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78.75</w:t>
            </w:r>
          </w:p>
        </w:tc>
      </w:tr>
      <w:tr w14:paraId="7061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397D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F14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紧固件松动、接线脱落</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B066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A888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5C8E9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51A2D07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49</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5815AC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更换电源线、电源连接线</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63EAB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2795A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5168D3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73.5</w:t>
            </w:r>
          </w:p>
        </w:tc>
      </w:tr>
      <w:tr w14:paraId="413B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877E0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22</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C82C3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更换导风、扫风机构</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EDD5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E7D3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0405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E862A60">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50</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3B49E9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更换信号控制连接线</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0A39F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m</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265A0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5A7C9B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73.5</w:t>
            </w:r>
          </w:p>
        </w:tc>
      </w:tr>
      <w:tr w14:paraId="0039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E9F6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C120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处理接水盘及排水管漏堵</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ED15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57F7C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14F5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9FEAD84">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51</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11CB25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更换换气电机</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DDA87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台</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3A40B37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4AB501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682.5</w:t>
            </w:r>
          </w:p>
        </w:tc>
      </w:tr>
      <w:tr w14:paraId="4DE2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54D0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24</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E61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更换内机出风框</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4FF19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0A03C3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D595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71DE5AD9">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52</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55D209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更换相序保护器</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AD2286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ECD0C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53007D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210</w:t>
            </w:r>
          </w:p>
        </w:tc>
      </w:tr>
      <w:tr w14:paraId="39EDD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CB1C0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8785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调整风叶</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223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2FE8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7CF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315</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90048EB">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53</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74E53C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老鼠咬断线维修</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22DE403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次</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2DB108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221403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r>
      <w:tr w14:paraId="6BFC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EE84B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26</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6FFDC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内外机更换、加贴海绵、阻尼块</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F28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1C9A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448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7FA2348">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54</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5DFFB9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更换接线板</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63EF83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1CCC2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151645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315</w:t>
            </w:r>
          </w:p>
        </w:tc>
      </w:tr>
      <w:tr w14:paraId="79E3B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1EEB85C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27</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42C7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更换内机接水盘</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F715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A642E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308A10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495566E">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55</w:t>
            </w:r>
          </w:p>
        </w:tc>
        <w:tc>
          <w:tcPr>
            <w:tcW w:w="1546" w:type="dxa"/>
            <w:tcBorders>
              <w:top w:val="nil"/>
              <w:left w:val="single" w:color="000000" w:sz="8" w:space="0"/>
              <w:bottom w:val="single" w:color="000000" w:sz="8" w:space="0"/>
              <w:right w:val="single" w:color="000000" w:sz="8" w:space="0"/>
            </w:tcBorders>
            <w:shd w:val="clear" w:color="auto" w:fill="auto"/>
            <w:vAlign w:val="center"/>
          </w:tcPr>
          <w:p w14:paraId="4E9D00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更换压力传感器</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0E78B7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529" w:type="dxa"/>
            <w:tcBorders>
              <w:top w:val="nil"/>
              <w:left w:val="single" w:color="000000" w:sz="8" w:space="0"/>
              <w:bottom w:val="single" w:color="000000" w:sz="8" w:space="0"/>
              <w:right w:val="single" w:color="000000" w:sz="8" w:space="0"/>
            </w:tcBorders>
            <w:shd w:val="clear" w:color="auto" w:fill="auto"/>
            <w:vAlign w:val="center"/>
          </w:tcPr>
          <w:p w14:paraId="468B30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49" w:type="dxa"/>
            <w:tcBorders>
              <w:top w:val="nil"/>
              <w:left w:val="single" w:color="000000" w:sz="8" w:space="0"/>
              <w:bottom w:val="single" w:color="000000" w:sz="8" w:space="0"/>
              <w:right w:val="single" w:color="000000" w:sz="8" w:space="0"/>
            </w:tcBorders>
            <w:shd w:val="clear" w:color="auto" w:fill="auto"/>
            <w:vAlign w:val="center"/>
          </w:tcPr>
          <w:p w14:paraId="4B20502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525</w:t>
            </w:r>
          </w:p>
        </w:tc>
      </w:tr>
      <w:tr w14:paraId="0275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14:paraId="08FD3CBF">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28</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E8F5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更换排水管</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257DC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49C75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1BCFD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68.25</w:t>
            </w:r>
          </w:p>
        </w:tc>
        <w:tc>
          <w:tcPr>
            <w:tcW w:w="0" w:type="auto"/>
            <w:tcBorders>
              <w:top w:val="nil"/>
              <w:left w:val="single" w:color="000000" w:sz="8" w:space="0"/>
              <w:bottom w:val="single" w:color="000000" w:sz="8" w:space="0"/>
              <w:right w:val="single" w:color="000000" w:sz="8" w:space="0"/>
            </w:tcBorders>
            <w:shd w:val="clear" w:color="auto" w:fill="auto"/>
            <w:vAlign w:val="center"/>
          </w:tcPr>
          <w:p w14:paraId="60F2F79F">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790481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01CF37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17DCAB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0" w:type="auto"/>
            <w:tcBorders>
              <w:top w:val="nil"/>
              <w:left w:val="single" w:color="000000" w:sz="8" w:space="0"/>
              <w:bottom w:val="single" w:color="000000" w:sz="8" w:space="0"/>
              <w:right w:val="single" w:color="000000" w:sz="8" w:space="0"/>
            </w:tcBorders>
            <w:shd w:val="clear" w:color="auto" w:fill="auto"/>
            <w:vAlign w:val="center"/>
          </w:tcPr>
          <w:p w14:paraId="3D5A44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94F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sz="8" w:space="0"/>
              <w:left w:val="single" w:color="000000" w:sz="8" w:space="0"/>
              <w:bottom w:val="single" w:color="000000" w:sz="8" w:space="0"/>
              <w:right w:val="single" w:color="000000" w:sz="8" w:space="0"/>
            </w:tcBorders>
            <w:shd w:val="clear" w:color="auto" w:fill="auto"/>
            <w:vAlign w:val="center"/>
          </w:tcPr>
          <w:p w14:paraId="7DF016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备注：以上费用包括上门及需更换配件的费用</w:t>
            </w:r>
          </w:p>
        </w:tc>
      </w:tr>
    </w:tbl>
    <w:p w14:paraId="2F11E9D8">
      <w:pPr>
        <w:pStyle w:val="2"/>
        <w:adjustRightInd w:val="0"/>
        <w:snapToGrid w:val="0"/>
        <w:spacing w:after="0" w:line="360" w:lineRule="auto"/>
        <w:ind w:left="0" w:leftChars="0"/>
        <w:rPr>
          <w:rFonts w:hint="eastAsia" w:ascii="仿宋_GB2312" w:hAnsi="仿宋_GB2312" w:eastAsia="仿宋_GB2312" w:cs="仿宋_GB2312"/>
          <w:color w:val="auto"/>
          <w:sz w:val="32"/>
          <w:szCs w:val="32"/>
          <w:highlight w:val="none"/>
          <w:lang w:val="en-US" w:eastAsia="zh-CN"/>
        </w:rPr>
      </w:pPr>
      <w:r>
        <w:rPr>
          <w:rFonts w:hint="eastAsia" w:ascii="宋体" w:hAnsi="宋体" w:eastAsia="宋体" w:cs="宋体"/>
          <w:sz w:val="24"/>
          <w:szCs w:val="24"/>
        </w:rPr>
        <w:t>备注：以</w:t>
      </w:r>
      <w:r>
        <w:rPr>
          <w:rFonts w:hint="eastAsia" w:ascii="宋体" w:hAnsi="宋体" w:eastAsia="宋体" w:cs="宋体"/>
          <w:sz w:val="24"/>
          <w:szCs w:val="24"/>
          <w:lang w:val="en-US" w:eastAsia="zh-CN"/>
        </w:rPr>
        <w:t>猎德分公司2025年生产区域空调维修项目</w:t>
      </w:r>
      <w:r>
        <w:rPr>
          <w:rFonts w:hint="eastAsia" w:ascii="宋体" w:hAnsi="宋体" w:eastAsia="宋体" w:cs="宋体"/>
          <w:sz w:val="24"/>
          <w:szCs w:val="24"/>
          <w:lang w:bidi="ar"/>
        </w:rPr>
        <w:t>基准价</w:t>
      </w:r>
      <w:r>
        <w:rPr>
          <w:rFonts w:hint="eastAsia" w:ascii="宋体" w:hAnsi="宋体" w:eastAsia="宋体" w:cs="宋体"/>
          <w:sz w:val="24"/>
          <w:szCs w:val="24"/>
        </w:rPr>
        <w:t>栏为基准，对上述</w:t>
      </w:r>
      <w:r>
        <w:rPr>
          <w:rFonts w:hint="eastAsia" w:ascii="宋体" w:hAnsi="宋体" w:eastAsia="宋体" w:cs="宋体"/>
          <w:sz w:val="24"/>
          <w:szCs w:val="24"/>
          <w:lang w:val="en-US" w:eastAsia="zh-CN"/>
        </w:rPr>
        <w:t>项目</w:t>
      </w:r>
      <w:r>
        <w:rPr>
          <w:rFonts w:hint="eastAsia" w:ascii="宋体" w:hAnsi="宋体" w:eastAsia="宋体" w:cs="宋体"/>
          <w:sz w:val="24"/>
          <w:szCs w:val="24"/>
        </w:rPr>
        <w:t>的</w:t>
      </w:r>
      <w:r>
        <w:rPr>
          <w:rFonts w:hint="eastAsia" w:ascii="宋体" w:hAnsi="宋体" w:eastAsia="宋体" w:cs="宋体"/>
          <w:sz w:val="24"/>
          <w:szCs w:val="24"/>
          <w:lang w:bidi="ar"/>
        </w:rPr>
        <w:t>基准价</w:t>
      </w:r>
      <w:r>
        <w:rPr>
          <w:rFonts w:hint="eastAsia" w:ascii="宋体" w:hAnsi="宋体" w:eastAsia="宋体" w:cs="宋体"/>
          <w:sz w:val="24"/>
          <w:szCs w:val="24"/>
        </w:rPr>
        <w:t>报下浮率，结算</w:t>
      </w:r>
      <w:r>
        <w:rPr>
          <w:rFonts w:hint="eastAsia" w:ascii="宋体" w:hAnsi="宋体" w:eastAsia="宋体" w:cs="宋体"/>
          <w:sz w:val="24"/>
          <w:szCs w:val="24"/>
          <w:lang w:val="en-US" w:eastAsia="zh-CN"/>
        </w:rPr>
        <w:t>按实际发生的工程量进行结算</w:t>
      </w:r>
      <w:r>
        <w:rPr>
          <w:rFonts w:hint="eastAsia" w:ascii="宋体" w:hAnsi="宋体" w:eastAsia="宋体" w:cs="宋体"/>
          <w:sz w:val="24"/>
          <w:szCs w:val="24"/>
        </w:rPr>
        <w:t>。</w:t>
      </w:r>
    </w:p>
    <w:p w14:paraId="10D8DDBB">
      <w:pPr>
        <w:pStyle w:val="2"/>
        <w:wordWrap/>
        <w:spacing w:after="0" w:line="360" w:lineRule="auto"/>
        <w:jc w:val="righ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报价单位（加盖公章）：                         </w:t>
      </w:r>
    </w:p>
    <w:p w14:paraId="3E97A5B8">
      <w:pPr>
        <w:pStyle w:val="2"/>
        <w:wordWrap/>
        <w:spacing w:after="0" w:line="360" w:lineRule="auto"/>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28"/>
          <w:szCs w:val="28"/>
          <w:lang w:val="en-US" w:eastAsia="zh-CN"/>
        </w:rPr>
        <w:t>日期：   年   月   日</w:t>
      </w:r>
      <w:r>
        <w:rPr>
          <w:rFonts w:hint="eastAsia" w:ascii="仿宋_GB2312" w:hAnsi="仿宋_GB2312" w:eastAsia="仿宋_GB2312" w:cs="仿宋_GB2312"/>
          <w:sz w:val="32"/>
          <w:szCs w:val="32"/>
          <w:lang w:val="en-US" w:eastAsia="zh-CN"/>
        </w:rPr>
        <w:t xml:space="preserve">        </w:t>
      </w:r>
    </w:p>
    <w:p w14:paraId="2F1156C9">
      <w:pPr>
        <w:spacing w:line="360" w:lineRule="auto"/>
        <w:rPr>
          <w:rFonts w:hint="default" w:ascii="黑体" w:hAnsi="黑体" w:eastAsia="黑体" w:cs="黑体"/>
          <w:b/>
          <w:bCs/>
          <w:color w:val="auto"/>
          <w:sz w:val="32"/>
          <w:szCs w:val="32"/>
          <w:highlight w:val="none"/>
          <w:lang w:val="en-US" w:eastAsia="zh-CN"/>
        </w:rPr>
      </w:pPr>
      <w:bookmarkStart w:id="112" w:name="_Toc87616402"/>
      <w:bookmarkStart w:id="113" w:name="_Toc16386"/>
      <w:bookmarkStart w:id="114" w:name="_Toc88209965"/>
      <w:bookmarkStart w:id="115" w:name="_Toc6058"/>
      <w:r>
        <w:rPr>
          <w:rFonts w:hint="eastAsia" w:ascii="黑体" w:hAnsi="黑体" w:eastAsia="黑体" w:cs="黑体"/>
          <w:b/>
          <w:bCs/>
          <w:color w:val="auto"/>
          <w:sz w:val="32"/>
          <w:szCs w:val="32"/>
          <w:highlight w:val="none"/>
          <w:lang w:val="en-US" w:eastAsia="zh-CN"/>
        </w:rPr>
        <w:t>6.承诺函</w:t>
      </w:r>
    </w:p>
    <w:p w14:paraId="60918358">
      <w:pPr>
        <w:jc w:val="center"/>
        <w:rPr>
          <w:rFonts w:hint="eastAsia" w:ascii="仿宋_GB2312" w:hAnsi="宋体" w:eastAsia="仿宋_GB2312" w:cs="Times New Roman"/>
          <w:color w:val="auto"/>
          <w:sz w:val="28"/>
          <w:szCs w:val="28"/>
          <w:highlight w:val="none"/>
        </w:rPr>
      </w:pPr>
      <w:r>
        <w:rPr>
          <w:rFonts w:hint="eastAsia" w:cs="宋体"/>
          <w:b/>
          <w:color w:val="auto"/>
          <w:sz w:val="32"/>
          <w:szCs w:val="32"/>
          <w:highlight w:val="none"/>
        </w:rPr>
        <w:t>承诺函</w:t>
      </w:r>
    </w:p>
    <w:p w14:paraId="77857A92">
      <w:pPr>
        <w:adjustRightInd w:val="0"/>
        <w:snapToGrid w:val="0"/>
        <w:spacing w:line="360" w:lineRule="auto"/>
        <w:jc w:val="left"/>
        <w:rPr>
          <w:rFonts w:hint="eastAsia" w:ascii="宋体" w:hAnsi="宋体" w:cs="宋体" w:eastAsiaTheme="minorEastAsia"/>
          <w:color w:val="auto"/>
          <w:sz w:val="24"/>
          <w:szCs w:val="24"/>
          <w:highlight w:val="none"/>
          <w:lang w:val="en-GB"/>
        </w:rPr>
      </w:pPr>
      <w:r>
        <w:rPr>
          <w:rFonts w:hint="eastAsia" w:ascii="宋体" w:hAnsi="Times New Roman" w:eastAsia="宋体" w:cs="宋体"/>
          <w:color w:val="auto"/>
          <w:sz w:val="24"/>
          <w:szCs w:val="24"/>
          <w:highlight w:val="none"/>
        </w:rPr>
        <w:t>广</w:t>
      </w:r>
      <w:r>
        <w:rPr>
          <w:rFonts w:hint="eastAsia" w:ascii="宋体" w:hAnsi="宋体" w:cs="宋体" w:eastAsiaTheme="minorEastAsia"/>
          <w:color w:val="auto"/>
          <w:sz w:val="24"/>
          <w:szCs w:val="24"/>
          <w:highlight w:val="none"/>
          <w:lang w:val="en-GB"/>
        </w:rPr>
        <w:t>州市净水有限公司：</w:t>
      </w:r>
    </w:p>
    <w:p w14:paraId="026ABAF4">
      <w:pPr>
        <w:adjustRightInd w:val="0"/>
        <w:snapToGrid w:val="0"/>
        <w:spacing w:line="360" w:lineRule="auto"/>
        <w:ind w:firstLine="480" w:firstLineChars="200"/>
        <w:jc w:val="left"/>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我方承诺</w:t>
      </w:r>
      <w:r>
        <w:rPr>
          <w:rFonts w:hint="eastAsia" w:ascii="宋体" w:hAnsi="宋体" w:cs="宋体" w:eastAsiaTheme="minorEastAsia"/>
          <w:color w:val="auto"/>
          <w:sz w:val="24"/>
          <w:szCs w:val="24"/>
          <w:highlight w:val="none"/>
          <w:lang w:val="en-GB" w:eastAsia="zh-CN"/>
        </w:rPr>
        <w:t>，</w:t>
      </w:r>
      <w:r>
        <w:rPr>
          <w:rFonts w:hint="eastAsia" w:ascii="宋体" w:hAnsi="宋体" w:cs="宋体" w:eastAsiaTheme="minorEastAsia"/>
          <w:color w:val="auto"/>
          <w:sz w:val="24"/>
          <w:szCs w:val="24"/>
          <w:highlight w:val="none"/>
          <w:lang w:val="en-GB"/>
        </w:rPr>
        <w:t>中选后所提供的备件均为</w:t>
      </w:r>
      <w:r>
        <w:rPr>
          <w:rFonts w:hint="eastAsia" w:ascii="宋体" w:hAnsi="宋体" w:cs="宋体" w:eastAsiaTheme="minorEastAsia"/>
          <w:color w:val="auto"/>
          <w:sz w:val="24"/>
          <w:szCs w:val="24"/>
          <w:highlight w:val="none"/>
          <w:lang w:val="en-GB" w:eastAsia="zh-CN"/>
        </w:rPr>
        <w:t>符合采购文件要求的</w:t>
      </w:r>
      <w:r>
        <w:rPr>
          <w:rFonts w:hint="eastAsia" w:ascii="宋体" w:hAnsi="宋体" w:cs="宋体" w:eastAsiaTheme="minorEastAsia"/>
          <w:color w:val="auto"/>
          <w:sz w:val="24"/>
          <w:szCs w:val="24"/>
          <w:highlight w:val="none"/>
          <w:lang w:val="en-GB"/>
        </w:rPr>
        <w:t>原厂商/制造商全新产品，</w:t>
      </w:r>
      <w:r>
        <w:rPr>
          <w:rFonts w:hint="eastAsia" w:ascii="宋体" w:hAnsi="宋体" w:cs="宋体" w:eastAsiaTheme="minorEastAsia"/>
          <w:color w:val="auto"/>
          <w:sz w:val="24"/>
          <w:szCs w:val="24"/>
          <w:highlight w:val="none"/>
          <w:lang w:val="en-US" w:eastAsia="zh-CN"/>
        </w:rPr>
        <w:t>配件尺寸须与附件图纸一致，且</w:t>
      </w:r>
      <w:r>
        <w:rPr>
          <w:rFonts w:hint="eastAsia" w:ascii="宋体" w:hAnsi="宋体" w:cs="宋体" w:eastAsiaTheme="minorEastAsia"/>
          <w:color w:val="auto"/>
          <w:sz w:val="24"/>
          <w:szCs w:val="24"/>
          <w:highlight w:val="none"/>
          <w:lang w:val="en-GB" w:eastAsia="zh-CN"/>
        </w:rPr>
        <w:t>所提供的产品必须与现有设备的所有参数相匹配。货物在质保期（自货物到货验收合格之日起1年内）内如有质量问题或未能适配原有设备时，我方承诺在24小时内立即响应</w:t>
      </w:r>
      <w:r>
        <w:rPr>
          <w:rFonts w:hint="eastAsia" w:ascii="宋体" w:hAnsi="宋体" w:cs="宋体" w:eastAsiaTheme="minorEastAsia"/>
          <w:color w:val="auto"/>
          <w:sz w:val="24"/>
          <w:szCs w:val="24"/>
          <w:highlight w:val="none"/>
          <w:lang w:val="en-GB"/>
        </w:rPr>
        <w:t>。</w:t>
      </w:r>
    </w:p>
    <w:p w14:paraId="27E110C7">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p>
    <w:p w14:paraId="3FB88910">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p>
    <w:p w14:paraId="12263086">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eastAsia="zh-CN"/>
        </w:rPr>
      </w:pPr>
    </w:p>
    <w:p w14:paraId="4424B692">
      <w:pPr>
        <w:adjustRightInd w:val="0"/>
        <w:snapToGrid w:val="0"/>
        <w:spacing w:line="360" w:lineRule="auto"/>
        <w:ind w:firstLine="480" w:firstLineChars="200"/>
        <w:jc w:val="right"/>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 xml:space="preserve">供应商名称（加盖公章）： </w:t>
      </w:r>
    </w:p>
    <w:p w14:paraId="1580A934">
      <w:pPr>
        <w:adjustRightInd w:val="0"/>
        <w:snapToGrid w:val="0"/>
        <w:spacing w:line="360" w:lineRule="auto"/>
        <w:ind w:firstLine="480" w:firstLineChars="200"/>
        <w:jc w:val="right"/>
        <w:rPr>
          <w:rFonts w:hint="eastAsia" w:ascii="宋体" w:hAnsi="宋体" w:cs="宋体" w:eastAsiaTheme="minorEastAsia"/>
          <w:color w:val="auto"/>
          <w:sz w:val="24"/>
          <w:szCs w:val="24"/>
          <w:highlight w:val="none"/>
          <w:lang w:val="en-US" w:eastAsia="zh-CN"/>
        </w:rPr>
      </w:pPr>
      <w:r>
        <w:rPr>
          <w:rFonts w:hint="eastAsia" w:ascii="宋体" w:hAnsi="宋体" w:cs="宋体" w:eastAsiaTheme="minorEastAsia"/>
          <w:color w:val="auto"/>
          <w:sz w:val="24"/>
          <w:szCs w:val="24"/>
          <w:highlight w:val="none"/>
          <w:lang w:val="en-GB"/>
        </w:rPr>
        <w:t>日期：  年  月  日</w:t>
      </w:r>
    </w:p>
    <w:p w14:paraId="7096E390">
      <w:pPr>
        <w:spacing w:line="360" w:lineRule="auto"/>
        <w:rPr>
          <w:rFonts w:hint="eastAsia" w:ascii="黑体" w:hAnsi="黑体" w:eastAsia="黑体" w:cs="黑体"/>
          <w:b/>
          <w:bCs/>
          <w:color w:val="auto"/>
          <w:sz w:val="32"/>
          <w:szCs w:val="32"/>
          <w:highlight w:val="none"/>
          <w:lang w:val="en-US" w:eastAsia="zh-CN"/>
        </w:rPr>
      </w:pPr>
    </w:p>
    <w:p w14:paraId="7C7D9FB4">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7.其他资料</w:t>
      </w:r>
      <w:bookmarkEnd w:id="112"/>
      <w:bookmarkEnd w:id="113"/>
      <w:bookmarkEnd w:id="114"/>
      <w:bookmarkEnd w:id="115"/>
    </w:p>
    <w:p w14:paraId="1D4E170C">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headerReference r:id="rId10" w:type="default"/>
      <w:footerReference r:id="rId11"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E3CAE">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932951">
                          <w:pPr>
                            <w:pStyle w:val="14"/>
                          </w:pPr>
                        </w:p>
                        <w:p w14:paraId="45F5E25C"/>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49932951">
                    <w:pPr>
                      <w:pStyle w:val="14"/>
                    </w:pPr>
                  </w:p>
                  <w:p w14:paraId="45F5E25C"/>
                </w:txbxContent>
              </v:textbox>
            </v:shape>
          </w:pict>
        </mc:Fallback>
      </mc:AlternateContent>
    </w:r>
  </w:p>
  <w:p w14:paraId="452DF52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3276F2E1">
        <w:pPr>
          <w:pStyle w:val="14"/>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11586D6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41102">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8E01D0">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rHPc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Gsc9yQEAAJkDAAAOAAAAAAAAAAEAIAAAAB4BAABkcnMvZTJvRG9j&#10;LnhtbFBLBQYAAAAABgAGAFkBAABZBQAAAAA=&#10;">
              <v:fill on="f" focussize="0,0"/>
              <v:stroke on="f"/>
              <v:imagedata o:title=""/>
              <o:lock v:ext="edit" aspectratio="f"/>
              <v:textbox inset="0mm,0mm,0mm,0mm" style="mso-fit-shape-to-text:t;">
                <w:txbxContent>
                  <w:p w14:paraId="158E01D0">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8EC512">
                          <w:pPr>
                            <w:pStyle w:val="14"/>
                          </w:pPr>
                        </w:p>
                        <w:p w14:paraId="462FF552"/>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14:paraId="068EC512">
                    <w:pPr>
                      <w:pStyle w:val="14"/>
                    </w:pPr>
                  </w:p>
                  <w:p w14:paraId="462FF552"/>
                </w:txbxContent>
              </v:textbox>
            </v:shape>
          </w:pict>
        </mc:Fallback>
      </mc:AlternateContent>
    </w:r>
  </w:p>
  <w:p w14:paraId="1165F3F9">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3E0C6">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FA416C">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ahBM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Ng4h6n1XlijXg/DukLCJ0luuMMJOhXFihd20XXkl/ryXrKc/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oGoQTIAQAAmQMAAA4AAAAAAAAAAQAgAAAAHgEAAGRycy9lMm9Eb2Mu&#10;eG1sUEsFBgAAAAAGAAYAWQEAAFgFAAAAAA==&#10;">
              <v:fill on="f" focussize="0,0"/>
              <v:stroke on="f"/>
              <v:imagedata o:title=""/>
              <o:lock v:ext="edit" aspectratio="f"/>
              <v:textbox inset="0mm,0mm,0mm,0mm" style="mso-fit-shape-to-text:t;">
                <w:txbxContent>
                  <w:p w14:paraId="41FA416C">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93CBB">
    <w:pPr>
      <w:pStyle w:val="14"/>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-175895</wp:posOffset>
              </wp:positionV>
              <wp:extent cx="445135" cy="23050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45135" cy="230505"/>
                      </a:xfrm>
                      <a:prstGeom prst="rect">
                        <a:avLst/>
                      </a:prstGeom>
                      <a:noFill/>
                      <a:ln>
                        <a:noFill/>
                      </a:ln>
                      <a:effectLst/>
                    </wps:spPr>
                    <wps:txbx>
                      <w:txbxContent>
                        <w:p w14:paraId="2BF3F95C">
                          <w:pPr>
                            <w:pStyle w:val="1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13.85pt;height:18.15pt;width:35.05pt;mso-position-horizontal:outside;mso-position-horizontal-relative:margin;mso-wrap-style:none;z-index:251659264;mso-width-relative:page;mso-height-relative:page;" filled="f" stroked="f" coordsize="21600,21600" o:gfxdata="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FErv9IAAAAFAQAADwAAAAAAAAABACAAAAAiAAAA&#10;ZHJzL2Rvd25yZXYueG1sUEsBAhQAFAAAAAgAh07iQMthppDUAQAApQMAAA4AAAAAAAAAAQAgAAAA&#10;IQEAAGRycy9lMm9Eb2MueG1sUEsFBgAAAAAGAAYAWQEAAGcFAAAAAA==&#10;">
              <v:fill on="f" focussize="0,0"/>
              <v:stroke on="f"/>
              <v:imagedata o:title=""/>
              <o:lock v:ext="edit" aspectratio="f"/>
              <v:textbox inset="0mm,0mm,0mm,0mm" style="mso-fit-shape-to-text:t;">
                <w:txbxContent>
                  <w:p w14:paraId="2BF3F95C">
                    <w:pPr>
                      <w:pStyle w:val="1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65E9B">
    <w:pPr>
      <w:pStyle w:val="14"/>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-181610</wp:posOffset>
              </wp:positionV>
              <wp:extent cx="516890" cy="3130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16890" cy="313055"/>
                      </a:xfrm>
                      <a:prstGeom prst="rect">
                        <a:avLst/>
                      </a:prstGeom>
                      <a:noFill/>
                      <a:ln>
                        <a:noFill/>
                      </a:ln>
                    </wps:spPr>
                    <wps:txbx>
                      <w:txbxContent>
                        <w:p w14:paraId="2E4515C1">
                          <w:pPr>
                            <w:pStyle w:val="14"/>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wps:txbx>
                    <wps:bodyPr lIns="0" tIns="0" rIns="0" bIns="0" upright="0"/>
                  </wps:wsp>
                </a:graphicData>
              </a:graphic>
            </wp:anchor>
          </w:drawing>
        </mc:Choice>
        <mc:Fallback>
          <w:pict>
            <v:shape id="_x0000_s1026" o:spid="_x0000_s1026" o:spt="202" type="#_x0000_t202" style="position:absolute;left:0pt;margin-left:0pt;margin-top:-14.3pt;height:24.65pt;width:40.7pt;mso-position-horizontal-relative:margin;z-index:251660288;mso-width-relative:page;mso-height-relative:page;" filled="f" stroked="f" coordsize="21600,21600" o:gfxdata="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G5s361gAAAAYBAAAPAAAAAAAAAAEAIAAAACIAAABkcnMvZG93bnJldi54bWxQSwECFAAU&#10;AAAACACHTuJANzhXaLoBAABxAwAADgAAAAAAAAABACAAAAAlAQAAZHJzL2Uyb0RvYy54bWxQSwUG&#10;AAAAAAYABgBZAQAAUQUAAAAA&#10;">
              <v:fill on="f" focussize="0,0"/>
              <v:stroke on="f"/>
              <v:imagedata o:title=""/>
              <o:lock v:ext="edit" aspectratio="f"/>
              <v:textbox inset="0mm,0mm,0mm,0mm">
                <w:txbxContent>
                  <w:p w14:paraId="2E4515C1">
                    <w:pPr>
                      <w:pStyle w:val="14"/>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rPr>
                        <w:rFonts w:hint="eastAsia" w:ascii="宋体" w:hAnsi="宋体" w:cs="宋体"/>
                        <w:sz w:val="28"/>
                        <w:szCs w:val="28"/>
                        <w:lang w:eastAsia="zh-CN"/>
                      </w:rPr>
                      <w:t>- 2 -</w:t>
                    </w:r>
                    <w:r>
                      <w:rPr>
                        <w:rFonts w:hint="eastAsia" w:ascii="宋体" w:hAnsi="宋体" w:cs="宋体"/>
                        <w:sz w:val="28"/>
                        <w:szCs w:val="28"/>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B2E1">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D14F36">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zt4ccBAACa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qAkjluc+OXH98vP35df30id&#10;9RkCNJh2HzAxjW/9iLmLH9CZaY8q2vxFQgTjCHW+qivHRER+VK/rusKQwNhyQXz28DxESO+ktyQb&#10;LY04vqIqP32ANKUuKbma83famDJC4/5yIGb2sNz71GO20rgfZ0J7352Rz4CTb6nDRafEvHcoLPaX&#10;FiMuxn4xjiHqQ1+2KNeD8OaYsInSW64wwc6FcWSF3bxeeSce30vWwy+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bCzt4ccBAACaAwAADgAAAAAAAAABACAAAAAeAQAAZHJzL2Uyb0RvYy54&#10;bWxQSwUGAAAAAAYABgBZAQAAVwUAAAAA&#10;">
              <v:fill on="f" focussize="0,0"/>
              <v:stroke on="f"/>
              <v:imagedata o:title=""/>
              <o:lock v:ext="edit" aspectratio="f"/>
              <v:textbox inset="0mm,0mm,0mm,0mm" style="mso-fit-shape-to-text:t;">
                <w:txbxContent>
                  <w:p w14:paraId="6BD14F36">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B3F0BD">
                          <w:pPr>
                            <w:pStyle w:val="14"/>
                          </w:pPr>
                        </w:p>
                        <w:p w14:paraId="7496721D"/>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24B3F0BD">
                    <w:pPr>
                      <w:pStyle w:val="14"/>
                    </w:pPr>
                  </w:p>
                  <w:p w14:paraId="7496721D"/>
                </w:txbxContent>
              </v:textbox>
            </v:shape>
          </w:pict>
        </mc:Fallback>
      </mc:AlternateContent>
    </w:r>
  </w:p>
  <w:p w14:paraId="686A6FA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E5CD2">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B0A33">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005402"/>
    <w:rsid w:val="003D60BA"/>
    <w:rsid w:val="00411689"/>
    <w:rsid w:val="005D618A"/>
    <w:rsid w:val="00911ECD"/>
    <w:rsid w:val="00A042E0"/>
    <w:rsid w:val="00B26BB1"/>
    <w:rsid w:val="00B26E21"/>
    <w:rsid w:val="00B741D7"/>
    <w:rsid w:val="00CB3927"/>
    <w:rsid w:val="00D4533C"/>
    <w:rsid w:val="00F211EF"/>
    <w:rsid w:val="00F83B64"/>
    <w:rsid w:val="013E3461"/>
    <w:rsid w:val="013E61E2"/>
    <w:rsid w:val="01804A4C"/>
    <w:rsid w:val="01BB0F13"/>
    <w:rsid w:val="02090C75"/>
    <w:rsid w:val="027A5940"/>
    <w:rsid w:val="02A23A3C"/>
    <w:rsid w:val="02FB196F"/>
    <w:rsid w:val="030A0A72"/>
    <w:rsid w:val="03196F07"/>
    <w:rsid w:val="035D130A"/>
    <w:rsid w:val="0371289F"/>
    <w:rsid w:val="03720A60"/>
    <w:rsid w:val="039110A9"/>
    <w:rsid w:val="03AC246A"/>
    <w:rsid w:val="03AE6061"/>
    <w:rsid w:val="03B23056"/>
    <w:rsid w:val="03DA023E"/>
    <w:rsid w:val="03DC3EBA"/>
    <w:rsid w:val="03F9794D"/>
    <w:rsid w:val="044B1342"/>
    <w:rsid w:val="045301F6"/>
    <w:rsid w:val="04697A1A"/>
    <w:rsid w:val="046A2461"/>
    <w:rsid w:val="04904FA7"/>
    <w:rsid w:val="04B93101"/>
    <w:rsid w:val="04F574FF"/>
    <w:rsid w:val="051C2970"/>
    <w:rsid w:val="052838D4"/>
    <w:rsid w:val="0534627A"/>
    <w:rsid w:val="053509E4"/>
    <w:rsid w:val="053E0EA6"/>
    <w:rsid w:val="05746676"/>
    <w:rsid w:val="05ED01D7"/>
    <w:rsid w:val="060C3611"/>
    <w:rsid w:val="061A5470"/>
    <w:rsid w:val="067D155B"/>
    <w:rsid w:val="068E3768"/>
    <w:rsid w:val="069114AA"/>
    <w:rsid w:val="06A02618"/>
    <w:rsid w:val="06C64829"/>
    <w:rsid w:val="06E415DA"/>
    <w:rsid w:val="06FA0280"/>
    <w:rsid w:val="06FC6923"/>
    <w:rsid w:val="070E7B6E"/>
    <w:rsid w:val="071D62B7"/>
    <w:rsid w:val="076170CE"/>
    <w:rsid w:val="0765096C"/>
    <w:rsid w:val="07691ADF"/>
    <w:rsid w:val="077D16D2"/>
    <w:rsid w:val="0809185A"/>
    <w:rsid w:val="082A69F3"/>
    <w:rsid w:val="08675FC8"/>
    <w:rsid w:val="08D03AAE"/>
    <w:rsid w:val="08E753B1"/>
    <w:rsid w:val="09173EE8"/>
    <w:rsid w:val="092E2FE0"/>
    <w:rsid w:val="0955056D"/>
    <w:rsid w:val="09772BD9"/>
    <w:rsid w:val="09806D3B"/>
    <w:rsid w:val="098826F0"/>
    <w:rsid w:val="099A2423"/>
    <w:rsid w:val="09A514F4"/>
    <w:rsid w:val="09B713FD"/>
    <w:rsid w:val="09E259C5"/>
    <w:rsid w:val="09EF6ACC"/>
    <w:rsid w:val="0A2C751F"/>
    <w:rsid w:val="0A315056"/>
    <w:rsid w:val="0A3E3B7B"/>
    <w:rsid w:val="0A5B1F0B"/>
    <w:rsid w:val="0A694621"/>
    <w:rsid w:val="0A6A44EC"/>
    <w:rsid w:val="0A7B2255"/>
    <w:rsid w:val="0A8E1F88"/>
    <w:rsid w:val="0A9652E1"/>
    <w:rsid w:val="0AA213B4"/>
    <w:rsid w:val="0AA277E2"/>
    <w:rsid w:val="0AB6328D"/>
    <w:rsid w:val="0ABE2142"/>
    <w:rsid w:val="0AE71698"/>
    <w:rsid w:val="0AF61C7E"/>
    <w:rsid w:val="0AFB45AD"/>
    <w:rsid w:val="0AFF0681"/>
    <w:rsid w:val="0B00275A"/>
    <w:rsid w:val="0B2769AB"/>
    <w:rsid w:val="0B351E9B"/>
    <w:rsid w:val="0B4C50D3"/>
    <w:rsid w:val="0B4C599F"/>
    <w:rsid w:val="0B5E5DFE"/>
    <w:rsid w:val="0B806B92"/>
    <w:rsid w:val="0B827E94"/>
    <w:rsid w:val="0B842F76"/>
    <w:rsid w:val="0B9C2483"/>
    <w:rsid w:val="0BA876D0"/>
    <w:rsid w:val="0BC55E7E"/>
    <w:rsid w:val="0BD070E1"/>
    <w:rsid w:val="0BD65B6B"/>
    <w:rsid w:val="0C2361E7"/>
    <w:rsid w:val="0C247926"/>
    <w:rsid w:val="0C2C19C7"/>
    <w:rsid w:val="0C7E54E8"/>
    <w:rsid w:val="0C923886"/>
    <w:rsid w:val="0C965124"/>
    <w:rsid w:val="0CB35CD6"/>
    <w:rsid w:val="0CCE0D62"/>
    <w:rsid w:val="0CE916F8"/>
    <w:rsid w:val="0D091D9A"/>
    <w:rsid w:val="0D352B8F"/>
    <w:rsid w:val="0D37662E"/>
    <w:rsid w:val="0D6D057B"/>
    <w:rsid w:val="0D794204"/>
    <w:rsid w:val="0D9637C5"/>
    <w:rsid w:val="0D9D13BC"/>
    <w:rsid w:val="0DDF1C18"/>
    <w:rsid w:val="0E1D1059"/>
    <w:rsid w:val="0E2125D1"/>
    <w:rsid w:val="0E214211"/>
    <w:rsid w:val="0E4B0190"/>
    <w:rsid w:val="0E5F2769"/>
    <w:rsid w:val="0E7476E7"/>
    <w:rsid w:val="0EA76787"/>
    <w:rsid w:val="0EBD2E3C"/>
    <w:rsid w:val="0EC0292C"/>
    <w:rsid w:val="0EC3241C"/>
    <w:rsid w:val="0ED8332F"/>
    <w:rsid w:val="0EEA79A9"/>
    <w:rsid w:val="0F0767AD"/>
    <w:rsid w:val="0F133DC8"/>
    <w:rsid w:val="0F3B253B"/>
    <w:rsid w:val="0F4D75A3"/>
    <w:rsid w:val="0F5B2DCA"/>
    <w:rsid w:val="0F714D08"/>
    <w:rsid w:val="0F73799F"/>
    <w:rsid w:val="0FA20605"/>
    <w:rsid w:val="0FAE6C29"/>
    <w:rsid w:val="0FC63F72"/>
    <w:rsid w:val="0FDF5034"/>
    <w:rsid w:val="0FEB5787"/>
    <w:rsid w:val="0FED051E"/>
    <w:rsid w:val="0FEE4C29"/>
    <w:rsid w:val="0FFA6644"/>
    <w:rsid w:val="0FFD33F6"/>
    <w:rsid w:val="10031608"/>
    <w:rsid w:val="10046082"/>
    <w:rsid w:val="102E38C6"/>
    <w:rsid w:val="10303AE2"/>
    <w:rsid w:val="104974DD"/>
    <w:rsid w:val="1050467E"/>
    <w:rsid w:val="10545A22"/>
    <w:rsid w:val="10BC5375"/>
    <w:rsid w:val="10CF50A9"/>
    <w:rsid w:val="10D80401"/>
    <w:rsid w:val="10E86945"/>
    <w:rsid w:val="11124F95"/>
    <w:rsid w:val="111703D2"/>
    <w:rsid w:val="11186A50"/>
    <w:rsid w:val="111F7DDE"/>
    <w:rsid w:val="112371A2"/>
    <w:rsid w:val="112847B9"/>
    <w:rsid w:val="112B101A"/>
    <w:rsid w:val="114E421F"/>
    <w:rsid w:val="115A7068"/>
    <w:rsid w:val="11684495"/>
    <w:rsid w:val="116B4A05"/>
    <w:rsid w:val="11877731"/>
    <w:rsid w:val="119B53FC"/>
    <w:rsid w:val="11A55A2D"/>
    <w:rsid w:val="1215733B"/>
    <w:rsid w:val="121C431D"/>
    <w:rsid w:val="12424CDC"/>
    <w:rsid w:val="1260229D"/>
    <w:rsid w:val="126D4B79"/>
    <w:rsid w:val="129A2738"/>
    <w:rsid w:val="12AF5192"/>
    <w:rsid w:val="12B56BF1"/>
    <w:rsid w:val="12BF763D"/>
    <w:rsid w:val="12CB1A89"/>
    <w:rsid w:val="131840FB"/>
    <w:rsid w:val="1319260B"/>
    <w:rsid w:val="13345697"/>
    <w:rsid w:val="13467417"/>
    <w:rsid w:val="136E76CF"/>
    <w:rsid w:val="13983E78"/>
    <w:rsid w:val="13A66595"/>
    <w:rsid w:val="140D5008"/>
    <w:rsid w:val="1424395D"/>
    <w:rsid w:val="142F7384"/>
    <w:rsid w:val="145F08C6"/>
    <w:rsid w:val="14A405FA"/>
    <w:rsid w:val="14A625C4"/>
    <w:rsid w:val="14BE790E"/>
    <w:rsid w:val="14D577BC"/>
    <w:rsid w:val="14E07884"/>
    <w:rsid w:val="14E43F59"/>
    <w:rsid w:val="15776308"/>
    <w:rsid w:val="15973CBB"/>
    <w:rsid w:val="15BC6B3C"/>
    <w:rsid w:val="15E52C78"/>
    <w:rsid w:val="15EC2C59"/>
    <w:rsid w:val="160C16CB"/>
    <w:rsid w:val="160F290D"/>
    <w:rsid w:val="161B4808"/>
    <w:rsid w:val="16360A7B"/>
    <w:rsid w:val="164B3423"/>
    <w:rsid w:val="164D40B0"/>
    <w:rsid w:val="1694429A"/>
    <w:rsid w:val="169D3553"/>
    <w:rsid w:val="16DB47A7"/>
    <w:rsid w:val="17635326"/>
    <w:rsid w:val="178D4AD1"/>
    <w:rsid w:val="17B803EA"/>
    <w:rsid w:val="17EE22B8"/>
    <w:rsid w:val="17F34770"/>
    <w:rsid w:val="1815096B"/>
    <w:rsid w:val="1816180F"/>
    <w:rsid w:val="182061EA"/>
    <w:rsid w:val="18236EFD"/>
    <w:rsid w:val="18377249"/>
    <w:rsid w:val="184529B6"/>
    <w:rsid w:val="18595F60"/>
    <w:rsid w:val="185D743E"/>
    <w:rsid w:val="18847929"/>
    <w:rsid w:val="189D5B1F"/>
    <w:rsid w:val="18A34CD0"/>
    <w:rsid w:val="18E436BB"/>
    <w:rsid w:val="19202945"/>
    <w:rsid w:val="194C2307"/>
    <w:rsid w:val="19526877"/>
    <w:rsid w:val="19A53EA8"/>
    <w:rsid w:val="19B64DBC"/>
    <w:rsid w:val="19D159ED"/>
    <w:rsid w:val="19EC6A4A"/>
    <w:rsid w:val="19FD2C86"/>
    <w:rsid w:val="1A373ACF"/>
    <w:rsid w:val="1A5D3A04"/>
    <w:rsid w:val="1A743F57"/>
    <w:rsid w:val="1A7B10BA"/>
    <w:rsid w:val="1A895341"/>
    <w:rsid w:val="1A8C57B1"/>
    <w:rsid w:val="1A974E89"/>
    <w:rsid w:val="1B0D071F"/>
    <w:rsid w:val="1B193AF0"/>
    <w:rsid w:val="1B1A7868"/>
    <w:rsid w:val="1B4568CE"/>
    <w:rsid w:val="1B746F78"/>
    <w:rsid w:val="1B7B0C3B"/>
    <w:rsid w:val="1B8D1DE8"/>
    <w:rsid w:val="1B9015B7"/>
    <w:rsid w:val="1B950DA6"/>
    <w:rsid w:val="1B974A15"/>
    <w:rsid w:val="1BAE5697"/>
    <w:rsid w:val="1BC872C4"/>
    <w:rsid w:val="1BD45C69"/>
    <w:rsid w:val="1BDE2644"/>
    <w:rsid w:val="1BF27E9D"/>
    <w:rsid w:val="1BF54245"/>
    <w:rsid w:val="1C404B96"/>
    <w:rsid w:val="1C5D17BA"/>
    <w:rsid w:val="1C694603"/>
    <w:rsid w:val="1C762AA7"/>
    <w:rsid w:val="1CBD17DC"/>
    <w:rsid w:val="1D0E6976"/>
    <w:rsid w:val="1D1C2B4F"/>
    <w:rsid w:val="1D2D73DF"/>
    <w:rsid w:val="1D4110DC"/>
    <w:rsid w:val="1D5A79EE"/>
    <w:rsid w:val="1D5F5B75"/>
    <w:rsid w:val="1DBA0B1F"/>
    <w:rsid w:val="1DD27F86"/>
    <w:rsid w:val="1E0E2CD0"/>
    <w:rsid w:val="1E164317"/>
    <w:rsid w:val="1E605592"/>
    <w:rsid w:val="1E6E2769"/>
    <w:rsid w:val="1E831280"/>
    <w:rsid w:val="1E83641B"/>
    <w:rsid w:val="1E8A260F"/>
    <w:rsid w:val="1E8C6387"/>
    <w:rsid w:val="1EA772C8"/>
    <w:rsid w:val="1EBC4704"/>
    <w:rsid w:val="1EC51899"/>
    <w:rsid w:val="1EE461C3"/>
    <w:rsid w:val="1EE522C8"/>
    <w:rsid w:val="1EFA7794"/>
    <w:rsid w:val="1EFF4DAB"/>
    <w:rsid w:val="1F172EB5"/>
    <w:rsid w:val="1F22070B"/>
    <w:rsid w:val="1F745799"/>
    <w:rsid w:val="1F94592D"/>
    <w:rsid w:val="1FB860DE"/>
    <w:rsid w:val="1FD620C2"/>
    <w:rsid w:val="203C5A02"/>
    <w:rsid w:val="203E7B55"/>
    <w:rsid w:val="204E0A51"/>
    <w:rsid w:val="20542ED4"/>
    <w:rsid w:val="20653333"/>
    <w:rsid w:val="206D3F96"/>
    <w:rsid w:val="20796DDF"/>
    <w:rsid w:val="208C6B12"/>
    <w:rsid w:val="209D4C94"/>
    <w:rsid w:val="20A83220"/>
    <w:rsid w:val="20B44FCD"/>
    <w:rsid w:val="20B6593D"/>
    <w:rsid w:val="20C95670"/>
    <w:rsid w:val="20E84705"/>
    <w:rsid w:val="20F14BC7"/>
    <w:rsid w:val="21117B79"/>
    <w:rsid w:val="213B5E42"/>
    <w:rsid w:val="21645399"/>
    <w:rsid w:val="217750CC"/>
    <w:rsid w:val="218400BA"/>
    <w:rsid w:val="218B501C"/>
    <w:rsid w:val="21A63C04"/>
    <w:rsid w:val="21AB1E2F"/>
    <w:rsid w:val="21D40498"/>
    <w:rsid w:val="21FE243E"/>
    <w:rsid w:val="22364E30"/>
    <w:rsid w:val="22493963"/>
    <w:rsid w:val="225B679C"/>
    <w:rsid w:val="22767047"/>
    <w:rsid w:val="22AF23D7"/>
    <w:rsid w:val="22E243F3"/>
    <w:rsid w:val="23005595"/>
    <w:rsid w:val="230C3F3A"/>
    <w:rsid w:val="2323790C"/>
    <w:rsid w:val="232A43C0"/>
    <w:rsid w:val="233D40F4"/>
    <w:rsid w:val="234D45F8"/>
    <w:rsid w:val="238B4E5F"/>
    <w:rsid w:val="23931F66"/>
    <w:rsid w:val="23A05588"/>
    <w:rsid w:val="23A90302"/>
    <w:rsid w:val="240476A1"/>
    <w:rsid w:val="243454F7"/>
    <w:rsid w:val="244514B2"/>
    <w:rsid w:val="24562855"/>
    <w:rsid w:val="247B3126"/>
    <w:rsid w:val="24E953B9"/>
    <w:rsid w:val="24EF58C2"/>
    <w:rsid w:val="25431AEB"/>
    <w:rsid w:val="255B2F57"/>
    <w:rsid w:val="257162D7"/>
    <w:rsid w:val="25B875EB"/>
    <w:rsid w:val="25BE3BFB"/>
    <w:rsid w:val="25BF43FD"/>
    <w:rsid w:val="25C40AFC"/>
    <w:rsid w:val="25D725DE"/>
    <w:rsid w:val="25F86BCD"/>
    <w:rsid w:val="2605748B"/>
    <w:rsid w:val="260B2287"/>
    <w:rsid w:val="261338A2"/>
    <w:rsid w:val="26396D26"/>
    <w:rsid w:val="264544A6"/>
    <w:rsid w:val="267702FB"/>
    <w:rsid w:val="269E416A"/>
    <w:rsid w:val="26A1499A"/>
    <w:rsid w:val="26C11C6B"/>
    <w:rsid w:val="26DE2DEE"/>
    <w:rsid w:val="26EC20B9"/>
    <w:rsid w:val="27084A19"/>
    <w:rsid w:val="272100D3"/>
    <w:rsid w:val="272C72FC"/>
    <w:rsid w:val="272E1FD5"/>
    <w:rsid w:val="274F2647"/>
    <w:rsid w:val="275131CB"/>
    <w:rsid w:val="277D0F63"/>
    <w:rsid w:val="27806CA5"/>
    <w:rsid w:val="278F6521"/>
    <w:rsid w:val="27B86276"/>
    <w:rsid w:val="27EB149D"/>
    <w:rsid w:val="27F05BD9"/>
    <w:rsid w:val="27F8683B"/>
    <w:rsid w:val="27FD3E52"/>
    <w:rsid w:val="284130B3"/>
    <w:rsid w:val="285A74F6"/>
    <w:rsid w:val="28A91BE3"/>
    <w:rsid w:val="28E11370"/>
    <w:rsid w:val="28E219C5"/>
    <w:rsid w:val="28FD67FF"/>
    <w:rsid w:val="28FE2577"/>
    <w:rsid w:val="29235B3A"/>
    <w:rsid w:val="294A756A"/>
    <w:rsid w:val="295201CD"/>
    <w:rsid w:val="296B15FF"/>
    <w:rsid w:val="29781BF8"/>
    <w:rsid w:val="297939E2"/>
    <w:rsid w:val="298A5BB9"/>
    <w:rsid w:val="299D58EC"/>
    <w:rsid w:val="29BF1D06"/>
    <w:rsid w:val="29C33ED0"/>
    <w:rsid w:val="29D5322D"/>
    <w:rsid w:val="29EE439A"/>
    <w:rsid w:val="2A025DD9"/>
    <w:rsid w:val="2A2619CB"/>
    <w:rsid w:val="2A7129C2"/>
    <w:rsid w:val="2A7317D3"/>
    <w:rsid w:val="2A7C2231"/>
    <w:rsid w:val="2A920E4F"/>
    <w:rsid w:val="2AAC57B8"/>
    <w:rsid w:val="2ABB753D"/>
    <w:rsid w:val="2ABC7FF4"/>
    <w:rsid w:val="2AFE6EC4"/>
    <w:rsid w:val="2B345DDC"/>
    <w:rsid w:val="2B6366C1"/>
    <w:rsid w:val="2B7A49FA"/>
    <w:rsid w:val="2B824D9A"/>
    <w:rsid w:val="2B9D7E25"/>
    <w:rsid w:val="2BB86A0D"/>
    <w:rsid w:val="2BEB6DE3"/>
    <w:rsid w:val="2C275941"/>
    <w:rsid w:val="2C3562B0"/>
    <w:rsid w:val="2C5001C7"/>
    <w:rsid w:val="2C615D26"/>
    <w:rsid w:val="2C8D6288"/>
    <w:rsid w:val="2C9B7B9A"/>
    <w:rsid w:val="2C9D156B"/>
    <w:rsid w:val="2CB679ED"/>
    <w:rsid w:val="2CB73169"/>
    <w:rsid w:val="2CCF4361"/>
    <w:rsid w:val="2CE51A84"/>
    <w:rsid w:val="2CE83C37"/>
    <w:rsid w:val="2CEB2FFC"/>
    <w:rsid w:val="2CFE2B46"/>
    <w:rsid w:val="2D173C07"/>
    <w:rsid w:val="2D424A86"/>
    <w:rsid w:val="2D517119"/>
    <w:rsid w:val="2D55028C"/>
    <w:rsid w:val="2D5E5392"/>
    <w:rsid w:val="2D9D410D"/>
    <w:rsid w:val="2DBB4593"/>
    <w:rsid w:val="2DBE4083"/>
    <w:rsid w:val="2DDA66B7"/>
    <w:rsid w:val="2E6F2D11"/>
    <w:rsid w:val="2E770D48"/>
    <w:rsid w:val="2E7B52DB"/>
    <w:rsid w:val="2E862DF3"/>
    <w:rsid w:val="2E9A689E"/>
    <w:rsid w:val="2EA119DB"/>
    <w:rsid w:val="2EB2312B"/>
    <w:rsid w:val="2EB57234"/>
    <w:rsid w:val="2ED34A17"/>
    <w:rsid w:val="2ED4433F"/>
    <w:rsid w:val="2ED60115"/>
    <w:rsid w:val="2ED74F49"/>
    <w:rsid w:val="2F126A0B"/>
    <w:rsid w:val="2F25260C"/>
    <w:rsid w:val="2F324CFE"/>
    <w:rsid w:val="2F5702EB"/>
    <w:rsid w:val="2F601896"/>
    <w:rsid w:val="2F740E9D"/>
    <w:rsid w:val="2F8D01B1"/>
    <w:rsid w:val="2FBA09F1"/>
    <w:rsid w:val="2FC0270F"/>
    <w:rsid w:val="2FCD67FF"/>
    <w:rsid w:val="2FDC6A42"/>
    <w:rsid w:val="2FE51D9B"/>
    <w:rsid w:val="2FEF2ACF"/>
    <w:rsid w:val="2FF93D20"/>
    <w:rsid w:val="30540211"/>
    <w:rsid w:val="305A4537"/>
    <w:rsid w:val="3085512D"/>
    <w:rsid w:val="30E45100"/>
    <w:rsid w:val="30E97669"/>
    <w:rsid w:val="31112A0D"/>
    <w:rsid w:val="3118711F"/>
    <w:rsid w:val="311F4B20"/>
    <w:rsid w:val="312D7741"/>
    <w:rsid w:val="31660CB9"/>
    <w:rsid w:val="316B30C6"/>
    <w:rsid w:val="316F137F"/>
    <w:rsid w:val="31815AF3"/>
    <w:rsid w:val="318D4498"/>
    <w:rsid w:val="31DE4CF4"/>
    <w:rsid w:val="31DF525F"/>
    <w:rsid w:val="31E63BA8"/>
    <w:rsid w:val="31E762BB"/>
    <w:rsid w:val="31EC162B"/>
    <w:rsid w:val="31FC517A"/>
    <w:rsid w:val="32324C2E"/>
    <w:rsid w:val="32326DEE"/>
    <w:rsid w:val="323F1C36"/>
    <w:rsid w:val="324F5BF1"/>
    <w:rsid w:val="3261114E"/>
    <w:rsid w:val="326E35CB"/>
    <w:rsid w:val="327171DF"/>
    <w:rsid w:val="329D070B"/>
    <w:rsid w:val="32A27CEB"/>
    <w:rsid w:val="32B85545"/>
    <w:rsid w:val="33133EB9"/>
    <w:rsid w:val="33187B35"/>
    <w:rsid w:val="332E1CAB"/>
    <w:rsid w:val="333746BC"/>
    <w:rsid w:val="3391569E"/>
    <w:rsid w:val="33E10ACB"/>
    <w:rsid w:val="341E3434"/>
    <w:rsid w:val="343C7D6B"/>
    <w:rsid w:val="343D21A6"/>
    <w:rsid w:val="344057F2"/>
    <w:rsid w:val="34594B05"/>
    <w:rsid w:val="345D63A4"/>
    <w:rsid w:val="34790D04"/>
    <w:rsid w:val="347A4DBB"/>
    <w:rsid w:val="34A2025B"/>
    <w:rsid w:val="34A55F9D"/>
    <w:rsid w:val="34B87A7E"/>
    <w:rsid w:val="34BB4442"/>
    <w:rsid w:val="34BD6102"/>
    <w:rsid w:val="35335357"/>
    <w:rsid w:val="3538296D"/>
    <w:rsid w:val="353A4937"/>
    <w:rsid w:val="354B6B44"/>
    <w:rsid w:val="3584136B"/>
    <w:rsid w:val="359E4543"/>
    <w:rsid w:val="35C12962"/>
    <w:rsid w:val="35CA5CBB"/>
    <w:rsid w:val="35EE5A04"/>
    <w:rsid w:val="35FC5C77"/>
    <w:rsid w:val="35FF5AA4"/>
    <w:rsid w:val="360B7EBA"/>
    <w:rsid w:val="362A49AB"/>
    <w:rsid w:val="36301896"/>
    <w:rsid w:val="363267DA"/>
    <w:rsid w:val="36416867"/>
    <w:rsid w:val="367D5DD4"/>
    <w:rsid w:val="368F2A60"/>
    <w:rsid w:val="369C32FD"/>
    <w:rsid w:val="36C50230"/>
    <w:rsid w:val="36FF3742"/>
    <w:rsid w:val="372426E1"/>
    <w:rsid w:val="372D0F11"/>
    <w:rsid w:val="375717D0"/>
    <w:rsid w:val="37666E72"/>
    <w:rsid w:val="37A83DDA"/>
    <w:rsid w:val="37C4673A"/>
    <w:rsid w:val="37C73291"/>
    <w:rsid w:val="37C91FA2"/>
    <w:rsid w:val="37FC4DE7"/>
    <w:rsid w:val="38081EA3"/>
    <w:rsid w:val="380F20AB"/>
    <w:rsid w:val="38167A04"/>
    <w:rsid w:val="381C3783"/>
    <w:rsid w:val="38803616"/>
    <w:rsid w:val="38E47094"/>
    <w:rsid w:val="3905700A"/>
    <w:rsid w:val="3911775D"/>
    <w:rsid w:val="394B167A"/>
    <w:rsid w:val="394C2E8B"/>
    <w:rsid w:val="395C1320"/>
    <w:rsid w:val="39854407"/>
    <w:rsid w:val="39AD34EA"/>
    <w:rsid w:val="39CB12E3"/>
    <w:rsid w:val="39DA2868"/>
    <w:rsid w:val="39DF6BF2"/>
    <w:rsid w:val="3A055F4B"/>
    <w:rsid w:val="3A176FF5"/>
    <w:rsid w:val="3A3C4CAD"/>
    <w:rsid w:val="3A414072"/>
    <w:rsid w:val="3A446021"/>
    <w:rsid w:val="3A451DB4"/>
    <w:rsid w:val="3A4E4336"/>
    <w:rsid w:val="3A6007FE"/>
    <w:rsid w:val="3A6F0BDF"/>
    <w:rsid w:val="3A802587"/>
    <w:rsid w:val="3A852164"/>
    <w:rsid w:val="3AD82C28"/>
    <w:rsid w:val="3AF70BD4"/>
    <w:rsid w:val="3AF93D6C"/>
    <w:rsid w:val="3AFD06C8"/>
    <w:rsid w:val="3B144A21"/>
    <w:rsid w:val="3B477B26"/>
    <w:rsid w:val="3B6E0E96"/>
    <w:rsid w:val="3B7C2CE4"/>
    <w:rsid w:val="3BAF716B"/>
    <w:rsid w:val="3BB207A9"/>
    <w:rsid w:val="3C0B5355"/>
    <w:rsid w:val="3C187054"/>
    <w:rsid w:val="3C1C08F2"/>
    <w:rsid w:val="3C1F6635"/>
    <w:rsid w:val="3C5C1637"/>
    <w:rsid w:val="3C7E1CED"/>
    <w:rsid w:val="3C7E7F35"/>
    <w:rsid w:val="3C836BC3"/>
    <w:rsid w:val="3C9506A5"/>
    <w:rsid w:val="3CA1704A"/>
    <w:rsid w:val="3CA52FDE"/>
    <w:rsid w:val="3CD236A7"/>
    <w:rsid w:val="3CD4176B"/>
    <w:rsid w:val="3D145A6E"/>
    <w:rsid w:val="3D1F44D9"/>
    <w:rsid w:val="3D5C38CD"/>
    <w:rsid w:val="3D65451B"/>
    <w:rsid w:val="3DA07301"/>
    <w:rsid w:val="3DBB36F7"/>
    <w:rsid w:val="3DDE5ECF"/>
    <w:rsid w:val="3E0E6961"/>
    <w:rsid w:val="3E200EB1"/>
    <w:rsid w:val="3E331626"/>
    <w:rsid w:val="3E5070F1"/>
    <w:rsid w:val="3E7569E0"/>
    <w:rsid w:val="3EB72B54"/>
    <w:rsid w:val="3EC370CB"/>
    <w:rsid w:val="3F283A52"/>
    <w:rsid w:val="3F2B0AF6"/>
    <w:rsid w:val="3F3C0C4C"/>
    <w:rsid w:val="3F402781"/>
    <w:rsid w:val="3F5B5BD6"/>
    <w:rsid w:val="3F6C3589"/>
    <w:rsid w:val="3F850180"/>
    <w:rsid w:val="3F9004D6"/>
    <w:rsid w:val="3F964E60"/>
    <w:rsid w:val="3FB53538"/>
    <w:rsid w:val="3FEE7CFA"/>
    <w:rsid w:val="40093884"/>
    <w:rsid w:val="400E4D5E"/>
    <w:rsid w:val="40385F17"/>
    <w:rsid w:val="404E573A"/>
    <w:rsid w:val="40E1138C"/>
    <w:rsid w:val="40FE4A6B"/>
    <w:rsid w:val="413814BA"/>
    <w:rsid w:val="41474664"/>
    <w:rsid w:val="41586871"/>
    <w:rsid w:val="41686388"/>
    <w:rsid w:val="41872511"/>
    <w:rsid w:val="418B7CA8"/>
    <w:rsid w:val="41DE650C"/>
    <w:rsid w:val="41DF1251"/>
    <w:rsid w:val="420E5181"/>
    <w:rsid w:val="424236D9"/>
    <w:rsid w:val="42466655"/>
    <w:rsid w:val="426479D7"/>
    <w:rsid w:val="426A0EE3"/>
    <w:rsid w:val="42A41642"/>
    <w:rsid w:val="42C82F57"/>
    <w:rsid w:val="42DF267A"/>
    <w:rsid w:val="42FF4ACA"/>
    <w:rsid w:val="435707E5"/>
    <w:rsid w:val="43747266"/>
    <w:rsid w:val="43943464"/>
    <w:rsid w:val="439927E1"/>
    <w:rsid w:val="43C76AF7"/>
    <w:rsid w:val="43CF26EE"/>
    <w:rsid w:val="43D54C8A"/>
    <w:rsid w:val="43D61CCF"/>
    <w:rsid w:val="43E22422"/>
    <w:rsid w:val="43E837B0"/>
    <w:rsid w:val="43E97E4A"/>
    <w:rsid w:val="440B1130"/>
    <w:rsid w:val="440D65DA"/>
    <w:rsid w:val="4436276D"/>
    <w:rsid w:val="446828F0"/>
    <w:rsid w:val="44817E8C"/>
    <w:rsid w:val="4497145E"/>
    <w:rsid w:val="45093E85"/>
    <w:rsid w:val="450B3BFA"/>
    <w:rsid w:val="455A182E"/>
    <w:rsid w:val="457A48DC"/>
    <w:rsid w:val="45C13B4D"/>
    <w:rsid w:val="45E53B08"/>
    <w:rsid w:val="46054BCA"/>
    <w:rsid w:val="460B153D"/>
    <w:rsid w:val="464C6AFC"/>
    <w:rsid w:val="468B0091"/>
    <w:rsid w:val="46A107C3"/>
    <w:rsid w:val="46B02D60"/>
    <w:rsid w:val="46B15CE2"/>
    <w:rsid w:val="46BE113D"/>
    <w:rsid w:val="46E44B13"/>
    <w:rsid w:val="46EE37D3"/>
    <w:rsid w:val="4703508A"/>
    <w:rsid w:val="47490A0A"/>
    <w:rsid w:val="474F6B55"/>
    <w:rsid w:val="475023F8"/>
    <w:rsid w:val="479A1E7B"/>
    <w:rsid w:val="479C4FDD"/>
    <w:rsid w:val="479D361E"/>
    <w:rsid w:val="47AC21E8"/>
    <w:rsid w:val="47B6609F"/>
    <w:rsid w:val="47B74789"/>
    <w:rsid w:val="47C87B80"/>
    <w:rsid w:val="47CC0A6B"/>
    <w:rsid w:val="47D77DC3"/>
    <w:rsid w:val="47E66258"/>
    <w:rsid w:val="47F14906"/>
    <w:rsid w:val="47F95F8C"/>
    <w:rsid w:val="48032A55"/>
    <w:rsid w:val="480F2B9D"/>
    <w:rsid w:val="48102176"/>
    <w:rsid w:val="48174664"/>
    <w:rsid w:val="48282920"/>
    <w:rsid w:val="482F7BFF"/>
    <w:rsid w:val="483E1347"/>
    <w:rsid w:val="485321E0"/>
    <w:rsid w:val="48546AD3"/>
    <w:rsid w:val="48636531"/>
    <w:rsid w:val="48AE2615"/>
    <w:rsid w:val="48CA4868"/>
    <w:rsid w:val="48DA5DBD"/>
    <w:rsid w:val="48F005D3"/>
    <w:rsid w:val="49262B2D"/>
    <w:rsid w:val="49466522"/>
    <w:rsid w:val="49547ADD"/>
    <w:rsid w:val="495F62C2"/>
    <w:rsid w:val="49732351"/>
    <w:rsid w:val="498F4AF1"/>
    <w:rsid w:val="49C05787"/>
    <w:rsid w:val="49C32CF5"/>
    <w:rsid w:val="49CF518D"/>
    <w:rsid w:val="49D56585"/>
    <w:rsid w:val="4A1448A8"/>
    <w:rsid w:val="4A640074"/>
    <w:rsid w:val="4A663B63"/>
    <w:rsid w:val="4A7F3979"/>
    <w:rsid w:val="4ADA1F63"/>
    <w:rsid w:val="4AE23D89"/>
    <w:rsid w:val="4B2038D0"/>
    <w:rsid w:val="4B296E7D"/>
    <w:rsid w:val="4B441C14"/>
    <w:rsid w:val="4B4E59BF"/>
    <w:rsid w:val="4B79394E"/>
    <w:rsid w:val="4B877F28"/>
    <w:rsid w:val="4B92472D"/>
    <w:rsid w:val="4BB943B0"/>
    <w:rsid w:val="4BE86A43"/>
    <w:rsid w:val="4BEF7DD1"/>
    <w:rsid w:val="4C35155C"/>
    <w:rsid w:val="4C5C4D3B"/>
    <w:rsid w:val="4C72455F"/>
    <w:rsid w:val="4C837597"/>
    <w:rsid w:val="4CC5087B"/>
    <w:rsid w:val="4CC8327F"/>
    <w:rsid w:val="4CD200BA"/>
    <w:rsid w:val="4D2044E7"/>
    <w:rsid w:val="4D3637DE"/>
    <w:rsid w:val="4D387F00"/>
    <w:rsid w:val="4D6E2F78"/>
    <w:rsid w:val="4D782049"/>
    <w:rsid w:val="4D783DF7"/>
    <w:rsid w:val="4D916BA6"/>
    <w:rsid w:val="4DAD0C10"/>
    <w:rsid w:val="4DC44169"/>
    <w:rsid w:val="4DDA23BB"/>
    <w:rsid w:val="4DE24E21"/>
    <w:rsid w:val="4DE90850"/>
    <w:rsid w:val="4E1B19A3"/>
    <w:rsid w:val="4E1C73D9"/>
    <w:rsid w:val="4E3441C2"/>
    <w:rsid w:val="4E48787F"/>
    <w:rsid w:val="4E50267E"/>
    <w:rsid w:val="4E8D38D2"/>
    <w:rsid w:val="4E8D5680"/>
    <w:rsid w:val="4EA67471"/>
    <w:rsid w:val="4EB96475"/>
    <w:rsid w:val="4ED137BE"/>
    <w:rsid w:val="4EE334F2"/>
    <w:rsid w:val="4EF0709E"/>
    <w:rsid w:val="4EF96EF5"/>
    <w:rsid w:val="4F0469A4"/>
    <w:rsid w:val="4F7A20A8"/>
    <w:rsid w:val="4F8627FB"/>
    <w:rsid w:val="4FB235F0"/>
    <w:rsid w:val="4FB355BA"/>
    <w:rsid w:val="4FB94289"/>
    <w:rsid w:val="4FBF5D0D"/>
    <w:rsid w:val="4FED5402"/>
    <w:rsid w:val="500E56F4"/>
    <w:rsid w:val="50530122"/>
    <w:rsid w:val="50540C73"/>
    <w:rsid w:val="50752AF8"/>
    <w:rsid w:val="50D37CC2"/>
    <w:rsid w:val="50ED3FD0"/>
    <w:rsid w:val="513C6A7B"/>
    <w:rsid w:val="515F1555"/>
    <w:rsid w:val="51695F30"/>
    <w:rsid w:val="51705511"/>
    <w:rsid w:val="517300C9"/>
    <w:rsid w:val="51B31D16"/>
    <w:rsid w:val="51B64EEE"/>
    <w:rsid w:val="51C13FBE"/>
    <w:rsid w:val="52302EF2"/>
    <w:rsid w:val="524B3888"/>
    <w:rsid w:val="525A726D"/>
    <w:rsid w:val="527B23BF"/>
    <w:rsid w:val="52BD2017"/>
    <w:rsid w:val="52C5188C"/>
    <w:rsid w:val="52DF24A5"/>
    <w:rsid w:val="52EC6EC2"/>
    <w:rsid w:val="52ED2B91"/>
    <w:rsid w:val="532D486F"/>
    <w:rsid w:val="5333545B"/>
    <w:rsid w:val="53522541"/>
    <w:rsid w:val="538D0E89"/>
    <w:rsid w:val="53983A49"/>
    <w:rsid w:val="54183C3E"/>
    <w:rsid w:val="542303A0"/>
    <w:rsid w:val="5450213C"/>
    <w:rsid w:val="546649A9"/>
    <w:rsid w:val="546711F3"/>
    <w:rsid w:val="546B2CBD"/>
    <w:rsid w:val="546C3825"/>
    <w:rsid w:val="54D062C6"/>
    <w:rsid w:val="54D24048"/>
    <w:rsid w:val="54D64CD5"/>
    <w:rsid w:val="5532287C"/>
    <w:rsid w:val="55491250"/>
    <w:rsid w:val="554C1057"/>
    <w:rsid w:val="555F54CC"/>
    <w:rsid w:val="55887D69"/>
    <w:rsid w:val="55EE5D11"/>
    <w:rsid w:val="55F34962"/>
    <w:rsid w:val="55F40F50"/>
    <w:rsid w:val="55F52488"/>
    <w:rsid w:val="560501F2"/>
    <w:rsid w:val="561A0928"/>
    <w:rsid w:val="56423872"/>
    <w:rsid w:val="567F1D52"/>
    <w:rsid w:val="569E06BC"/>
    <w:rsid w:val="56B279F0"/>
    <w:rsid w:val="56BA5480"/>
    <w:rsid w:val="56D57BC4"/>
    <w:rsid w:val="56F20F86"/>
    <w:rsid w:val="57631674"/>
    <w:rsid w:val="578A6C00"/>
    <w:rsid w:val="579D710E"/>
    <w:rsid w:val="57A777B2"/>
    <w:rsid w:val="57AF2DEA"/>
    <w:rsid w:val="57C96A24"/>
    <w:rsid w:val="580469B3"/>
    <w:rsid w:val="581F22F6"/>
    <w:rsid w:val="5824157C"/>
    <w:rsid w:val="586E1E17"/>
    <w:rsid w:val="58862C35"/>
    <w:rsid w:val="589870FB"/>
    <w:rsid w:val="58AD704A"/>
    <w:rsid w:val="58C14957"/>
    <w:rsid w:val="58CC23D2"/>
    <w:rsid w:val="58CD3249"/>
    <w:rsid w:val="58E66050"/>
    <w:rsid w:val="593A6404"/>
    <w:rsid w:val="596B36B6"/>
    <w:rsid w:val="59E63F07"/>
    <w:rsid w:val="59FC7994"/>
    <w:rsid w:val="5A20384C"/>
    <w:rsid w:val="5A4B28F7"/>
    <w:rsid w:val="5A517EA9"/>
    <w:rsid w:val="5A902780"/>
    <w:rsid w:val="5AC24903"/>
    <w:rsid w:val="5AD951BC"/>
    <w:rsid w:val="5AE83A50"/>
    <w:rsid w:val="5AF0321E"/>
    <w:rsid w:val="5AF42587"/>
    <w:rsid w:val="5AFA409D"/>
    <w:rsid w:val="5B34447A"/>
    <w:rsid w:val="5B353193"/>
    <w:rsid w:val="5B6A7475"/>
    <w:rsid w:val="5B7200D7"/>
    <w:rsid w:val="5B7332F9"/>
    <w:rsid w:val="5B841BB9"/>
    <w:rsid w:val="5BAB2917"/>
    <w:rsid w:val="5BB71F8E"/>
    <w:rsid w:val="5BBD57F6"/>
    <w:rsid w:val="5BCA3A6F"/>
    <w:rsid w:val="5BCC5A39"/>
    <w:rsid w:val="5BCF72D8"/>
    <w:rsid w:val="5BEA2363"/>
    <w:rsid w:val="5BFC33FA"/>
    <w:rsid w:val="5C142F3C"/>
    <w:rsid w:val="5C186ED1"/>
    <w:rsid w:val="5C3107A4"/>
    <w:rsid w:val="5C337866"/>
    <w:rsid w:val="5C3B1B93"/>
    <w:rsid w:val="5C561B02"/>
    <w:rsid w:val="5C6043D4"/>
    <w:rsid w:val="5C9220DF"/>
    <w:rsid w:val="5C93136F"/>
    <w:rsid w:val="5CB251FD"/>
    <w:rsid w:val="5CBA045F"/>
    <w:rsid w:val="5CBD5382"/>
    <w:rsid w:val="5D0E2082"/>
    <w:rsid w:val="5D192F00"/>
    <w:rsid w:val="5D1A27D4"/>
    <w:rsid w:val="5D347632"/>
    <w:rsid w:val="5D3E4715"/>
    <w:rsid w:val="5D4A15F3"/>
    <w:rsid w:val="5D69542A"/>
    <w:rsid w:val="5D783B72"/>
    <w:rsid w:val="5D885990"/>
    <w:rsid w:val="5DF64FF0"/>
    <w:rsid w:val="5E0930EF"/>
    <w:rsid w:val="5E227B93"/>
    <w:rsid w:val="5E3D4D53"/>
    <w:rsid w:val="5E4717E6"/>
    <w:rsid w:val="5E543AC4"/>
    <w:rsid w:val="5E55774C"/>
    <w:rsid w:val="5E6F6657"/>
    <w:rsid w:val="5E8A70FF"/>
    <w:rsid w:val="5E8C14B0"/>
    <w:rsid w:val="5E960603"/>
    <w:rsid w:val="5EA06361"/>
    <w:rsid w:val="5FD56E87"/>
    <w:rsid w:val="60045F96"/>
    <w:rsid w:val="60104DDC"/>
    <w:rsid w:val="601654D5"/>
    <w:rsid w:val="605C0804"/>
    <w:rsid w:val="60913E6F"/>
    <w:rsid w:val="60E70C20"/>
    <w:rsid w:val="60F90953"/>
    <w:rsid w:val="60FF41BB"/>
    <w:rsid w:val="611063C8"/>
    <w:rsid w:val="611C2FBF"/>
    <w:rsid w:val="611F0045"/>
    <w:rsid w:val="61265BEC"/>
    <w:rsid w:val="613D4CE3"/>
    <w:rsid w:val="61733C3E"/>
    <w:rsid w:val="61803A80"/>
    <w:rsid w:val="6189617B"/>
    <w:rsid w:val="619743F4"/>
    <w:rsid w:val="61B52BB6"/>
    <w:rsid w:val="61B749C2"/>
    <w:rsid w:val="61F07FA8"/>
    <w:rsid w:val="62280D20"/>
    <w:rsid w:val="622F0AD0"/>
    <w:rsid w:val="62465E1A"/>
    <w:rsid w:val="62595B4D"/>
    <w:rsid w:val="626544F2"/>
    <w:rsid w:val="6271733B"/>
    <w:rsid w:val="62740BD9"/>
    <w:rsid w:val="62960B4F"/>
    <w:rsid w:val="629C50CC"/>
    <w:rsid w:val="62B4786E"/>
    <w:rsid w:val="62CA2457"/>
    <w:rsid w:val="630E06E5"/>
    <w:rsid w:val="631303F2"/>
    <w:rsid w:val="634467FD"/>
    <w:rsid w:val="63520F1A"/>
    <w:rsid w:val="637644DD"/>
    <w:rsid w:val="638240A1"/>
    <w:rsid w:val="63833423"/>
    <w:rsid w:val="63A5257B"/>
    <w:rsid w:val="63BD3DCC"/>
    <w:rsid w:val="63C61741"/>
    <w:rsid w:val="63DA0F0F"/>
    <w:rsid w:val="641E0DFC"/>
    <w:rsid w:val="643028DD"/>
    <w:rsid w:val="64560967"/>
    <w:rsid w:val="647B4686"/>
    <w:rsid w:val="6497246F"/>
    <w:rsid w:val="64A07A63"/>
    <w:rsid w:val="64CF0348"/>
    <w:rsid w:val="654C7BEB"/>
    <w:rsid w:val="656B1D10"/>
    <w:rsid w:val="65A11CE5"/>
    <w:rsid w:val="65AC068A"/>
    <w:rsid w:val="65B841F9"/>
    <w:rsid w:val="65BA0674"/>
    <w:rsid w:val="65F71905"/>
    <w:rsid w:val="66014531"/>
    <w:rsid w:val="66022B28"/>
    <w:rsid w:val="663A7A43"/>
    <w:rsid w:val="664A38E2"/>
    <w:rsid w:val="66581E87"/>
    <w:rsid w:val="6661143C"/>
    <w:rsid w:val="666F1DE3"/>
    <w:rsid w:val="66766EBB"/>
    <w:rsid w:val="66770C98"/>
    <w:rsid w:val="66F45E44"/>
    <w:rsid w:val="66FA11D5"/>
    <w:rsid w:val="674302C7"/>
    <w:rsid w:val="67642FCA"/>
    <w:rsid w:val="67BF6452"/>
    <w:rsid w:val="67CB09D8"/>
    <w:rsid w:val="67EE3B0F"/>
    <w:rsid w:val="67FF7197"/>
    <w:rsid w:val="68014CBD"/>
    <w:rsid w:val="680A5986"/>
    <w:rsid w:val="680D5F4B"/>
    <w:rsid w:val="68113F51"/>
    <w:rsid w:val="68175C13"/>
    <w:rsid w:val="6870599E"/>
    <w:rsid w:val="687A05CB"/>
    <w:rsid w:val="68831B76"/>
    <w:rsid w:val="68B272C7"/>
    <w:rsid w:val="68E94770"/>
    <w:rsid w:val="68EC1CEF"/>
    <w:rsid w:val="68F949C9"/>
    <w:rsid w:val="69146C72"/>
    <w:rsid w:val="694A2531"/>
    <w:rsid w:val="6951399C"/>
    <w:rsid w:val="695A4290"/>
    <w:rsid w:val="696F3649"/>
    <w:rsid w:val="697D65C5"/>
    <w:rsid w:val="6989120F"/>
    <w:rsid w:val="69DB32EB"/>
    <w:rsid w:val="69F06D97"/>
    <w:rsid w:val="6A107439"/>
    <w:rsid w:val="6A267606"/>
    <w:rsid w:val="6A3240F1"/>
    <w:rsid w:val="6A334932"/>
    <w:rsid w:val="6A3353FF"/>
    <w:rsid w:val="6A3C265A"/>
    <w:rsid w:val="6A3D7B02"/>
    <w:rsid w:val="6A4E1D0F"/>
    <w:rsid w:val="6A5D63E6"/>
    <w:rsid w:val="6A5F24D1"/>
    <w:rsid w:val="6A6F3E40"/>
    <w:rsid w:val="6A8B6AC0"/>
    <w:rsid w:val="6A995680"/>
    <w:rsid w:val="6A9B6EED"/>
    <w:rsid w:val="6AAF0A00"/>
    <w:rsid w:val="6AC02C0D"/>
    <w:rsid w:val="6AC458C1"/>
    <w:rsid w:val="6ACA70C4"/>
    <w:rsid w:val="6AE347EB"/>
    <w:rsid w:val="6B2A62D8"/>
    <w:rsid w:val="6B330365"/>
    <w:rsid w:val="6B434AF0"/>
    <w:rsid w:val="6B57675A"/>
    <w:rsid w:val="6B87098A"/>
    <w:rsid w:val="6B9F6CC6"/>
    <w:rsid w:val="6BC8789F"/>
    <w:rsid w:val="6BDD7B4D"/>
    <w:rsid w:val="6C0B610A"/>
    <w:rsid w:val="6C18662D"/>
    <w:rsid w:val="6C354F35"/>
    <w:rsid w:val="6C393DD1"/>
    <w:rsid w:val="6C6972D4"/>
    <w:rsid w:val="6C7D068A"/>
    <w:rsid w:val="6C8E2897"/>
    <w:rsid w:val="6C9F6852"/>
    <w:rsid w:val="6CA16CF9"/>
    <w:rsid w:val="6CD75FEC"/>
    <w:rsid w:val="6CEB3054"/>
    <w:rsid w:val="6CED5810"/>
    <w:rsid w:val="6CF22FBC"/>
    <w:rsid w:val="6D25144D"/>
    <w:rsid w:val="6D52013C"/>
    <w:rsid w:val="6DAD4F9F"/>
    <w:rsid w:val="6E313E22"/>
    <w:rsid w:val="6E9404C0"/>
    <w:rsid w:val="6E961391"/>
    <w:rsid w:val="6EBC0B3A"/>
    <w:rsid w:val="6EED597D"/>
    <w:rsid w:val="6EF51C7D"/>
    <w:rsid w:val="6EF94940"/>
    <w:rsid w:val="6F152DFC"/>
    <w:rsid w:val="6F176B74"/>
    <w:rsid w:val="6F4A519B"/>
    <w:rsid w:val="6F773AB6"/>
    <w:rsid w:val="6F8363E5"/>
    <w:rsid w:val="6F841DCF"/>
    <w:rsid w:val="6F953603"/>
    <w:rsid w:val="6FA80CCD"/>
    <w:rsid w:val="6FAC3760"/>
    <w:rsid w:val="6FAC3CC5"/>
    <w:rsid w:val="6FC36CFC"/>
    <w:rsid w:val="6FC746F5"/>
    <w:rsid w:val="6FD74555"/>
    <w:rsid w:val="6FE33EF5"/>
    <w:rsid w:val="70317AC6"/>
    <w:rsid w:val="703D260A"/>
    <w:rsid w:val="704B26F7"/>
    <w:rsid w:val="70697B21"/>
    <w:rsid w:val="70863262"/>
    <w:rsid w:val="70903082"/>
    <w:rsid w:val="70952446"/>
    <w:rsid w:val="70A76ED3"/>
    <w:rsid w:val="70AE52B6"/>
    <w:rsid w:val="70E707C8"/>
    <w:rsid w:val="70F84783"/>
    <w:rsid w:val="710245F7"/>
    <w:rsid w:val="71053D85"/>
    <w:rsid w:val="712453E6"/>
    <w:rsid w:val="7126357A"/>
    <w:rsid w:val="71860B17"/>
    <w:rsid w:val="71B22797"/>
    <w:rsid w:val="71CF3736"/>
    <w:rsid w:val="72054E77"/>
    <w:rsid w:val="723B27CC"/>
    <w:rsid w:val="72565C05"/>
    <w:rsid w:val="72587BCF"/>
    <w:rsid w:val="72687227"/>
    <w:rsid w:val="72A03FD9"/>
    <w:rsid w:val="72A050D2"/>
    <w:rsid w:val="72D059B7"/>
    <w:rsid w:val="731F249B"/>
    <w:rsid w:val="73247AB1"/>
    <w:rsid w:val="732849D1"/>
    <w:rsid w:val="732D105C"/>
    <w:rsid w:val="73406CFF"/>
    <w:rsid w:val="7383028C"/>
    <w:rsid w:val="73A25E44"/>
    <w:rsid w:val="73BE7F06"/>
    <w:rsid w:val="73D72D76"/>
    <w:rsid w:val="73ED2599"/>
    <w:rsid w:val="741F68CF"/>
    <w:rsid w:val="744422CE"/>
    <w:rsid w:val="745F405A"/>
    <w:rsid w:val="7491561A"/>
    <w:rsid w:val="74BA06CD"/>
    <w:rsid w:val="75252DF3"/>
    <w:rsid w:val="753F0BD2"/>
    <w:rsid w:val="75621536"/>
    <w:rsid w:val="75862CA5"/>
    <w:rsid w:val="75A5137D"/>
    <w:rsid w:val="75BF3154"/>
    <w:rsid w:val="75DA4A2D"/>
    <w:rsid w:val="75F53987"/>
    <w:rsid w:val="7621652A"/>
    <w:rsid w:val="76400F7F"/>
    <w:rsid w:val="764A07CF"/>
    <w:rsid w:val="764F6B3D"/>
    <w:rsid w:val="76CD2B7B"/>
    <w:rsid w:val="76D80645"/>
    <w:rsid w:val="76E03371"/>
    <w:rsid w:val="76E47C83"/>
    <w:rsid w:val="771211AA"/>
    <w:rsid w:val="775D17E4"/>
    <w:rsid w:val="77736C04"/>
    <w:rsid w:val="7778661E"/>
    <w:rsid w:val="77B75398"/>
    <w:rsid w:val="77D9530E"/>
    <w:rsid w:val="77DC6BAC"/>
    <w:rsid w:val="780E5898"/>
    <w:rsid w:val="781A1483"/>
    <w:rsid w:val="782642CC"/>
    <w:rsid w:val="782D565A"/>
    <w:rsid w:val="783469E8"/>
    <w:rsid w:val="7860333A"/>
    <w:rsid w:val="78670B6C"/>
    <w:rsid w:val="786D1EFA"/>
    <w:rsid w:val="7894095E"/>
    <w:rsid w:val="78947487"/>
    <w:rsid w:val="78964555"/>
    <w:rsid w:val="78AD0549"/>
    <w:rsid w:val="78CF4963"/>
    <w:rsid w:val="78D31F49"/>
    <w:rsid w:val="78EA52F9"/>
    <w:rsid w:val="78FF6FF6"/>
    <w:rsid w:val="79000679"/>
    <w:rsid w:val="79142376"/>
    <w:rsid w:val="7916258F"/>
    <w:rsid w:val="7919280A"/>
    <w:rsid w:val="791C0FE5"/>
    <w:rsid w:val="791E4FA3"/>
    <w:rsid w:val="79725A1A"/>
    <w:rsid w:val="79A416F0"/>
    <w:rsid w:val="79B03EB6"/>
    <w:rsid w:val="79B61437"/>
    <w:rsid w:val="79BF0534"/>
    <w:rsid w:val="79C773E8"/>
    <w:rsid w:val="79E7658E"/>
    <w:rsid w:val="79F24151"/>
    <w:rsid w:val="7A293BFF"/>
    <w:rsid w:val="7A41363F"/>
    <w:rsid w:val="7A483E0B"/>
    <w:rsid w:val="7A9131A4"/>
    <w:rsid w:val="7A925C48"/>
    <w:rsid w:val="7ABE07EB"/>
    <w:rsid w:val="7AE15A5C"/>
    <w:rsid w:val="7AF37579"/>
    <w:rsid w:val="7AF87F64"/>
    <w:rsid w:val="7B1C0C84"/>
    <w:rsid w:val="7B1E74DC"/>
    <w:rsid w:val="7B5A62DF"/>
    <w:rsid w:val="7B7A04A8"/>
    <w:rsid w:val="7B7D06A6"/>
    <w:rsid w:val="7B8E4662"/>
    <w:rsid w:val="7BB35E76"/>
    <w:rsid w:val="7BB74BCC"/>
    <w:rsid w:val="7BDA3403"/>
    <w:rsid w:val="7BFC5A6F"/>
    <w:rsid w:val="7C0C3F6D"/>
    <w:rsid w:val="7C1A7CA3"/>
    <w:rsid w:val="7C22163C"/>
    <w:rsid w:val="7C457B4B"/>
    <w:rsid w:val="7C595075"/>
    <w:rsid w:val="7C6B07B2"/>
    <w:rsid w:val="7C6B6751"/>
    <w:rsid w:val="7C835849"/>
    <w:rsid w:val="7CD42548"/>
    <w:rsid w:val="7D1004A5"/>
    <w:rsid w:val="7D133243"/>
    <w:rsid w:val="7D2334DD"/>
    <w:rsid w:val="7D44147C"/>
    <w:rsid w:val="7D461D64"/>
    <w:rsid w:val="7D5E1E12"/>
    <w:rsid w:val="7D945420"/>
    <w:rsid w:val="7D965A4F"/>
    <w:rsid w:val="7D997857"/>
    <w:rsid w:val="7DBF2C63"/>
    <w:rsid w:val="7DC75C09"/>
    <w:rsid w:val="7DCE343B"/>
    <w:rsid w:val="7DD07A4B"/>
    <w:rsid w:val="7DF2712A"/>
    <w:rsid w:val="7E292420"/>
    <w:rsid w:val="7E394207"/>
    <w:rsid w:val="7E4007A2"/>
    <w:rsid w:val="7E791CAD"/>
    <w:rsid w:val="7E8A10CC"/>
    <w:rsid w:val="7EA50DFB"/>
    <w:rsid w:val="7EC86878"/>
    <w:rsid w:val="7EF73484"/>
    <w:rsid w:val="7EFE1AFE"/>
    <w:rsid w:val="7F16390D"/>
    <w:rsid w:val="7F19700A"/>
    <w:rsid w:val="7F1C1F84"/>
    <w:rsid w:val="7F250E39"/>
    <w:rsid w:val="7F363046"/>
    <w:rsid w:val="7F4D67E1"/>
    <w:rsid w:val="7F4E65E2"/>
    <w:rsid w:val="7F6D27E0"/>
    <w:rsid w:val="7F741F0B"/>
    <w:rsid w:val="7F752917"/>
    <w:rsid w:val="7F947D6D"/>
    <w:rsid w:val="7FBD3767"/>
    <w:rsid w:val="7FD10FC1"/>
    <w:rsid w:val="7FE37961"/>
    <w:rsid w:val="7FF633F9"/>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32"/>
    <w:autoRedefine/>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autoRedefine/>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99"/>
    <w:pPr>
      <w:spacing w:after="120" w:line="480" w:lineRule="auto"/>
      <w:ind w:left="420" w:leftChars="200"/>
    </w:pPr>
    <w:rPr>
      <w:kern w:val="0"/>
      <w:sz w:val="20"/>
    </w:rPr>
  </w:style>
  <w:style w:type="paragraph" w:styleId="6">
    <w:name w:val="Normal Indent"/>
    <w:basedOn w:val="1"/>
    <w:autoRedefine/>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autoRedefine/>
    <w:semiHidden/>
    <w:unhideWhenUsed/>
    <w:qFormat/>
    <w:uiPriority w:val="99"/>
    <w:pPr>
      <w:jc w:val="left"/>
    </w:pPr>
  </w:style>
  <w:style w:type="paragraph" w:styleId="8">
    <w:name w:val="Body Text 3"/>
    <w:basedOn w:val="1"/>
    <w:link w:val="42"/>
    <w:unhideWhenUsed/>
    <w:qFormat/>
    <w:uiPriority w:val="99"/>
    <w:pPr>
      <w:spacing w:after="120"/>
    </w:pPr>
    <w:rPr>
      <w:sz w:val="16"/>
      <w:szCs w:val="16"/>
    </w:rPr>
  </w:style>
  <w:style w:type="paragraph" w:styleId="9">
    <w:name w:val="Body Text"/>
    <w:basedOn w:val="1"/>
    <w:autoRedefine/>
    <w:qFormat/>
    <w:uiPriority w:val="99"/>
    <w:pPr>
      <w:spacing w:after="120"/>
    </w:pPr>
  </w:style>
  <w:style w:type="paragraph" w:styleId="10">
    <w:name w:val="Body Text Indent"/>
    <w:basedOn w:val="1"/>
    <w:autoRedefine/>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autoRedefine/>
    <w:unhideWhenUsed/>
    <w:qFormat/>
    <w:uiPriority w:val="39"/>
    <w:pPr>
      <w:widowControl/>
      <w:spacing w:after="100" w:line="276" w:lineRule="auto"/>
      <w:ind w:left="440"/>
      <w:jc w:val="left"/>
    </w:pPr>
    <w:rPr>
      <w:kern w:val="0"/>
      <w:sz w:val="22"/>
    </w:rPr>
  </w:style>
  <w:style w:type="paragraph" w:styleId="12">
    <w:name w:val="Plain Text"/>
    <w:basedOn w:val="1"/>
    <w:autoRedefine/>
    <w:qFormat/>
    <w:uiPriority w:val="0"/>
    <w:rPr>
      <w:rFonts w:ascii="宋体" w:hAnsi="Courier New"/>
      <w:szCs w:val="21"/>
    </w:rPr>
  </w:style>
  <w:style w:type="paragraph" w:styleId="13">
    <w:name w:val="Balloon Text"/>
    <w:basedOn w:val="1"/>
    <w:link w:val="37"/>
    <w:autoRedefine/>
    <w:semiHidden/>
    <w:unhideWhenUsed/>
    <w:qFormat/>
    <w:uiPriority w:val="99"/>
    <w:rPr>
      <w:sz w:val="18"/>
      <w:szCs w:val="18"/>
    </w:rPr>
  </w:style>
  <w:style w:type="paragraph" w:styleId="14">
    <w:name w:val="footer"/>
    <w:basedOn w:val="1"/>
    <w:link w:val="31"/>
    <w:autoRedefine/>
    <w:unhideWhenUsed/>
    <w:qFormat/>
    <w:uiPriority w:val="99"/>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szCs w:val="24"/>
    </w:rPr>
  </w:style>
  <w:style w:type="paragraph" w:styleId="16">
    <w:name w:val="header"/>
    <w:basedOn w:val="1"/>
    <w:link w:val="30"/>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Body Text 2"/>
    <w:basedOn w:val="1"/>
    <w:autoRedefine/>
    <w:qFormat/>
    <w:uiPriority w:val="0"/>
    <w:pPr>
      <w:spacing w:after="120" w:line="480" w:lineRule="auto"/>
    </w:p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2">
    <w:name w:val="Body Text First Indent 2"/>
    <w:basedOn w:val="10"/>
    <w:autoRedefine/>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autoRedefine/>
    <w:qFormat/>
    <w:uiPriority w:val="22"/>
    <w:rPr>
      <w:b/>
      <w:bCs/>
    </w:rPr>
  </w:style>
  <w:style w:type="character" w:styleId="27">
    <w:name w:val="page number"/>
    <w:basedOn w:val="25"/>
    <w:autoRedefine/>
    <w:unhideWhenUsed/>
    <w:qFormat/>
    <w:uiPriority w:val="0"/>
  </w:style>
  <w:style w:type="character" w:styleId="28">
    <w:name w:val="Hyperlink"/>
    <w:basedOn w:val="25"/>
    <w:autoRedefine/>
    <w:unhideWhenUsed/>
    <w:qFormat/>
    <w:uiPriority w:val="99"/>
    <w:rPr>
      <w:color w:val="0000FF" w:themeColor="hyperlink"/>
      <w:u w:val="single"/>
      <w14:textFill>
        <w14:solidFill>
          <w14:schemeClr w14:val="hlink"/>
        </w14:solidFill>
      </w14:textFill>
    </w:rPr>
  </w:style>
  <w:style w:type="paragraph" w:customStyle="1" w:styleId="29">
    <w:name w:val="Default"/>
    <w:next w:val="18"/>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0">
    <w:name w:val="页眉 Char"/>
    <w:basedOn w:val="25"/>
    <w:link w:val="16"/>
    <w:autoRedefine/>
    <w:semiHidden/>
    <w:qFormat/>
    <w:uiPriority w:val="99"/>
    <w:rPr>
      <w:sz w:val="18"/>
      <w:szCs w:val="18"/>
    </w:rPr>
  </w:style>
  <w:style w:type="character" w:customStyle="1" w:styleId="31">
    <w:name w:val="页脚 Char"/>
    <w:basedOn w:val="25"/>
    <w:link w:val="14"/>
    <w:autoRedefine/>
    <w:qFormat/>
    <w:uiPriority w:val="99"/>
    <w:rPr>
      <w:sz w:val="18"/>
      <w:szCs w:val="18"/>
    </w:rPr>
  </w:style>
  <w:style w:type="character" w:customStyle="1" w:styleId="32">
    <w:name w:val="标题 1 Char"/>
    <w:basedOn w:val="25"/>
    <w:link w:val="3"/>
    <w:autoRedefine/>
    <w:qFormat/>
    <w:uiPriority w:val="9"/>
    <w:rPr>
      <w:rFonts w:eastAsia="方正小标宋简体"/>
      <w:bCs/>
      <w:kern w:val="44"/>
      <w:sz w:val="44"/>
      <w:szCs w:val="44"/>
    </w:rPr>
  </w:style>
  <w:style w:type="character" w:customStyle="1" w:styleId="33">
    <w:name w:val="标题 2 Char"/>
    <w:basedOn w:val="25"/>
    <w:link w:val="4"/>
    <w:autoRedefine/>
    <w:qFormat/>
    <w:uiPriority w:val="9"/>
    <w:rPr>
      <w:rFonts w:eastAsia="方正小标宋简体" w:asciiTheme="majorHAnsi" w:hAnsiTheme="majorHAnsi" w:cstheme="majorBidi"/>
      <w:bCs/>
      <w:sz w:val="36"/>
      <w:szCs w:val="32"/>
    </w:rPr>
  </w:style>
  <w:style w:type="character" w:customStyle="1" w:styleId="34">
    <w:name w:val="标题 3 Char"/>
    <w:basedOn w:val="25"/>
    <w:link w:val="5"/>
    <w:autoRedefine/>
    <w:qFormat/>
    <w:uiPriority w:val="9"/>
    <w:rPr>
      <w:rFonts w:ascii="Calibri" w:hAnsi="Calibri" w:eastAsia="宋体" w:cs="Times New Roman"/>
      <w:b/>
      <w:bCs/>
      <w:sz w:val="32"/>
      <w:szCs w:val="32"/>
    </w:rPr>
  </w:style>
  <w:style w:type="paragraph" w:styleId="35">
    <w:name w:val="List Paragraph"/>
    <w:basedOn w:val="1"/>
    <w:link w:val="43"/>
    <w:autoRedefine/>
    <w:qFormat/>
    <w:uiPriority w:val="34"/>
    <w:pPr>
      <w:ind w:firstLine="420" w:firstLineChars="200"/>
    </w:pPr>
  </w:style>
  <w:style w:type="paragraph" w:customStyle="1" w:styleId="36">
    <w:name w:val="TOC Heading"/>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3"/>
    <w:autoRedefine/>
    <w:semiHidden/>
    <w:qFormat/>
    <w:uiPriority w:val="99"/>
    <w:rPr>
      <w:sz w:val="18"/>
      <w:szCs w:val="18"/>
    </w:rPr>
  </w:style>
  <w:style w:type="paragraph" w:styleId="38">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29"/>
    <w:next w:val="29"/>
    <w:autoRedefine/>
    <w:qFormat/>
    <w:uiPriority w:val="0"/>
    <w:pPr>
      <w:spacing w:after="373"/>
    </w:pPr>
    <w:rPr>
      <w:color w:val="auto"/>
    </w:rPr>
  </w:style>
  <w:style w:type="paragraph" w:customStyle="1" w:styleId="40">
    <w:name w:val="CM91"/>
    <w:basedOn w:val="29"/>
    <w:next w:val="29"/>
    <w:autoRedefine/>
    <w:qFormat/>
    <w:uiPriority w:val="0"/>
    <w:pPr>
      <w:spacing w:after="160"/>
    </w:pPr>
    <w:rPr>
      <w:color w:val="auto"/>
    </w:rPr>
  </w:style>
  <w:style w:type="character" w:customStyle="1" w:styleId="41">
    <w:name w:val="正文文本 3 Char"/>
    <w:link w:val="8"/>
    <w:autoRedefine/>
    <w:qFormat/>
    <w:uiPriority w:val="99"/>
    <w:rPr>
      <w:sz w:val="16"/>
      <w:szCs w:val="16"/>
    </w:rPr>
  </w:style>
  <w:style w:type="character" w:customStyle="1" w:styleId="42">
    <w:name w:val="正文文本 3 Char1"/>
    <w:basedOn w:val="25"/>
    <w:link w:val="8"/>
    <w:autoRedefine/>
    <w:semiHidden/>
    <w:qFormat/>
    <w:uiPriority w:val="99"/>
    <w:rPr>
      <w:sz w:val="16"/>
      <w:szCs w:val="16"/>
    </w:rPr>
  </w:style>
  <w:style w:type="character" w:customStyle="1" w:styleId="43">
    <w:name w:val="列出段落 Char"/>
    <w:link w:val="35"/>
    <w:autoRedefine/>
    <w:qFormat/>
    <w:uiPriority w:val="34"/>
  </w:style>
  <w:style w:type="paragraph" w:customStyle="1" w:styleId="44">
    <w:name w:val="1"/>
    <w:basedOn w:val="1"/>
    <w:next w:val="12"/>
    <w:autoRedefine/>
    <w:qFormat/>
    <w:uiPriority w:val="99"/>
    <w:pPr>
      <w:widowControl w:val="0"/>
      <w:jc w:val="both"/>
    </w:pPr>
    <w:rPr>
      <w:rFonts w:ascii="宋体" w:hAnsi="Courier New"/>
      <w:kern w:val="2"/>
    </w:rPr>
  </w:style>
  <w:style w:type="paragraph" w:customStyle="1" w:styleId="45">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6">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7">
    <w:name w:val="WPSOffice手动目录 3"/>
    <w:autoRedefine/>
    <w:qFormat/>
    <w:uiPriority w:val="0"/>
    <w:pPr>
      <w:ind w:leftChars="400"/>
    </w:pPr>
    <w:rPr>
      <w:rFonts w:asciiTheme="minorHAnsi" w:hAnsiTheme="minorHAnsi" w:eastAsiaTheme="minorEastAsia" w:cstheme="minorBidi"/>
      <w:sz w:val="20"/>
      <w:szCs w:val="20"/>
    </w:rPr>
  </w:style>
  <w:style w:type="paragraph" w:customStyle="1" w:styleId="48">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9">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5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51">
    <w:name w:val="font41"/>
    <w:basedOn w:val="25"/>
    <w:qFormat/>
    <w:uiPriority w:val="0"/>
    <w:rPr>
      <w:rFonts w:hint="eastAsia" w:ascii="宋体" w:hAnsi="宋体" w:eastAsia="宋体" w:cs="宋体"/>
      <w:color w:val="000000"/>
      <w:sz w:val="21"/>
      <w:szCs w:val="21"/>
      <w:u w:val="none"/>
    </w:rPr>
  </w:style>
  <w:style w:type="character" w:customStyle="1" w:styleId="52">
    <w:name w:val="font21"/>
    <w:basedOn w:val="25"/>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85</Pages>
  <Words>2627</Words>
  <Characters>2834</Characters>
  <Lines>300</Lines>
  <Paragraphs>84</Paragraphs>
  <TotalTime>16</TotalTime>
  <ScaleCrop>false</ScaleCrop>
  <LinksUpToDate>false</LinksUpToDate>
  <CharactersWithSpaces>2996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唐军</cp:lastModifiedBy>
  <cp:lastPrinted>2025-07-22T07:23:00Z</cp:lastPrinted>
  <dcterms:modified xsi:type="dcterms:W3CDTF">2025-08-11T02:47:37Z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7565E76E966E4A49B63196B162D62151_13</vt:lpwstr>
  </property>
  <property fmtid="{D5CDD505-2E9C-101B-9397-08002B2CF9AE}" pid="4" name="KSOTemplateDocerSaveRecord">
    <vt:lpwstr>eyJoZGlkIjoiM2I4MzJlNmZhNTAyODI2ZTMyNTJjZDNiMDNjMGRmZDAiLCJ1c2VySWQiOiIyNjQ5NjE2NzkifQ==</vt:lpwstr>
  </property>
</Properties>
</file>