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color w:val="auto"/>
          <w:sz w:val="52"/>
          <w:szCs w:val="52"/>
          <w:highlight w:val="none"/>
        </w:rPr>
      </w:pPr>
    </w:p>
    <w:p>
      <w:pPr>
        <w:jc w:val="center"/>
        <w:rPr>
          <w:rFonts w:hint="eastAsia"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lang w:val="en-US" w:eastAsia="zh-CN"/>
        </w:rPr>
        <w:t>广州市净水有限公司</w:t>
      </w:r>
      <w:r>
        <w:rPr>
          <w:rFonts w:hint="eastAsia" w:ascii="方正小标宋简体" w:eastAsia="方正小标宋简体"/>
          <w:color w:val="auto"/>
          <w:sz w:val="52"/>
          <w:szCs w:val="52"/>
          <w:highlight w:val="none"/>
          <w:u w:val="none"/>
          <w:lang w:eastAsia="zh-CN"/>
        </w:rPr>
        <w:t>化龙堆存污泥综合处理处置项目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u w:val="none"/>
          <w:lang w:val="en-US" w:eastAsia="zh-CN"/>
        </w:rPr>
        <w:t>废弃烟囱爆破拆除工程监理（第二次）</w:t>
      </w:r>
    </w:p>
    <w:p>
      <w:pPr>
        <w:jc w:val="center"/>
        <w:rPr>
          <w:rFonts w:ascii="方正小标宋简体" w:eastAsia="方正小标宋简体"/>
          <w:color w:val="auto"/>
          <w:sz w:val="52"/>
          <w:szCs w:val="52"/>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186"/>
        <w:ind w:firstLine="640"/>
        <w:rPr>
          <w:rFonts w:ascii="仿宋_GB2312" w:eastAsia="仿宋_GB2312"/>
          <w:color w:val="auto"/>
          <w:szCs w:val="32"/>
          <w:highlight w:val="none"/>
        </w:rPr>
      </w:pPr>
    </w:p>
    <w:p>
      <w:pPr>
        <w:pStyle w:val="186"/>
        <w:ind w:firstLine="640"/>
        <w:rPr>
          <w:rFonts w:ascii="仿宋_GB2312" w:eastAsia="仿宋_GB2312"/>
          <w:color w:val="auto"/>
          <w:szCs w:val="32"/>
          <w:highlight w:val="none"/>
        </w:rPr>
      </w:pPr>
    </w:p>
    <w:p>
      <w:pPr>
        <w:pStyle w:val="186"/>
        <w:ind w:firstLine="0" w:firstLineChars="0"/>
        <w:rPr>
          <w:rFonts w:ascii="仿宋_GB2312" w:eastAsia="仿宋_GB2312"/>
          <w:color w:val="auto"/>
          <w:szCs w:val="32"/>
          <w:highlight w:val="none"/>
        </w:rPr>
      </w:pPr>
    </w:p>
    <w:p>
      <w:pPr>
        <w:pStyle w:val="186"/>
        <w:ind w:firstLine="640"/>
        <w:rPr>
          <w:rFonts w:ascii="仿宋_GB2312" w:eastAsia="仿宋_GB2312"/>
          <w:color w:val="auto"/>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二五</w:t>
      </w:r>
      <w:r>
        <w:rPr>
          <w:rFonts w:hint="eastAsia" w:ascii="黑体" w:hAnsi="黑体" w:eastAsia="黑体" w:cs="仿宋_GB2312"/>
          <w:color w:val="auto"/>
          <w:sz w:val="32"/>
          <w:szCs w:val="32"/>
          <w:highlight w:val="none"/>
          <w:lang w:val="en-US" w:eastAsia="zh-CN"/>
        </w:rPr>
        <w:t>年七</w:t>
      </w:r>
      <w:r>
        <w:rPr>
          <w:rFonts w:hint="eastAsia" w:ascii="黑体" w:hAnsi="黑体" w:eastAsia="黑体" w:cs="仿宋_GB2312"/>
          <w:color w:val="auto"/>
          <w:sz w:val="32"/>
          <w:szCs w:val="32"/>
          <w:highlight w:val="none"/>
        </w:rPr>
        <w:t>月</w:t>
      </w:r>
    </w:p>
    <w:p>
      <w:pPr>
        <w:rPr>
          <w:color w:val="auto"/>
          <w:highlight w:val="none"/>
        </w:rPr>
        <w:sectPr>
          <w:footerReference r:id="rId7" w:type="first"/>
          <w:footerReference r:id="rId5" w:type="default"/>
          <w:footerReference r:id="rId6" w:type="even"/>
          <w:pgSz w:w="11907" w:h="16839"/>
          <w:pgMar w:top="1588" w:right="1474" w:bottom="1134" w:left="1588" w:header="720" w:footer="720" w:gutter="0"/>
          <w:cols w:space="720" w:num="1"/>
          <w:docGrid w:linePitch="299" w:charSpace="0"/>
        </w:sectPr>
      </w:pPr>
    </w:p>
    <w:p>
      <w:pPr>
        <w:pStyle w:val="50"/>
        <w:rPr>
          <w:highlight w:val="none"/>
        </w:rPr>
      </w:pPr>
    </w:p>
    <w:p>
      <w:pPr>
        <w:pStyle w:val="612"/>
        <w:adjustRightInd w:val="0"/>
        <w:snapToGrid w:val="0"/>
        <w:spacing w:before="0" w:line="600" w:lineRule="exact"/>
        <w:jc w:val="center"/>
        <w:rPr>
          <w:rFonts w:hint="eastAsia"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hint="eastAsia" w:ascii="等线" w:hAnsi="等线"/>
          <w:color w:val="auto"/>
          <w:sz w:val="24"/>
          <w:szCs w:val="24"/>
          <w:highlight w:val="none"/>
        </w:rPr>
      </w:pPr>
    </w:p>
    <w:p>
      <w:pPr>
        <w:pStyle w:val="56"/>
        <w:numPr>
          <w:ilvl w:val="0"/>
          <w:numId w:val="23"/>
        </w:numPr>
        <w:tabs>
          <w:tab w:val="right" w:pos="8844"/>
        </w:tabs>
        <w:rPr>
          <w:color w:val="auto"/>
          <w:highlight w:val="none"/>
        </w:rPr>
      </w:pPr>
      <w:r>
        <w:rPr>
          <w:rFonts w:hint="eastAsia"/>
          <w:color w:val="auto"/>
          <w:highlight w:val="none"/>
        </w:rPr>
        <w:t>采购公告（采购邀请书）</w:t>
      </w:r>
    </w:p>
    <w:p>
      <w:pPr>
        <w:pStyle w:val="56"/>
        <w:numPr>
          <w:ilvl w:val="0"/>
          <w:numId w:val="23"/>
        </w:numPr>
        <w:tabs>
          <w:tab w:val="right" w:pos="8844"/>
        </w:tabs>
        <w:rPr>
          <w:color w:val="auto"/>
          <w:highlight w:val="none"/>
        </w:rPr>
      </w:pPr>
      <w:r>
        <w:rPr>
          <w:rFonts w:hint="eastAsia"/>
          <w:color w:val="auto"/>
          <w:highlight w:val="none"/>
        </w:rPr>
        <w:t>供应商须知</w:t>
      </w:r>
    </w:p>
    <w:p>
      <w:pPr>
        <w:pStyle w:val="56"/>
        <w:numPr>
          <w:ilvl w:val="0"/>
          <w:numId w:val="23"/>
        </w:numPr>
        <w:tabs>
          <w:tab w:val="right" w:pos="8844"/>
        </w:tabs>
        <w:rPr>
          <w:color w:val="auto"/>
          <w:highlight w:val="none"/>
        </w:rPr>
      </w:pPr>
      <w:r>
        <w:rPr>
          <w:rFonts w:hint="eastAsia"/>
          <w:color w:val="auto"/>
          <w:highlight w:val="none"/>
        </w:rPr>
        <w:t>采购方法</w:t>
      </w:r>
    </w:p>
    <w:p>
      <w:pPr>
        <w:pStyle w:val="56"/>
        <w:numPr>
          <w:ilvl w:val="0"/>
          <w:numId w:val="23"/>
        </w:numPr>
        <w:tabs>
          <w:tab w:val="right" w:pos="8844"/>
        </w:tabs>
        <w:rPr>
          <w:color w:val="auto"/>
          <w:highlight w:val="none"/>
        </w:rPr>
      </w:pPr>
      <w:r>
        <w:rPr>
          <w:rFonts w:hint="eastAsia"/>
          <w:color w:val="auto"/>
          <w:highlight w:val="none"/>
        </w:rPr>
        <w:t>评审方法</w:t>
      </w:r>
    </w:p>
    <w:p>
      <w:pPr>
        <w:pStyle w:val="56"/>
        <w:numPr>
          <w:ilvl w:val="0"/>
          <w:numId w:val="23"/>
        </w:numPr>
        <w:tabs>
          <w:tab w:val="right" w:pos="8844"/>
        </w:tabs>
        <w:rPr>
          <w:color w:val="auto"/>
          <w:highlight w:val="none"/>
        </w:rPr>
      </w:pPr>
      <w:r>
        <w:rPr>
          <w:rFonts w:hint="eastAsia"/>
          <w:color w:val="auto"/>
          <w:highlight w:val="none"/>
        </w:rPr>
        <w:t>采购需求</w:t>
      </w:r>
    </w:p>
    <w:p>
      <w:pPr>
        <w:pStyle w:val="56"/>
        <w:numPr>
          <w:ilvl w:val="0"/>
          <w:numId w:val="23"/>
        </w:numPr>
        <w:tabs>
          <w:tab w:val="right" w:pos="8844"/>
        </w:tabs>
        <w:rPr>
          <w:color w:val="auto"/>
          <w:highlight w:val="none"/>
        </w:rPr>
      </w:pPr>
      <w:r>
        <w:rPr>
          <w:rFonts w:hint="eastAsia"/>
          <w:color w:val="auto"/>
          <w:highlight w:val="none"/>
        </w:rPr>
        <w:t>合同草案</w:t>
      </w:r>
    </w:p>
    <w:p>
      <w:pPr>
        <w:pStyle w:val="56"/>
        <w:numPr>
          <w:ilvl w:val="0"/>
          <w:numId w:val="23"/>
        </w:numPr>
        <w:tabs>
          <w:tab w:val="right" w:pos="8844"/>
        </w:tabs>
        <w:rPr>
          <w:color w:val="auto"/>
          <w:highlight w:val="none"/>
        </w:rPr>
      </w:pPr>
      <w:r>
        <w:rPr>
          <w:rFonts w:hint="eastAsia"/>
          <w:color w:val="auto"/>
          <w:highlight w:val="none"/>
        </w:rPr>
        <w:t>响应文件格式要求</w:t>
      </w:r>
      <w:r>
        <w:rPr>
          <w:rFonts w:hint="eastAsia"/>
          <w:color w:val="auto"/>
          <w:highlight w:val="none"/>
        </w:rPr>
        <w:fldChar w:fldCharType="begin"/>
      </w:r>
      <w:r>
        <w:rPr>
          <w:color w:val="auto"/>
          <w:highlight w:val="none"/>
        </w:rPr>
        <w:instrText xml:space="preserve">TOC \o "1-1" \n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56"/>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56"/>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84"/>
        <w:ind w:firstLine="480"/>
        <w:rPr>
          <w:rFonts w:hint="default"/>
          <w:highlight w:val="none"/>
        </w:rPr>
      </w:pPr>
      <w:r>
        <w:rPr>
          <w:highlight w:val="none"/>
        </w:rPr>
        <w:fldChar w:fldCharType="end"/>
      </w:r>
    </w:p>
    <w:p>
      <w:pPr>
        <w:adjustRightInd w:val="0"/>
        <w:snapToGrid w:val="0"/>
        <w:spacing w:line="600" w:lineRule="exact"/>
        <w:ind w:firstLine="560" w:firstLineChars="200"/>
        <w:rPr>
          <w:rFonts w:ascii="仿宋_GB2312" w:eastAsia="仿宋_GB2312"/>
          <w:color w:val="auto"/>
          <w:sz w:val="28"/>
          <w:szCs w:val="28"/>
          <w:highlight w:val="none"/>
        </w:rPr>
      </w:pPr>
    </w:p>
    <w:p>
      <w:pPr>
        <w:pStyle w:val="2"/>
        <w:rPr>
          <w:rFonts w:hint="eastAsia"/>
          <w:color w:val="auto"/>
          <w:highlight w:val="none"/>
        </w:rPr>
      </w:pPr>
      <w:bookmarkStart w:id="0" w:name="_Toc26148"/>
      <w:bookmarkStart w:id="1" w:name="_Toc18145"/>
    </w:p>
    <w:p>
      <w:pPr>
        <w:rPr>
          <w:color w:val="auto"/>
          <w:highlight w:val="none"/>
        </w:rPr>
      </w:pPr>
    </w:p>
    <w:p>
      <w:pPr>
        <w:pStyle w:val="2"/>
        <w:rPr>
          <w:rFonts w:hint="eastAsia"/>
          <w:color w:val="auto"/>
          <w:highlight w:val="none"/>
        </w:rPr>
      </w:pPr>
      <w:bookmarkStart w:id="2" w:name="_Toc17696"/>
      <w:bookmarkStart w:id="3" w:name="_Toc1711"/>
    </w:p>
    <w:p>
      <w:pPr>
        <w:rPr>
          <w:color w:val="auto"/>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2"/>
        <w:rPr>
          <w:rFonts w:hint="eastAsia"/>
          <w:color w:val="auto"/>
          <w:highlight w:val="none"/>
        </w:rPr>
      </w:pPr>
      <w:bookmarkStart w:id="4" w:name="_Toc4275"/>
      <w:bookmarkStart w:id="5" w:name="_Toc7519"/>
      <w:bookmarkStart w:id="6" w:name="_Toc19609"/>
      <w:bookmarkStart w:id="7" w:name="_Toc11322"/>
      <w:bookmarkStart w:id="8" w:name="_Toc31938"/>
      <w:bookmarkStart w:id="9" w:name="_Toc1669"/>
      <w:bookmarkStart w:id="10" w:name="_Toc17801"/>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2336" behindDoc="0" locked="0" layoutInCell="1" allowOverlap="1">
                <wp:simplePos x="0" y="0"/>
                <wp:positionH relativeFrom="column">
                  <wp:posOffset>2348230</wp:posOffset>
                </wp:positionH>
                <wp:positionV relativeFrom="paragraph">
                  <wp:posOffset>530225</wp:posOffset>
                </wp:positionV>
                <wp:extent cx="958850" cy="0"/>
                <wp:effectExtent l="0" t="4445" r="0" b="5080"/>
                <wp:wrapNone/>
                <wp:docPr id="1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3" o:spid="_x0000_s1026" o:spt="32" type="#_x0000_t32" style="position:absolute;left:0pt;margin-left:184.9pt;margin-top:41.75pt;height:0pt;width:75.5pt;z-index:251662336;mso-width-relative:page;mso-height-relative:page;" filled="f" stroked="t" coordsize="21600,21600" o:gfxdata="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pxeSdYAAAAJAQAADwAAAAAAAAABACAAAAAiAAAAZHJzL2Rvd25yZXYueG1sUEsB&#10;AhQAFAAAAAgAh07iQH5gzFz3AQAA8QMAAA4AAAAAAAAAAQAgAAAAJQEAAGRycy9lMm9Eb2MueG1s&#10;UEsFBgAAAAAGAAYAWQEAAI4FAAAAAA==&#10;">
                <v:fill on="f" focussize="0,0"/>
                <v:stroke color="#000000" joinstyle="round"/>
                <v:imagedata o:title=""/>
                <o:lock v:ext="edit" aspectratio="f"/>
              </v:shape>
            </w:pict>
          </mc:Fallback>
        </mc:AlternateContent>
      </w:r>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w:t>第一章</w:t>
      </w:r>
      <w:bookmarkEnd w:id="0"/>
      <w:bookmarkEnd w:id="1"/>
      <w:bookmarkEnd w:id="2"/>
      <w:bookmarkEnd w:id="3"/>
      <w:bookmarkEnd w:id="4"/>
      <w:bookmarkEnd w:id="5"/>
      <w:bookmarkEnd w:id="6"/>
      <w:bookmarkEnd w:id="7"/>
      <w:bookmarkEnd w:id="8"/>
      <w:bookmarkEnd w:id="9"/>
      <w:bookmarkEnd w:id="10"/>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3360" behindDoc="0" locked="0" layoutInCell="1" allowOverlap="1">
                <wp:simplePos x="0" y="0"/>
                <wp:positionH relativeFrom="column">
                  <wp:posOffset>2340610</wp:posOffset>
                </wp:positionH>
                <wp:positionV relativeFrom="paragraph">
                  <wp:posOffset>113665</wp:posOffset>
                </wp:positionV>
                <wp:extent cx="958850" cy="0"/>
                <wp:effectExtent l="0" t="4445" r="0" b="5080"/>
                <wp:wrapNone/>
                <wp:docPr id="12" name="自选图形 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2" o:spid="_x0000_s1026" o:spt="32" type="#_x0000_t32" style="position:absolute;left:0pt;margin-left:184.3pt;margin-top:8.95pt;height:0pt;width:75.5pt;z-index:251663360;mso-width-relative:page;mso-height-relative:page;" filled="f" stroked="t" coordsize="21600,21600" o:gfxdata="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3IdD1gAAAAkBAAAPAAAAAAAAAAEAIAAAACIAAABkcnMvZG93bnJldi54bWxQSwEC&#10;FAAUAAAACACHTuJAvYe6JfYBAADxAwAADgAAAAAAAAABACAAAAAlAQAAZHJzL2Uyb0RvYy54bWxQ&#10;SwUGAAAAAAYABgBZAQAAjQUAAAAA&#10;">
                <v:fill on="f" focussize="0,0"/>
                <v:stroke color="#000000" joinstyle="round"/>
                <v:imagedata o:title=""/>
                <o:lock v:ext="edit" aspectratio="f"/>
              </v:shape>
            </w:pict>
          </mc:Fallback>
        </mc:AlternateContent>
      </w:r>
    </w:p>
    <w:p>
      <w:pPr>
        <w:pStyle w:val="81"/>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40"/>
          <w:szCs w:val="40"/>
          <w:highlight w:val="none"/>
        </w:rPr>
        <w:t>采购公告（采购邀请书）</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0" w:firstLineChars="0"/>
        <w:rPr>
          <w:rFonts w:hint="default" w:ascii="方正小标宋简体" w:eastAsia="方正小标宋简体"/>
          <w:sz w:val="44"/>
          <w:szCs w:val="44"/>
          <w:highlight w:val="none"/>
        </w:rPr>
      </w:pPr>
    </w:p>
    <w:p>
      <w:pPr>
        <w:pStyle w:val="84"/>
        <w:ind w:firstLine="560"/>
        <w:rPr>
          <w:rFonts w:hint="default" w:ascii="仿宋_GB2312" w:eastAsia="仿宋_GB2312"/>
          <w:sz w:val="28"/>
          <w:szCs w:val="28"/>
          <w:highlight w:val="none"/>
        </w:rPr>
      </w:pPr>
    </w:p>
    <w:p>
      <w:pPr>
        <w:pStyle w:val="2"/>
        <w:rPr>
          <w:rFonts w:hint="eastAsia"/>
          <w:color w:val="auto"/>
          <w:highlight w:val="none"/>
        </w:rPr>
      </w:pPr>
      <w:bookmarkStart w:id="11" w:name="_Toc9680"/>
      <w:bookmarkStart w:id="12" w:name="_Toc21373"/>
      <w:r>
        <w:rPr>
          <w:rFonts w:hint="eastAsia"/>
          <w:color w:val="auto"/>
          <w:highlight w:val="none"/>
        </w:rPr>
        <w:t>采购公告（采购邀请书）</w:t>
      </w:r>
    </w:p>
    <w:bookmarkEnd w:id="11"/>
    <w:bookmarkEnd w:id="12"/>
    <w:p>
      <w:pPr>
        <w:adjustRightInd w:val="0"/>
        <w:snapToGrid w:val="0"/>
        <w:spacing w:line="600" w:lineRule="exact"/>
        <w:ind w:firstLine="560" w:firstLineChars="2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lang w:eastAsia="zh-CN"/>
        </w:rPr>
        <w:t>化龙堆存污泥综合处理处置项目</w:t>
      </w:r>
      <w:r>
        <w:rPr>
          <w:rFonts w:hint="eastAsia" w:ascii="仿宋_GB2312" w:eastAsia="仿宋_GB2312"/>
          <w:color w:val="auto"/>
          <w:sz w:val="28"/>
          <w:szCs w:val="28"/>
          <w:highlight w:val="none"/>
          <w:u w:val="single"/>
          <w:lang w:val="en-US" w:eastAsia="zh-CN"/>
        </w:rPr>
        <w:t>废弃烟囱爆破拆除工程监理（第二次）</w:t>
      </w:r>
      <w:r>
        <w:rPr>
          <w:rFonts w:hint="eastAsia" w:ascii="仿宋_GB2312" w:eastAsia="仿宋_GB2312"/>
          <w:color w:val="auto"/>
          <w:sz w:val="28"/>
          <w:szCs w:val="28"/>
          <w:highlight w:val="none"/>
        </w:rPr>
        <w:t>已具备采购条件，现邀请合格单位参加本</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施工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货物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rPr>
        <w:t xml:space="preserve">邀请采购 </w:t>
      </w:r>
      <w:r>
        <w:rPr>
          <w:rFonts w:hint="eastAsia" w:ascii="仿宋_GB2312" w:eastAsia="仿宋_GB2312"/>
          <w:color w:val="auto"/>
          <w:sz w:val="28"/>
          <w:szCs w:val="28"/>
          <w:highlight w:val="none"/>
          <w:u w:val="single"/>
        </w:rPr>
        <w:sym w:font="Wingdings 2" w:char="0052"/>
      </w:r>
      <w:r>
        <w:rPr>
          <w:rFonts w:hint="eastAsia" w:ascii="仿宋_GB2312" w:eastAsia="仿宋_GB2312"/>
          <w:color w:val="auto"/>
          <w:sz w:val="28"/>
          <w:szCs w:val="28"/>
          <w:highlight w:val="none"/>
          <w:u w:val="single"/>
        </w:rPr>
        <w:t>公开采购</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1.采购项目简介</w:t>
      </w:r>
    </w:p>
    <w:p>
      <w:pPr>
        <w:adjustRightInd w:val="0"/>
        <w:snapToGrid w:val="0"/>
        <w:spacing w:line="600" w:lineRule="exact"/>
        <w:ind w:left="2520" w:hanging="2520" w:hangingChars="900"/>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lang w:eastAsia="zh-CN"/>
        </w:rPr>
        <w:t>化龙堆存污泥综合处理处置项目</w:t>
      </w:r>
      <w:r>
        <w:rPr>
          <w:rFonts w:hint="eastAsia" w:ascii="仿宋_GB2312" w:eastAsia="仿宋_GB2312"/>
          <w:color w:val="auto"/>
          <w:sz w:val="28"/>
          <w:szCs w:val="28"/>
          <w:highlight w:val="none"/>
          <w:u w:val="single"/>
          <w:lang w:val="en-US" w:eastAsia="zh-CN"/>
        </w:rPr>
        <w:t>废弃烟囱爆破拆除工程监理（第二次）</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XJ-20250704-1</w:t>
      </w:r>
      <w:r>
        <w:rPr>
          <w:rFonts w:hint="eastAsia" w:ascii="仿宋_GB2312" w:eastAsia="仿宋_GB2312"/>
          <w:color w:val="auto"/>
          <w:sz w:val="28"/>
          <w:szCs w:val="28"/>
          <w:highlight w:val="none"/>
          <w:u w:val="single"/>
        </w:rPr>
        <w:t xml:space="preserve">         </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widowControl w:val="0"/>
        <w:spacing w:after="0"/>
        <w:jc w:val="both"/>
        <w:rPr>
          <w:rFonts w:hint="eastAsia" w:ascii="仿宋" w:hAnsi="仿宋" w:eastAsia="仿宋" w:cs="仿宋"/>
          <w:color w:val="auto"/>
          <w:sz w:val="28"/>
          <w:szCs w:val="28"/>
          <w:highlight w:val="none"/>
          <w:lang w:bidi="ar"/>
        </w:rPr>
      </w:pPr>
      <w:r>
        <w:rPr>
          <w:rFonts w:hint="eastAsia" w:ascii="仿宋_GB2312" w:eastAsia="仿宋_GB2312"/>
          <w:color w:val="auto"/>
          <w:sz w:val="28"/>
          <w:szCs w:val="28"/>
          <w:highlight w:val="none"/>
        </w:rPr>
        <w:t>1.4最高限价（元）：</w:t>
      </w:r>
      <w:r>
        <w:rPr>
          <w:rFonts w:hint="eastAsia" w:ascii="仿宋" w:hAnsi="仿宋" w:eastAsia="仿宋" w:cs="仿宋"/>
          <w:color w:val="auto"/>
          <w:sz w:val="28"/>
          <w:szCs w:val="28"/>
          <w:highlight w:val="none"/>
          <w:u w:val="single"/>
          <w:lang w:val="en-US" w:eastAsia="zh-CN"/>
        </w:rPr>
        <w:t>34116.54</w:t>
      </w:r>
      <w:r>
        <w:rPr>
          <w:rFonts w:hint="eastAsia" w:ascii="仿宋" w:hAnsi="仿宋" w:eastAsia="仿宋" w:cs="仿宋"/>
          <w:color w:val="auto"/>
          <w:sz w:val="28"/>
          <w:szCs w:val="28"/>
          <w:highlight w:val="none"/>
          <w:u w:val="single"/>
          <w:lang w:bidi="ar"/>
        </w:rPr>
        <w:t>元</w:t>
      </w:r>
      <w:r>
        <w:rPr>
          <w:rFonts w:hint="eastAsia" w:ascii="仿宋" w:hAnsi="仿宋" w:eastAsia="仿宋" w:cs="仿宋"/>
          <w:color w:val="auto"/>
          <w:sz w:val="28"/>
          <w:szCs w:val="28"/>
          <w:highlight w:val="none"/>
          <w:u w:val="single"/>
          <w:lang w:val="en-US" w:eastAsia="zh-CN" w:bidi="ar"/>
        </w:rPr>
        <w:t>(含税率6%)</w:t>
      </w:r>
      <w:r>
        <w:rPr>
          <w:rFonts w:hint="eastAsia" w:ascii="仿宋" w:hAnsi="仿宋" w:eastAsia="仿宋" w:cs="仿宋"/>
          <w:color w:val="auto"/>
          <w:sz w:val="28"/>
          <w:szCs w:val="28"/>
          <w:highlight w:val="none"/>
          <w:u w:val="single"/>
          <w:lang w:bidi="ar"/>
        </w:rPr>
        <w:t>。</w:t>
      </w:r>
    </w:p>
    <w:p>
      <w:pPr>
        <w:adjustRightInd w:val="0"/>
        <w:snapToGrid w:val="0"/>
        <w:spacing w:line="600" w:lineRule="exac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2.采购内容和范围</w:t>
      </w:r>
    </w:p>
    <w:p>
      <w:pPr>
        <w:tabs>
          <w:tab w:val="left" w:pos="5811"/>
        </w:tabs>
        <w:spacing w:line="360" w:lineRule="auto"/>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b/>
          <w:bCs/>
          <w:color w:val="auto"/>
          <w:sz w:val="28"/>
          <w:szCs w:val="28"/>
          <w:highlight w:val="none"/>
          <w:u w:val="none"/>
        </w:rPr>
        <w:t>2.1采购内容和范围：</w:t>
      </w:r>
      <w:r>
        <w:rPr>
          <w:rFonts w:hint="eastAsia" w:ascii="仿宋_GB2312" w:hAnsi="仿宋_GB2312" w:eastAsia="仿宋_GB2312" w:cs="仿宋_GB2312"/>
          <w:b w:val="0"/>
          <w:bCs w:val="0"/>
          <w:color w:val="auto"/>
          <w:sz w:val="28"/>
          <w:szCs w:val="28"/>
          <w:highlight w:val="none"/>
          <w:u w:val="none"/>
          <w:lang w:val="en-US" w:eastAsia="zh-CN"/>
        </w:rPr>
        <w:t>根据国家有关标准和规范，对甲方委托专业爆破单位</w:t>
      </w:r>
      <w:r>
        <w:rPr>
          <w:rFonts w:hint="eastAsia" w:ascii="仿宋_GB2312" w:hAnsi="仿宋_GB2312" w:eastAsia="仿宋_GB2312" w:cs="仿宋_GB2312"/>
          <w:color w:val="auto"/>
          <w:sz w:val="28"/>
          <w:szCs w:val="28"/>
          <w:highlight w:val="none"/>
          <w:u w:val="none"/>
        </w:rPr>
        <w:t>将位于</w:t>
      </w:r>
      <w:r>
        <w:rPr>
          <w:rFonts w:hint="eastAsia" w:ascii="仿宋_GB2312" w:hAnsi="仿宋_GB2312" w:eastAsia="仿宋_GB2312" w:cs="仿宋_GB2312"/>
          <w:color w:val="auto"/>
          <w:sz w:val="28"/>
          <w:szCs w:val="28"/>
          <w:highlight w:val="none"/>
          <w:u w:val="none"/>
          <w:lang w:eastAsia="zh-CN"/>
        </w:rPr>
        <w:t>化龙堆存污泥综合处理处置项目</w:t>
      </w:r>
      <w:r>
        <w:rPr>
          <w:rFonts w:hint="eastAsia" w:ascii="仿宋_GB2312" w:hAnsi="仿宋_GB2312" w:eastAsia="仿宋_GB2312" w:cs="仿宋_GB2312"/>
          <w:color w:val="auto"/>
          <w:sz w:val="28"/>
          <w:szCs w:val="28"/>
          <w:highlight w:val="none"/>
          <w:u w:val="none"/>
        </w:rPr>
        <w:t>地块一范围的</w:t>
      </w:r>
      <w:r>
        <w:rPr>
          <w:rFonts w:hint="eastAsia" w:ascii="仿宋_GB2312" w:hAnsi="仿宋_GB2312" w:eastAsia="仿宋_GB2312" w:cs="仿宋_GB2312"/>
          <w:color w:val="auto"/>
          <w:sz w:val="28"/>
          <w:szCs w:val="28"/>
          <w:highlight w:val="none"/>
          <w:u w:val="none"/>
          <w:lang w:eastAsia="zh-CN"/>
        </w:rPr>
        <w:t>废弃</w:t>
      </w:r>
      <w:r>
        <w:rPr>
          <w:rFonts w:hint="eastAsia" w:ascii="仿宋_GB2312" w:hAnsi="仿宋_GB2312" w:eastAsia="仿宋_GB2312" w:cs="仿宋_GB2312"/>
          <w:color w:val="auto"/>
          <w:sz w:val="28"/>
          <w:szCs w:val="28"/>
          <w:highlight w:val="none"/>
          <w:u w:val="none"/>
        </w:rPr>
        <w:t>烟囱予以爆破拆除</w:t>
      </w:r>
      <w:r>
        <w:rPr>
          <w:rFonts w:hint="eastAsia" w:ascii="仿宋_GB2312" w:hAnsi="仿宋_GB2312" w:eastAsia="仿宋_GB2312" w:cs="仿宋_GB2312"/>
          <w:color w:val="auto"/>
          <w:sz w:val="28"/>
          <w:szCs w:val="28"/>
          <w:highlight w:val="none"/>
          <w:u w:val="none"/>
          <w:lang w:val="en-US" w:eastAsia="zh-CN"/>
        </w:rPr>
        <w:t>工作进行安全监理</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主要内容</w:t>
      </w:r>
      <w:r>
        <w:rPr>
          <w:rFonts w:hint="eastAsia" w:ascii="仿宋_GB2312" w:hAnsi="仿宋_GB2312" w:eastAsia="仿宋_GB2312" w:cs="仿宋_GB2312"/>
          <w:color w:val="auto"/>
          <w:sz w:val="28"/>
          <w:szCs w:val="28"/>
          <w:highlight w:val="none"/>
          <w:u w:val="none"/>
        </w:rPr>
        <w:t>包括：</w:t>
      </w:r>
      <w:r>
        <w:rPr>
          <w:rFonts w:hint="eastAsia" w:ascii="仿宋_GB2312" w:hAnsi="仿宋_GB2312" w:eastAsia="仿宋_GB2312" w:cs="仿宋_GB2312"/>
          <w:bCs w:val="0"/>
          <w:color w:val="auto"/>
          <w:sz w:val="28"/>
          <w:szCs w:val="28"/>
          <w:highlight w:val="none"/>
          <w:u w:val="none"/>
          <w:lang w:val="en-US" w:eastAsia="zh-CN"/>
        </w:rPr>
        <w:t>审核烟囱爆破设计</w:t>
      </w:r>
      <w:r>
        <w:rPr>
          <w:rFonts w:hint="eastAsia" w:ascii="仿宋_GB2312" w:hAnsi="仿宋_GB2312" w:eastAsia="仿宋_GB2312" w:cs="仿宋_GB2312"/>
          <w:color w:val="auto"/>
          <w:sz w:val="28"/>
          <w:szCs w:val="28"/>
          <w:highlight w:val="none"/>
          <w:u w:val="none"/>
          <w:lang w:eastAsia="zh-CN"/>
        </w:rPr>
        <w:t>文件、</w:t>
      </w:r>
      <w:r>
        <w:rPr>
          <w:rFonts w:hint="eastAsia" w:ascii="仿宋_GB2312" w:hAnsi="仿宋_GB2312" w:eastAsia="仿宋_GB2312" w:cs="仿宋_GB2312"/>
          <w:color w:val="auto"/>
          <w:sz w:val="28"/>
          <w:szCs w:val="28"/>
          <w:highlight w:val="none"/>
          <w:u w:val="none"/>
        </w:rPr>
        <w:t>烟囱爆破拆除方案；</w:t>
      </w:r>
      <w:r>
        <w:rPr>
          <w:rFonts w:hint="eastAsia" w:ascii="仿宋_GB2312" w:hAnsi="仿宋_GB2312" w:eastAsia="仿宋_GB2312" w:cs="仿宋_GB2312"/>
          <w:color w:val="auto"/>
          <w:sz w:val="28"/>
          <w:szCs w:val="28"/>
          <w:highlight w:val="none"/>
          <w:u w:val="none"/>
          <w:lang w:val="en-US" w:eastAsia="zh-CN"/>
        </w:rPr>
        <w:t>监督</w:t>
      </w:r>
      <w:r>
        <w:rPr>
          <w:rFonts w:hint="eastAsia" w:ascii="仿宋_GB2312" w:hAnsi="仿宋_GB2312" w:eastAsia="仿宋_GB2312" w:cs="仿宋_GB2312"/>
          <w:caps w:val="0"/>
          <w:color w:val="auto"/>
          <w:sz w:val="28"/>
          <w:szCs w:val="28"/>
          <w:highlight w:val="none"/>
          <w:u w:val="none"/>
        </w:rPr>
        <w:t>爆破作业单位按照公安机关审批的爆破设计方案施工</w:t>
      </w:r>
      <w:r>
        <w:rPr>
          <w:rFonts w:hint="eastAsia" w:ascii="仿宋_GB2312" w:hAnsi="仿宋_GB2312" w:eastAsia="仿宋_GB2312" w:cs="仿宋_GB2312"/>
          <w:caps w:val="0"/>
          <w:color w:val="auto"/>
          <w:sz w:val="28"/>
          <w:szCs w:val="28"/>
          <w:highlight w:val="none"/>
          <w:u w:val="none"/>
          <w:lang w:val="en-US" w:eastAsia="zh-CN"/>
        </w:rPr>
        <w:t>等</w:t>
      </w:r>
      <w:r>
        <w:rPr>
          <w:rFonts w:hint="eastAsia" w:ascii="仿宋_GB2312" w:hAnsi="仿宋_GB2312" w:eastAsia="仿宋_GB2312" w:cs="仿宋_GB2312"/>
          <w:caps w:val="0"/>
          <w:color w:val="auto"/>
          <w:sz w:val="28"/>
          <w:szCs w:val="28"/>
          <w:highlight w:val="none"/>
          <w:u w:val="none"/>
        </w:rPr>
        <w:t>。</w:t>
      </w:r>
    </w:p>
    <w:p>
      <w:pPr>
        <w:tabs>
          <w:tab w:val="left" w:pos="5811"/>
        </w:tabs>
        <w:spacing w:line="360" w:lineRule="auto"/>
        <w:ind w:firstLine="0" w:firstLineChars="0"/>
        <w:rPr>
          <w:rFonts w:hint="eastAsia" w:ascii="仿宋_GB2312" w:hAnsi="仿宋_GB2312" w:eastAsia="仿宋_GB2312" w:cs="仿宋_GB2312"/>
          <w:b w:val="0"/>
          <w:bCs w:val="0"/>
          <w:color w:val="auto"/>
          <w:sz w:val="28"/>
          <w:szCs w:val="28"/>
          <w:highlight w:val="none"/>
          <w:u w:val="none"/>
        </w:rPr>
      </w:pPr>
      <w:r>
        <w:rPr>
          <w:rFonts w:hint="eastAsia" w:ascii="仿宋_GB2312" w:hAnsi="仿宋_GB2312" w:eastAsia="仿宋_GB2312" w:cs="仿宋_GB2312"/>
          <w:caps w:val="0"/>
          <w:color w:val="auto"/>
          <w:sz w:val="28"/>
          <w:szCs w:val="28"/>
          <w:highlight w:val="none"/>
          <w:u w:val="none"/>
        </w:rPr>
        <w:t>该项目烟囱高度56.4m，底部壁厚1.09m，烟囱总体为圆锥形状，搭建方式为砖砌，经雷达探测，在烟囱外壁区域，砖块之间存在钢筋箍，现场也有部分钢筋箍出露，探测区域内钢筋箍间距约为0.25m。</w:t>
      </w:r>
    </w:p>
    <w:p>
      <w:pPr>
        <w:tabs>
          <w:tab w:val="left" w:pos="5811"/>
        </w:tabs>
        <w:spacing w:line="360" w:lineRule="auto"/>
        <w:rPr>
          <w:rFonts w:ascii="仿宋_GB2312" w:eastAsia="仿宋_GB2312"/>
          <w:color w:val="auto"/>
          <w:sz w:val="28"/>
          <w:szCs w:val="28"/>
          <w:highlight w:val="none"/>
          <w:u w:val="single"/>
        </w:rPr>
      </w:pPr>
      <w:r>
        <w:rPr>
          <w:rFonts w:hint="eastAsia" w:ascii="仿宋_GB2312" w:eastAsia="仿宋_GB2312"/>
          <w:b/>
          <w:bCs/>
          <w:color w:val="auto"/>
          <w:sz w:val="28"/>
          <w:szCs w:val="28"/>
          <w:highlight w:val="none"/>
        </w:rPr>
        <w:t>2.2项目工期：</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 为</w:t>
      </w:r>
      <w:r>
        <w:rPr>
          <w:rFonts w:hint="eastAsia" w:ascii="仿宋_GB2312" w:eastAsia="仿宋_GB2312"/>
          <w:color w:val="auto"/>
          <w:sz w:val="28"/>
          <w:szCs w:val="28"/>
          <w:highlight w:val="none"/>
          <w:u w:val="single"/>
        </w:rPr>
        <w:t xml:space="preserve"> 自开始监理日期，至工程竣工验收合格、缺陷责任期届满之日并完成结算止。 </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b/>
          <w:bCs/>
          <w:color w:val="auto"/>
          <w:sz w:val="28"/>
          <w:szCs w:val="28"/>
          <w:highlight w:val="none"/>
        </w:rPr>
        <w:t>2.3地点：</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 位于</w:t>
      </w:r>
      <w:r>
        <w:rPr>
          <w:rFonts w:hint="eastAsia" w:ascii="仿宋_GB2312" w:eastAsia="仿宋_GB2312"/>
          <w:color w:val="auto"/>
          <w:sz w:val="28"/>
          <w:szCs w:val="28"/>
          <w:highlight w:val="none"/>
          <w:u w:val="single"/>
        </w:rPr>
        <w:t xml:space="preserve"> 广东省广州市番禺区化龙镇</w:t>
      </w:r>
      <w:r>
        <w:rPr>
          <w:rFonts w:hint="eastAsia" w:ascii="仿宋_GB2312" w:eastAsia="仿宋_GB2312"/>
          <w:color w:val="auto"/>
          <w:sz w:val="28"/>
          <w:szCs w:val="28"/>
          <w:highlight w:val="none"/>
          <w:u w:val="single"/>
          <w:lang w:val="en-US" w:eastAsia="zh-CN"/>
        </w:rPr>
        <w:t>沙亭村</w:t>
      </w:r>
      <w:r>
        <w:rPr>
          <w:rFonts w:hint="eastAsia" w:ascii="仿宋_GB2312" w:eastAsia="仿宋_GB2312"/>
          <w:color w:val="auto"/>
          <w:sz w:val="28"/>
          <w:szCs w:val="28"/>
          <w:highlight w:val="none"/>
          <w:u w:val="single"/>
        </w:rPr>
        <w:t>。</w:t>
      </w:r>
    </w:p>
    <w:p>
      <w:pPr>
        <w:adjustRightInd w:val="0"/>
        <w:snapToGrid w:val="0"/>
        <w:spacing w:line="600" w:lineRule="exact"/>
        <w:ind w:left="422" w:right="-370" w:rightChars="-176" w:hanging="422" w:hangingChars="150"/>
        <w:rPr>
          <w:rFonts w:ascii="仿宋_GB2312" w:eastAsia="仿宋_GB2312"/>
          <w:color w:val="auto"/>
          <w:sz w:val="28"/>
          <w:szCs w:val="28"/>
          <w:highlight w:val="none"/>
        </w:rPr>
      </w:pPr>
      <w:r>
        <w:rPr>
          <w:rFonts w:hint="eastAsia" w:ascii="仿宋_GB2312" w:eastAsia="仿宋_GB2312"/>
          <w:b/>
          <w:bCs/>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货物质量标准或主要技术性能指标 </w:t>
      </w:r>
    </w:p>
    <w:p>
      <w:pPr>
        <w:spacing w:line="240" w:lineRule="auto"/>
        <w:jc w:val="both"/>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详见采购需求。</w:t>
      </w:r>
      <w:r>
        <w:rPr>
          <w:rFonts w:hint="eastAsia" w:ascii="仿宋_GB2312" w:eastAsia="仿宋_GB2312"/>
          <w:color w:val="auto"/>
          <w:sz w:val="28"/>
          <w:szCs w:val="28"/>
          <w:highlight w:val="none"/>
        </w:rPr>
        <w:t xml:space="preserve">  </w:t>
      </w:r>
    </w:p>
    <w:p>
      <w:pPr>
        <w:adjustRightInd w:val="0"/>
        <w:snapToGrid w:val="0"/>
        <w:spacing w:line="600" w:lineRule="exact"/>
        <w:ind w:left="422" w:right="-370" w:rightChars="-176" w:hanging="422" w:hangingChars="150"/>
        <w:rPr>
          <w:rFonts w:ascii="仿宋_GB2312" w:eastAsia="仿宋_GB2312"/>
          <w:color w:val="auto"/>
          <w:sz w:val="28"/>
          <w:szCs w:val="28"/>
          <w:highlight w:val="none"/>
        </w:rPr>
      </w:pPr>
      <w:r>
        <w:rPr>
          <w:rFonts w:hint="eastAsia" w:ascii="仿宋_GB2312" w:eastAsia="仿宋_GB2312"/>
          <w:b/>
          <w:bCs/>
          <w:color w:val="auto"/>
          <w:sz w:val="28"/>
          <w:szCs w:val="28"/>
          <w:highlight w:val="none"/>
        </w:rPr>
        <w:t>2.5其他：</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lang w:val="en-US" w:eastAsia="zh-CN"/>
        </w:rPr>
        <w:t>满足《爆破安全规程》（GB6722-2014）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rPr>
          <w:rFonts w:hint="eastAsia" w:ascii="等线" w:hAnsi="等线" w:eastAsia="等线"/>
          <w:b/>
          <w:color w:val="auto"/>
          <w:sz w:val="32"/>
          <w:szCs w:val="32"/>
          <w:highlight w:val="none"/>
        </w:rPr>
      </w:pPr>
      <w:r>
        <w:rPr>
          <w:rFonts w:hint="eastAsia" w:ascii="等线" w:hAnsi="等线"/>
          <w:b/>
          <w:color w:val="auto"/>
          <w:sz w:val="32"/>
          <w:szCs w:val="32"/>
          <w:highlight w:val="none"/>
        </w:rPr>
        <w:t>3.供应商资格要求（须提供复印件并加盖单位公章）</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rPr>
          <w:rFonts w:hint="eastAsia" w:ascii="仿宋_GB2312" w:hAnsi="仿宋_GB2312" w:eastAsia="仿宋_GB2312" w:cs="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zh-CN"/>
        </w:rPr>
        <w:t>供应商必须为中华人民共和国境内注册成立并合法存续的法人，</w:t>
      </w:r>
      <w:r>
        <w:rPr>
          <w:rFonts w:hint="eastAsia" w:ascii="仿宋_GB2312" w:eastAsia="仿宋_GB2312"/>
          <w:color w:val="auto"/>
          <w:sz w:val="28"/>
          <w:szCs w:val="28"/>
          <w:highlight w:val="none"/>
        </w:rPr>
        <w:t>持有事业单位登记管理部门核发的事业单位法人证书或工商行政管理部门核发的营业执照，且在有效期内。</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（2）供应商应当具有</w:t>
      </w:r>
      <w:r>
        <w:rPr>
          <w:rFonts w:hint="eastAsia" w:ascii="仿宋_GB2312" w:eastAsia="仿宋_GB2312"/>
          <w:color w:val="auto"/>
          <w:sz w:val="28"/>
          <w:szCs w:val="28"/>
          <w:highlight w:val="none"/>
          <w:u w:val="single"/>
          <w:lang w:val="en-US" w:eastAsia="zh-CN"/>
        </w:rPr>
        <w:t>营业性爆破作业单位一级</w:t>
      </w:r>
      <w:r>
        <w:rPr>
          <w:rFonts w:hint="eastAsia" w:ascii="仿宋_GB2312" w:eastAsia="仿宋_GB2312"/>
          <w:color w:val="auto"/>
          <w:sz w:val="28"/>
          <w:szCs w:val="28"/>
          <w:highlight w:val="none"/>
        </w:rPr>
        <w:t>资质。</w:t>
      </w:r>
    </w:p>
    <w:p>
      <w:pPr>
        <w:adjustRightInd w:val="0"/>
        <w:snapToGrid w:val="0"/>
        <w:spacing w:line="600" w:lineRule="exact"/>
        <w:rPr>
          <w:rFonts w:hint="eastAsia" w:ascii="仿宋_GB2312" w:eastAsia="仿宋_GB2312"/>
          <w:color w:val="auto"/>
          <w:sz w:val="28"/>
          <w:szCs w:val="28"/>
          <w:highlight w:val="none"/>
          <w:lang w:val="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zh-CN"/>
        </w:rPr>
        <w:t>202</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val="zh-CN"/>
        </w:rPr>
        <w:t>年</w:t>
      </w:r>
      <w:r>
        <w:rPr>
          <w:rFonts w:hint="eastAsia" w:ascii="仿宋_GB2312" w:eastAsia="仿宋_GB2312"/>
          <w:color w:val="auto"/>
          <w:sz w:val="28"/>
          <w:szCs w:val="28"/>
          <w:highlight w:val="none"/>
          <w:lang w:val="en-US" w:eastAsia="zh-CN"/>
        </w:rPr>
        <w:t>01</w:t>
      </w:r>
      <w:r>
        <w:rPr>
          <w:rFonts w:hint="eastAsia" w:ascii="仿宋_GB2312" w:eastAsia="仿宋_GB2312"/>
          <w:color w:val="auto"/>
          <w:sz w:val="28"/>
          <w:szCs w:val="28"/>
          <w:highlight w:val="none"/>
          <w:lang w:val="zh-CN"/>
        </w:rPr>
        <w:t>月01日至今，供应商最少</w:t>
      </w:r>
      <w:r>
        <w:rPr>
          <w:rFonts w:hint="eastAsia" w:ascii="仿宋_GB2312" w:eastAsia="仿宋_GB2312"/>
          <w:color w:val="auto"/>
          <w:sz w:val="28"/>
          <w:szCs w:val="28"/>
          <w:highlight w:val="none"/>
          <w:lang w:val="en-US" w:eastAsia="zh-CN"/>
        </w:rPr>
        <w:t>承担过1</w:t>
      </w:r>
      <w:r>
        <w:rPr>
          <w:rFonts w:hint="eastAsia" w:ascii="仿宋_GB2312" w:eastAsia="仿宋_GB2312"/>
          <w:color w:val="auto"/>
          <w:sz w:val="28"/>
          <w:szCs w:val="28"/>
          <w:highlight w:val="none"/>
          <w:lang w:val="zh-CN"/>
        </w:rPr>
        <w:t>项</w:t>
      </w:r>
      <w:r>
        <w:rPr>
          <w:rFonts w:hint="eastAsia" w:ascii="仿宋_GB2312" w:eastAsia="仿宋_GB2312"/>
          <w:color w:val="auto"/>
          <w:sz w:val="28"/>
          <w:szCs w:val="28"/>
          <w:highlight w:val="none"/>
          <w:lang w:val="en-US" w:eastAsia="zh-CN"/>
        </w:rPr>
        <w:t>高度为37米高及以上的烟囱爆破</w:t>
      </w:r>
      <w:r>
        <w:rPr>
          <w:rFonts w:hint="eastAsia" w:ascii="仿宋_GB2312" w:eastAsia="仿宋_GB2312"/>
          <w:color w:val="auto"/>
          <w:sz w:val="28"/>
          <w:szCs w:val="28"/>
          <w:highlight w:val="none"/>
          <w:lang w:val="zh-CN"/>
        </w:rPr>
        <w:t>项目的</w:t>
      </w:r>
      <w:r>
        <w:rPr>
          <w:rFonts w:hint="eastAsia" w:ascii="仿宋_GB2312" w:eastAsia="仿宋_GB2312"/>
          <w:color w:val="auto"/>
          <w:sz w:val="28"/>
          <w:szCs w:val="28"/>
          <w:highlight w:val="none"/>
          <w:lang w:val="en-US" w:eastAsia="zh-CN"/>
        </w:rPr>
        <w:t>监理</w:t>
      </w:r>
      <w:r>
        <w:rPr>
          <w:rFonts w:hint="eastAsia" w:ascii="仿宋_GB2312" w:eastAsia="仿宋_GB2312"/>
          <w:color w:val="auto"/>
          <w:sz w:val="28"/>
          <w:szCs w:val="28"/>
          <w:highlight w:val="none"/>
          <w:lang w:val="zh-CN"/>
        </w:rPr>
        <w:t>业绩。（提供合同复印件证明，包括但不限于项目名称、金额及实施内容、合同盖章、</w:t>
      </w:r>
      <w:r>
        <w:rPr>
          <w:rFonts w:hint="eastAsia" w:ascii="仿宋_GB2312" w:eastAsia="仿宋_GB2312"/>
          <w:color w:val="auto"/>
          <w:sz w:val="28"/>
          <w:szCs w:val="28"/>
          <w:highlight w:val="none"/>
          <w:u w:val="none"/>
          <w:lang w:val="zh-CN"/>
        </w:rPr>
        <w:t>发票证明</w:t>
      </w:r>
      <w:r>
        <w:rPr>
          <w:rFonts w:hint="eastAsia" w:ascii="仿宋_GB2312" w:eastAsia="仿宋_GB2312"/>
          <w:color w:val="auto"/>
          <w:sz w:val="28"/>
          <w:szCs w:val="28"/>
          <w:highlight w:val="none"/>
          <w:lang w:val="zh-CN"/>
        </w:rPr>
        <w:t>、日期、验收证明，加盖单位公章）。</w:t>
      </w:r>
    </w:p>
    <w:p>
      <w:pPr>
        <w:adjustRightInd w:val="0"/>
        <w:snapToGrid w:val="0"/>
        <w:spacing w:line="600" w:lineRule="exact"/>
        <w:rPr>
          <w:rFonts w:hint="eastAsia" w:ascii="仿宋_GB2312" w:eastAsia="仿宋_GB2312"/>
          <w:color w:val="auto"/>
          <w:sz w:val="28"/>
          <w:szCs w:val="28"/>
          <w:highlight w:val="none"/>
          <w:u w:val="none"/>
          <w:lang w:val="zh-CN" w:eastAsia="zh-CN"/>
        </w:rPr>
      </w:pPr>
      <w:r>
        <w:rPr>
          <w:rFonts w:hint="eastAsia" w:ascii="仿宋_GB2312" w:hAnsi="Calibri" w:eastAsia="仿宋_GB2312"/>
          <w:color w:val="auto"/>
          <w:sz w:val="28"/>
          <w:szCs w:val="28"/>
          <w:highlight w:val="none"/>
          <w:u w:val="none"/>
          <w:lang w:val="zh-CN"/>
        </w:rPr>
        <w:sym w:font="Wingdings 2" w:char="F052"/>
      </w:r>
      <w:r>
        <w:rPr>
          <w:rFonts w:hint="eastAsia" w:ascii="仿宋_GB2312" w:eastAsia="仿宋_GB2312"/>
          <w:color w:val="auto"/>
          <w:sz w:val="28"/>
          <w:szCs w:val="28"/>
          <w:highlight w:val="none"/>
          <w:u w:val="none"/>
          <w:lang w:val="zh-CN"/>
        </w:rPr>
        <w:t>（</w:t>
      </w:r>
      <w:r>
        <w:rPr>
          <w:rFonts w:hint="eastAsia" w:ascii="仿宋_GB2312" w:eastAsia="仿宋_GB2312"/>
          <w:color w:val="auto"/>
          <w:sz w:val="28"/>
          <w:szCs w:val="28"/>
          <w:highlight w:val="none"/>
          <w:u w:val="none"/>
          <w:lang w:val="zh-CN" w:eastAsia="zh-CN"/>
        </w:rPr>
        <w:t>4</w:t>
      </w:r>
      <w:r>
        <w:rPr>
          <w:rFonts w:hint="eastAsia" w:ascii="仿宋_GB2312" w:eastAsia="仿宋_GB2312"/>
          <w:color w:val="auto"/>
          <w:sz w:val="28"/>
          <w:szCs w:val="28"/>
          <w:highlight w:val="none"/>
          <w:u w:val="none"/>
          <w:lang w:val="zh-CN"/>
        </w:rPr>
        <w:t>）</w:t>
      </w:r>
      <w:r>
        <w:rPr>
          <w:rFonts w:hint="eastAsia" w:ascii="仿宋_GB2312" w:eastAsia="仿宋_GB2312"/>
          <w:color w:val="auto"/>
          <w:sz w:val="28"/>
          <w:szCs w:val="28"/>
          <w:highlight w:val="none"/>
          <w:u w:val="none"/>
          <w:lang w:val="zh-CN" w:eastAsia="zh-CN"/>
        </w:rPr>
        <w:t>总监理工程师</w:t>
      </w:r>
      <w:r>
        <w:rPr>
          <w:rFonts w:hint="eastAsia" w:ascii="仿宋_GB2312" w:eastAsia="仿宋_GB2312"/>
          <w:color w:val="auto"/>
          <w:sz w:val="28"/>
          <w:szCs w:val="28"/>
          <w:highlight w:val="none"/>
          <w:u w:val="none"/>
          <w:lang w:val="zh-CN"/>
        </w:rPr>
        <w:t>应当具备</w:t>
      </w:r>
      <w:r>
        <w:rPr>
          <w:rFonts w:hint="eastAsia" w:ascii="仿宋_GB2312" w:eastAsia="仿宋_GB2312"/>
          <w:color w:val="auto"/>
          <w:sz w:val="28"/>
          <w:szCs w:val="28"/>
          <w:highlight w:val="none"/>
          <w:u w:val="none"/>
          <w:lang w:val="zh-CN" w:eastAsia="zh-CN"/>
        </w:rPr>
        <w:t>以下条件；</w:t>
      </w:r>
    </w:p>
    <w:p>
      <w:pPr>
        <w:adjustRightInd w:val="0"/>
        <w:snapToGrid w:val="0"/>
        <w:spacing w:line="600" w:lineRule="exact"/>
        <w:rPr>
          <w:rFonts w:hint="eastAsia" w:ascii="仿宋_GB2312" w:eastAsia="仿宋_GB2312"/>
          <w:color w:val="auto"/>
          <w:sz w:val="28"/>
          <w:szCs w:val="28"/>
          <w:highlight w:val="none"/>
          <w:u w:val="none"/>
          <w:lang w:val="zh-CN" w:eastAsia="zh-CN"/>
        </w:rPr>
      </w:pPr>
    </w:p>
    <w:p>
      <w:pPr>
        <w:adjustRightInd w:val="0"/>
        <w:snapToGrid w:val="0"/>
        <w:spacing w:line="600" w:lineRule="exact"/>
        <w:rPr>
          <w:rFonts w:hint="eastAsia" w:ascii="仿宋_GB2312" w:eastAsia="仿宋_GB2312"/>
          <w:color w:val="auto"/>
          <w:sz w:val="28"/>
          <w:szCs w:val="28"/>
          <w:highlight w:val="none"/>
          <w:u w:val="none"/>
          <w:lang w:val="zh-CN" w:eastAsia="zh-CN"/>
        </w:rPr>
      </w:pPr>
      <w:r>
        <w:rPr>
          <w:rFonts w:hint="eastAsia" w:ascii="仿宋_GB2312" w:eastAsia="仿宋_GB2312"/>
          <w:color w:val="auto"/>
          <w:sz w:val="28"/>
          <w:szCs w:val="28"/>
          <w:highlight w:val="none"/>
          <w:u w:val="none"/>
          <w:lang w:val="zh-CN" w:eastAsia="zh-CN"/>
        </w:rPr>
        <w:t>1）具有</w:t>
      </w:r>
      <w:r>
        <w:rPr>
          <w:rFonts w:hint="eastAsia" w:ascii="仿宋_GB2312" w:eastAsia="仿宋_GB2312"/>
          <w:color w:val="auto"/>
          <w:sz w:val="28"/>
          <w:szCs w:val="28"/>
          <w:highlight w:val="none"/>
          <w:u w:val="none"/>
          <w:lang w:val="en-US" w:eastAsia="zh-CN"/>
        </w:rPr>
        <w:t>理学、工学学科范围</w:t>
      </w:r>
      <w:r>
        <w:rPr>
          <w:rFonts w:hint="eastAsia" w:ascii="仿宋_GB2312" w:eastAsia="仿宋_GB2312"/>
          <w:color w:val="auto"/>
          <w:sz w:val="28"/>
          <w:szCs w:val="28"/>
          <w:highlight w:val="none"/>
          <w:u w:val="none"/>
          <w:lang w:val="zh-CN" w:eastAsia="zh-CN"/>
        </w:rPr>
        <w:t>高级工程师及以上技术职称。</w:t>
      </w:r>
    </w:p>
    <w:p>
      <w:pPr>
        <w:adjustRightInd w:val="0"/>
        <w:snapToGrid w:val="0"/>
        <w:spacing w:line="600" w:lineRule="exact"/>
        <w:rPr>
          <w:rFonts w:hint="eastAsia" w:ascii="仿宋_GB2312" w:eastAsia="仿宋_GB2312" w:cs="Calibri"/>
          <w:i w:val="0"/>
          <w:iCs w:val="0"/>
          <w:caps w:val="0"/>
          <w:color w:val="auto"/>
          <w:spacing w:val="0"/>
          <w:kern w:val="2"/>
          <w:sz w:val="28"/>
          <w:szCs w:val="28"/>
          <w:highlight w:val="none"/>
          <w:u w:val="none"/>
          <w:shd w:val="clear" w:color="auto" w:fill="auto"/>
          <w:lang w:val="zh-CN" w:eastAsia="zh-CN"/>
        </w:rPr>
      </w:pPr>
      <w:r>
        <w:rPr>
          <w:rFonts w:hint="eastAsia" w:ascii="仿宋_GB2312" w:eastAsia="仿宋_GB2312"/>
          <w:color w:val="auto"/>
          <w:sz w:val="28"/>
          <w:szCs w:val="28"/>
          <w:highlight w:val="none"/>
          <w:u w:val="none"/>
          <w:lang w:val="zh-CN" w:eastAsia="zh-CN"/>
        </w:rPr>
        <w:t>2）需具备有效期内的爆破工程技术人员（高级A）爆破作业人员许可证。</w:t>
      </w:r>
    </w:p>
    <w:p>
      <w:pPr>
        <w:snapToGrid w:val="0"/>
        <w:spacing w:line="600" w:lineRule="exact"/>
        <w:rPr>
          <w:rFonts w:hint="eastAsia" w:ascii="仿宋_GB2312" w:hAnsi="Calibri" w:eastAsia="仿宋_GB2312" w:cs="Calibri"/>
          <w:color w:val="auto"/>
          <w:kern w:val="2"/>
          <w:sz w:val="28"/>
          <w:szCs w:val="28"/>
          <w:highlight w:val="none"/>
          <w:u w:val="none"/>
          <w:lang w:val="zh-CN"/>
        </w:rPr>
      </w:pPr>
      <w:r>
        <w:rPr>
          <w:rFonts w:hint="eastAsia" w:ascii="仿宋_GB2312" w:hAnsi="Calibri" w:eastAsia="仿宋_GB2312"/>
          <w:color w:val="auto"/>
          <w:sz w:val="28"/>
          <w:szCs w:val="28"/>
          <w:highlight w:val="none"/>
          <w:u w:val="none"/>
          <w:lang w:val="zh-CN"/>
        </w:rPr>
        <w:sym w:font="Wingdings 2" w:char="F052"/>
      </w:r>
      <w:r>
        <w:rPr>
          <w:rFonts w:hint="eastAsia" w:ascii="仿宋_GB2312" w:hAnsi="Calibri" w:eastAsia="仿宋_GB2312" w:cs="Calibri"/>
          <w:color w:val="auto"/>
          <w:kern w:val="2"/>
          <w:sz w:val="28"/>
          <w:szCs w:val="28"/>
          <w:highlight w:val="none"/>
          <w:u w:val="none"/>
          <w:lang w:val="zh-CN"/>
        </w:rPr>
        <w:t>（</w:t>
      </w:r>
      <w:r>
        <w:rPr>
          <w:rFonts w:hint="eastAsia" w:ascii="仿宋_GB2312" w:hAnsi="Calibri" w:eastAsia="仿宋_GB2312" w:cs="Calibri"/>
          <w:color w:val="auto"/>
          <w:kern w:val="2"/>
          <w:sz w:val="28"/>
          <w:szCs w:val="28"/>
          <w:highlight w:val="none"/>
          <w:u w:val="none"/>
          <w:lang w:val="zh-CN" w:eastAsia="zh-CN"/>
        </w:rPr>
        <w:t>5</w:t>
      </w:r>
      <w:r>
        <w:rPr>
          <w:rFonts w:hint="eastAsia" w:ascii="仿宋_GB2312" w:hAnsi="Calibri" w:eastAsia="仿宋_GB2312" w:cs="Calibri"/>
          <w:color w:val="auto"/>
          <w:kern w:val="2"/>
          <w:sz w:val="28"/>
          <w:szCs w:val="28"/>
          <w:highlight w:val="none"/>
          <w:u w:val="none"/>
          <w:lang w:val="zh-CN"/>
        </w:rPr>
        <w:t>）其他要求：</w:t>
      </w:r>
    </w:p>
    <w:p>
      <w:pPr>
        <w:pStyle w:val="32"/>
        <w:ind w:firstLine="560" w:firstLineChars="200"/>
        <w:rPr>
          <w:rFonts w:hint="eastAsia" w:ascii="仿宋_GB2312" w:hAnsi="Calibri" w:eastAsia="仿宋_GB2312" w:cs="Calibri"/>
          <w:kern w:val="2"/>
          <w:sz w:val="28"/>
          <w:szCs w:val="28"/>
          <w:highlight w:val="none"/>
          <w:u w:val="none"/>
          <w:shd w:val="clear" w:color="auto" w:fill="auto"/>
          <w:lang w:val="zh-CN"/>
        </w:rPr>
      </w:pPr>
      <w:r>
        <w:rPr>
          <w:rFonts w:hint="eastAsia" w:ascii="仿宋_GB2312" w:hAnsi="Calibri" w:eastAsia="仿宋_GB2312" w:cs="Calibri"/>
          <w:kern w:val="2"/>
          <w:szCs w:val="28"/>
          <w:highlight w:val="none"/>
          <w:u w:val="none"/>
          <w:shd w:val="clear" w:color="auto" w:fill="auto"/>
          <w:lang w:val="en-US" w:eastAsia="zh-CN"/>
        </w:rPr>
        <w:t>专业监理工程师</w:t>
      </w:r>
      <w:r>
        <w:rPr>
          <w:rFonts w:hint="eastAsia" w:ascii="仿宋_GB2312" w:hAnsi="Calibri" w:eastAsia="仿宋_GB2312" w:cs="Calibri"/>
          <w:kern w:val="2"/>
          <w:szCs w:val="28"/>
          <w:highlight w:val="none"/>
          <w:u w:val="none"/>
          <w:shd w:val="clear" w:color="auto" w:fill="auto"/>
          <w:lang w:val="zh-CN" w:eastAsia="zh-CN"/>
        </w:rPr>
        <w:t>要求：需具备有效期内的爆破工程技术人员许可证</w:t>
      </w:r>
      <w:r>
        <w:rPr>
          <w:rFonts w:hint="eastAsia" w:ascii="仿宋_GB2312" w:hAnsi="Calibri" w:eastAsia="仿宋_GB2312" w:cs="Calibri"/>
          <w:kern w:val="2"/>
          <w:szCs w:val="28"/>
          <w:highlight w:val="none"/>
          <w:u w:val="none"/>
          <w:shd w:val="clear" w:color="auto" w:fill="auto"/>
          <w:lang w:val="en-US" w:eastAsia="zh-CN"/>
        </w:rPr>
        <w:t>及中级职称</w:t>
      </w:r>
      <w:r>
        <w:rPr>
          <w:rFonts w:hint="eastAsia" w:ascii="仿宋_GB2312" w:hAnsi="Calibri" w:eastAsia="仿宋_GB2312" w:cs="Calibri"/>
          <w:kern w:val="2"/>
          <w:szCs w:val="28"/>
          <w:highlight w:val="none"/>
          <w:u w:val="none"/>
          <w:shd w:val="clear" w:color="auto" w:fill="auto"/>
          <w:lang w:val="zh-CN" w:eastAsia="zh-CN"/>
        </w:rPr>
        <w:t>。</w:t>
      </w:r>
    </w:p>
    <w:p>
      <w:pPr>
        <w:pStyle w:val="32"/>
        <w:ind w:firstLine="560" w:firstLineChars="200"/>
        <w:rPr>
          <w:rFonts w:hint="eastAsia" w:ascii="仿宋_GB2312" w:hAnsi="Calibri" w:eastAsia="仿宋_GB2312" w:cs="Calibri"/>
          <w:kern w:val="2"/>
          <w:sz w:val="28"/>
          <w:szCs w:val="28"/>
          <w:highlight w:val="none"/>
          <w:u w:val="none"/>
          <w:shd w:val="clear" w:color="auto" w:fill="auto"/>
          <w:lang w:val="zh-CN" w:eastAsia="zh-CN"/>
        </w:rPr>
      </w:pPr>
      <w:r>
        <w:rPr>
          <w:rFonts w:hint="eastAsia" w:ascii="仿宋_GB2312" w:hAnsi="Calibri" w:eastAsia="仿宋_GB2312" w:cs="Calibri"/>
          <w:kern w:val="2"/>
          <w:sz w:val="28"/>
          <w:szCs w:val="28"/>
          <w:highlight w:val="none"/>
          <w:u w:val="none"/>
          <w:shd w:val="clear" w:color="auto" w:fill="auto"/>
          <w:lang w:val="en-US" w:eastAsia="zh-CN"/>
        </w:rPr>
        <w:t>备注：以上证件需在有效期内</w:t>
      </w:r>
      <w:r>
        <w:rPr>
          <w:rFonts w:hint="eastAsia" w:ascii="仿宋_GB2312" w:hAnsi="Calibri" w:eastAsia="仿宋_GB2312" w:cs="Calibri"/>
          <w:kern w:val="2"/>
          <w:sz w:val="28"/>
          <w:szCs w:val="28"/>
          <w:highlight w:val="none"/>
          <w:u w:val="none"/>
          <w:shd w:val="clear" w:color="auto" w:fill="auto"/>
          <w:lang w:val="zh-CN" w:eastAsia="zh-CN"/>
        </w:rPr>
        <w:t>。拟投入本项目人员均应为本单位职工，应提供其在本单位近三个月社保缴纳记录，以加盖社会保险基金管理中心印章的《缴费历史明细表》或《社会保险参保人员证明》为准，加盖单位公章。</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rPr>
        <w:t>3.2</w:t>
      </w:r>
      <w:r>
        <w:rPr>
          <w:rFonts w:hint="eastAsia" w:ascii="仿宋_GB2312" w:eastAsia="仿宋_GB2312"/>
          <w:color w:val="auto"/>
          <w:sz w:val="28"/>
          <w:szCs w:val="28"/>
          <w:highlight w:val="none"/>
          <w:lang w:val="zh-CN"/>
        </w:rPr>
        <w:t>供应商在响应文件提交截止日期止不得存在下列情形之一（须出具不得存在情形承诺函）：</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（1）与本项目其他供应商的单位负责人为同一人。</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（2）与本项目其他供应商存在控股关系。</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（3）与本项目其他供应商存在管理关系。</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（4）被本项目所在地省级以上行业主管部门依法暂停、取消投标或禁止参加采购活动且处于有效期内的。</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（5）处于被责令停产停业、暂扣或者吊销执照、暂扣或者吊销许可证、吊销资质证书状态。</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（6）进入清算程序，或被宣告破产，或其他丧失履约能力情形的。</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（7）在“信用中国”网站（www.creditchina.gov.cn）中被列入失信被执行人、安全生产领域严重失信惩戒名单、拖欠农民工工资失信联合惩戒对象名单。</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（8）在“信用中国”网站（www.creditchina.gov.cn）中被列入严重失信主体名单。</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（9）其他违法违纪行为，经审查认为不宜被邀请参加采购活动的。</w:t>
      </w:r>
    </w:p>
    <w:p>
      <w:pPr>
        <w:adjustRightInd w:val="0"/>
        <w:snapToGrid w:val="0"/>
        <w:spacing w:line="600" w:lineRule="exac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val="zh-CN"/>
        </w:rPr>
        <w:t>（10）其他禁止情形：</w:t>
      </w:r>
      <w:r>
        <w:rPr>
          <w:rFonts w:hint="eastAsia" w:ascii="仿宋_GB2312" w:eastAsia="仿宋_GB2312"/>
          <w:color w:val="auto"/>
          <w:sz w:val="28"/>
          <w:szCs w:val="28"/>
          <w:highlight w:val="none"/>
          <w:u w:val="single"/>
        </w:rPr>
        <w:t xml:space="preserve"> 被纳入参建企业不履约行为处理清单     </w:t>
      </w:r>
    </w:p>
    <w:p>
      <w:pPr>
        <w:pStyle w:val="621"/>
        <w:tabs>
          <w:tab w:val="left" w:pos="0"/>
        </w:tabs>
        <w:adjustRightInd w:val="0"/>
        <w:snapToGrid w:val="0"/>
        <w:spacing w:line="360" w:lineRule="auto"/>
        <w:ind w:left="420" w:firstLine="0" w:firstLineChars="0"/>
        <w:rPr>
          <w:rFonts w:hint="eastAsia" w:ascii="仿宋_GB2312" w:eastAsia="仿宋_GB2312" w:cs="Calibri"/>
          <w:color w:val="auto"/>
          <w:sz w:val="28"/>
          <w:szCs w:val="28"/>
          <w:highlight w:val="none"/>
        </w:rPr>
      </w:pPr>
      <w:r>
        <w:rPr>
          <w:rFonts w:hint="eastAsia" w:ascii="仿宋_GB2312" w:eastAsia="仿宋_GB2312" w:cs="Calibri"/>
          <w:color w:val="auto"/>
          <w:sz w:val="28"/>
          <w:szCs w:val="28"/>
          <w:highlight w:val="none"/>
        </w:rPr>
        <w:t>参建企业不履约行为处理清单如下：</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4770"/>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5275"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3321"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处理期限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c>
          <w:tcPr>
            <w:tcW w:w="5275"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c>
          <w:tcPr>
            <w:tcW w:w="3321"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r>
    </w:tbl>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4.采购文件的获取</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2025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 </w:t>
      </w:r>
    </w:p>
    <w:p>
      <w:pPr>
        <w:numPr>
          <w:ilvl w:val="0"/>
          <w:numId w:val="24"/>
        </w:numPr>
        <w:adjustRightInd w:val="0"/>
        <w:snapToGrid w:val="0"/>
        <w:spacing w:line="600" w:lineRule="exact"/>
        <w:rPr>
          <w:rFonts w:hint="eastAsia" w:ascii="等线" w:hAnsi="等线" w:eastAsia="等线"/>
          <w:b/>
          <w:color w:val="auto"/>
          <w:sz w:val="32"/>
          <w:szCs w:val="32"/>
          <w:highlight w:val="none"/>
        </w:rPr>
      </w:pPr>
      <w:r>
        <w:rPr>
          <w:rFonts w:hint="eastAsia" w:ascii="等线" w:hAnsi="等线" w:eastAsia="等线"/>
          <w:b/>
          <w:color w:val="auto"/>
          <w:sz w:val="32"/>
          <w:szCs w:val="32"/>
          <w:highlight w:val="none"/>
        </w:rPr>
        <w:t>踏勘现场</w:t>
      </w:r>
    </w:p>
    <w:p>
      <w:pPr>
        <w:adjustRightInd w:val="0"/>
        <w:snapToGrid w:val="0"/>
        <w:spacing w:line="600" w:lineRule="exact"/>
        <w:rPr>
          <w:rFonts w:hint="eastAsia" w:ascii="等线" w:hAnsi="等线" w:eastAsia="等线"/>
          <w:b/>
          <w:color w:val="auto"/>
          <w:sz w:val="32"/>
          <w:szCs w:val="32"/>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24"/>
        </w:num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响应文件的递交</w:t>
      </w:r>
    </w:p>
    <w:p>
      <w:pPr>
        <w:adjustRightInd w:val="0"/>
        <w:snapToGrid w:val="0"/>
        <w:spacing w:line="600" w:lineRule="exact"/>
        <w:ind w:left="280" w:hanging="280" w:hangingChars="100"/>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6.1递交响应文件集合时间：</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6.2递交响应文件截止时间：</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6.3递交地址：广州市天河区临江大道501号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响应文件递交预约信息填写：</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（1）通过“广州净水公司”微信公众号或来访时扫码进行访客预约登记。</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（2）“组织”选择“公司本部”，“部门”选择“招投标合同管理部”。</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（3）“被访人员”选择“招标部”，“手机号”：“62315524”。 </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（4）“详细描述”：找XX，递交XX项目响应文件。</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7.其他</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本项目采购公告（采购邀请书）、公告补充及修改同步在广州净水公司门户网站及阳光平台上发布。本公告在各媒体发布的文本如有不同之处，以广州净水公司门户网站为准。</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（1）逾期送达的、未送达指定地点的响应文件，采购人将予以拒收。</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（2）不按照采购文件要求密封的响应文件，采购人将予以拒收。</w:t>
      </w:r>
    </w:p>
    <w:p>
      <w:pPr>
        <w:shd w:val="clear" w:color="auto" w:fill="FFFFFF"/>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8</w:t>
      </w:r>
      <w:r>
        <w:rPr>
          <w:rFonts w:ascii="等线" w:hAnsi="等线"/>
          <w:b/>
          <w:color w:val="auto"/>
          <w:sz w:val="32"/>
          <w:szCs w:val="32"/>
          <w:highlight w:val="none"/>
        </w:rPr>
        <w:t>.</w:t>
      </w:r>
      <w:r>
        <w:rPr>
          <w:rFonts w:hint="eastAsia" w:ascii="等线" w:hAnsi="等线"/>
          <w:b/>
          <w:color w:val="auto"/>
          <w:sz w:val="32"/>
          <w:szCs w:val="32"/>
          <w:highlight w:val="none"/>
        </w:rPr>
        <w:t>异议及投诉的受理</w:t>
      </w:r>
    </w:p>
    <w:p>
      <w:pPr>
        <w:shd w:val="clear" w:color="auto" w:fill="FFFFFF"/>
        <w:adjustRightInd w:val="0"/>
        <w:snapToGrid w:val="0"/>
        <w:spacing w:line="600" w:lineRule="exact"/>
        <w:ind w:left="1" w:firstLine="618" w:firstLineChars="221"/>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156" w:beforeLines="50" w:after="156" w:afterLines="50" w:line="600" w:lineRule="exact"/>
        <w:rPr>
          <w:rFonts w:hint="eastAsia" w:ascii="等线" w:hAnsi="等线"/>
          <w:b/>
          <w:color w:val="auto"/>
          <w:sz w:val="32"/>
          <w:szCs w:val="32"/>
          <w:highlight w:val="none"/>
        </w:rPr>
      </w:pPr>
      <w:r>
        <w:rPr>
          <w:rFonts w:hint="eastAsia" w:ascii="等线" w:hAnsi="等线"/>
          <w:b/>
          <w:color w:val="auto"/>
          <w:sz w:val="32"/>
          <w:szCs w:val="32"/>
          <w:highlight w:val="none"/>
        </w:rPr>
        <w:t>9.联系方式</w:t>
      </w:r>
    </w:p>
    <w:tbl>
      <w:tblPr>
        <w:tblStyle w:val="8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ind w:firstLine="1960" w:firstLineChars="700"/>
              <w:jc w:val="left"/>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2025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4 </w:t>
            </w:r>
            <w:r>
              <w:rPr>
                <w:rFonts w:hint="eastAsia" w:ascii="仿宋_GB2312" w:eastAsia="仿宋_GB2312"/>
                <w:color w:val="auto"/>
                <w:sz w:val="28"/>
                <w:szCs w:val="28"/>
                <w:highlight w:val="none"/>
              </w:rPr>
              <w:t>日</w:t>
            </w:r>
          </w:p>
        </w:tc>
      </w:tr>
    </w:tbl>
    <w:p>
      <w:pPr>
        <w:pStyle w:val="84"/>
        <w:ind w:firstLine="560"/>
        <w:rPr>
          <w:rFonts w:ascii="仿宋_GB2312" w:hAnsi="等线 Light" w:eastAsia="仿宋_GB2312"/>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pStyle w:val="2"/>
        <w:rPr>
          <w:rFonts w:hint="eastAsia"/>
          <w:color w:val="auto"/>
          <w:highlight w:val="none"/>
        </w:rPr>
      </w:pPr>
      <w:bookmarkStart w:id="13" w:name="_Toc10891"/>
    </w:p>
    <w:p>
      <w:pPr>
        <w:rPr>
          <w:color w:val="auto"/>
          <w:highlight w:val="none"/>
        </w:rPr>
      </w:pPr>
    </w:p>
    <w:p>
      <w:pPr>
        <w:rPr>
          <w:color w:val="auto"/>
          <w:highlight w:val="none"/>
        </w:rPr>
      </w:pPr>
    </w:p>
    <w:p>
      <w:pPr>
        <w:rPr>
          <w:color w:val="auto"/>
          <w:highlight w:val="none"/>
        </w:rPr>
      </w:pPr>
    </w:p>
    <w:p>
      <w:pPr>
        <w:pStyle w:val="19"/>
        <w:rPr>
          <w:highlight w:val="none"/>
        </w:rPr>
      </w:pPr>
    </w:p>
    <w:p>
      <w:pPr>
        <w:rPr>
          <w:color w:val="auto"/>
          <w:highlight w:val="none"/>
        </w:rPr>
      </w:pPr>
    </w:p>
    <w:p>
      <w:pPr>
        <w:pStyle w:val="186"/>
        <w:ind w:firstLine="640"/>
        <w:rPr>
          <w:color w:val="auto"/>
          <w:highlight w:val="none"/>
        </w:rPr>
      </w:pPr>
    </w:p>
    <w:p>
      <w:pPr>
        <w:pStyle w:val="186"/>
        <w:ind w:firstLine="640"/>
        <w:rPr>
          <w:color w:val="auto"/>
          <w:highlight w:val="none"/>
        </w:rPr>
      </w:pPr>
    </w:p>
    <w:p>
      <w:pPr>
        <w:pStyle w:val="186"/>
        <w:ind w:firstLine="640"/>
        <w:rPr>
          <w:color w:val="auto"/>
          <w:highlight w:val="none"/>
        </w:rPr>
      </w:pPr>
    </w:p>
    <w:p>
      <w:pPr>
        <w:pStyle w:val="2"/>
        <w:rPr>
          <w:rFonts w:hint="eastAsia"/>
          <w:color w:val="auto"/>
          <w:highlight w:val="none"/>
        </w:rPr>
      </w:pPr>
      <w:bookmarkStart w:id="14" w:name="_Toc16557"/>
      <w:bookmarkStart w:id="15" w:name="_Toc7340"/>
      <w:bookmarkStart w:id="16" w:name="_Toc9448"/>
      <w:bookmarkStart w:id="17" w:name="_Toc2331"/>
      <w:bookmarkStart w:id="18" w:name="_Toc23749"/>
      <w:bookmarkStart w:id="19" w:name="_Toc2324"/>
      <w:bookmarkStart w:id="20" w:name="_Toc19295"/>
      <w:bookmarkStart w:id="21" w:name="_Toc25603"/>
      <w:bookmarkStart w:id="22" w:name="_Toc32588"/>
      <w:bookmarkStart w:id="23" w:name="_Toc16705"/>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64384" behindDoc="0" locked="0" layoutInCell="1" allowOverlap="1">
                <wp:simplePos x="0" y="0"/>
                <wp:positionH relativeFrom="column">
                  <wp:posOffset>2322830</wp:posOffset>
                </wp:positionH>
                <wp:positionV relativeFrom="paragraph">
                  <wp:posOffset>509905</wp:posOffset>
                </wp:positionV>
                <wp:extent cx="958850" cy="0"/>
                <wp:effectExtent l="0" t="4445" r="0" b="5080"/>
                <wp:wrapNone/>
                <wp:docPr id="13"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5" o:spid="_x0000_s1026" o:spt="32" type="#_x0000_t32" style="position:absolute;left:0pt;margin-left:182.9pt;margin-top:40.15pt;height:0pt;width:75.5pt;z-index:251664384;mso-width-relative:page;mso-height-relative:page;" filled="f" stroked="t" coordsize="21600,21600" o:gfxdata="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Y0Tt9YAAAAJAQAADwAAAAAAAAABACAAAAAiAAAAZHJzL2Rvd25yZXYueG1sUEsB&#10;AhQAFAAAAAgAh07iQAtzSl73AQAA8QMAAA4AAAAAAAAAAQAgAAAAJQEAAGRycy9lMm9Eb2MueG1s&#10;UEsFBgAAAAAGAAYAWQEAAI4FAAAAAA==&#10;">
                <v:fill on="f" focussize="0,0"/>
                <v:stroke color="#000000" joinstyle="round"/>
                <v:imagedata o:title=""/>
                <o:lock v:ext="edit" aspectratio="f"/>
              </v:shape>
            </w:pict>
          </mc:Fallback>
        </mc:AlternateContent>
      </w:r>
    </w:p>
    <w:p>
      <w:pPr>
        <w:pStyle w:val="81"/>
        <w:spacing w:line="720" w:lineRule="auto"/>
        <w:jc w:val="center"/>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6432" behindDoc="0" locked="0" layoutInCell="1" allowOverlap="1">
                <wp:simplePos x="0" y="0"/>
                <wp:positionH relativeFrom="column">
                  <wp:posOffset>2346960</wp:posOffset>
                </wp:positionH>
                <wp:positionV relativeFrom="paragraph">
                  <wp:posOffset>466090</wp:posOffset>
                </wp:positionV>
                <wp:extent cx="958850" cy="0"/>
                <wp:effectExtent l="0" t="4445" r="0" b="5080"/>
                <wp:wrapNone/>
                <wp:docPr id="14" name="自选图形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4" o:spid="_x0000_s1026" o:spt="32" type="#_x0000_t32" style="position:absolute;left:0pt;margin-left:184.8pt;margin-top:36.7pt;height:0pt;width:75.5pt;z-index:251666432;mso-width-relative:page;mso-height-relative:page;" filled="f" stroked="t" coordsize="21600,21600" o:gfxdata="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f++7XAAAACQEAAA8AAAAAAAAAAQAgAAAAIgAAAGRycy9kb3ducmV2LnhtbFBL&#10;AQIUABQAAAAIAIdO4kAXNlxA9wEAAPEDAAAOAAAAAAAAAAEAIAAAACYBAABkcnMvZTJvRG9jLnht&#10;bFBLBQYAAAAABgAGAFkBAACP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rPr>
        <w:t>第二章</w:t>
      </w:r>
      <w:bookmarkEnd w:id="13"/>
      <w:bookmarkEnd w:id="14"/>
      <w:bookmarkEnd w:id="15"/>
      <w:bookmarkEnd w:id="16"/>
      <w:bookmarkEnd w:id="17"/>
      <w:bookmarkEnd w:id="18"/>
      <w:bookmarkEnd w:id="19"/>
      <w:bookmarkEnd w:id="20"/>
      <w:bookmarkEnd w:id="21"/>
      <w:bookmarkEnd w:id="22"/>
      <w:bookmarkEnd w:id="23"/>
    </w:p>
    <w:p>
      <w:pPr>
        <w:pStyle w:val="81"/>
        <w:jc w:val="center"/>
        <w:rPr>
          <w:rFonts w:hint="eastAsia" w:ascii="方正小标宋简体" w:hAnsi="方正小标宋简体" w:eastAsia="方正小标宋简体" w:cs="方正小标宋简体"/>
          <w:sz w:val="40"/>
          <w:szCs w:val="40"/>
          <w:highlight w:val="none"/>
        </w:rPr>
      </w:pPr>
    </w:p>
    <w:p>
      <w:pPr>
        <w:pStyle w:val="81"/>
        <w:jc w:val="center"/>
        <w:rPr>
          <w:rFonts w:hint="eastAsia" w:ascii="方正小标宋简体" w:hAnsi="方正小标宋简体" w:eastAsia="方正小标宋简体" w:cs="方正小标宋简体"/>
          <w:sz w:val="40"/>
          <w:szCs w:val="40"/>
          <w:highlight w:val="none"/>
        </w:rPr>
      </w:pPr>
      <w:bookmarkStart w:id="24" w:name="_Toc2339"/>
      <w:bookmarkStart w:id="25" w:name="_Toc3416"/>
      <w:r>
        <w:rPr>
          <w:rFonts w:hint="eastAsia" w:ascii="方正小标宋简体" w:hAnsi="方正小标宋简体" w:eastAsia="方正小标宋简体" w:cs="方正小标宋简体"/>
          <w:sz w:val="40"/>
          <w:szCs w:val="40"/>
          <w:highlight w:val="none"/>
        </w:rPr>
        <w:t>供应商须知</w:t>
      </w:r>
      <w:bookmarkEnd w:id="24"/>
      <w:bookmarkEnd w:id="25"/>
    </w:p>
    <w:p>
      <w:pPr>
        <w:adjustRightInd w:val="0"/>
        <w:snapToGrid w:val="0"/>
        <w:spacing w:before="156" w:beforeLines="50" w:after="156" w:afterLines="50" w:line="600" w:lineRule="exact"/>
        <w:ind w:left="643" w:hanging="643" w:hangingChars="200"/>
        <w:rPr>
          <w:rFonts w:hint="eastAsia" w:ascii="等线" w:hAnsi="等线"/>
          <w:b/>
          <w:color w:val="auto"/>
          <w:sz w:val="32"/>
          <w:szCs w:val="32"/>
          <w:highlight w:val="none"/>
        </w:rPr>
      </w:pPr>
    </w:p>
    <w:p>
      <w:pPr>
        <w:pStyle w:val="84"/>
        <w:ind w:firstLine="480"/>
        <w:rPr>
          <w:rFonts w:hint="default"/>
          <w:highlight w:val="none"/>
        </w:rPr>
      </w:pPr>
    </w:p>
    <w:p>
      <w:pPr>
        <w:adjustRightInd w:val="0"/>
        <w:snapToGrid w:val="0"/>
        <w:spacing w:before="156" w:beforeLines="50" w:after="156" w:afterLines="50" w:line="600" w:lineRule="exact"/>
        <w:ind w:left="643" w:hanging="643" w:hangingChars="200"/>
        <w:rPr>
          <w:rFonts w:hint="eastAsia" w:ascii="等线" w:hAnsi="等线"/>
          <w:b/>
          <w:color w:val="auto"/>
          <w:sz w:val="32"/>
          <w:szCs w:val="32"/>
          <w:highlight w:val="none"/>
        </w:rPr>
      </w:pPr>
    </w:p>
    <w:p>
      <w:pPr>
        <w:adjustRightInd w:val="0"/>
        <w:snapToGrid w:val="0"/>
        <w:spacing w:before="156" w:beforeLines="50" w:after="156" w:afterLines="50" w:line="600" w:lineRule="exact"/>
        <w:ind w:left="643" w:hanging="643" w:hangingChars="200"/>
        <w:rPr>
          <w:rFonts w:hint="eastAsia" w:ascii="等线" w:hAnsi="等线"/>
          <w:b/>
          <w:color w:val="auto"/>
          <w:sz w:val="32"/>
          <w:szCs w:val="32"/>
          <w:highlight w:val="none"/>
        </w:rPr>
      </w:pPr>
    </w:p>
    <w:p>
      <w:pPr>
        <w:rPr>
          <w:color w:val="auto"/>
          <w:highlight w:val="none"/>
        </w:rPr>
      </w:pPr>
    </w:p>
    <w:p>
      <w:pPr>
        <w:pStyle w:val="186"/>
        <w:ind w:firstLine="640"/>
        <w:rPr>
          <w:color w:val="auto"/>
          <w:highlight w:val="none"/>
        </w:rPr>
      </w:pPr>
    </w:p>
    <w:p>
      <w:pPr>
        <w:adjustRightInd w:val="0"/>
        <w:snapToGrid w:val="0"/>
        <w:spacing w:before="156" w:beforeLines="50" w:after="156" w:afterLines="50" w:line="600" w:lineRule="exact"/>
        <w:ind w:left="643" w:hanging="643" w:hangingChars="200"/>
        <w:rPr>
          <w:rFonts w:hint="eastAsia" w:ascii="等线" w:hAnsi="等线"/>
          <w:b/>
          <w:color w:val="auto"/>
          <w:sz w:val="32"/>
          <w:szCs w:val="32"/>
          <w:highlight w:val="none"/>
        </w:rPr>
      </w:pPr>
    </w:p>
    <w:p>
      <w:pPr>
        <w:pStyle w:val="50"/>
        <w:rPr>
          <w:rFonts w:hint="eastAsia" w:ascii="等线" w:hAnsi="等线"/>
          <w:b/>
          <w:sz w:val="32"/>
          <w:szCs w:val="32"/>
          <w:highlight w:val="none"/>
        </w:rPr>
      </w:pPr>
    </w:p>
    <w:p>
      <w:pPr>
        <w:pStyle w:val="50"/>
        <w:ind w:left="0"/>
        <w:rPr>
          <w:highlight w:val="none"/>
        </w:rPr>
      </w:pPr>
    </w:p>
    <w:p>
      <w:pPr>
        <w:numPr>
          <w:ilvl w:val="0"/>
          <w:numId w:val="25"/>
        </w:numPr>
        <w:adjustRightInd w:val="0"/>
        <w:snapToGrid w:val="0"/>
        <w:spacing w:before="156" w:beforeLines="50" w:after="156" w:afterLines="50" w:line="50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对供应商的资格要求.</w:t>
      </w:r>
    </w:p>
    <w:p>
      <w:pPr>
        <w:pStyle w:val="84"/>
        <w:numPr>
          <w:ilvl w:val="0"/>
          <w:numId w:val="0"/>
        </w:numPr>
        <w:rPr>
          <w:rFonts w:hint="default" w:eastAsia="等线"/>
          <w:highlight w:val="none"/>
        </w:rPr>
      </w:pPr>
      <w:r>
        <w:rPr>
          <w:highlight w:val="none"/>
        </w:rPr>
        <w:t>详见第一章采购公告（采购邀请书）3.供应商资格要求</w:t>
      </w:r>
    </w:p>
    <w:p>
      <w:pPr>
        <w:adjustRightInd w:val="0"/>
        <w:snapToGrid w:val="0"/>
        <w:spacing w:line="600" w:lineRule="exact"/>
        <w:rPr>
          <w:rFonts w:ascii="仿宋_GB2312" w:eastAsia="仿宋_GB2312"/>
          <w:color w:val="auto"/>
          <w:sz w:val="28"/>
          <w:szCs w:val="28"/>
          <w:highlight w:val="none"/>
        </w:rPr>
      </w:pPr>
      <w:r>
        <w:rPr>
          <w:rFonts w:hint="eastAsia" w:ascii="等线" w:hAnsi="等线"/>
          <w:b/>
          <w:color w:val="auto"/>
          <w:sz w:val="32"/>
          <w:szCs w:val="32"/>
          <w:highlight w:val="none"/>
        </w:rPr>
        <w:t>2.  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rPr>
        <w:t>1.1</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636"/>
        <w:gridCol w:w="1171"/>
        <w:gridCol w:w="5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阶段</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条款</w:t>
            </w:r>
          </w:p>
        </w:tc>
        <w:tc>
          <w:tcPr>
            <w:tcW w:w="1171"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项目</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采购文件组成</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（1）采购公告（采购邀请书）</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（2）供应商须知</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（3）采购方式</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（4）评审办法</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（5）采购需求</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（6）合同草案</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（7）响应文件</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2.2</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采购文件的澄清和修改</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1.2.1供应商对采购文件有疑问的，应当在提交响应文件截止之日2个工作日前，以书面形式提出。</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2.3</w:t>
            </w:r>
          </w:p>
          <w:p>
            <w:pPr>
              <w:pStyle w:val="504"/>
              <w:rPr>
                <w:rFonts w:hint="eastAsia" w:ascii="仿宋_GB2312" w:hAnsi="仿宋_GB2312" w:eastAsia="仿宋_GB2312" w:cs="仿宋_GB2312"/>
                <w:highlight w:val="none"/>
              </w:rPr>
            </w:pP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踏勘现场</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2.4</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分包</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2.5</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响应截止时间</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2.6</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最高限价及低价说明</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详见采购公告（采购邀请书）；报价单位的报价若低于限价60%，必须在响应文件实质性响应一览表中说明报价理由。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2.7</w:t>
            </w:r>
          </w:p>
          <w:p>
            <w:pPr>
              <w:pStyle w:val="504"/>
              <w:rPr>
                <w:rFonts w:hint="eastAsia" w:ascii="仿宋_GB2312" w:hAnsi="仿宋_GB2312" w:eastAsia="仿宋_GB2312" w:cs="仿宋_GB2312"/>
                <w:highlight w:val="none"/>
              </w:rPr>
            </w:pP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响应文件有效期</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90个日历天（从响应文件递交截止日算起）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2.8</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响应文件份数</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纸质文件正本1份，副本 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2.9</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响应文件的密封和标记</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要求密封，响应文件应在密封处加盖公章，标注正本和副本，封皮应注明：</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2.10</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响应文件提交</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文件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开启</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及评</w:t>
            </w:r>
          </w:p>
          <w:p>
            <w:pPr>
              <w:pStyle w:val="50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审</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2.11</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响应文件开启会议</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举行</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会议时间：同响应截止时间</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2.12</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开启文件前的密封检查</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2.13</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评审小组</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评审小组构成：3人。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2.14</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评审办法</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2.15</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成交候选人</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在广州市净水有限公司门户网站公示成交候选人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vMerge w:val="restart"/>
            <w:tcBorders>
              <w:tl2br w:val="nil"/>
              <w:tr2bl w:val="nil"/>
            </w:tcBorders>
            <w:noWrap w:val="0"/>
            <w:vAlign w:val="center"/>
          </w:tcPr>
          <w:p>
            <w:pPr>
              <w:pStyle w:val="504"/>
              <w:ind w:left="420" w:leftChars="200"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确定成交人</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2.16</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成交办法</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2.17</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签订合同</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推荐二名成交候选人。</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采购人和成交供应商应当在成交-通知书发出之日起30日内，根据采购文件和成交供应商的响应文件订立书面合同。</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合同自采购人成交通知书到达成交供应商时成立。</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成交供应商无正当理由拒签合同，或者在签订合同时向采购人提出附加条件的，采购人有权依据采购文件、成交供应商响应文件和成交通知书等确定合同内容，采购人也有权即刻单方解除合同，追究成交供应商的违约责任，响应保证金不予退还（若有），违约金和响应保证金（若有）不能覆盖采购人实际损失的，对不能覆盖部分的损失，成交供应商应当另行予以赔偿，且采购人有权重新采购。</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成交供应商被查实供应商资格无效或存在其它不符合中标条件情形的，采购人尚未发出成交通知书的，则成交无效，响应保证金（若有）不予退还，采购人可以按评审小组提出的成交候选人名单排序依次确定其他成交候选供应商为成交供应商，采购人也可以重新采购；采购人已发出成交通知书合同成立的，采购人有权解除合同，响应保证金不予退还（若有）并归采购人所有，且采购人有权重新采购。</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2.18</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履约担保</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其他</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2.19</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需要补充的其他内容</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合同签订阶段，如采购文件内容与响应文件格式工程量清单存在不一致情形，则以响应文件格式工程量清单为准。如采购文件条款与合同存在不一致情形，则以合同为准。</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156" w:beforeLines="50" w:after="156" w:afterLines="50" w:line="560" w:lineRule="exact"/>
        <w:rPr>
          <w:rFonts w:hint="eastAsia" w:ascii="等线" w:hAnsi="等线"/>
          <w:b/>
          <w:color w:val="auto"/>
          <w:sz w:val="32"/>
          <w:szCs w:val="32"/>
          <w:highlight w:val="none"/>
        </w:rPr>
      </w:pPr>
      <w:r>
        <w:rPr>
          <w:rFonts w:hint="eastAsia" w:ascii="等线" w:hAnsi="等线"/>
          <w:b/>
          <w:color w:val="auto"/>
          <w:sz w:val="32"/>
          <w:szCs w:val="32"/>
          <w:highlight w:val="none"/>
        </w:rPr>
        <w:t>2.若出现以下情况之一的，采购人将拒绝接收响应文件</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3.发生下列情况之一者，视为无效响应行为</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（2）响应文件未按规定格式填写，或内容与采购文件严重背离的。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（3）响应文件有两个及以上报价的（采购文件允许提交备选方案的除外）。</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（4）质量标准不符合采购文件要求的。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（5）服务期不符合采购文件要求的。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（6）报价超过最高限价的。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（7）供应商不符合国家或采购文件规定的资格条件。</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（8）响应文件没有对采购文件的实质性要求和条件作出响应。</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（9）其他不符合采购文件要求的情形。</w:t>
      </w:r>
    </w:p>
    <w:p>
      <w:pPr>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（10）非法定代表人或</w:t>
      </w:r>
      <w:r>
        <w:rPr>
          <w:rFonts w:hint="eastAsia" w:ascii="仿宋_GB2312" w:hAnsi="等线" w:eastAsia="仿宋_GB2312"/>
          <w:color w:val="auto"/>
          <w:sz w:val="28"/>
          <w:szCs w:val="28"/>
          <w:highlight w:val="none"/>
        </w:rPr>
        <w:t>授权委托代理人</w:t>
      </w:r>
      <w:r>
        <w:rPr>
          <w:rFonts w:hint="eastAsia" w:ascii="仿宋_GB2312" w:eastAsia="仿宋_GB2312"/>
          <w:color w:val="auto"/>
          <w:sz w:val="28"/>
          <w:szCs w:val="28"/>
          <w:highlight w:val="none"/>
        </w:rPr>
        <w:t>递交响应文件。</w:t>
      </w:r>
    </w:p>
    <w:p>
      <w:pPr>
        <w:adjustRightInd w:val="0"/>
        <w:snapToGrid w:val="0"/>
        <w:spacing w:before="156" w:beforeLines="50" w:after="156" w:afterLines="50" w:line="56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4.响应保证金</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本项目无须递交响应保证金。</w:t>
      </w:r>
    </w:p>
    <w:p>
      <w:pPr>
        <w:adjustRightInd w:val="0"/>
        <w:snapToGrid w:val="0"/>
        <w:spacing w:before="156" w:beforeLines="50" w:after="156" w:afterLines="50" w:line="56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5.响应文件要求</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5.1响应文件包括下列内容</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left="559" w:leftChars="266"/>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left="559" w:leftChars="266"/>
        <w:rPr>
          <w:rFonts w:ascii="仿宋_GB2312" w:eastAsia="仿宋_GB2312"/>
          <w:color w:val="auto"/>
          <w:sz w:val="28"/>
          <w:szCs w:val="28"/>
          <w:highlight w:val="none"/>
        </w:rPr>
      </w:pPr>
      <w:r>
        <w:rPr>
          <w:rFonts w:hint="eastAsia" w:ascii="仿宋_GB2312" w:eastAsia="仿宋_GB2312"/>
          <w:color w:val="auto"/>
          <w:sz w:val="28"/>
          <w:szCs w:val="28"/>
          <w:highlight w:val="none"/>
        </w:rPr>
        <w:t>6.承诺函</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7.其他资料</w:t>
      </w:r>
    </w:p>
    <w:p>
      <w:pPr>
        <w:adjustRightInd w:val="0"/>
        <w:snapToGrid w:val="0"/>
        <w:spacing w:before="156" w:beforeLines="50" w:after="156" w:afterLines="50" w:line="56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6.异议</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异议函应由异议人的法定代表人或其授权的代理人签字并加盖单位章。</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rPr>
          <w:rFonts w:hint="eastAsia" w:ascii="等线" w:hAnsi="等线"/>
          <w:b/>
          <w:color w:val="auto"/>
          <w:sz w:val="32"/>
          <w:szCs w:val="32"/>
          <w:highlight w:val="none"/>
        </w:rPr>
      </w:pPr>
      <w:r>
        <w:rPr>
          <w:rFonts w:hint="eastAsia" w:ascii="等线" w:hAnsi="等线"/>
          <w:b/>
          <w:color w:val="auto"/>
          <w:sz w:val="32"/>
          <w:szCs w:val="32"/>
          <w:highlight w:val="none"/>
        </w:rPr>
        <w:t>7.本章附件</w:t>
      </w:r>
    </w:p>
    <w:p>
      <w:pPr>
        <w:adjustRightInd w:val="0"/>
        <w:snapToGrid w:val="0"/>
        <w:spacing w:line="560" w:lineRule="exact"/>
        <w:ind w:firstLine="694" w:firstLineChars="248"/>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rPr>
          <w:rFonts w:ascii="仿宋_GB2312" w:eastAsia="仿宋_GB2312"/>
          <w:color w:val="auto"/>
          <w:sz w:val="28"/>
          <w:szCs w:val="28"/>
          <w:highlight w:val="none"/>
        </w:rPr>
      </w:pPr>
      <w:r>
        <w:rPr>
          <w:rFonts w:hint="eastAsia" w:ascii="等线 Light" w:hAnsi="等线 Light" w:eastAsia="等线 Light"/>
          <w:b/>
          <w:color w:val="auto"/>
          <w:sz w:val="28"/>
          <w:szCs w:val="28"/>
          <w:highlight w:val="none"/>
        </w:rPr>
        <w:t xml:space="preserve">  </w:t>
      </w:r>
      <w:r>
        <w:rPr>
          <w:rFonts w:hint="eastAsia" w:ascii="仿宋_GB2312" w:hAnsi="等线" w:eastAsia="仿宋_GB2312"/>
          <w:color w:val="auto"/>
          <w:sz w:val="28"/>
          <w:szCs w:val="28"/>
          <w:highlight w:val="none"/>
        </w:rPr>
        <w:t xml:space="preserve">  </w:t>
      </w:r>
      <w:r>
        <w:rPr>
          <w:rFonts w:hint="eastAsia" w:ascii="仿宋_GB2312" w:eastAsia="仿宋_GB2312"/>
          <w:color w:val="auto"/>
          <w:sz w:val="28"/>
          <w:szCs w:val="28"/>
          <w:highlight w:val="none"/>
        </w:rPr>
        <w:t xml:space="preserve"> 附件5：关于**项目异议书</w:t>
      </w:r>
    </w:p>
    <w:p>
      <w:pPr>
        <w:pStyle w:val="84"/>
        <w:ind w:firstLine="480"/>
        <w:rPr>
          <w:highlight w:val="none"/>
        </w:rPr>
      </w:pPr>
      <w:r>
        <w:rPr>
          <w:highlight w:val="none"/>
        </w:rPr>
        <w:t xml:space="preserve"> </w:t>
      </w:r>
    </w:p>
    <w:p>
      <w:pPr>
        <w:adjustRightInd w:val="0"/>
        <w:snapToGrid w:val="0"/>
        <w:spacing w:line="600" w:lineRule="exact"/>
        <w:rPr>
          <w:rFonts w:hint="eastAsia" w:ascii="等线 Light" w:hAnsi="等线 Light" w:eastAsia="等线 Light"/>
          <w:b/>
          <w:color w:val="auto"/>
          <w:sz w:val="28"/>
          <w:szCs w:val="28"/>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adjustRightInd w:val="0"/>
        <w:snapToGrid w:val="0"/>
        <w:spacing w:line="600" w:lineRule="exact"/>
        <w:rPr>
          <w:rFonts w:ascii="等线 Light" w:hAnsi="等线 Light" w:eastAsia="等线 Light"/>
          <w:b/>
          <w:color w:val="auto"/>
          <w:sz w:val="28"/>
          <w:szCs w:val="28"/>
          <w:highlight w:val="none"/>
        </w:rPr>
      </w:pPr>
    </w:p>
    <w:p>
      <w:pPr>
        <w:adjustRightInd w:val="0"/>
        <w:snapToGrid w:val="0"/>
        <w:spacing w:line="600" w:lineRule="exact"/>
        <w:rPr>
          <w:rFonts w:ascii="等线 Light" w:hAnsi="等线 Light" w:eastAsia="等线 Light"/>
          <w:b/>
          <w:color w:val="auto"/>
          <w:sz w:val="28"/>
          <w:szCs w:val="28"/>
          <w:highlight w:val="none"/>
        </w:rPr>
      </w:pPr>
    </w:p>
    <w:p>
      <w:pPr>
        <w:adjustRightInd w:val="0"/>
        <w:snapToGrid w:val="0"/>
        <w:spacing w:line="600" w:lineRule="exact"/>
        <w:rPr>
          <w:rFonts w:ascii="等线 Light" w:hAnsi="等线 Light" w:eastAsia="等线 Light"/>
          <w:b/>
          <w:color w:val="auto"/>
          <w:sz w:val="28"/>
          <w:szCs w:val="28"/>
          <w:highlight w:val="none"/>
        </w:rPr>
      </w:pPr>
    </w:p>
    <w:p>
      <w:pPr>
        <w:adjustRightInd w:val="0"/>
        <w:snapToGrid w:val="0"/>
        <w:spacing w:line="600" w:lineRule="exact"/>
        <w:rPr>
          <w:rFonts w:ascii="等线 Light" w:hAnsi="等线 Light" w:eastAsia="等线 Light"/>
          <w:b/>
          <w:color w:val="auto"/>
          <w:sz w:val="28"/>
          <w:szCs w:val="28"/>
          <w:highlight w:val="none"/>
        </w:rPr>
      </w:pPr>
    </w:p>
    <w:p>
      <w:pPr>
        <w:adjustRightInd w:val="0"/>
        <w:snapToGrid w:val="0"/>
        <w:spacing w:line="600" w:lineRule="exact"/>
        <w:rPr>
          <w:rFonts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ascii="等线 Light" w:hAnsi="等线 Light" w:eastAsia="等线 Light"/>
          <w:b/>
          <w:color w:val="auto"/>
          <w:sz w:val="28"/>
          <w:szCs w:val="28"/>
          <w:highlight w:val="none"/>
        </w:rPr>
        <w:t>附件</w:t>
      </w:r>
      <w:r>
        <w:rPr>
          <w:rFonts w:hint="eastAsia" w:ascii="等线 Light" w:hAnsi="等线 Light" w:eastAsia="等线 Light"/>
          <w:b/>
          <w:color w:val="auto"/>
          <w:sz w:val="28"/>
          <w:szCs w:val="28"/>
          <w:highlight w:val="none"/>
        </w:rPr>
        <w:t>1</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响应文件开启表</w:t>
      </w:r>
    </w:p>
    <w:p>
      <w:pPr>
        <w:pStyle w:val="582"/>
        <w:rPr>
          <w:color w:val="auto"/>
          <w:highlight w:val="none"/>
        </w:rPr>
      </w:pP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开启时间：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时</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分</w:t>
      </w:r>
    </w:p>
    <w:tbl>
      <w:tblPr>
        <w:tblStyle w:val="86"/>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54"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54"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668"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jc w:val="center"/>
              <w:textAlignment w:val="baseline"/>
              <w:rPr>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jc w:val="center"/>
              <w:textAlignment w:val="baseline"/>
              <w:rPr>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bl>
    <w:p>
      <w:pPr>
        <w:adjustRightInd w:val="0"/>
        <w:snapToGrid w:val="0"/>
        <w:spacing w:line="600" w:lineRule="exact"/>
        <w:ind w:firstLine="555"/>
        <w:rPr>
          <w:rFonts w:hint="eastAsia" w:ascii="仿宋_GB2312" w:hAnsi="等线 Light" w:eastAsia="仿宋_GB2312"/>
          <w:color w:val="auto"/>
          <w:sz w:val="28"/>
          <w:szCs w:val="28"/>
          <w:highlight w:val="none"/>
          <w:u w:val="single"/>
        </w:rPr>
      </w:pPr>
      <w:r>
        <w:rPr>
          <w:rFonts w:hint="eastAsia" w:ascii="仿宋_GB2312" w:hAnsi="等线 Light" w:eastAsia="仿宋_GB2312"/>
          <w:color w:val="auto"/>
          <w:sz w:val="28"/>
          <w:szCs w:val="28"/>
          <w:highlight w:val="none"/>
        </w:rPr>
        <w:t>采购人代表</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 xml:space="preserve">      记录人</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 xml:space="preserve">  </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555"/>
        <w:rPr>
          <w:rFonts w:hint="eastAsia" w:ascii="仿宋_GB2312" w:hAnsi="等线 Light" w:eastAsia="仿宋_GB2312"/>
          <w:color w:val="auto"/>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附件2</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问题澄清通知</w:t>
      </w:r>
    </w:p>
    <w:p>
      <w:pPr>
        <w:pStyle w:val="582"/>
        <w:rPr>
          <w:color w:val="auto"/>
          <w:highlight w:val="none"/>
        </w:rPr>
      </w:pP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编号：</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   （供应商名称）    </w:t>
      </w:r>
      <w:r>
        <w:rPr>
          <w:rFonts w:hint="eastAsia" w:ascii="仿宋_GB2312" w:hAnsi="等线 Light" w:eastAsia="仿宋_GB2312"/>
          <w:color w:val="auto"/>
          <w:sz w:val="28"/>
          <w:szCs w:val="28"/>
          <w:highlight w:val="none"/>
        </w:rPr>
        <w:t>：</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（项目名称） </w:t>
      </w:r>
      <w:r>
        <w:rPr>
          <w:rFonts w:hint="eastAsia" w:ascii="仿宋_GB2312" w:hAnsi="等线 Light" w:eastAsia="仿宋_GB2312"/>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1.</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2.</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请将上述问题的澄清于</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时前递交至</w:t>
      </w:r>
      <w:r>
        <w:rPr>
          <w:rFonts w:hint="eastAsia" w:ascii="仿宋_GB2312" w:hAnsi="等线 Light" w:eastAsia="仿宋_GB2312"/>
          <w:color w:val="auto"/>
          <w:sz w:val="28"/>
          <w:szCs w:val="28"/>
          <w:highlight w:val="none"/>
          <w:u w:val="single"/>
        </w:rPr>
        <w:t xml:space="preserve">  （详细地址） </w:t>
      </w:r>
      <w:r>
        <w:rPr>
          <w:rFonts w:hint="eastAsia" w:ascii="仿宋_GB2312" w:hAnsi="等线 Light" w:eastAsia="仿宋_GB2312"/>
          <w:color w:val="auto"/>
          <w:sz w:val="28"/>
          <w:szCs w:val="28"/>
          <w:highlight w:val="none"/>
        </w:rPr>
        <w:t>。</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（项目名称） </w:t>
      </w:r>
      <w:r>
        <w:rPr>
          <w:rFonts w:hint="eastAsia" w:ascii="仿宋_GB2312" w:hAnsi="等线 Light" w:eastAsia="仿宋_GB2312"/>
          <w:color w:val="auto"/>
          <w:sz w:val="28"/>
          <w:szCs w:val="28"/>
          <w:highlight w:val="none"/>
        </w:rPr>
        <w:t>评审小组</w:t>
      </w: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评审小组：</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（签字）</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4762" w:firstLineChars="1700"/>
        <w:rPr>
          <w:rFonts w:hint="eastAsia" w:ascii="等线 Light" w:hAnsi="等线 Light" w:eastAsia="等线 Light"/>
          <w:b/>
          <w:color w:val="auto"/>
          <w:sz w:val="28"/>
          <w:szCs w:val="28"/>
          <w:highlight w:val="none"/>
        </w:rPr>
      </w:pPr>
    </w:p>
    <w:p>
      <w:pPr>
        <w:pStyle w:val="2"/>
        <w:rPr>
          <w:rFonts w:hint="eastAsia"/>
          <w:color w:val="auto"/>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附件3</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问题的澄清</w:t>
      </w:r>
    </w:p>
    <w:p>
      <w:pPr>
        <w:pStyle w:val="582"/>
        <w:rPr>
          <w:color w:val="auto"/>
          <w:highlight w:val="none"/>
        </w:rPr>
      </w:pP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编号：</w:t>
      </w: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仿宋_GB2312" w:hAnsi="等线 Light" w:eastAsia="仿宋_GB2312"/>
          <w:color w:val="auto"/>
          <w:sz w:val="28"/>
          <w:szCs w:val="28"/>
          <w:highlight w:val="none"/>
          <w:u w:val="single"/>
        </w:rPr>
        <w:t>（项目名称）</w:t>
      </w:r>
      <w:r>
        <w:rPr>
          <w:rFonts w:hint="eastAsia" w:ascii="仿宋_GB2312" w:hAnsi="等线 Light" w:eastAsia="仿宋_GB2312"/>
          <w:color w:val="auto"/>
          <w:sz w:val="28"/>
          <w:szCs w:val="28"/>
          <w:highlight w:val="none"/>
        </w:rPr>
        <w:t>评审小组：</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问题澄清通知（编号：</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）已收悉，现澄清如下：</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1.</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2.</w:t>
      </w:r>
    </w:p>
    <w:p>
      <w:pPr>
        <w:adjustRightInd w:val="0"/>
        <w:snapToGrid w:val="0"/>
        <w:spacing w:line="600" w:lineRule="exact"/>
        <w:ind w:firstLine="570"/>
        <w:rPr>
          <w:rFonts w:hint="eastAsia" w:ascii="等线 Light" w:hAnsi="等线 Light" w:eastAsia="等线 Light"/>
          <w:b/>
          <w:color w:val="auto"/>
          <w:sz w:val="28"/>
          <w:szCs w:val="28"/>
          <w:highlight w:val="none"/>
        </w:rPr>
      </w:pPr>
    </w:p>
    <w:p>
      <w:pPr>
        <w:adjustRightInd w:val="0"/>
        <w:snapToGrid w:val="0"/>
        <w:spacing w:line="600" w:lineRule="exact"/>
        <w:ind w:firstLine="2520" w:firstLineChars="9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供应商：</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（公章）</w:t>
      </w:r>
    </w:p>
    <w:p>
      <w:pPr>
        <w:adjustRightInd w:val="0"/>
        <w:snapToGrid w:val="0"/>
        <w:spacing w:line="600" w:lineRule="exact"/>
        <w:ind w:firstLine="2520" w:firstLineChars="9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法定代表人或委托代理人：</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（签字）</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pStyle w:val="84"/>
        <w:ind w:firstLine="480"/>
        <w:rPr>
          <w:rFonts w:hint="default"/>
          <w:highlight w:val="none"/>
        </w:rPr>
      </w:pP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 xml:space="preserve">附件4 </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成交通知书</w:t>
      </w:r>
    </w:p>
    <w:p>
      <w:pPr>
        <w:pStyle w:val="582"/>
        <w:rPr>
          <w:color w:val="auto"/>
          <w:highlight w:val="none"/>
        </w:rPr>
      </w:pPr>
    </w:p>
    <w:p>
      <w:pPr>
        <w:pStyle w:val="582"/>
        <w:ind w:firstLine="3630"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   （成交供应商名称）    </w:t>
      </w:r>
      <w:r>
        <w:rPr>
          <w:rFonts w:hint="eastAsia" w:ascii="仿宋_GB2312" w:hAnsi="等线 Light" w:eastAsia="仿宋_GB2312"/>
          <w:color w:val="auto"/>
          <w:sz w:val="28"/>
          <w:szCs w:val="28"/>
          <w:highlight w:val="none"/>
        </w:rPr>
        <w:t>：</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你方递交的响应文件已被我方接受，你方已被确认为</w:t>
      </w:r>
      <w:r>
        <w:rPr>
          <w:rFonts w:hint="eastAsia" w:ascii="仿宋_GB2312" w:hAnsi="等线 Light" w:eastAsia="仿宋_GB2312"/>
          <w:color w:val="auto"/>
          <w:sz w:val="28"/>
          <w:szCs w:val="28"/>
          <w:highlight w:val="none"/>
          <w:u w:val="single"/>
        </w:rPr>
        <w:t xml:space="preserve">      项目</w:t>
      </w:r>
      <w:r>
        <w:rPr>
          <w:rFonts w:hint="eastAsia" w:ascii="仿宋_GB2312" w:hAnsi="等线 Light" w:eastAsia="仿宋_GB2312"/>
          <w:color w:val="auto"/>
          <w:sz w:val="28"/>
          <w:szCs w:val="28"/>
          <w:highlight w:val="none"/>
        </w:rPr>
        <w:t>的成交供应商。</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成交价格：</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请你方在接到本通知书后的</w:t>
      </w:r>
      <w:r>
        <w:rPr>
          <w:rFonts w:hint="eastAsia" w:ascii="仿宋_GB2312" w:hAnsi="等线 Light" w:eastAsia="仿宋_GB2312"/>
          <w:color w:val="auto"/>
          <w:sz w:val="28"/>
          <w:szCs w:val="28"/>
          <w:highlight w:val="none"/>
          <w:u w:val="single"/>
        </w:rPr>
        <w:t>30</w:t>
      </w:r>
      <w:r>
        <w:rPr>
          <w:rFonts w:hint="eastAsia" w:ascii="仿宋_GB2312" w:hAnsi="等线 Light" w:eastAsia="仿宋_GB2312"/>
          <w:color w:val="auto"/>
          <w:sz w:val="28"/>
          <w:szCs w:val="28"/>
          <w:highlight w:val="none"/>
        </w:rPr>
        <w:t>日内与我方签订采购合同，逾期视为自动放弃成交资格。</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采购人：</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（公章）</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pStyle w:val="84"/>
        <w:ind w:firstLine="560"/>
        <w:rPr>
          <w:rFonts w:ascii="等线 Light" w:hAnsi="等线 Light" w:eastAsia="等线 Light"/>
          <w:b/>
          <w:sz w:val="28"/>
          <w:szCs w:val="28"/>
          <w:highlight w:val="none"/>
        </w:rPr>
      </w:pPr>
    </w:p>
    <w:p>
      <w:pPr>
        <w:pStyle w:val="84"/>
        <w:ind w:firstLine="560"/>
        <w:rPr>
          <w:rFonts w:ascii="等线 Light" w:hAnsi="等线 Light" w:eastAsia="等线 Light"/>
          <w:b/>
          <w:sz w:val="28"/>
          <w:szCs w:val="28"/>
          <w:highlight w:val="none"/>
        </w:rPr>
      </w:pPr>
    </w:p>
    <w:p>
      <w:pPr>
        <w:pStyle w:val="84"/>
        <w:ind w:firstLine="560"/>
        <w:rPr>
          <w:rFonts w:ascii="等线 Light" w:hAnsi="等线 Light" w:eastAsia="等线 Light"/>
          <w:b/>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 xml:space="preserve">附件5 </w:t>
      </w:r>
    </w:p>
    <w:p>
      <w:pPr>
        <w:jc w:val="center"/>
        <w:rPr>
          <w:rFonts w:hint="eastAsia" w:ascii="宋体" w:hAnsi="宋体" w:cs="宋体"/>
          <w:b/>
          <w:bCs/>
          <w:color w:val="auto"/>
          <w:sz w:val="44"/>
          <w:szCs w:val="44"/>
          <w:highlight w:val="none"/>
        </w:rPr>
      </w:pPr>
    </w:p>
    <w:p>
      <w:pPr>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ascii="宋体" w:hAnsi="宋体" w:cs="宋体"/>
          <w:b/>
          <w:bCs/>
          <w:color w:val="auto"/>
          <w:sz w:val="44"/>
          <w:szCs w:val="44"/>
          <w:highlight w:val="none"/>
        </w:rPr>
        <w:t>项目异议书</w:t>
      </w:r>
    </w:p>
    <w:p>
      <w:pPr>
        <w:spacing w:line="408" w:lineRule="auto"/>
        <w:jc w:val="center"/>
        <w:rPr>
          <w:rFonts w:hint="eastAsia" w:hAnsi="宋体" w:cs="仿宋_GB2312"/>
          <w:color w:val="auto"/>
          <w:kern w:val="0"/>
          <w:sz w:val="24"/>
          <w:highlight w:val="none"/>
        </w:rPr>
      </w:pPr>
      <w:r>
        <w:rPr>
          <w:rFonts w:hAnsi="宋体" w:cs="仿宋_GB2312"/>
          <w:color w:val="auto"/>
          <w:kern w:val="0"/>
          <w:sz w:val="24"/>
          <w:highlight w:val="none"/>
        </w:rPr>
        <w:t>(参考格式)</w:t>
      </w:r>
    </w:p>
    <w:p>
      <w:pPr>
        <w:rPr>
          <w:rFonts w:ascii="仿宋_GB2312" w:eastAsia="仿宋_GB2312"/>
          <w:color w:val="auto"/>
          <w:kern w:val="0"/>
          <w:sz w:val="28"/>
          <w:szCs w:val="28"/>
          <w:highlight w:val="none"/>
        </w:rPr>
      </w:pPr>
      <w:r>
        <w:rPr>
          <w:rFonts w:hint="eastAsia" w:ascii="仿宋_GB2312" w:eastAsia="仿宋_GB2312"/>
          <w:color w:val="auto"/>
          <w:kern w:val="0"/>
          <w:sz w:val="28"/>
          <w:szCs w:val="28"/>
          <w:highlight w:val="none"/>
        </w:rPr>
        <w:t>项目名称：</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异议人：</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住所地：               邮编：</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法定代表人：           联系电话：</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异议人授权代表：       性别：</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住址：                 联系电话：</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提起异议事项的基本事实：</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相关请求及主张：</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有效线索和相关证明材料：</w:t>
      </w:r>
    </w:p>
    <w:p>
      <w:pPr>
        <w:rPr>
          <w:rFonts w:hint="eastAsia" w:ascii="仿宋_GB2312" w:hAnsi="宋体" w:eastAsia="仿宋_GB2312" w:cs="仿宋_GB2312"/>
          <w:bCs/>
          <w:color w:val="auto"/>
          <w:kern w:val="0"/>
          <w:sz w:val="28"/>
          <w:szCs w:val="28"/>
          <w:highlight w:val="none"/>
        </w:rPr>
      </w:pPr>
      <w:r>
        <w:rPr>
          <w:rFonts w:hint="eastAsia" w:ascii="仿宋_GB2312" w:hAnsi="宋体" w:eastAsia="仿宋_GB2312" w:cs="仿宋_GB2312"/>
          <w:bCs/>
          <w:color w:val="auto"/>
          <w:kern w:val="0"/>
          <w:sz w:val="28"/>
          <w:szCs w:val="28"/>
          <w:highlight w:val="none"/>
        </w:rPr>
        <w:t>异议提起人与项目有利害关系的证明材料（见说明）：</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 xml:space="preserve">        此致</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u w:val="single"/>
        </w:rPr>
        <w:t>（采购人）</w:t>
      </w:r>
    </w:p>
    <w:p>
      <w:pPr>
        <w:rPr>
          <w:rFonts w:hint="eastAsia" w:ascii="仿宋_GB2312" w:hAnsi="宋体" w:eastAsia="仿宋_GB2312" w:cs="仿宋_GB2312"/>
          <w:color w:val="auto"/>
          <w:kern w:val="0"/>
          <w:sz w:val="28"/>
          <w:szCs w:val="28"/>
          <w:highlight w:val="none"/>
        </w:rPr>
      </w:pPr>
    </w:p>
    <w:p>
      <w:pPr>
        <w:pStyle w:val="84"/>
        <w:ind w:firstLine="480"/>
        <w:rPr>
          <w:rFonts w:hint="default"/>
          <w:highlight w:val="none"/>
        </w:rPr>
      </w:pPr>
    </w:p>
    <w:p>
      <w:pPr>
        <w:ind w:left="99" w:leftChars="47" w:firstLine="3920" w:firstLineChars="1400"/>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异议人（公章）：</w:t>
      </w:r>
    </w:p>
    <w:p>
      <w:pPr>
        <w:ind w:left="99" w:leftChars="47" w:firstLine="3360" w:firstLineChars="1200"/>
        <w:rPr>
          <w:rFonts w:hint="eastAsia" w:ascii="仿宋_GB2312" w:hAnsi="宋体" w:eastAsia="仿宋_GB2312" w:cs="仿宋_GB2312"/>
          <w:color w:val="auto"/>
          <w:kern w:val="0"/>
          <w:sz w:val="28"/>
          <w:szCs w:val="28"/>
          <w:highlight w:val="none"/>
          <w:u w:val="single"/>
        </w:rPr>
      </w:pPr>
      <w:r>
        <w:rPr>
          <w:rFonts w:hint="eastAsia" w:ascii="仿宋_GB2312" w:hAnsi="宋体" w:eastAsia="仿宋_GB2312" w:cs="仿宋_GB2312"/>
          <w:color w:val="auto"/>
          <w:kern w:val="0"/>
          <w:sz w:val="28"/>
          <w:szCs w:val="28"/>
          <w:highlight w:val="none"/>
        </w:rPr>
        <w:t>法定代表人或授权代表（签字）</w:t>
      </w:r>
    </w:p>
    <w:p>
      <w:pPr>
        <w:ind w:firstLine="560" w:firstLineChars="200"/>
        <w:jc w:val="cente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 xml:space="preserve">                                     年    月   日</w:t>
      </w:r>
    </w:p>
    <w:p>
      <w:pPr>
        <w:rPr>
          <w:rFonts w:hint="eastAsia" w:ascii="仿宋_GB2312" w:hAnsi="宋体" w:eastAsia="仿宋_GB2312" w:cs="仿宋_GB2312"/>
          <w:bCs/>
          <w:color w:val="auto"/>
          <w:kern w:val="0"/>
          <w:sz w:val="28"/>
          <w:szCs w:val="28"/>
          <w:highlight w:val="none"/>
        </w:rPr>
      </w:pP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说明：</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3.为证明与异议项目有利害关系，投标人以外的其他异议提起人应当提供相应证明材料：</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（1）属潜在投标人的，提交符合法定有关资格要求的证明文件；</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hAnsi="仿宋" w:eastAsia="仿宋_GB2312"/>
          <w:color w:val="auto"/>
          <w:sz w:val="28"/>
          <w:szCs w:val="28"/>
          <w:highlight w:val="none"/>
        </w:rPr>
        <w:tab/>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（3）可证明与异议项目有利害关系的其他证明文件。</w:t>
      </w: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0" w:firstLineChars="0"/>
        <w:rPr>
          <w:rFonts w:hint="default" w:ascii="仿宋_GB2312" w:eastAsia="仿宋_GB2312"/>
          <w:sz w:val="28"/>
          <w:szCs w:val="28"/>
          <w:highlight w:val="none"/>
        </w:rPr>
      </w:pPr>
    </w:p>
    <w:p>
      <w:pPr>
        <w:pStyle w:val="81"/>
        <w:rPr>
          <w:rFonts w:hint="eastAsia" w:ascii="方正小标宋简体" w:hAnsi="方正小标宋简体" w:eastAsia="方正小标宋简体" w:cs="方正小标宋简体"/>
          <w:sz w:val="40"/>
          <w:szCs w:val="40"/>
          <w:highlight w:val="none"/>
        </w:rPr>
      </w:pPr>
      <w:bookmarkStart w:id="26" w:name="_Toc21455"/>
      <w:bookmarkStart w:id="27" w:name="_Toc2867"/>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pStyle w:val="2"/>
        <w:rPr>
          <w:rFonts w:hint="eastAsia" w:ascii="方正小标宋简体" w:hAnsi="方正小标宋简体" w:eastAsia="方正小标宋简体" w:cs="方正小标宋简体"/>
          <w:color w:val="auto"/>
          <w:sz w:val="40"/>
          <w:szCs w:val="40"/>
          <w:highlight w:val="none"/>
        </w:rPr>
      </w:pPr>
    </w:p>
    <w:p>
      <w:pPr>
        <w:pStyle w:val="3"/>
        <w:rPr>
          <w:rFonts w:hint="eastAsia" w:ascii="方正小标宋简体" w:hAnsi="方正小标宋简体" w:eastAsia="方正小标宋简体" w:cs="方正小标宋简体"/>
          <w:color w:val="auto"/>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pStyle w:val="2"/>
        <w:rPr>
          <w:rFonts w:hint="eastAsia"/>
          <w:color w:val="auto"/>
          <w:highlight w:val="none"/>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61312" behindDoc="0" locked="0" layoutInCell="1" allowOverlap="1">
                <wp:simplePos x="0" y="0"/>
                <wp:positionH relativeFrom="column">
                  <wp:posOffset>2319020</wp:posOffset>
                </wp:positionH>
                <wp:positionV relativeFrom="paragraph">
                  <wp:posOffset>609600</wp:posOffset>
                </wp:positionV>
                <wp:extent cx="958850" cy="0"/>
                <wp:effectExtent l="0" t="4445" r="0" b="5080"/>
                <wp:wrapNone/>
                <wp:docPr id="1"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7" o:spid="_x0000_s1026" o:spt="32" type="#_x0000_t32" style="position:absolute;left:0pt;margin-left:182.6pt;margin-top:48pt;height:0pt;width:75.5pt;z-index:251661312;mso-width-relative:page;mso-height-relative:page;" filled="f" stroked="t" coordsize="21600,21600" o:gfxdata="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uOyT1gAAAAkBAAAPAAAAAAAAAAEAIAAAACIAAABkcnMvZG93bnJldi54bWxQSwEC&#10;FAAUAAAACACHTuJAZeEgUfYBAADwAwAADgAAAAAAAAABACAAAAAlAQAAZHJzL2Uyb0RvYy54bWxQ&#10;SwUGAAAAAAYABgBZAQAAjQUAAAAA&#10;">
                <v:fill on="f" focussize="0,0"/>
                <v:stroke color="#000000" joinstyle="round"/>
                <v:imagedata o:title=""/>
                <o:lock v:ext="edit" aspectratio="f"/>
              </v:shape>
            </w:pict>
          </mc:Fallback>
        </mc:AlternateContent>
      </w:r>
    </w:p>
    <w:p>
      <w:pPr>
        <w:pStyle w:val="81"/>
        <w:jc w:val="center"/>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w:t>第三章</w:t>
      </w:r>
      <w:bookmarkEnd w:id="26"/>
      <w:bookmarkEnd w:id="27"/>
    </w:p>
    <w:p>
      <w:pPr>
        <w:pStyle w:val="81"/>
        <w:jc w:val="center"/>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5408" behindDoc="0" locked="0" layoutInCell="1" allowOverlap="1">
                <wp:simplePos x="0" y="0"/>
                <wp:positionH relativeFrom="column">
                  <wp:posOffset>2337435</wp:posOffset>
                </wp:positionH>
                <wp:positionV relativeFrom="paragraph">
                  <wp:posOffset>9525</wp:posOffset>
                </wp:positionV>
                <wp:extent cx="958850" cy="0"/>
                <wp:effectExtent l="0" t="4445" r="0" b="5080"/>
                <wp:wrapNone/>
                <wp:docPr id="2"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left:184.05pt;margin-top:0.75pt;height:0pt;width:75.5pt;z-index:251665408;mso-width-relative:page;mso-height-relative:page;" filled="f" stroked="t" coordsize="21600,21600" o:gfxdata="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nRqhdMAAAAHAQAADwAAAAAAAAABACAAAAAiAAAAZHJzL2Rvd25yZXYueG1sUEsBAhQA&#10;FAAAAAgAh07iQKYGVij3AQAA8AMAAA4AAAAAAAAAAQAgAAAAIgEAAGRycy9lMm9Eb2MueG1sUEsF&#10;BgAAAAAGAAYAWQEAAIsFAAAAAA==&#10;">
                <v:fill on="f" focussize="0,0"/>
                <v:stroke color="#000000" joinstyle="round"/>
                <v:imagedata o:title=""/>
                <o:lock v:ext="edit" aspectratio="f"/>
              </v:shape>
            </w:pict>
          </mc:Fallback>
        </mc:AlternateContent>
      </w:r>
    </w:p>
    <w:p>
      <w:pPr>
        <w:pStyle w:val="81"/>
        <w:jc w:val="center"/>
        <w:rPr>
          <w:rFonts w:hint="eastAsia" w:ascii="方正小标宋简体" w:hAnsi="方正小标宋简体" w:eastAsia="方正小标宋简体" w:cs="方正小标宋简体"/>
          <w:sz w:val="40"/>
          <w:szCs w:val="40"/>
          <w:highlight w:val="none"/>
        </w:rPr>
      </w:pPr>
      <w:bookmarkStart w:id="28" w:name="_Toc87616371"/>
      <w:bookmarkStart w:id="29" w:name="_Toc7303"/>
      <w:bookmarkStart w:id="30" w:name="_Toc88209934"/>
      <w:bookmarkStart w:id="31" w:name="_Toc7040"/>
      <w:r>
        <w:rPr>
          <w:rFonts w:hint="eastAsia" w:ascii="方正小标宋简体" w:hAnsi="方正小标宋简体" w:eastAsia="方正小标宋简体" w:cs="方正小标宋简体"/>
          <w:sz w:val="40"/>
          <w:szCs w:val="40"/>
          <w:highlight w:val="none"/>
        </w:rPr>
        <w:t>采购方法</w:t>
      </w:r>
      <w:bookmarkEnd w:id="28"/>
      <w:bookmarkEnd w:id="29"/>
      <w:bookmarkEnd w:id="30"/>
      <w:bookmarkEnd w:id="31"/>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186"/>
        <w:ind w:firstLine="880"/>
        <w:rPr>
          <w:rFonts w:ascii="方正小标宋简体" w:eastAsia="方正小标宋简体"/>
          <w:color w:val="auto"/>
          <w:sz w:val="44"/>
          <w:szCs w:val="44"/>
          <w:highlight w:val="none"/>
        </w:rPr>
      </w:pPr>
    </w:p>
    <w:p>
      <w:pPr>
        <w:pStyle w:val="186"/>
        <w:ind w:firstLine="880"/>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50"/>
        <w:rPr>
          <w:rFonts w:ascii="方正小标宋简体" w:eastAsia="方正小标宋简体"/>
          <w:sz w:val="44"/>
          <w:szCs w:val="44"/>
          <w:highlight w:val="none"/>
        </w:rPr>
      </w:pPr>
    </w:p>
    <w:p>
      <w:pPr>
        <w:pStyle w:val="50"/>
        <w:ind w:left="0"/>
        <w:rPr>
          <w:rFonts w:ascii="方正小标宋简体" w:eastAsia="方正小标宋简体"/>
          <w:sz w:val="44"/>
          <w:szCs w:val="44"/>
          <w:highlight w:val="none"/>
        </w:rPr>
      </w:pPr>
    </w:p>
    <w:p>
      <w:pPr>
        <w:pStyle w:val="81"/>
        <w:rPr>
          <w:highlight w:val="none"/>
        </w:rPr>
      </w:pPr>
      <w:bookmarkStart w:id="32" w:name="_Toc24895"/>
      <w:bookmarkStart w:id="33" w:name="_Toc3789"/>
      <w:r>
        <w:rPr>
          <w:rFonts w:hint="eastAsia"/>
          <w:highlight w:val="none"/>
        </w:rPr>
        <w:t>询比采购</w:t>
      </w:r>
      <w:bookmarkEnd w:id="32"/>
      <w:bookmarkEnd w:id="33"/>
    </w:p>
    <w:tbl>
      <w:tblPr>
        <w:tblStyle w:val="8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ascii="等线" w:hAnsi="等线"/>
                <w:b/>
                <w:color w:val="auto"/>
                <w:sz w:val="28"/>
                <w:szCs w:val="28"/>
                <w:highlight w:val="none"/>
              </w:rPr>
              <w:t>询比</w:t>
            </w:r>
            <w:r>
              <w:rPr>
                <w:rFonts w:hint="eastAsia"/>
                <w:color w:val="auto"/>
                <w:highlight w:val="none"/>
              </w:rPr>
              <w:t>1.采购准备</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 xml:space="preserve">  1.1 在采购文件约定的时间、地点，供应商应向采购人提交响应文件；响应文件按照采购文件第二章供应商须知2.9的要求密封，按照2.10的规定提交</w:t>
            </w:r>
          </w:p>
          <w:p>
            <w:pPr>
              <w:widowControl w:val="0"/>
              <w:adjustRightInd w:val="0"/>
              <w:jc w:val="both"/>
              <w:textAlignment w:val="baseline"/>
              <w:rPr>
                <w:color w:val="auto"/>
                <w:highlight w:val="none"/>
              </w:rPr>
            </w:pPr>
            <w:r>
              <w:rPr>
                <w:rFonts w:hint="eastAsia"/>
                <w:color w:val="auto"/>
                <w:highlight w:val="none"/>
              </w:rPr>
              <w:t>1.2 资格审查执行第二章供应商须知1.对供应商的资格要求</w:t>
            </w:r>
          </w:p>
          <w:p>
            <w:pPr>
              <w:widowControl w:val="0"/>
              <w:adjustRightInd w:val="0"/>
              <w:jc w:val="both"/>
              <w:textAlignment w:val="baseline"/>
              <w:rPr>
                <w:color w:val="auto"/>
                <w:highlight w:val="none"/>
              </w:rPr>
            </w:pPr>
            <w:r>
              <w:rPr>
                <w:rFonts w:hint="eastAsia"/>
                <w:color w:val="auto"/>
                <w:highlight w:val="none"/>
              </w:rPr>
              <w:t>1.3 响应文件提交截止后，递交响应文件供应商不足3家的或有效响应文件供应商不足两家，应分析原因并重新发出采购公告（邀请书）或采取其他采购方式。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2.询比规则</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 xml:space="preserve">2.1 报价应包括国家规定的增值税税金，增值税税金按一般计税方法计算。报价范围包括本项目所有采购内容和范围。 </w:t>
            </w:r>
          </w:p>
          <w:p>
            <w:pPr>
              <w:widowControl w:val="0"/>
              <w:adjustRightInd w:val="0"/>
              <w:jc w:val="both"/>
              <w:textAlignment w:val="baseline"/>
              <w:rPr>
                <w:color w:val="auto"/>
                <w:highlight w:val="none"/>
              </w:rPr>
            </w:pPr>
            <w:r>
              <w:rPr>
                <w:rFonts w:hint="eastAsia"/>
                <w:color w:val="auto"/>
                <w:highlight w:val="none"/>
              </w:rPr>
              <w:t xml:space="preserve">2.2 询比地址 </w:t>
            </w:r>
          </w:p>
          <w:p>
            <w:pPr>
              <w:widowControl w:val="0"/>
              <w:adjustRightInd w:val="0"/>
              <w:jc w:val="both"/>
              <w:textAlignment w:val="baseline"/>
              <w:rPr>
                <w:color w:val="auto"/>
                <w:highlight w:val="none"/>
              </w:rPr>
            </w:pPr>
            <w:r>
              <w:rPr>
                <w:rFonts w:hint="eastAsia"/>
                <w:color w:val="auto"/>
                <w:highlight w:val="none"/>
              </w:rPr>
              <w:t>广州市天河区临江大道501号广州市净水有限公司</w:t>
            </w:r>
          </w:p>
          <w:p>
            <w:pPr>
              <w:widowControl w:val="0"/>
              <w:adjustRightInd w:val="0"/>
              <w:jc w:val="both"/>
              <w:textAlignment w:val="baseline"/>
              <w:rPr>
                <w:color w:val="auto"/>
                <w:highlight w:val="none"/>
              </w:rPr>
            </w:pPr>
            <w:r>
              <w:rPr>
                <w:rFonts w:hint="eastAsia"/>
                <w:color w:val="auto"/>
                <w:highlight w:val="none"/>
              </w:rPr>
              <w:t>2.3 询比开始时间（同响应文件截止时间）</w:t>
            </w:r>
          </w:p>
          <w:p>
            <w:pPr>
              <w:widowControl w:val="0"/>
              <w:adjustRightInd w:val="0"/>
              <w:jc w:val="both"/>
              <w:textAlignment w:val="baseline"/>
              <w:rPr>
                <w:color w:val="auto"/>
                <w:highlight w:val="none"/>
              </w:rPr>
            </w:pPr>
            <w:r>
              <w:rPr>
                <w:rFonts w:hint="eastAsia"/>
                <w:color w:val="auto"/>
                <w:highlight w:val="none"/>
              </w:rPr>
              <w:t>2.4 供应商依据采购文件规定的时间和地点递交响应文件，供应商应一次报出不可更改的价格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3.成交规则</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sym w:font="Wingdings 2" w:char="0052"/>
            </w:r>
            <w:r>
              <w:rPr>
                <w:rFonts w:hint="eastAsia"/>
                <w:color w:val="auto"/>
                <w:highlight w:val="none"/>
              </w:rPr>
              <w:t>采购人确定满足采购文件资格性、响应性要求，并且经评审的报价最低的为成交供应商</w:t>
            </w:r>
          </w:p>
          <w:p>
            <w:pPr>
              <w:widowControl w:val="0"/>
              <w:adjustRightInd w:val="0"/>
              <w:jc w:val="both"/>
              <w:textAlignment w:val="baseline"/>
              <w:rPr>
                <w:color w:val="auto"/>
                <w:highlight w:val="none"/>
              </w:rPr>
            </w:pPr>
            <w:r>
              <w:rPr>
                <w:rFonts w:hint="eastAsia"/>
                <w:color w:val="auto"/>
                <w:highlight w:val="none"/>
              </w:rPr>
              <w:sym w:font="Wingdings 2" w:char="00A3"/>
            </w:r>
            <w:r>
              <w:rPr>
                <w:rFonts w:hint="eastAsia"/>
                <w:color w:val="auto"/>
                <w:highlight w:val="none"/>
              </w:rPr>
              <w:t xml:space="preserve">评审小组按照采购文件确定的标准排序，采购人确定排名第一的供应商为成交供应商。 </w:t>
            </w:r>
          </w:p>
          <w:p>
            <w:pPr>
              <w:widowControl w:val="0"/>
              <w:adjustRightInd w:val="0"/>
              <w:jc w:val="both"/>
              <w:textAlignment w:val="baseline"/>
              <w:rPr>
                <w:color w:val="auto"/>
                <w:highlight w:val="none"/>
              </w:rPr>
            </w:pPr>
            <w:r>
              <w:rPr>
                <w:rFonts w:hint="eastAsia"/>
                <w:color w:val="auto"/>
                <w:highlight w:val="none"/>
              </w:rPr>
              <w:t>如第一中选候选人被取消或放弃中选候选人资格，采购人有权按中选候选人的顺序依次确定其他中选候选人为中选人，或重新采购。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4.成交候选人公示</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在评审小组提交评审报告3日内，在广州市净水有限公司门户网站公示成交候选人。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5.成交结果公告</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成交候选人公示结束后。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6.成交通知书</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采购人应在确定成交供应商后及时向其发出成交通知书。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7.签订采购合同</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采购人在发出成交通知书后30日内同成交供应商签订书面采购合同.</w:t>
            </w:r>
          </w:p>
        </w:tc>
      </w:tr>
    </w:tbl>
    <w:p>
      <w:pPr>
        <w:adjustRightInd w:val="0"/>
        <w:snapToGrid w:val="0"/>
        <w:spacing w:line="600" w:lineRule="exact"/>
        <w:rPr>
          <w:rFonts w:ascii="仿宋_GB2312" w:eastAsia="仿宋_GB2312"/>
          <w:color w:val="auto"/>
          <w:sz w:val="28"/>
          <w:szCs w:val="28"/>
          <w:highlight w:val="none"/>
        </w:rPr>
      </w:pPr>
    </w:p>
    <w:p>
      <w:pPr>
        <w:adjustRightInd w:val="0"/>
        <w:snapToGrid w:val="0"/>
        <w:spacing w:line="600" w:lineRule="exact"/>
        <w:rPr>
          <w:rFonts w:ascii="仿宋_GB2312" w:eastAsia="仿宋_GB2312"/>
          <w:color w:val="auto"/>
          <w:sz w:val="28"/>
          <w:szCs w:val="28"/>
          <w:highlight w:val="none"/>
        </w:rPr>
      </w:pPr>
    </w:p>
    <w:p>
      <w:pPr>
        <w:pStyle w:val="2"/>
        <w:spacing w:line="720" w:lineRule="auto"/>
        <w:ind w:left="0" w:firstLine="0"/>
        <w:jc w:val="both"/>
        <w:rPr>
          <w:rFonts w:hint="eastAsia"/>
          <w:color w:val="auto"/>
          <w:highlight w:val="none"/>
          <w:lang w:eastAsia="zh-CN"/>
        </w:rPr>
      </w:pPr>
      <w:bookmarkStart w:id="34" w:name="_Toc14870"/>
      <w:bookmarkStart w:id="35" w:name="_Toc7118"/>
      <w:bookmarkStart w:id="36" w:name="_Toc20594"/>
      <w:bookmarkStart w:id="37" w:name="_Toc4952"/>
      <w:bookmarkStart w:id="38" w:name="_Toc23581"/>
      <w:bookmarkStart w:id="39" w:name="_Toc19050"/>
      <w:bookmarkStart w:id="40" w:name="_Toc19759"/>
      <w:bookmarkStart w:id="41" w:name="_Toc10930"/>
      <w:bookmarkStart w:id="42" w:name="_Toc14552"/>
      <w:bookmarkStart w:id="43" w:name="_Toc7437"/>
      <w:bookmarkStart w:id="44" w:name="_Toc3156"/>
    </w:p>
    <w:p>
      <w:pPr>
        <w:pStyle w:val="2"/>
        <w:spacing w:line="720" w:lineRule="auto"/>
        <w:ind w:left="0" w:firstLine="0"/>
        <w:jc w:val="center"/>
        <w:rPr>
          <w:rFonts w:hint="eastAsia"/>
          <w:color w:val="auto"/>
          <w:highlight w:val="none"/>
          <w:lang w:eastAsia="zh-CN"/>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59264" behindDoc="0" locked="0" layoutInCell="1" allowOverlap="1">
                <wp:simplePos x="0" y="0"/>
                <wp:positionH relativeFrom="column">
                  <wp:posOffset>2339340</wp:posOffset>
                </wp:positionH>
                <wp:positionV relativeFrom="paragraph">
                  <wp:posOffset>1049020</wp:posOffset>
                </wp:positionV>
                <wp:extent cx="958850" cy="0"/>
                <wp:effectExtent l="0" t="4445" r="0" b="508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9" o:spid="_x0000_s1026" o:spt="32" type="#_x0000_t32" style="position:absolute;left:0pt;margin-left:184.2pt;margin-top:82.6pt;height:0pt;width:75.5pt;z-index:251659264;mso-width-relative:page;mso-height-relative:page;" filled="f" stroked="t" coordsize="21600,21600" o:gfxdata="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xZapXXAAAACwEAAA8AAAAAAAAAAQAgAAAAIgAAAGRycy9kb3ducmV2LnhtbFBL&#10;AQIUABQAAAAIAIdO4kDRQB1D9wEAAPADAAAOAAAAAAAAAAEAIAAAACYBAABkcnMvZTJvRG9jLnht&#10;bFBLBQYAAAAABgAGAFkBAACPBQAAAAA=&#10;">
                <v:fill on="f" focussize="0,0"/>
                <v:stroke color="#000000" joinstyle="round"/>
                <v:imagedata o:title=""/>
                <o:lock v:ext="edit" aspectratio="f"/>
              </v:shape>
            </w:pict>
          </mc:Fallback>
        </mc:AlternateContent>
      </w:r>
    </w:p>
    <w:p>
      <w:pPr>
        <w:pStyle w:val="81"/>
        <w:spacing w:line="720" w:lineRule="auto"/>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0288" behindDoc="0" locked="0" layoutInCell="1" allowOverlap="1">
                <wp:simplePos x="0" y="0"/>
                <wp:positionH relativeFrom="column">
                  <wp:posOffset>2350770</wp:posOffset>
                </wp:positionH>
                <wp:positionV relativeFrom="paragraph">
                  <wp:posOffset>434340</wp:posOffset>
                </wp:positionV>
                <wp:extent cx="958850" cy="0"/>
                <wp:effectExtent l="0" t="4445" r="0" b="508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8" o:spid="_x0000_s1026" o:spt="32" type="#_x0000_t32" style="position:absolute;left:0pt;margin-left:185.1pt;margin-top:34.2pt;height:0pt;width:75.5pt;z-index:251660288;mso-width-relative:page;mso-height-relative:page;" filled="f" stroked="t" coordsize="21600,21600" o:gfxdata="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X3xQNcAAAAJAQAADwAAAAAAAAABACAAAAAiAAAAZHJzL2Rvd25yZXYueG1sUEsB&#10;AhQAFAAAAAgAh07iQBKnazr2AQAA8AMAAA4AAAAAAAAAAQAgAAAAJgEAAGRycy9lMm9Eb2MueG1s&#10;UEsFBgAAAAAGAAYAWQEAAI4FA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rPr>
        <w:t>第四章</w:t>
      </w:r>
      <w:bookmarkEnd w:id="34"/>
      <w:bookmarkEnd w:id="35"/>
      <w:bookmarkEnd w:id="36"/>
      <w:bookmarkEnd w:id="37"/>
      <w:bookmarkEnd w:id="38"/>
      <w:bookmarkEnd w:id="39"/>
      <w:bookmarkEnd w:id="40"/>
      <w:bookmarkEnd w:id="41"/>
      <w:bookmarkEnd w:id="42"/>
      <w:bookmarkEnd w:id="43"/>
      <w:bookmarkEnd w:id="44"/>
    </w:p>
    <w:p>
      <w:pPr>
        <w:pStyle w:val="81"/>
        <w:rPr>
          <w:rFonts w:hint="eastAsia" w:ascii="方正小标宋简体" w:hAnsi="方正小标宋简体" w:eastAsia="方正小标宋简体" w:cs="方正小标宋简体"/>
          <w:sz w:val="40"/>
          <w:szCs w:val="40"/>
          <w:highlight w:val="none"/>
        </w:rPr>
      </w:pPr>
      <w:bookmarkStart w:id="45" w:name="_Toc88209941"/>
      <w:bookmarkStart w:id="46" w:name="_Toc29345"/>
      <w:bookmarkStart w:id="47" w:name="_Toc13898"/>
      <w:bookmarkStart w:id="48" w:name="_Toc21840"/>
      <w:bookmarkStart w:id="49" w:name="_Toc12177"/>
      <w:bookmarkStart w:id="50" w:name="_Toc29484"/>
      <w:bookmarkStart w:id="51" w:name="_Toc21079"/>
      <w:bookmarkStart w:id="52" w:name="_Toc87616378"/>
      <w:bookmarkStart w:id="53" w:name="_Toc30530"/>
      <w:bookmarkStart w:id="54" w:name="_Toc7831"/>
      <w:bookmarkStart w:id="55" w:name="_Toc6308"/>
      <w:bookmarkStart w:id="56" w:name="_Toc32607"/>
      <w:bookmarkStart w:id="57" w:name="_Toc22212"/>
      <w:r>
        <w:rPr>
          <w:rFonts w:hint="eastAsia" w:ascii="方正小标宋简体" w:hAnsi="方正小标宋简体" w:eastAsia="方正小标宋简体" w:cs="方正小标宋简体"/>
          <w:sz w:val="40"/>
          <w:szCs w:val="40"/>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84"/>
        <w:ind w:firstLine="480"/>
        <w:rPr>
          <w:rFonts w:hint="default"/>
          <w:highlight w:val="none"/>
        </w:rPr>
      </w:pPr>
    </w:p>
    <w:p>
      <w:pPr>
        <w:pStyle w:val="84"/>
        <w:ind w:firstLine="480"/>
        <w:rPr>
          <w:rFonts w:hint="default"/>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0" w:firstLineChars="0"/>
        <w:rPr>
          <w:rFonts w:hint="default" w:ascii="方正小标宋简体" w:eastAsia="方正小标宋简体"/>
          <w:sz w:val="44"/>
          <w:szCs w:val="44"/>
          <w:highlight w:val="none"/>
        </w:rPr>
      </w:pPr>
    </w:p>
    <w:p>
      <w:pPr>
        <w:pStyle w:val="2"/>
        <w:rPr>
          <w:rFonts w:hint="eastAsia"/>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rPr>
          <w:rFonts w:hint="eastAsia" w:ascii="等线" w:hAnsi="等线"/>
          <w:b/>
          <w:color w:val="auto"/>
          <w:sz w:val="28"/>
          <w:szCs w:val="28"/>
          <w:highlight w:val="none"/>
        </w:rPr>
      </w:pPr>
      <w:r>
        <w:rPr>
          <w:rFonts w:hint="eastAsia" w:ascii="等线" w:hAnsi="等线"/>
          <w:b/>
          <w:color w:val="auto"/>
          <w:sz w:val="28"/>
          <w:szCs w:val="28"/>
          <w:highlight w:val="none"/>
        </w:rPr>
        <w:t>1.评审方法</w:t>
      </w:r>
    </w:p>
    <w:p>
      <w:pPr>
        <w:rPr>
          <w:color w:val="auto"/>
          <w:highlight w:val="none"/>
        </w:rPr>
      </w:pPr>
      <w:r>
        <w:rPr>
          <w:rFonts w:hint="eastAsia"/>
          <w:color w:val="auto"/>
          <w:highlight w:val="none"/>
        </w:rPr>
        <w:t>供应商的报价应当符合采购文件规定的技术要求和标准，但评审小组无须对响应文件的技术部分进行价格评审。</w:t>
      </w:r>
    </w:p>
    <w:p>
      <w:pPr>
        <w:rPr>
          <w:color w:val="auto"/>
          <w:highlight w:val="none"/>
        </w:rPr>
      </w:pPr>
      <w:r>
        <w:rPr>
          <w:rFonts w:hint="eastAsia"/>
          <w:color w:val="auto"/>
          <w:highlight w:val="none"/>
        </w:rPr>
        <w:t>除报价外，评审还应考虑的商务因素一般有以下几种：</w:t>
      </w:r>
    </w:p>
    <w:p>
      <w:pPr>
        <w:rPr>
          <w:color w:val="auto"/>
          <w:highlight w:val="none"/>
        </w:rPr>
      </w:pPr>
      <w:r>
        <w:rPr>
          <w:rFonts w:hint="eastAsia"/>
          <w:color w:val="auto"/>
          <w:highlight w:val="none"/>
        </w:rPr>
        <w:t>（1）运输费用及保险费。（如有）</w:t>
      </w:r>
    </w:p>
    <w:p>
      <w:pPr>
        <w:rPr>
          <w:color w:val="auto"/>
          <w:highlight w:val="none"/>
        </w:rPr>
      </w:pPr>
      <w:r>
        <w:rPr>
          <w:rFonts w:hint="eastAsia"/>
          <w:color w:val="auto"/>
          <w:highlight w:val="none"/>
        </w:rPr>
        <w:t xml:space="preserve">   （2）工期、交货期或服务期限。</w:t>
      </w:r>
    </w:p>
    <w:p>
      <w:pPr>
        <w:rPr>
          <w:color w:val="auto"/>
          <w:highlight w:val="none"/>
        </w:rPr>
      </w:pPr>
      <w:r>
        <w:rPr>
          <w:rFonts w:hint="eastAsia"/>
          <w:color w:val="auto"/>
          <w:highlight w:val="none"/>
        </w:rPr>
        <w:t>（3）支付条件。</w:t>
      </w:r>
    </w:p>
    <w:p>
      <w:pPr>
        <w:rPr>
          <w:color w:val="auto"/>
          <w:highlight w:val="none"/>
        </w:rPr>
      </w:pPr>
      <w:r>
        <w:rPr>
          <w:rFonts w:hint="eastAsia"/>
          <w:color w:val="auto"/>
          <w:highlight w:val="none"/>
        </w:rPr>
        <w:t>（4）备品备件以及售后服务（如有）。</w:t>
      </w:r>
    </w:p>
    <w:p>
      <w:pPr>
        <w:rPr>
          <w:color w:val="auto"/>
          <w:highlight w:val="none"/>
        </w:rPr>
      </w:pPr>
      <w:r>
        <w:rPr>
          <w:rFonts w:hint="eastAsia"/>
          <w:color w:val="auto"/>
          <w:highlight w:val="none"/>
        </w:rPr>
        <w:t>（5）价格调整因素。</w:t>
      </w:r>
    </w:p>
    <w:p>
      <w:pPr>
        <w:rPr>
          <w:color w:val="auto"/>
          <w:highlight w:val="none"/>
        </w:rPr>
      </w:pPr>
      <w:r>
        <w:rPr>
          <w:rFonts w:hint="eastAsia"/>
          <w:color w:val="auto"/>
          <w:highlight w:val="none"/>
        </w:rPr>
        <w:t>经澄清确认后修正的最终报价应当认为是供应商的真实要约，可以作为合同签约价。</w:t>
      </w:r>
    </w:p>
    <w:p>
      <w:pPr>
        <w:adjustRightInd w:val="0"/>
        <w:snapToGrid w:val="0"/>
        <w:spacing w:line="600" w:lineRule="exact"/>
        <w:rPr>
          <w:rFonts w:hint="eastAsia" w:ascii="等线" w:hAnsi="等线"/>
          <w:b/>
          <w:color w:val="auto"/>
          <w:sz w:val="28"/>
          <w:szCs w:val="28"/>
          <w:highlight w:val="none"/>
        </w:rPr>
      </w:pPr>
      <w:r>
        <w:rPr>
          <w:rFonts w:hint="eastAsia" w:ascii="等线" w:hAnsi="等线"/>
          <w:b/>
          <w:color w:val="auto"/>
          <w:sz w:val="28"/>
          <w:szCs w:val="28"/>
          <w:highlight w:val="none"/>
        </w:rPr>
        <w:t>2.评审程序</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2.1 初步评审</w:t>
      </w:r>
    </w:p>
    <w:p>
      <w:pPr>
        <w:adjustRightInd w:val="0"/>
        <w:snapToGrid w:val="0"/>
        <w:spacing w:line="600" w:lineRule="exact"/>
        <w:rPr>
          <w:rFonts w:hint="eastAsia" w:ascii="仿宋_GB2312" w:hAnsi="等线" w:eastAsia="仿宋_GB2312"/>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有响应函，有法定代表人或其委托代理人签字（或签章 ）并加盖单位公章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rPr>
          <w:color w:val="auto"/>
          <w:highlight w:val="none"/>
        </w:rPr>
      </w:pPr>
      <w:r>
        <w:rPr>
          <w:rFonts w:hint="eastAsia" w:ascii="仿宋_GB2312" w:hAnsi="等线" w:eastAsia="仿宋_GB2312"/>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2.2澄清补正</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（1）响应文件中的大写金额与小写金额不一致的，以大写金额为准。</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rPr>
          <w:rFonts w:hint="eastAsia" w:ascii="仿宋_GB2312" w:hAnsi="等线" w:eastAsia="仿宋_GB2312"/>
          <w:color w:val="auto"/>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1"/>
        <w:rPr>
          <w:rFonts w:hint="eastAsia" w:ascii="方正小标宋简体" w:hAnsi="方正小标宋简体" w:eastAsia="方正小标宋简体" w:cs="方正小标宋简体"/>
          <w:sz w:val="36"/>
          <w:szCs w:val="36"/>
          <w:highlight w:val="none"/>
        </w:rPr>
      </w:pPr>
      <w:bookmarkStart w:id="60" w:name="_Toc88209947"/>
    </w:p>
    <w:p>
      <w:pPr>
        <w:pStyle w:val="81"/>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50800</wp:posOffset>
                </wp:positionV>
                <wp:extent cx="958850" cy="0"/>
                <wp:effectExtent l="0" t="4445" r="0" b="5080"/>
                <wp:wrapNone/>
                <wp:docPr id="15"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1" o:spid="_x0000_s1026" o:spt="32" type="#_x0000_t32" style="position:absolute;left:0pt;margin-left:184.9pt;margin-top:4pt;height:0pt;width:75.5pt;z-index:251670528;mso-width-relative:page;mso-height-relative:page;" filled="f" stroked="t" coordsize="21600,21600" o:gfxdata="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gy3RLUAAAABwEAAA8AAAAAAAAAAQAgAAAAIgAAAGRycy9kb3ducmV2LnhtbFBLAQIU&#10;ABQAAAAIAIdO4kAaLetz9wEAAPIDAAAOAAAAAAAAAAEAIAAAACMBAABkcnMvZTJvRG9jLnhtbFBL&#10;BQYAAAAABgAGAFkBAACM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36"/>
          <w:szCs w:val="36"/>
          <w:highlight w:val="none"/>
        </w:rPr>
        <w:t>第五章</w:t>
      </w:r>
    </w:p>
    <w:p>
      <w:pPr>
        <w:pStyle w:val="81"/>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23495</wp:posOffset>
                </wp:positionV>
                <wp:extent cx="958850" cy="0"/>
                <wp:effectExtent l="0" t="4445" r="0" b="5080"/>
                <wp:wrapNone/>
                <wp:docPr id="16"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0" o:spid="_x0000_s1026" o:spt="32" type="#_x0000_t32" style="position:absolute;left:0pt;margin-left:184.3pt;margin-top:1.85pt;height:0pt;width:75.5pt;z-index:251674624;mso-width-relative:page;mso-height-relative:page;" filled="f" stroked="t" coordsize="21600,21600" o:gfxdata="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2tAh9QAAAAHAQAADwAAAAAAAAABACAAAAAiAAAAZHJzL2Rvd25yZXYueG1sUEsBAhQA&#10;FAAAAAgAh07iQAuPci72AQAA8gMAAA4AAAAAAAAAAQAgAAAAIwEAAGRycy9lMm9Eb2MueG1sUEsF&#10;BgAAAAAGAAYAWQEAAIsFAAAAAA==&#10;">
                <v:fill on="f" focussize="0,0"/>
                <v:stroke color="#000000" joinstyle="round"/>
                <v:imagedata o:title=""/>
                <o:lock v:ext="edit" aspectratio="f"/>
              </v:shape>
            </w:pict>
          </mc:Fallback>
        </mc:AlternateContent>
      </w:r>
    </w:p>
    <w:p>
      <w:pPr>
        <w:pStyle w:val="81"/>
        <w:jc w:val="center"/>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采购需求</w:t>
      </w:r>
    </w:p>
    <w:p>
      <w:pPr>
        <w:rPr>
          <w:rFonts w:hint="eastAsia" w:ascii="方正小标宋简体" w:hAnsi="方正小标宋简体" w:eastAsia="方正小标宋简体" w:cs="方正小标宋简体"/>
          <w:color w:val="auto"/>
          <w:sz w:val="36"/>
          <w:szCs w:val="36"/>
          <w:highlight w:val="none"/>
        </w:rPr>
      </w:pPr>
    </w:p>
    <w:p>
      <w:pPr>
        <w:pStyle w:val="19"/>
        <w:rPr>
          <w:highlight w:val="none"/>
        </w:rPr>
      </w:pPr>
    </w:p>
    <w:p>
      <w:pPr>
        <w:ind w:firstLine="560" w:firstLineChars="200"/>
        <w:rPr>
          <w:rFonts w:hint="eastAsia" w:ascii="仿宋_GB2312" w:hAnsi="仿宋_GB2312" w:eastAsia="仿宋_GB2312" w:cs="仿宋_GB2312"/>
          <w:color w:val="auto"/>
          <w:sz w:val="28"/>
          <w:szCs w:val="28"/>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ind w:left="0"/>
        <w:rPr>
          <w:highlight w:val="none"/>
        </w:rPr>
      </w:pPr>
    </w:p>
    <w:bookmarkEnd w:id="60"/>
    <w:p>
      <w:pPr>
        <w:numPr>
          <w:ilvl w:val="0"/>
          <w:numId w:val="26"/>
        </w:numPr>
        <w:tabs>
          <w:tab w:val="left" w:pos="5811"/>
        </w:tabs>
        <w:spacing w:line="360" w:lineRule="auto"/>
        <w:ind w:firstLine="48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项目内容及需求</w:t>
      </w:r>
    </w:p>
    <w:p>
      <w:pPr>
        <w:numPr>
          <w:ilvl w:val="0"/>
          <w:numId w:val="0"/>
        </w:numPr>
        <w:tabs>
          <w:tab w:val="left" w:pos="5811"/>
        </w:tabs>
        <w:spacing w:line="600" w:lineRule="exact"/>
        <w:ind w:firstLine="600" w:firstLineChars="200"/>
        <w:rPr>
          <w:rFonts w:hint="eastAsia" w:ascii="仿宋_GB2312" w:hAnsi="仿宋_GB2312" w:eastAsia="仿宋_GB2312" w:cs="仿宋_GB2312"/>
          <w:b w:val="0"/>
          <w:bCs/>
          <w:caps/>
          <w:color w:val="auto"/>
          <w:sz w:val="30"/>
          <w:szCs w:val="30"/>
          <w:highlight w:val="none"/>
        </w:rPr>
      </w:pPr>
      <w:r>
        <w:rPr>
          <w:rFonts w:hint="eastAsia" w:ascii="仿宋_GB2312" w:hAnsi="仿宋_GB2312" w:eastAsia="仿宋_GB2312" w:cs="仿宋_GB2312"/>
          <w:b w:val="0"/>
          <w:bCs/>
          <w:caps/>
          <w:color w:val="auto"/>
          <w:sz w:val="30"/>
          <w:szCs w:val="30"/>
          <w:highlight w:val="none"/>
        </w:rPr>
        <w:t>根据国家有关标准和规范，对甲方委托专业爆破单位将位于</w:t>
      </w:r>
      <w:r>
        <w:rPr>
          <w:rFonts w:hint="eastAsia" w:ascii="仿宋_GB2312" w:hAnsi="仿宋_GB2312" w:eastAsia="仿宋_GB2312" w:cs="仿宋_GB2312"/>
          <w:b w:val="0"/>
          <w:bCs/>
          <w:caps/>
          <w:color w:val="auto"/>
          <w:sz w:val="30"/>
          <w:szCs w:val="30"/>
          <w:highlight w:val="none"/>
          <w:lang w:eastAsia="zh-CN"/>
        </w:rPr>
        <w:t>化龙堆存污泥综合处理处置项目</w:t>
      </w:r>
      <w:r>
        <w:rPr>
          <w:rFonts w:hint="eastAsia" w:ascii="仿宋_GB2312" w:hAnsi="仿宋_GB2312" w:eastAsia="仿宋_GB2312" w:cs="仿宋_GB2312"/>
          <w:b w:val="0"/>
          <w:bCs/>
          <w:caps/>
          <w:color w:val="auto"/>
          <w:sz w:val="30"/>
          <w:szCs w:val="30"/>
          <w:highlight w:val="none"/>
        </w:rPr>
        <w:t>地块一范围的废弃烟囱予以爆破拆除工作进行安全监理，主要内容包括：审核烟囱爆破设计文件、烟囱爆破拆除方案；监督爆破作业单位按照公安机关审批的爆破设计方案施工等。</w:t>
      </w:r>
    </w:p>
    <w:p>
      <w:pPr>
        <w:numPr>
          <w:ilvl w:val="0"/>
          <w:numId w:val="0"/>
        </w:numPr>
        <w:tabs>
          <w:tab w:val="left" w:pos="5811"/>
        </w:tabs>
        <w:spacing w:line="600" w:lineRule="exact"/>
        <w:ind w:firstLine="600" w:firstLineChars="200"/>
        <w:rPr>
          <w:rFonts w:hint="eastAsia" w:ascii="仿宋_GB2312" w:hAnsi="仿宋_GB2312" w:eastAsia="仿宋_GB2312" w:cs="仿宋_GB2312"/>
          <w:b w:val="0"/>
          <w:bCs/>
          <w:caps/>
          <w:color w:val="auto"/>
          <w:sz w:val="30"/>
          <w:szCs w:val="30"/>
          <w:highlight w:val="none"/>
        </w:rPr>
      </w:pPr>
      <w:r>
        <w:rPr>
          <w:rFonts w:hint="eastAsia" w:ascii="仿宋_GB2312" w:hAnsi="仿宋_GB2312" w:eastAsia="仿宋_GB2312" w:cs="仿宋_GB2312"/>
          <w:b w:val="0"/>
          <w:bCs/>
          <w:caps/>
          <w:color w:val="auto"/>
          <w:sz w:val="30"/>
          <w:szCs w:val="30"/>
          <w:highlight w:val="none"/>
        </w:rPr>
        <w:t>该项目烟囱高度56.4m，底部壁厚1.09m，烟囱总体为圆锥形状，搭建方式为砖砌，经雷达探测，在烟囱外壁区域，砖块之间存在钢筋箍，现场也有部分钢筋箍出露，探测区域内钢筋箍间距约为0.25m。</w:t>
      </w:r>
    </w:p>
    <w:p>
      <w:pPr>
        <w:spacing w:line="600" w:lineRule="exact"/>
        <w:ind w:firstLine="600" w:firstLineChars="200"/>
        <w:jc w:val="left"/>
        <w:rPr>
          <w:rFonts w:hint="eastAsia" w:ascii="仿宋_GB2312" w:hAnsi="仿宋_GB2312" w:eastAsia="仿宋_GB2312" w:cs="仿宋_GB2312"/>
          <w:bCs/>
          <w:caps/>
          <w:color w:val="auto"/>
          <w:sz w:val="30"/>
          <w:szCs w:val="30"/>
          <w:highlight w:val="none"/>
        </w:rPr>
      </w:pPr>
      <w:r>
        <w:rPr>
          <w:rFonts w:hint="eastAsia" w:ascii="仿宋_GB2312" w:hAnsi="仿宋_GB2312" w:eastAsia="仿宋_GB2312" w:cs="仿宋_GB2312"/>
          <w:bCs/>
          <w:color w:val="auto"/>
          <w:sz w:val="30"/>
          <w:szCs w:val="30"/>
          <w:highlight w:val="none"/>
          <w:lang w:eastAsia="zh-CN"/>
        </w:rPr>
        <w:t>（</w:t>
      </w:r>
      <w:r>
        <w:rPr>
          <w:rFonts w:hint="eastAsia" w:ascii="仿宋_GB2312" w:hAnsi="仿宋_GB2312" w:eastAsia="仿宋_GB2312" w:cs="仿宋_GB2312"/>
          <w:bCs/>
          <w:color w:val="auto"/>
          <w:sz w:val="30"/>
          <w:szCs w:val="30"/>
          <w:highlight w:val="none"/>
          <w:lang w:val="en-US" w:eastAsia="zh-CN"/>
        </w:rPr>
        <w:t>一）</w:t>
      </w:r>
      <w:r>
        <w:rPr>
          <w:rFonts w:hint="eastAsia" w:ascii="仿宋_GB2312" w:hAnsi="仿宋_GB2312" w:eastAsia="仿宋_GB2312" w:cs="仿宋_GB2312"/>
          <w:bCs/>
          <w:color w:val="auto"/>
          <w:sz w:val="30"/>
          <w:szCs w:val="30"/>
          <w:highlight w:val="none"/>
        </w:rPr>
        <w:t>工程</w:t>
      </w:r>
      <w:r>
        <w:rPr>
          <w:rFonts w:hint="eastAsia" w:ascii="仿宋_GB2312" w:hAnsi="仿宋_GB2312" w:eastAsia="仿宋_GB2312" w:cs="仿宋_GB2312"/>
          <w:bCs/>
          <w:color w:val="auto"/>
          <w:sz w:val="30"/>
          <w:szCs w:val="30"/>
          <w:highlight w:val="none"/>
          <w:lang w:val="en-US" w:eastAsia="zh-CN"/>
        </w:rPr>
        <w:t>主要</w:t>
      </w:r>
      <w:r>
        <w:rPr>
          <w:rFonts w:hint="eastAsia" w:ascii="仿宋_GB2312" w:hAnsi="仿宋_GB2312" w:eastAsia="仿宋_GB2312" w:cs="仿宋_GB2312"/>
          <w:bCs/>
          <w:color w:val="auto"/>
          <w:sz w:val="30"/>
          <w:szCs w:val="30"/>
          <w:highlight w:val="none"/>
        </w:rPr>
        <w:t>内容：</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监督爆破作业单位按照公安机关审批的爆破设计方案施工；</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审查爆破有害效应是否控制在设计范围内；</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审验爆破作业人员的资格，制止无资格人员从事爆破作业；监督施工方作业人员岗前安全培训及三级安全教育；监督承包商严格执行甲方规定的有关管理制度。</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监督民用爆炸物品领取、清退制度的落实情况；</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监督爆破作业单位严格遵守国家有关标准和规范，落实安全措施，发现违章指挥和违章作业，有权停止其爆破作业，并向委托单位和公安机关报告。</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工程地点：</w:t>
      </w:r>
      <w:r>
        <w:rPr>
          <w:rFonts w:hint="eastAsia" w:ascii="仿宋_GB2312" w:hAnsi="仿宋_GB2312" w:eastAsia="仿宋_GB2312" w:cs="仿宋_GB2312"/>
          <w:bCs/>
          <w:color w:val="auto"/>
          <w:sz w:val="30"/>
          <w:szCs w:val="30"/>
          <w:highlight w:val="none"/>
          <w:lang w:val="en-US" w:eastAsia="zh-CN"/>
        </w:rPr>
        <w:t>广东省广州市番禺区化龙镇沙亭村</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工程期限：自开始监理日期，至工程竣工验收合格、缺陷责任期届满之日并完成结算止。</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lang w:val="en-US" w:eastAsia="zh-CN"/>
        </w:rPr>
        <w:t>投标人须严格执行《广东省公安厅关于爆破作业项目许可和安全管理的规定（试行）》 （粤公通字2015【35】）、《民用爆炸物品安全管理条例》、《公安机关行政许可工作规范》（公安部令第80号）、《爆破安全规程》（GB6722-2014）、《民用爆破器材工程设计安全规范》（GB50089-98）、《爆破作业项目管理要求》（GA991-2012）等法律、法规和行业标准。</w:t>
      </w:r>
    </w:p>
    <w:p>
      <w:pPr>
        <w:numPr>
          <w:ilvl w:val="0"/>
          <w:numId w:val="26"/>
        </w:numPr>
        <w:tabs>
          <w:tab w:val="left" w:pos="5811"/>
        </w:tabs>
        <w:spacing w:line="360" w:lineRule="auto"/>
        <w:ind w:firstLine="48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项目其他要求</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应在详细了解安全技术规定、应急预案后认真编制监理规划和实施细则，并制定监理人员岗位职责。</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应在爆破器材领用、清退、爆破作业、爆后安全检查及盲炮处理的各环节上实行旁站监理，并作出监理记录。</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发生下列情况之一时，监理机构应当签发爆破作业暂停令：</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——爆破作业严重违规经制止无效时；</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——施工中出现重大安全隐患，须停止爆破作业以消除隐患时。</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定期向委托单位提交安全监理报告，工程结束时提交安全监理总结和相关监理资料。</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乙方</w:t>
      </w:r>
      <w:r>
        <w:rPr>
          <w:rFonts w:hint="eastAsia" w:ascii="仿宋_GB2312" w:hAnsi="仿宋_GB2312" w:eastAsia="仿宋_GB2312" w:cs="仿宋_GB2312"/>
          <w:bCs/>
          <w:color w:val="auto"/>
          <w:sz w:val="30"/>
          <w:szCs w:val="30"/>
          <w:highlight w:val="none"/>
          <w:lang w:val="en-US" w:eastAsia="zh-CN"/>
        </w:rPr>
        <w:t>自行解决</w:t>
      </w:r>
      <w:r>
        <w:rPr>
          <w:rFonts w:hint="eastAsia" w:ascii="仿宋_GB2312" w:hAnsi="仿宋_GB2312" w:eastAsia="仿宋_GB2312" w:cs="仿宋_GB2312"/>
          <w:bCs/>
          <w:color w:val="auto"/>
          <w:sz w:val="30"/>
          <w:szCs w:val="30"/>
          <w:highlight w:val="none"/>
        </w:rPr>
        <w:t>监理人员的办公场所（施工现场办公室、办公桌、椅子、网线端口）和食宿</w:t>
      </w:r>
      <w:r>
        <w:rPr>
          <w:rFonts w:hint="eastAsia" w:ascii="仿宋_GB2312" w:hAnsi="仿宋_GB2312" w:eastAsia="仿宋_GB2312" w:cs="仿宋_GB2312"/>
          <w:bCs/>
          <w:color w:val="auto"/>
          <w:sz w:val="30"/>
          <w:szCs w:val="30"/>
          <w:highlight w:val="none"/>
          <w:lang w:val="en-US" w:eastAsia="zh-CN"/>
        </w:rPr>
        <w:t>等问题。</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乙方发出的监理工作指令必须经与甲方协商一致后方可实施。</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合同签订后6个月内委托人未向监理人发出开始监理通知，视为合同无需继续履行、合同自动终止，监理人不得再向甲方要求任何补偿、赔偿及支付任何费用。合同终止后，按本合同条款4.2退回履约担保。</w:t>
      </w:r>
    </w:p>
    <w:p>
      <w:pPr>
        <w:spacing w:line="500" w:lineRule="exact"/>
        <w:ind w:left="0" w:firstLine="600" w:firstLineChars="200"/>
        <w:jc w:val="both"/>
        <w:rPr>
          <w:rFonts w:hint="default" w:ascii="仿宋_GB2312" w:hAnsi="仿宋_GB2312" w:eastAsia="仿宋_GB2312" w:cs="仿宋_GB2312"/>
          <w:bCs/>
          <w:color w:val="auto"/>
          <w:sz w:val="30"/>
          <w:szCs w:val="30"/>
          <w:highlight w:val="none"/>
        </w:rPr>
      </w:pPr>
    </w:p>
    <w:p>
      <w:pPr>
        <w:tabs>
          <w:tab w:val="left" w:pos="5811"/>
        </w:tabs>
        <w:spacing w:line="360" w:lineRule="auto"/>
        <w:ind w:firstLine="480"/>
        <w:jc w:val="both"/>
        <w:rPr>
          <w:rFonts w:hint="eastAsia" w:ascii="仿宋_GB2312" w:eastAsia="仿宋_GB2312"/>
          <w:color w:val="auto"/>
          <w:sz w:val="28"/>
          <w:szCs w:val="28"/>
          <w:highlight w:val="none"/>
          <w:lang w:val="en-US" w:eastAsia="zh-CN"/>
        </w:rPr>
      </w:pPr>
    </w:p>
    <w:p>
      <w:pPr>
        <w:pStyle w:val="84"/>
        <w:numPr>
          <w:ilvl w:val="0"/>
          <w:numId w:val="0"/>
        </w:numPr>
        <w:ind w:firstLine="0" w:firstLineChars="0"/>
        <w:rPr>
          <w:rFonts w:hint="default"/>
          <w:highlight w:val="none"/>
          <w:lang w:val="en-US" w:eastAsia="zh-CN"/>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800"/>
        <w:rPr>
          <w:rFonts w:ascii="方正小标宋简体" w:hAnsi="方正小标宋简体" w:eastAsia="方正小标宋简体" w:cs="方正小标宋简体"/>
          <w:sz w:val="40"/>
          <w:szCs w:val="40"/>
          <w:highlight w:val="none"/>
        </w:rPr>
      </w:pPr>
      <w:r>
        <w:rPr>
          <w:rFonts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7456" behindDoc="0" locked="0" layoutInCell="1" allowOverlap="1">
                <wp:simplePos x="0" y="0"/>
                <wp:positionH relativeFrom="column">
                  <wp:posOffset>2312670</wp:posOffset>
                </wp:positionH>
                <wp:positionV relativeFrom="paragraph">
                  <wp:posOffset>506730</wp:posOffset>
                </wp:positionV>
                <wp:extent cx="958850" cy="0"/>
                <wp:effectExtent l="0" t="4445" r="0" b="5080"/>
                <wp:wrapNone/>
                <wp:docPr id="21" name="自选图形 1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3" o:spid="_x0000_s1026" o:spt="32" type="#_x0000_t32" style="position:absolute;left:0pt;margin-left:182.1pt;margin-top:39.9pt;height:0pt;width:75.5pt;z-index:251667456;mso-width-relative:page;mso-height-relative:page;" filled="f" stroked="t" coordsize="21600,21600" o:gfxdata="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edAg1gAAAAkBAAAPAAAAAAAAAAEAIAAAACIAAABkcnMvZG93bnJldi54bWxQ&#10;SwECFAAUAAAACACHTuJAzBzHPvkBAADyAwAADgAAAAAAAAABACAAAAAlAQAAZHJzL2Uyb0RvYy54&#10;bWxQSwUGAAAAAAYABgBZAQAAkAUAAAAA&#10;">
                <v:fill on="f" focussize="0,0"/>
                <v:stroke color="#000000" joinstyle="round"/>
                <v:imagedata o:title=""/>
                <o:lock v:ext="edit" aspectratio="f"/>
              </v:shape>
            </w:pict>
          </mc:Fallback>
        </mc:AlternateContent>
      </w:r>
    </w:p>
    <w:p>
      <w:pPr>
        <w:pStyle w:val="2"/>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68480" behindDoc="0" locked="0" layoutInCell="1" allowOverlap="1">
                <wp:simplePos x="0" y="0"/>
                <wp:positionH relativeFrom="column">
                  <wp:posOffset>2331720</wp:posOffset>
                </wp:positionH>
                <wp:positionV relativeFrom="paragraph">
                  <wp:posOffset>418465</wp:posOffset>
                </wp:positionV>
                <wp:extent cx="958850" cy="0"/>
                <wp:effectExtent l="0" t="4445" r="0" b="5080"/>
                <wp:wrapNone/>
                <wp:docPr id="20" name="自选图形 1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2" o:spid="_x0000_s1026" o:spt="32" type="#_x0000_t32" style="position:absolute;left:0pt;margin-left:183.6pt;margin-top:32.95pt;height:0pt;width:75.5pt;z-index:251668480;mso-width-relative:page;mso-height-relative:page;" filled="f" stroked="t" coordsize="21600,21600" o:gfxdata="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UK1STXAAAACQEAAA8AAAAAAAAAAQAgAAAAIgAAAGRycy9kb3ducmV2LnhtbFBL&#10;AQIUABQAAAAIAIdO4kAO6uOF9wEAAPIDAAAOAAAAAAAAAAEAIAAAACYBAABkcnMvZTJvRG9jLnht&#10;bFBLBQYAAAAABgAGAFkBAACP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color w:val="auto"/>
          <w:sz w:val="40"/>
          <w:szCs w:val="40"/>
          <w:highlight w:val="none"/>
        </w:rPr>
        <w:t>第六章</w:t>
      </w:r>
    </w:p>
    <w:p>
      <w:pPr>
        <w:pStyle w:val="582"/>
        <w:jc w:val="center"/>
        <w:rPr>
          <w:rFonts w:hint="eastAsia" w:ascii="方正小标宋简体" w:hAnsi="方正小标宋简体" w:eastAsia="方正小标宋简体" w:cs="方正小标宋简体"/>
          <w:color w:val="auto"/>
          <w:sz w:val="40"/>
          <w:szCs w:val="40"/>
          <w:highlight w:val="none"/>
        </w:rPr>
      </w:pPr>
    </w:p>
    <w:p>
      <w:pPr>
        <w:pStyle w:val="2"/>
        <w:jc w:val="center"/>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w:t>合同</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pStyle w:val="19"/>
        <w:rPr>
          <w:rFonts w:ascii="方正小标宋简体" w:eastAsia="方正小标宋简体"/>
          <w:sz w:val="44"/>
          <w:szCs w:val="44"/>
          <w:highlight w:val="none"/>
        </w:rPr>
      </w:pPr>
    </w:p>
    <w:p>
      <w:pPr>
        <w:adjustRightInd w:val="0"/>
        <w:snapToGrid w:val="0"/>
        <w:spacing w:line="360" w:lineRule="auto"/>
        <w:jc w:val="center"/>
        <w:rPr>
          <w:rFonts w:hint="eastAsia" w:ascii="仿宋_GB2312" w:hAnsi="仿宋_GB2312" w:eastAsia="仿宋_GB2312" w:cs="仿宋_GB2312"/>
          <w:b/>
          <w:bCs/>
          <w:color w:val="auto"/>
          <w:sz w:val="30"/>
          <w:szCs w:val="30"/>
          <w:highlight w:val="none"/>
          <w:lang w:eastAsia="zh-CN"/>
        </w:rPr>
      </w:pPr>
      <w:r>
        <w:rPr>
          <w:color w:val="auto"/>
          <w:highlight w:val="none"/>
        </w:rPr>
        <w:br w:type="page"/>
      </w:r>
    </w:p>
    <w:p>
      <w:pPr>
        <w:spacing w:after="156" w:afterLines="50"/>
        <w:rPr>
          <w:rFonts w:ascii="宋体" w:hAnsi="宋体"/>
          <w:color w:val="auto"/>
          <w:sz w:val="24"/>
          <w:highlight w:val="none"/>
        </w:rPr>
      </w:pPr>
      <w:r>
        <w:rPr>
          <w:rFonts w:hint="eastAsia" w:ascii="仿宋_GB2312" w:hAnsi="仿宋_GB2312" w:eastAsia="仿宋_GB2312" w:cs="仿宋_GB2312"/>
          <w:b/>
          <w:bCs/>
          <w:color w:val="auto"/>
          <w:sz w:val="30"/>
          <w:szCs w:val="30"/>
          <w:highlight w:val="none"/>
          <w:lang w:val="en-US" w:eastAsia="zh-CN"/>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工程编号：</w:t>
      </w:r>
    </w:p>
    <w:p>
      <w:pPr>
        <w:spacing w:after="156" w:afterLines="50"/>
        <w:rPr>
          <w:rFonts w:ascii="宋体" w:hAnsi="宋体"/>
          <w:color w:val="auto"/>
          <w:sz w:val="24"/>
          <w:highlight w:val="none"/>
        </w:rPr>
      </w:pPr>
      <w:r>
        <w:rPr>
          <w:rFonts w:hint="eastAsia" w:ascii="宋体" w:hAnsi="宋体"/>
          <w:color w:val="auto"/>
          <w:sz w:val="24"/>
          <w:highlight w:val="none"/>
        </w:rPr>
        <w:t>合同编号：</w:t>
      </w:r>
    </w:p>
    <w:p>
      <w:pPr>
        <w:spacing w:after="156" w:afterLines="50"/>
        <w:jc w:val="center"/>
        <w:rPr>
          <w:rFonts w:ascii="宋体" w:hAnsi="宋体"/>
          <w:b/>
          <w:color w:val="auto"/>
          <w:sz w:val="48"/>
          <w:szCs w:val="48"/>
          <w:highlight w:val="none"/>
        </w:rPr>
      </w:pPr>
    </w:p>
    <w:p>
      <w:pPr>
        <w:spacing w:after="156" w:afterLines="50"/>
        <w:jc w:val="center"/>
        <w:rPr>
          <w:rFonts w:ascii="宋体" w:hAnsi="宋体"/>
          <w:b/>
          <w:color w:val="auto"/>
          <w:sz w:val="48"/>
          <w:szCs w:val="48"/>
          <w:highlight w:val="none"/>
        </w:rPr>
      </w:pPr>
      <w:r>
        <w:rPr>
          <w:rFonts w:hint="eastAsia" w:ascii="宋体" w:hAnsi="宋体"/>
          <w:b/>
          <w:color w:val="auto"/>
          <w:sz w:val="48"/>
          <w:szCs w:val="48"/>
          <w:highlight w:val="none"/>
        </w:rPr>
        <w:t>广州市净水有限公司建设工程</w:t>
      </w:r>
    </w:p>
    <w:p>
      <w:pPr>
        <w:spacing w:after="156" w:afterLines="50"/>
        <w:jc w:val="center"/>
        <w:rPr>
          <w:rFonts w:ascii="宋体" w:hAnsi="宋体"/>
          <w:b/>
          <w:color w:val="auto"/>
          <w:sz w:val="48"/>
          <w:szCs w:val="48"/>
          <w:highlight w:val="none"/>
        </w:rPr>
      </w:pPr>
    </w:p>
    <w:p>
      <w:pPr>
        <w:spacing w:after="156" w:afterLines="50"/>
        <w:jc w:val="center"/>
        <w:rPr>
          <w:rFonts w:ascii="宋体" w:hAnsi="宋体"/>
          <w:b/>
          <w:color w:val="auto"/>
          <w:sz w:val="48"/>
          <w:szCs w:val="48"/>
          <w:highlight w:val="none"/>
        </w:rPr>
      </w:pPr>
      <w:r>
        <w:rPr>
          <w:rFonts w:hint="eastAsia" w:ascii="宋体" w:hAnsi="宋体"/>
          <w:b/>
          <w:color w:val="auto"/>
          <w:sz w:val="48"/>
          <w:szCs w:val="48"/>
          <w:highlight w:val="none"/>
        </w:rPr>
        <w:t>监理合同</w:t>
      </w:r>
    </w:p>
    <w:p>
      <w:pPr>
        <w:spacing w:after="156" w:afterLines="50"/>
        <w:jc w:val="center"/>
        <w:rPr>
          <w:rFonts w:ascii="宋体" w:hAnsi="宋体"/>
          <w:b/>
          <w:color w:val="auto"/>
          <w:sz w:val="72"/>
          <w:szCs w:val="72"/>
          <w:highlight w:val="none"/>
        </w:rPr>
      </w:pPr>
    </w:p>
    <w:p>
      <w:pPr>
        <w:spacing w:after="156" w:afterLines="50"/>
        <w:ind w:left="538" w:leftChars="256"/>
        <w:jc w:val="center"/>
        <w:rPr>
          <w:rFonts w:ascii="宋体" w:hAnsi="宋体"/>
          <w:color w:val="auto"/>
          <w:sz w:val="32"/>
          <w:szCs w:val="32"/>
          <w:highlight w:val="none"/>
        </w:rPr>
      </w:pPr>
    </w:p>
    <w:p>
      <w:pPr>
        <w:spacing w:after="156" w:afterLines="50"/>
        <w:ind w:left="2162" w:leftChars="258" w:hanging="1620" w:hangingChars="450"/>
        <w:rPr>
          <w:rFonts w:ascii="宋体" w:hAnsi="宋体"/>
          <w:color w:val="auto"/>
          <w:sz w:val="36"/>
          <w:szCs w:val="36"/>
          <w:highlight w:val="none"/>
        </w:rPr>
      </w:pPr>
    </w:p>
    <w:p>
      <w:pPr>
        <w:spacing w:after="156" w:afterLines="50" w:line="360" w:lineRule="auto"/>
        <w:ind w:left="2338" w:leftChars="256" w:hanging="1800" w:hangingChars="500"/>
        <w:rPr>
          <w:rFonts w:hint="default" w:ascii="宋体" w:hAnsi="宋体"/>
          <w:color w:val="auto"/>
          <w:sz w:val="36"/>
          <w:szCs w:val="36"/>
          <w:highlight w:val="none"/>
          <w:lang w:val="en-US"/>
        </w:rPr>
      </w:pPr>
      <w:r>
        <w:rPr>
          <w:rFonts w:hint="eastAsia" w:ascii="宋体" w:hAnsi="宋体"/>
          <w:color w:val="auto"/>
          <w:sz w:val="36"/>
          <w:szCs w:val="36"/>
          <w:highlight w:val="none"/>
        </w:rPr>
        <w:t>计划名称：</w:t>
      </w:r>
      <w:r>
        <w:rPr>
          <w:rFonts w:hint="eastAsia" w:ascii="宋体" w:hAnsi="宋体"/>
          <w:color w:val="auto"/>
          <w:sz w:val="36"/>
          <w:szCs w:val="36"/>
          <w:highlight w:val="none"/>
          <w:lang w:val="en-US" w:eastAsia="zh-CN"/>
        </w:rPr>
        <w:t>化龙堆存污泥综合处理处置项目</w:t>
      </w:r>
    </w:p>
    <w:p>
      <w:pPr>
        <w:spacing w:after="156" w:afterLines="50" w:line="360" w:lineRule="auto"/>
        <w:ind w:left="2338" w:leftChars="256" w:hanging="1800" w:hangingChars="500"/>
        <w:rPr>
          <w:rFonts w:ascii="宋体" w:hAnsi="宋体"/>
          <w:color w:val="auto"/>
          <w:sz w:val="36"/>
          <w:szCs w:val="36"/>
          <w:highlight w:val="none"/>
        </w:rPr>
      </w:pPr>
      <w:r>
        <w:rPr>
          <w:rFonts w:hint="eastAsia" w:ascii="宋体" w:hAnsi="宋体"/>
          <w:color w:val="auto"/>
          <w:sz w:val="36"/>
          <w:szCs w:val="36"/>
          <w:highlight w:val="none"/>
        </w:rPr>
        <w:t>工程名称：</w:t>
      </w:r>
      <w:r>
        <w:rPr>
          <w:rFonts w:hint="eastAsia" w:ascii="宋体" w:hAnsi="宋体"/>
          <w:color w:val="auto"/>
          <w:sz w:val="36"/>
          <w:szCs w:val="36"/>
          <w:highlight w:val="none"/>
          <w:lang w:val="en-US" w:eastAsia="zh-CN"/>
        </w:rPr>
        <w:t>化龙堆存污泥综合处理处置项目废弃烟囱爆破拆除工程监理（第二次）</w:t>
      </w:r>
    </w:p>
    <w:p>
      <w:pPr>
        <w:spacing w:after="156" w:afterLines="50" w:line="360" w:lineRule="auto"/>
        <w:ind w:left="2338" w:leftChars="256" w:hanging="1800" w:hangingChars="500"/>
        <w:rPr>
          <w:rFonts w:ascii="宋体" w:hAnsi="宋体"/>
          <w:color w:val="auto"/>
          <w:sz w:val="36"/>
          <w:szCs w:val="36"/>
          <w:highlight w:val="none"/>
        </w:rPr>
      </w:pPr>
    </w:p>
    <w:p>
      <w:pPr>
        <w:spacing w:after="156" w:afterLines="50"/>
        <w:ind w:left="538" w:leftChars="256"/>
        <w:rPr>
          <w:rFonts w:ascii="宋体" w:hAnsi="宋体"/>
          <w:color w:val="auto"/>
          <w:sz w:val="36"/>
          <w:szCs w:val="36"/>
          <w:highlight w:val="none"/>
        </w:rPr>
      </w:pPr>
      <w:r>
        <w:rPr>
          <w:rFonts w:hint="eastAsia" w:ascii="宋体" w:hAnsi="宋体"/>
          <w:color w:val="auto"/>
          <w:sz w:val="36"/>
          <w:szCs w:val="36"/>
          <w:highlight w:val="none"/>
        </w:rPr>
        <w:t xml:space="preserve">委托人：广州市净水有限公司 </w:t>
      </w:r>
    </w:p>
    <w:p>
      <w:pPr>
        <w:spacing w:after="156" w:afterLines="50"/>
        <w:ind w:left="538" w:leftChars="256"/>
        <w:rPr>
          <w:rFonts w:ascii="宋体" w:hAnsi="宋体"/>
          <w:color w:val="auto"/>
          <w:sz w:val="36"/>
          <w:szCs w:val="36"/>
          <w:highlight w:val="none"/>
        </w:rPr>
      </w:pPr>
      <w:r>
        <w:rPr>
          <w:rFonts w:hint="eastAsia" w:ascii="宋体" w:hAnsi="宋体"/>
          <w:color w:val="auto"/>
          <w:sz w:val="36"/>
          <w:szCs w:val="36"/>
          <w:highlight w:val="none"/>
        </w:rPr>
        <w:t>监理人：</w:t>
      </w:r>
    </w:p>
    <w:p>
      <w:pPr>
        <w:ind w:firstLine="540" w:firstLineChars="150"/>
        <w:rPr>
          <w:rFonts w:hint="eastAsia" w:ascii="宋体" w:hAnsi="宋体"/>
          <w:color w:val="auto"/>
          <w:sz w:val="36"/>
          <w:szCs w:val="36"/>
          <w:highlight w:val="none"/>
        </w:rPr>
      </w:pPr>
    </w:p>
    <w:p>
      <w:pPr>
        <w:ind w:firstLine="540" w:firstLineChars="150"/>
        <w:rPr>
          <w:rFonts w:ascii="宋体" w:hAnsi="宋体"/>
          <w:color w:val="auto"/>
          <w:sz w:val="36"/>
          <w:szCs w:val="36"/>
          <w:highlight w:val="none"/>
        </w:rPr>
      </w:pPr>
      <w:r>
        <w:rPr>
          <w:rFonts w:hint="eastAsia" w:ascii="宋体" w:hAnsi="宋体"/>
          <w:color w:val="auto"/>
          <w:sz w:val="36"/>
          <w:szCs w:val="36"/>
          <w:highlight w:val="none"/>
        </w:rPr>
        <w:t>签订日期：</w:t>
      </w:r>
    </w:p>
    <w:p>
      <w:pPr>
        <w:spacing w:line="480" w:lineRule="auto"/>
        <w:rPr>
          <w:rFonts w:ascii="宋体" w:hAnsi="宋体" w:cs="宋体"/>
          <w:color w:val="auto"/>
          <w:sz w:val="28"/>
          <w:szCs w:val="28"/>
          <w:highlight w:val="none"/>
        </w:rPr>
      </w:pPr>
      <w:r>
        <w:rPr>
          <w:rFonts w:ascii="宋体" w:hAnsi="宋体"/>
          <w:color w:val="auto"/>
          <w:sz w:val="36"/>
          <w:szCs w:val="36"/>
          <w:highlight w:val="none"/>
        </w:rPr>
        <w:br w:type="page"/>
      </w:r>
      <w:r>
        <w:rPr>
          <w:rFonts w:hint="eastAsia" w:ascii="宋体" w:hAnsi="宋体" w:cs="宋体"/>
          <w:color w:val="auto"/>
          <w:sz w:val="28"/>
          <w:szCs w:val="28"/>
          <w:highlight w:val="none"/>
        </w:rPr>
        <w:t>第一节   合同协议书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第二节   通用合同条款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第三节   专用合同条款</w:t>
      </w:r>
    </w:p>
    <w:p>
      <w:pPr>
        <w:numPr>
          <w:ilvl w:val="0"/>
          <w:numId w:val="29"/>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合同附件</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附件一：履约担保（格式）</w:t>
      </w:r>
    </w:p>
    <w:p>
      <w:pPr>
        <w:spacing w:before="156" w:beforeLines="50" w:line="560" w:lineRule="exact"/>
        <w:outlineLvl w:val="1"/>
        <w:rPr>
          <w:rFonts w:ascii="宋体" w:hAnsi="宋体" w:cs="宋体"/>
          <w:color w:val="auto"/>
          <w:sz w:val="24"/>
          <w:szCs w:val="24"/>
          <w:highlight w:val="none"/>
        </w:rPr>
      </w:pPr>
      <w:r>
        <w:rPr>
          <w:rFonts w:hint="eastAsia" w:ascii="宋体" w:hAnsi="宋体" w:cs="宋体"/>
          <w:color w:val="auto"/>
          <w:sz w:val="24"/>
          <w:szCs w:val="24"/>
          <w:highlight w:val="none"/>
        </w:rPr>
        <w:t>附件二：预付款担保（格式）</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附件三：</w:t>
      </w:r>
      <w:r>
        <w:rPr>
          <w:rFonts w:hint="eastAsia" w:ascii="宋体" w:hAnsi="宋体" w:cs="宋体"/>
          <w:color w:val="auto"/>
          <w:sz w:val="24"/>
          <w:szCs w:val="24"/>
          <w:highlight w:val="none"/>
          <w:lang w:val="en-US" w:eastAsia="zh-CN"/>
        </w:rPr>
        <w:t>成交通知书</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附件四：监理服务收费报价计算表</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附件五：监理服务的形式、范围与内容</w:t>
      </w:r>
    </w:p>
    <w:p>
      <w:pPr>
        <w:pStyle w:val="78"/>
        <w:spacing w:line="560" w:lineRule="exact"/>
        <w:rPr>
          <w:rFonts w:cs="宋体"/>
          <w:color w:val="auto"/>
          <w:highlight w:val="none"/>
        </w:rPr>
      </w:pPr>
      <w:r>
        <w:rPr>
          <w:rFonts w:hint="eastAsia" w:cs="宋体"/>
          <w:color w:val="auto"/>
          <w:highlight w:val="none"/>
        </w:rPr>
        <w:t>附件六：安全监理协议书</w:t>
      </w:r>
    </w:p>
    <w:p>
      <w:pPr>
        <w:pStyle w:val="78"/>
        <w:spacing w:line="560" w:lineRule="exact"/>
        <w:rPr>
          <w:rFonts w:cs="宋体"/>
          <w:color w:val="auto"/>
          <w:highlight w:val="none"/>
        </w:rPr>
      </w:pPr>
      <w:r>
        <w:rPr>
          <w:rFonts w:hint="eastAsia" w:cs="宋体"/>
          <w:color w:val="auto"/>
          <w:highlight w:val="none"/>
        </w:rPr>
        <w:t>附件七：廉洁协议</w:t>
      </w:r>
    </w:p>
    <w:p>
      <w:pPr>
        <w:pStyle w:val="78"/>
        <w:spacing w:line="560" w:lineRule="exact"/>
        <w:rPr>
          <w:rFonts w:cs="宋体"/>
          <w:color w:val="auto"/>
          <w:highlight w:val="none"/>
        </w:rPr>
      </w:pPr>
      <w:r>
        <w:rPr>
          <w:rFonts w:hint="eastAsia" w:cs="宋体"/>
          <w:color w:val="auto"/>
          <w:highlight w:val="none"/>
        </w:rPr>
        <w:t>附件八：本项目的监理组织机构（与</w:t>
      </w:r>
      <w:r>
        <w:rPr>
          <w:rFonts w:hint="eastAsia" w:cs="宋体"/>
          <w:color w:val="auto"/>
          <w:highlight w:val="none"/>
          <w:lang w:val="en-US" w:eastAsia="zh-CN"/>
        </w:rPr>
        <w:t>响应</w:t>
      </w:r>
      <w:r>
        <w:rPr>
          <w:rFonts w:hint="eastAsia" w:cs="宋体"/>
          <w:color w:val="auto"/>
          <w:highlight w:val="none"/>
        </w:rPr>
        <w:t>文件一致）</w:t>
      </w:r>
    </w:p>
    <w:p>
      <w:pPr>
        <w:pStyle w:val="78"/>
        <w:spacing w:line="560" w:lineRule="exact"/>
        <w:rPr>
          <w:rFonts w:cs="宋体"/>
          <w:color w:val="auto"/>
          <w:highlight w:val="none"/>
        </w:rPr>
      </w:pPr>
      <w:r>
        <w:rPr>
          <w:rFonts w:hint="eastAsia" w:cs="宋体"/>
          <w:color w:val="auto"/>
          <w:highlight w:val="none"/>
        </w:rPr>
        <w:t>附件九：拟投入本项目的主要监理人员汇总表（与</w:t>
      </w:r>
      <w:r>
        <w:rPr>
          <w:rFonts w:hint="eastAsia" w:cs="宋体"/>
          <w:color w:val="auto"/>
          <w:highlight w:val="none"/>
          <w:lang w:val="en-US" w:eastAsia="zh-CN"/>
        </w:rPr>
        <w:t>响应</w:t>
      </w:r>
      <w:r>
        <w:rPr>
          <w:rFonts w:hint="eastAsia" w:cs="宋体"/>
          <w:color w:val="auto"/>
          <w:highlight w:val="none"/>
        </w:rPr>
        <w:t>文件一致）</w:t>
      </w:r>
    </w:p>
    <w:p>
      <w:pPr>
        <w:pStyle w:val="78"/>
        <w:spacing w:line="560" w:lineRule="exact"/>
        <w:rPr>
          <w:rFonts w:cs="宋体"/>
          <w:color w:val="auto"/>
          <w:highlight w:val="none"/>
        </w:rPr>
      </w:pPr>
      <w:r>
        <w:rPr>
          <w:rFonts w:hint="eastAsia" w:cs="宋体"/>
          <w:color w:val="auto"/>
          <w:highlight w:val="none"/>
        </w:rPr>
        <w:t>附件十：拟投入本项目的其他监理人员汇总表（与</w:t>
      </w:r>
      <w:r>
        <w:rPr>
          <w:rFonts w:hint="eastAsia" w:cs="宋体"/>
          <w:color w:val="auto"/>
          <w:highlight w:val="none"/>
          <w:lang w:val="en-US" w:eastAsia="zh-CN"/>
        </w:rPr>
        <w:t>响应</w:t>
      </w:r>
      <w:r>
        <w:rPr>
          <w:rFonts w:hint="eastAsia" w:cs="宋体"/>
          <w:color w:val="auto"/>
          <w:highlight w:val="none"/>
        </w:rPr>
        <w:t>文件一致）</w:t>
      </w:r>
    </w:p>
    <w:p>
      <w:pPr>
        <w:pStyle w:val="78"/>
        <w:rPr>
          <w:rFonts w:hint="eastAsia" w:ascii="黑体" w:hAnsi="黑体" w:eastAsia="黑体"/>
          <w:color w:val="auto"/>
          <w:sz w:val="28"/>
          <w:highlight w:val="none"/>
          <w:lang w:eastAsia="zh-CN"/>
        </w:rPr>
      </w:pPr>
      <w:r>
        <w:rPr>
          <w:rFonts w:ascii="黑体" w:hAnsi="黑体" w:eastAsia="黑体"/>
          <w:color w:val="auto"/>
          <w:sz w:val="28"/>
          <w:highlight w:val="none"/>
        </w:rPr>
        <w:br w:type="page"/>
      </w:r>
    </w:p>
    <w:p>
      <w:pPr>
        <w:pStyle w:val="78"/>
        <w:contextualSpacing/>
        <w:rPr>
          <w:rFonts w:hint="eastAsia"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一</w:t>
      </w:r>
      <w:r>
        <w:rPr>
          <w:rFonts w:ascii="黑体" w:hAnsi="黑体" w:eastAsia="黑体"/>
          <w:color w:val="auto"/>
          <w:sz w:val="28"/>
          <w:highlight w:val="none"/>
        </w:rPr>
        <w:t>：</w:t>
      </w:r>
      <w:r>
        <w:rPr>
          <w:rFonts w:hint="eastAsia" w:ascii="黑体" w:hAnsi="黑体" w:eastAsia="黑体"/>
          <w:color w:val="auto"/>
          <w:sz w:val="28"/>
          <w:highlight w:val="none"/>
        </w:rPr>
        <w:t>广州市净水有限公司工程计量结算条件及实施指引（修订版）</w:t>
      </w:r>
    </w:p>
    <w:p>
      <w:pPr>
        <w:pStyle w:val="78"/>
        <w:contextualSpacing/>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二</w:t>
      </w:r>
      <w:r>
        <w:rPr>
          <w:rFonts w:ascii="黑体" w:hAnsi="黑体" w:eastAsia="黑体"/>
          <w:color w:val="auto"/>
          <w:sz w:val="28"/>
          <w:highlight w:val="none"/>
        </w:rPr>
        <w:t>：</w:t>
      </w:r>
      <w:r>
        <w:rPr>
          <w:rFonts w:hint="eastAsia" w:ascii="黑体" w:hAnsi="黑体" w:eastAsia="黑体"/>
          <w:color w:val="auto"/>
          <w:sz w:val="28"/>
          <w:highlight w:val="none"/>
        </w:rPr>
        <w:t>《关于规范工程项目结算审查工作的通知》（穗污治[2006]178号，另卷）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ascii="黑体" w:hAnsi="黑体" w:eastAsia="黑体"/>
          <w:color w:val="auto"/>
          <w:sz w:val="28"/>
          <w:highlight w:val="none"/>
        </w:rPr>
        <w:t>附件十</w:t>
      </w:r>
      <w:r>
        <w:rPr>
          <w:rFonts w:hint="eastAsia" w:ascii="黑体" w:hAnsi="黑体" w:eastAsia="黑体"/>
          <w:color w:val="auto"/>
          <w:sz w:val="28"/>
          <w:highlight w:val="none"/>
          <w:lang w:val="en-US" w:eastAsia="zh-CN"/>
        </w:rPr>
        <w:t>三</w:t>
      </w:r>
      <w:r>
        <w:rPr>
          <w:rFonts w:hint="eastAsia" w:ascii="黑体" w:hAnsi="黑体" w:eastAsia="黑体"/>
          <w:color w:val="auto"/>
          <w:sz w:val="28"/>
          <w:highlight w:val="none"/>
        </w:rPr>
        <w:t>：《关于印发〈广州市污水治理工程监理造价审核管理规定及实施指引〉的补充通知（穗污治[2007] 352号）》及其补充通知（另卷）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ascii="黑体" w:hAnsi="黑体" w:eastAsia="黑体"/>
          <w:color w:val="auto"/>
          <w:sz w:val="28"/>
          <w:highlight w:val="none"/>
        </w:rPr>
        <w:t>附件十</w:t>
      </w:r>
      <w:r>
        <w:rPr>
          <w:rFonts w:hint="eastAsia" w:ascii="黑体" w:hAnsi="黑体" w:eastAsia="黑体"/>
          <w:color w:val="auto"/>
          <w:sz w:val="28"/>
          <w:highlight w:val="none"/>
          <w:lang w:val="en-US" w:eastAsia="zh-CN"/>
        </w:rPr>
        <w:t>四</w:t>
      </w:r>
      <w:r>
        <w:rPr>
          <w:rFonts w:hint="eastAsia" w:ascii="黑体" w:hAnsi="黑体" w:eastAsia="黑体"/>
          <w:color w:val="auto"/>
          <w:sz w:val="28"/>
          <w:highlight w:val="none"/>
        </w:rPr>
        <w:t>：《关于印发&lt;广州市污水治理工程变更设计管理规定暂行)&gt;》的通知(穗污治[2006]289号)（另卷）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color w:val="auto"/>
          <w:highlight w:val="none"/>
        </w:rPr>
        <w:t>[注：以上附件</w:t>
      </w:r>
      <w:r>
        <w:rPr>
          <w:rFonts w:hint="eastAsia"/>
          <w:color w:val="auto"/>
          <w:highlight w:val="none"/>
          <w:lang w:val="en-US" w:eastAsia="zh-CN"/>
        </w:rPr>
        <w:t>十一</w:t>
      </w:r>
      <w:r>
        <w:rPr>
          <w:rFonts w:hint="eastAsia"/>
          <w:color w:val="auto"/>
          <w:highlight w:val="none"/>
        </w:rPr>
        <w:t>至十</w:t>
      </w:r>
      <w:r>
        <w:rPr>
          <w:rFonts w:hint="eastAsia"/>
          <w:color w:val="auto"/>
          <w:highlight w:val="none"/>
          <w:lang w:val="en-US" w:eastAsia="zh-CN"/>
        </w:rPr>
        <w:t>四</w:t>
      </w:r>
      <w:r>
        <w:rPr>
          <w:rFonts w:hint="eastAsia"/>
          <w:color w:val="auto"/>
          <w:highlight w:val="none"/>
        </w:rPr>
        <w:t>如有更新，按更新后的规定执行。以上规定监理人需无条件执行。]</w:t>
      </w:r>
    </w:p>
    <w:p>
      <w:pPr>
        <w:pStyle w:val="78"/>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pStyle w:val="2"/>
        <w:rPr>
          <w:rFonts w:ascii="黑体" w:hAnsi="黑体" w:eastAsia="黑体"/>
          <w:color w:val="auto"/>
          <w:sz w:val="28"/>
          <w:highlight w:val="none"/>
        </w:rPr>
      </w:pPr>
    </w:p>
    <w:p>
      <w:pPr>
        <w:pStyle w:val="3"/>
        <w:rPr>
          <w:rFonts w:ascii="黑体" w:hAnsi="黑体" w:eastAsia="黑体"/>
          <w:color w:val="auto"/>
          <w:sz w:val="28"/>
          <w:highlight w:val="none"/>
        </w:rPr>
      </w:pPr>
    </w:p>
    <w:p>
      <w:pPr>
        <w:rPr>
          <w:rFonts w:ascii="黑体" w:hAnsi="黑体" w:eastAsia="黑体"/>
          <w:color w:val="auto"/>
          <w:sz w:val="28"/>
          <w:highlight w:val="none"/>
        </w:rPr>
      </w:pPr>
    </w:p>
    <w:p>
      <w:pPr>
        <w:pStyle w:val="2"/>
        <w:rPr>
          <w:rFonts w:ascii="黑体" w:hAnsi="黑体" w:eastAsia="黑体"/>
          <w:color w:val="auto"/>
          <w:sz w:val="28"/>
          <w:highlight w:val="none"/>
        </w:rPr>
      </w:pPr>
    </w:p>
    <w:p>
      <w:pPr>
        <w:pStyle w:val="3"/>
        <w:rPr>
          <w:color w:val="auto"/>
          <w:highlight w:val="none"/>
        </w:rPr>
      </w:pPr>
    </w:p>
    <w:p>
      <w:pPr>
        <w:spacing w:line="360" w:lineRule="auto"/>
        <w:rPr>
          <w:rFonts w:ascii="黑体" w:hAnsi="黑体" w:eastAsia="黑体"/>
          <w:color w:val="auto"/>
          <w:sz w:val="28"/>
          <w:highlight w:val="none"/>
        </w:rPr>
      </w:pPr>
    </w:p>
    <w:p>
      <w:pPr>
        <w:spacing w:line="234" w:lineRule="exact"/>
        <w:rPr>
          <w:rFonts w:eastAsia="Times New Roman"/>
          <w:color w:val="auto"/>
          <w:highlight w:val="none"/>
        </w:rPr>
      </w:pPr>
    </w:p>
    <w:p>
      <w:pPr>
        <w:spacing w:line="320" w:lineRule="exact"/>
        <w:jc w:val="center"/>
        <w:rPr>
          <w:rFonts w:ascii="黑体" w:hAnsi="黑体" w:eastAsia="黑体"/>
          <w:color w:val="auto"/>
          <w:sz w:val="28"/>
          <w:highlight w:val="none"/>
        </w:rPr>
      </w:pPr>
      <w:r>
        <w:rPr>
          <w:rFonts w:hint="eastAsia" w:ascii="黑体" w:hAnsi="黑体" w:eastAsia="黑体"/>
          <w:color w:val="auto"/>
          <w:sz w:val="28"/>
          <w:highlight w:val="none"/>
        </w:rPr>
        <w:t xml:space="preserve">第一节  </w:t>
      </w:r>
      <w:r>
        <w:rPr>
          <w:rFonts w:ascii="黑体" w:hAnsi="黑体" w:eastAsia="黑体"/>
          <w:color w:val="auto"/>
          <w:sz w:val="28"/>
          <w:highlight w:val="none"/>
        </w:rPr>
        <w:t>合同协议书</w:t>
      </w:r>
    </w:p>
    <w:p>
      <w:pPr>
        <w:spacing w:line="200" w:lineRule="exact"/>
        <w:rPr>
          <w:rFonts w:eastAsia="Times New Roman"/>
          <w:color w:val="auto"/>
          <w:highlight w:val="none"/>
        </w:rPr>
      </w:pPr>
    </w:p>
    <w:p>
      <w:pPr>
        <w:spacing w:line="200" w:lineRule="exact"/>
        <w:rPr>
          <w:color w:val="auto"/>
          <w:highlight w:val="none"/>
        </w:rPr>
      </w:pPr>
    </w:p>
    <w:p>
      <w:pPr>
        <w:spacing w:line="360" w:lineRule="auto"/>
        <w:rPr>
          <w:color w:val="auto"/>
          <w:highlight w:val="none"/>
          <w:u w:val="single"/>
        </w:rPr>
      </w:pPr>
      <w:r>
        <w:rPr>
          <w:rFonts w:hint="eastAsia"/>
          <w:color w:val="auto"/>
          <w:highlight w:val="none"/>
        </w:rPr>
        <w:t xml:space="preserve">       </w:t>
      </w:r>
      <w:r>
        <w:rPr>
          <w:rFonts w:hint="eastAsia"/>
          <w:color w:val="auto"/>
          <w:sz w:val="21"/>
          <w:szCs w:val="21"/>
          <w:highlight w:val="none"/>
          <w:u w:val="single"/>
        </w:rPr>
        <w:t>广州市净水有限公司</w:t>
      </w:r>
      <w:r>
        <w:rPr>
          <w:rFonts w:ascii="宋体" w:hAnsi="宋体"/>
          <w:color w:val="auto"/>
          <w:sz w:val="21"/>
          <w:szCs w:val="21"/>
          <w:highlight w:val="none"/>
        </w:rPr>
        <w:t>（委托人名称，以下简称“委托人”）为实施</w:t>
      </w:r>
      <w:r>
        <w:rPr>
          <w:rFonts w:hint="eastAsia"/>
          <w:color w:val="auto"/>
          <w:sz w:val="21"/>
          <w:szCs w:val="21"/>
          <w:highlight w:val="none"/>
          <w:u w:val="single"/>
        </w:rPr>
        <w:t xml:space="preserve"> </w:t>
      </w:r>
      <w:r>
        <w:rPr>
          <w:rFonts w:hint="eastAsia"/>
          <w:color w:val="auto"/>
          <w:sz w:val="21"/>
          <w:szCs w:val="21"/>
          <w:highlight w:val="none"/>
          <w:u w:val="single"/>
          <w:lang w:eastAsia="zh-CN"/>
        </w:rPr>
        <w:t>化龙堆存污泥综合处理处置项目废弃</w:t>
      </w:r>
      <w:r>
        <w:rPr>
          <w:rFonts w:hint="eastAsia"/>
          <w:color w:val="auto"/>
          <w:sz w:val="21"/>
          <w:szCs w:val="21"/>
          <w:highlight w:val="none"/>
          <w:u w:val="single"/>
        </w:rPr>
        <w:t>烟囱爆破拆除工程</w:t>
      </w:r>
      <w:r>
        <w:rPr>
          <w:rFonts w:ascii="宋体" w:hAnsi="宋体"/>
          <w:color w:val="auto"/>
          <w:sz w:val="21"/>
          <w:szCs w:val="21"/>
          <w:highlight w:val="none"/>
        </w:rPr>
        <w:t>（项目名称），</w:t>
      </w:r>
      <w:r>
        <w:rPr>
          <w:rFonts w:hint="eastAsia" w:ascii="宋体" w:hAnsi="宋体"/>
          <w:color w:val="auto"/>
          <w:sz w:val="21"/>
          <w:szCs w:val="21"/>
          <w:highlight w:val="none"/>
          <w:lang w:val="en-US" w:eastAsia="zh-CN"/>
        </w:rPr>
        <w:t>经公开询价委托</w:t>
      </w:r>
      <w:r>
        <w:rPr>
          <w:rFonts w:hint="eastAsia" w:ascii="宋体" w:hAnsi="宋体"/>
          <w:color w:val="auto"/>
          <w:sz w:val="21"/>
          <w:szCs w:val="21"/>
          <w:highlight w:val="none"/>
          <w:u w:val="single"/>
        </w:rPr>
        <w:t xml:space="preserve">                 </w:t>
      </w:r>
      <w:r>
        <w:rPr>
          <w:rFonts w:ascii="宋体" w:hAnsi="宋体"/>
          <w:color w:val="auto"/>
          <w:sz w:val="21"/>
          <w:szCs w:val="21"/>
          <w:highlight w:val="none"/>
        </w:rPr>
        <w:t>（监理人名称，以下简称“监理人”）</w:t>
      </w:r>
      <w:r>
        <w:rPr>
          <w:rFonts w:hint="eastAsia" w:ascii="宋体" w:hAnsi="宋体"/>
          <w:color w:val="auto"/>
          <w:sz w:val="21"/>
          <w:szCs w:val="21"/>
          <w:highlight w:val="none"/>
          <w:lang w:val="en-US" w:eastAsia="zh-CN"/>
        </w:rPr>
        <w:t>承接本</w:t>
      </w:r>
      <w:r>
        <w:rPr>
          <w:rFonts w:ascii="宋体" w:hAnsi="宋体"/>
          <w:color w:val="auto"/>
          <w:sz w:val="21"/>
          <w:szCs w:val="21"/>
          <w:highlight w:val="none"/>
        </w:rPr>
        <w:t>项目监理</w:t>
      </w:r>
      <w:r>
        <w:rPr>
          <w:rFonts w:hint="eastAsia" w:ascii="宋体" w:hAnsi="宋体"/>
          <w:color w:val="auto"/>
          <w:sz w:val="21"/>
          <w:szCs w:val="21"/>
          <w:highlight w:val="none"/>
          <w:lang w:val="en-US" w:eastAsia="zh-CN"/>
        </w:rPr>
        <w:t>工作</w:t>
      </w:r>
      <w:r>
        <w:rPr>
          <w:rFonts w:ascii="宋体" w:hAnsi="宋体"/>
          <w:color w:val="auto"/>
          <w:sz w:val="21"/>
          <w:szCs w:val="21"/>
          <w:highlight w:val="none"/>
        </w:rPr>
        <w:t>。委托人和监理人共同达成如下协议。</w:t>
      </w:r>
    </w:p>
    <w:p>
      <w:pPr>
        <w:numPr>
          <w:ilvl w:val="0"/>
          <w:numId w:val="30"/>
        </w:numPr>
        <w:spacing w:line="360" w:lineRule="auto"/>
        <w:ind w:left="426" w:right="1514"/>
        <w:rPr>
          <w:rFonts w:ascii="宋体" w:hAnsi="宋体"/>
          <w:color w:val="auto"/>
          <w:sz w:val="21"/>
          <w:szCs w:val="21"/>
          <w:highlight w:val="none"/>
        </w:rPr>
      </w:pPr>
      <w:r>
        <w:rPr>
          <w:rFonts w:hint="eastAsia" w:ascii="宋体" w:hAnsi="宋体"/>
          <w:color w:val="auto"/>
          <w:sz w:val="21"/>
          <w:szCs w:val="21"/>
          <w:highlight w:val="none"/>
        </w:rPr>
        <w:t>下列文件均为本合同的组成部分，且优先解释顺序如下：</w:t>
      </w:r>
      <w:r>
        <w:rPr>
          <w:rFonts w:ascii="宋体" w:hAnsi="宋体"/>
          <w:color w:val="auto"/>
          <w:sz w:val="21"/>
          <w:szCs w:val="21"/>
          <w:highlight w:val="none"/>
        </w:rPr>
        <w:t>：</w:t>
      </w:r>
    </w:p>
    <w:p>
      <w:pPr>
        <w:spacing w:line="384" w:lineRule="auto"/>
        <w:ind w:left="743" w:leftChars="354" w:firstLine="123" w:firstLineChars="59"/>
        <w:rPr>
          <w:rFonts w:ascii="宋体" w:hAnsi="宋体" w:cs="宋体"/>
          <w:color w:val="auto"/>
          <w:sz w:val="21"/>
          <w:szCs w:val="21"/>
          <w:highlight w:val="none"/>
        </w:rPr>
      </w:pPr>
      <w:r>
        <w:rPr>
          <w:rFonts w:hint="eastAsia" w:ascii="宋体" w:hAnsi="宋体"/>
          <w:color w:val="auto"/>
          <w:sz w:val="21"/>
          <w:szCs w:val="21"/>
          <w:highlight w:val="none"/>
        </w:rPr>
        <w:t>（1）在实施过程中双方共同签署的补充与修正文件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（2）本合同协议书</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成交通知书</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（4）本合同专用条款</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（5）合同附件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（6）本合同通用条款</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（7）标准、规范及有关技术文件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（8）</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文件（包括补充、修改、澄清文件、答疑纪要等）</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（9）</w:t>
      </w:r>
      <w:r>
        <w:rPr>
          <w:rFonts w:hint="eastAsia" w:ascii="宋体" w:hAnsi="宋体"/>
          <w:color w:val="auto"/>
          <w:sz w:val="21"/>
          <w:szCs w:val="21"/>
          <w:highlight w:val="none"/>
          <w:lang w:val="en-US" w:eastAsia="zh-CN"/>
        </w:rPr>
        <w:t>响应</w:t>
      </w:r>
      <w:r>
        <w:rPr>
          <w:rFonts w:hint="eastAsia" w:ascii="宋体" w:hAnsi="宋体"/>
          <w:color w:val="auto"/>
          <w:sz w:val="21"/>
          <w:szCs w:val="21"/>
          <w:highlight w:val="none"/>
        </w:rPr>
        <w:t>文件及其附件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（10）双方约定的其他合同文件</w:t>
      </w:r>
    </w:p>
    <w:p>
      <w:pPr>
        <w:numPr>
          <w:ilvl w:val="0"/>
          <w:numId w:val="0"/>
        </w:numPr>
        <w:tabs>
          <w:tab w:val="left" w:pos="709"/>
        </w:tabs>
        <w:spacing w:line="360" w:lineRule="auto"/>
        <w:ind w:right="4" w:firstLine="420" w:firstLineChars="200"/>
        <w:rPr>
          <w:rFonts w:ascii="宋体" w:hAnsi="宋体"/>
          <w:color w:val="auto"/>
          <w:sz w:val="21"/>
          <w:highlight w:val="none"/>
        </w:rPr>
      </w:pPr>
      <w:r>
        <w:rPr>
          <w:rFonts w:hint="eastAsia" w:ascii="宋体" w:hAnsi="宋体"/>
          <w:color w:val="auto"/>
          <w:sz w:val="21"/>
          <w:highlight w:val="none"/>
        </w:rPr>
        <w:t>上述各项合同文件包括合同当事人就该项合同文件所作出的补充和修改，同类文件相应内容不一致的，应以最新签署的为准。在合同订立及履行过程中形成的与合同有关的文件均构成合同文件组成部分，并根据其性质确定优先解释顺序</w:t>
      </w:r>
      <w:r>
        <w:rPr>
          <w:rFonts w:ascii="宋体" w:hAnsi="宋体"/>
          <w:color w:val="auto"/>
          <w:sz w:val="21"/>
          <w:highlight w:val="none"/>
        </w:rPr>
        <w:t>。</w:t>
      </w:r>
    </w:p>
    <w:p>
      <w:pPr>
        <w:numPr>
          <w:ilvl w:val="0"/>
          <w:numId w:val="30"/>
        </w:numPr>
        <w:tabs>
          <w:tab w:val="left" w:pos="709"/>
        </w:tabs>
        <w:spacing w:line="360" w:lineRule="auto"/>
        <w:ind w:right="4" w:firstLine="420"/>
        <w:rPr>
          <w:rFonts w:ascii="宋体" w:hAnsi="宋体"/>
          <w:color w:val="auto"/>
          <w:sz w:val="21"/>
          <w:highlight w:val="none"/>
          <w:u w:val="single"/>
        </w:rPr>
      </w:pPr>
      <w:r>
        <w:rPr>
          <w:rFonts w:hint="eastAsia" w:ascii="宋体" w:hAnsi="宋体" w:cs="宋体"/>
          <w:color w:val="auto"/>
          <w:kern w:val="2"/>
          <w:sz w:val="21"/>
          <w:szCs w:val="21"/>
          <w:highlight w:val="none"/>
        </w:rPr>
        <w:t>本项目的监理费</w:t>
      </w:r>
      <w:r>
        <w:rPr>
          <w:rFonts w:hint="eastAsia" w:ascii="宋体" w:hAnsi="宋体" w:cs="宋体"/>
          <w:color w:val="auto"/>
          <w:kern w:val="2"/>
          <w:sz w:val="21"/>
          <w:szCs w:val="21"/>
          <w:highlight w:val="none"/>
          <w:lang w:val="en-US" w:eastAsia="zh-CN"/>
        </w:rPr>
        <w:t>以</w:t>
      </w:r>
      <w:r>
        <w:rPr>
          <w:rFonts w:hint="eastAsia" w:ascii="宋体" w:hAnsi="宋体" w:cs="宋体"/>
          <w:color w:val="auto"/>
          <w:kern w:val="2"/>
          <w:sz w:val="21"/>
          <w:szCs w:val="21"/>
          <w:highlight w:val="none"/>
        </w:rPr>
        <w:t>总价包干</w:t>
      </w:r>
      <w:r>
        <w:rPr>
          <w:rFonts w:hint="eastAsia" w:ascii="宋体" w:hAnsi="宋体" w:cs="宋体"/>
          <w:color w:val="auto"/>
          <w:kern w:val="2"/>
          <w:sz w:val="21"/>
          <w:szCs w:val="21"/>
          <w:highlight w:val="none"/>
          <w:lang w:val="en-US" w:eastAsia="zh-CN"/>
        </w:rPr>
        <w:t>形式，</w:t>
      </w:r>
      <w:r>
        <w:rPr>
          <w:rFonts w:ascii="宋体" w:hAnsi="宋体"/>
          <w:color w:val="auto"/>
          <w:sz w:val="21"/>
          <w:highlight w:val="none"/>
        </w:rPr>
        <w:t>合同</w:t>
      </w:r>
      <w:r>
        <w:rPr>
          <w:rFonts w:hint="eastAsia" w:ascii="宋体" w:hAnsi="宋体"/>
          <w:color w:val="auto"/>
          <w:sz w:val="21"/>
          <w:highlight w:val="none"/>
        </w:rPr>
        <w:t>暂定</w:t>
      </w:r>
      <w:r>
        <w:rPr>
          <w:rFonts w:ascii="宋体" w:hAnsi="宋体"/>
          <w:color w:val="auto"/>
          <w:sz w:val="21"/>
          <w:highlight w:val="none"/>
        </w:rPr>
        <w:t>价</w:t>
      </w:r>
      <w:r>
        <w:rPr>
          <w:rFonts w:hint="eastAsia" w:ascii="宋体" w:hAnsi="宋体"/>
          <w:color w:val="auto"/>
          <w:sz w:val="21"/>
          <w:highlight w:val="none"/>
          <w:lang w:val="en-US" w:eastAsia="zh-CN"/>
        </w:rPr>
        <w:t>为</w:t>
      </w:r>
      <w:r>
        <w:rPr>
          <w:rFonts w:ascii="宋体" w:hAnsi="宋体"/>
          <w:color w:val="auto"/>
          <w:sz w:val="21"/>
          <w:highlight w:val="none"/>
        </w:rPr>
        <w:t>：人民币（大写）</w:t>
      </w:r>
      <w:r>
        <w:rPr>
          <w:rFonts w:hint="eastAsia" w:ascii="宋体" w:hAnsi="宋体"/>
          <w:color w:val="auto"/>
          <w:sz w:val="21"/>
          <w:highlight w:val="none"/>
          <w:u w:val="single"/>
        </w:rPr>
        <w:t xml:space="preserve">            </w:t>
      </w:r>
      <w:r>
        <w:rPr>
          <w:rFonts w:ascii="宋体" w:hAnsi="宋体"/>
          <w:color w:val="auto"/>
          <w:sz w:val="21"/>
          <w:highlight w:val="none"/>
        </w:rPr>
        <w:t>（¥</w:t>
      </w:r>
      <w:r>
        <w:rPr>
          <w:rFonts w:hint="eastAsia" w:ascii="宋体" w:hAnsi="宋体"/>
          <w:color w:val="auto"/>
          <w:sz w:val="21"/>
          <w:highlight w:val="none"/>
          <w:u w:val="single"/>
        </w:rPr>
        <w:t xml:space="preserve">           </w:t>
      </w:r>
      <w:r>
        <w:rPr>
          <w:rFonts w:ascii="宋体" w:hAnsi="宋体"/>
          <w:color w:val="auto"/>
          <w:sz w:val="21"/>
          <w:highlight w:val="none"/>
        </w:rPr>
        <w:t>）。</w:t>
      </w:r>
    </w:p>
    <w:p>
      <w:pPr>
        <w:numPr>
          <w:ilvl w:val="0"/>
          <w:numId w:val="30"/>
        </w:numPr>
        <w:tabs>
          <w:tab w:val="left" w:pos="709"/>
        </w:tabs>
        <w:autoSpaceDE w:val="0"/>
        <w:autoSpaceDN w:val="0"/>
        <w:ind w:firstLine="42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本合同约定的价格为含税价价格，税率为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%，合同履行期间国家税率调整或监理人开票的实际税率与前述税率不一致的，不含税价不变，价税合计按实际税率相应调整，以开具发票的时间为准。</w:t>
      </w:r>
    </w:p>
    <w:p>
      <w:pPr>
        <w:numPr>
          <w:ilvl w:val="0"/>
          <w:numId w:val="30"/>
        </w:numPr>
        <w:tabs>
          <w:tab w:val="left" w:pos="709"/>
        </w:tabs>
        <w:autoSpaceDE w:val="0"/>
        <w:autoSpaceDN w:val="0"/>
        <w:adjustRightInd/>
        <w:spacing w:line="440" w:lineRule="exact"/>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提交的发票被作废或红冲的，在</w:t>
      </w: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更换有效发票前，</w:t>
      </w:r>
      <w:r>
        <w:rPr>
          <w:rFonts w:hint="eastAsia" w:ascii="宋体" w:hAnsi="宋体" w:eastAsia="宋体" w:cs="宋体"/>
          <w:color w:val="auto"/>
          <w:sz w:val="24"/>
          <w:szCs w:val="24"/>
          <w:highlight w:val="none"/>
          <w:lang w:val="en-US" w:eastAsia="zh-CN"/>
        </w:rPr>
        <w:t>委托人</w:t>
      </w:r>
      <w:r>
        <w:rPr>
          <w:rFonts w:hint="eastAsia" w:ascii="宋体" w:hAnsi="宋体" w:eastAsia="宋体" w:cs="宋体"/>
          <w:color w:val="auto"/>
          <w:sz w:val="24"/>
          <w:szCs w:val="24"/>
          <w:highlight w:val="none"/>
        </w:rPr>
        <w:t>有权要求退回该发票对应的已支付款项并不再给予支付后续的全部合同款项，由此造成</w:t>
      </w:r>
      <w:r>
        <w:rPr>
          <w:rFonts w:hint="eastAsia" w:ascii="宋体" w:hAnsi="宋体" w:eastAsia="宋体" w:cs="宋体"/>
          <w:color w:val="auto"/>
          <w:sz w:val="24"/>
          <w:szCs w:val="24"/>
          <w:highlight w:val="none"/>
          <w:lang w:val="en-US" w:eastAsia="zh-CN"/>
        </w:rPr>
        <w:t>委托人</w:t>
      </w:r>
      <w:r>
        <w:rPr>
          <w:rFonts w:hint="eastAsia" w:ascii="宋体" w:hAnsi="宋体" w:eastAsia="宋体" w:cs="宋体"/>
          <w:color w:val="auto"/>
          <w:sz w:val="24"/>
          <w:szCs w:val="24"/>
          <w:highlight w:val="none"/>
        </w:rPr>
        <w:t>损失的，由</w:t>
      </w: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承担赔偿责任。</w:t>
      </w:r>
    </w:p>
    <w:p>
      <w:pPr>
        <w:numPr>
          <w:ilvl w:val="0"/>
          <w:numId w:val="0"/>
        </w:numPr>
        <w:tabs>
          <w:tab w:val="left" w:pos="709"/>
        </w:tabs>
        <w:autoSpaceDE w:val="0"/>
        <w:autoSpaceDN w:val="0"/>
        <w:ind w:firstLine="0" w:firstLineChars="0"/>
        <w:rPr>
          <w:rFonts w:hint="eastAsia" w:ascii="宋体" w:hAnsi="宋体" w:cs="宋体"/>
          <w:color w:val="auto"/>
          <w:sz w:val="24"/>
          <w:szCs w:val="24"/>
          <w:highlight w:val="none"/>
        </w:rPr>
      </w:pPr>
    </w:p>
    <w:p>
      <w:pPr>
        <w:tabs>
          <w:tab w:val="left" w:pos="709"/>
        </w:tabs>
        <w:spacing w:line="360" w:lineRule="auto"/>
        <w:ind w:left="420" w:right="4"/>
        <w:rPr>
          <w:rFonts w:ascii="宋体" w:hAnsi="宋体"/>
          <w:color w:val="auto"/>
          <w:sz w:val="21"/>
          <w:highlight w:val="none"/>
        </w:rPr>
      </w:pPr>
      <w:r>
        <w:rPr>
          <w:rFonts w:hint="eastAsia" w:ascii="宋体" w:hAnsi="宋体"/>
          <w:color w:val="auto"/>
          <w:sz w:val="21"/>
          <w:highlight w:val="none"/>
          <w:lang w:val="en-US" w:eastAsia="zh-CN"/>
        </w:rPr>
        <w:t>5</w:t>
      </w:r>
      <w:r>
        <w:rPr>
          <w:rFonts w:ascii="宋体" w:hAnsi="宋体"/>
          <w:color w:val="auto"/>
          <w:sz w:val="21"/>
          <w:highlight w:val="none"/>
        </w:rPr>
        <w:t>.</w:t>
      </w:r>
      <w:r>
        <w:rPr>
          <w:rFonts w:ascii="宋体" w:hAnsi="宋体"/>
          <w:color w:val="auto"/>
          <w:sz w:val="21"/>
          <w:highlight w:val="none"/>
        </w:rPr>
        <w:tab/>
      </w:r>
      <w:r>
        <w:rPr>
          <w:rFonts w:ascii="宋体" w:hAnsi="宋体"/>
          <w:color w:val="auto"/>
          <w:sz w:val="21"/>
          <w:highlight w:val="none"/>
        </w:rPr>
        <w:t>总监理工程师：</w:t>
      </w:r>
      <w:r>
        <w:rPr>
          <w:rFonts w:hint="eastAsia" w:ascii="宋体" w:hAnsi="宋体"/>
          <w:color w:val="auto"/>
          <w:sz w:val="21"/>
          <w:highlight w:val="none"/>
          <w:u w:val="single"/>
        </w:rPr>
        <w:t xml:space="preserve">                  ，监理证号：                 </w:t>
      </w:r>
      <w:r>
        <w:rPr>
          <w:rFonts w:ascii="宋体" w:hAnsi="宋体"/>
          <w:color w:val="auto"/>
          <w:sz w:val="21"/>
          <w:highlight w:val="none"/>
        </w:rPr>
        <w:t>。</w:t>
      </w:r>
    </w:p>
    <w:p>
      <w:pPr>
        <w:tabs>
          <w:tab w:val="left" w:pos="709"/>
        </w:tabs>
        <w:spacing w:line="360" w:lineRule="auto"/>
        <w:ind w:left="0" w:leftChars="0" w:right="4" w:firstLine="420" w:firstLineChars="200"/>
        <w:rPr>
          <w:rFonts w:ascii="宋体" w:hAnsi="宋体"/>
          <w:color w:val="auto"/>
          <w:sz w:val="21"/>
          <w:highlight w:val="none"/>
        </w:rPr>
      </w:pPr>
      <w:r>
        <w:rPr>
          <w:rFonts w:hint="eastAsia" w:ascii="宋体" w:hAnsi="宋体"/>
          <w:color w:val="auto"/>
          <w:sz w:val="21"/>
          <w:highlight w:val="none"/>
          <w:lang w:val="en-US" w:eastAsia="zh-CN"/>
        </w:rPr>
        <w:t>6</w:t>
      </w:r>
      <w:r>
        <w:rPr>
          <w:rFonts w:ascii="宋体" w:hAnsi="宋体"/>
          <w:color w:val="auto"/>
          <w:sz w:val="21"/>
          <w:highlight w:val="none"/>
        </w:rPr>
        <w:t>.</w:t>
      </w:r>
      <w:r>
        <w:rPr>
          <w:rFonts w:ascii="宋体" w:hAnsi="宋体"/>
          <w:color w:val="auto"/>
          <w:sz w:val="21"/>
          <w:highlight w:val="none"/>
        </w:rPr>
        <w:tab/>
      </w:r>
      <w:r>
        <w:rPr>
          <w:rFonts w:ascii="宋体" w:hAnsi="宋体"/>
          <w:color w:val="auto"/>
          <w:sz w:val="21"/>
          <w:highlight w:val="none"/>
        </w:rPr>
        <w:t>监理工作质量符合的标准和要求：</w:t>
      </w:r>
      <w:r>
        <w:rPr>
          <w:rFonts w:hint="eastAsia" w:ascii="宋体" w:hAnsi="宋体"/>
          <w:color w:val="auto"/>
          <w:sz w:val="21"/>
          <w:highlight w:val="none"/>
          <w:u w:val="single"/>
        </w:rPr>
        <w:t>按照《建设工程施工监理规范》中规定的监理内容，并结合本工程具体情况对工程实施全过程监理，一次性竣工验收合格。</w:t>
      </w:r>
    </w:p>
    <w:p>
      <w:pPr>
        <w:numPr>
          <w:ilvl w:val="0"/>
          <w:numId w:val="0"/>
        </w:numPr>
        <w:tabs>
          <w:tab w:val="left" w:pos="709"/>
        </w:tabs>
        <w:spacing w:line="360" w:lineRule="auto"/>
        <w:ind w:left="400" w:firstLine="0"/>
        <w:rPr>
          <w:rFonts w:eastAsia="Times New Roman"/>
          <w:color w:val="auto"/>
          <w:sz w:val="21"/>
          <w:highlight w:val="none"/>
        </w:rPr>
      </w:pPr>
      <w:r>
        <w:rPr>
          <w:rFonts w:hint="eastAsia" w:ascii="宋体" w:hAnsi="宋体"/>
          <w:color w:val="auto"/>
          <w:sz w:val="21"/>
          <w:highlight w:val="none"/>
          <w:lang w:val="en-US" w:eastAsia="zh-CN"/>
        </w:rPr>
        <w:t>7.</w:t>
      </w:r>
      <w:r>
        <w:rPr>
          <w:rFonts w:ascii="宋体" w:hAnsi="宋体"/>
          <w:color w:val="auto"/>
          <w:sz w:val="21"/>
          <w:highlight w:val="none"/>
        </w:rPr>
        <w:t>监理人承诺按合同约定承担工程的监理工作。</w:t>
      </w:r>
      <w:r>
        <w:rPr>
          <w:rFonts w:hint="eastAsia" w:ascii="宋体" w:hAnsi="宋体" w:cs="宋体"/>
          <w:color w:val="auto"/>
          <w:sz w:val="21"/>
          <w:szCs w:val="21"/>
          <w:highlight w:val="none"/>
          <w:u w:val="single"/>
        </w:rPr>
        <w:t>监理人向委托人承诺，按照本合同的规定，承担本合同约定的监理业务。</w:t>
      </w:r>
    </w:p>
    <w:p>
      <w:pPr>
        <w:numPr>
          <w:ilvl w:val="0"/>
          <w:numId w:val="0"/>
        </w:numPr>
        <w:spacing w:line="360" w:lineRule="auto"/>
        <w:ind w:left="0" w:firstLine="420" w:firstLineChars="200"/>
        <w:rPr>
          <w:rFonts w:eastAsia="Times New Roman"/>
          <w:color w:val="auto"/>
          <w:sz w:val="21"/>
          <w:highlight w:val="none"/>
        </w:rPr>
      </w:pPr>
      <w:r>
        <w:rPr>
          <w:rFonts w:hint="eastAsia" w:ascii="宋体" w:hAnsi="宋体"/>
          <w:color w:val="auto"/>
          <w:sz w:val="21"/>
          <w:highlight w:val="none"/>
          <w:lang w:val="en-US" w:eastAsia="zh-CN"/>
        </w:rPr>
        <w:t>8.</w:t>
      </w:r>
      <w:r>
        <w:rPr>
          <w:rFonts w:ascii="宋体" w:hAnsi="宋体"/>
          <w:color w:val="auto"/>
          <w:sz w:val="21"/>
          <w:highlight w:val="none"/>
        </w:rPr>
        <w:t>委托人承诺按合同约定的条件、时间和方式向监理人支付合</w:t>
      </w:r>
      <w:r>
        <w:rPr>
          <w:rFonts w:ascii="宋体" w:hAnsi="宋体"/>
          <w:color w:val="auto"/>
          <w:sz w:val="21"/>
          <w:szCs w:val="21"/>
          <w:highlight w:val="none"/>
        </w:rPr>
        <w:t>同价款。</w:t>
      </w:r>
      <w:r>
        <w:rPr>
          <w:rFonts w:hint="eastAsia" w:ascii="宋体" w:hAnsi="宋体" w:cs="宋体"/>
          <w:color w:val="auto"/>
          <w:sz w:val="21"/>
          <w:szCs w:val="21"/>
          <w:highlight w:val="none"/>
          <w:u w:val="single"/>
        </w:rPr>
        <w:t>委托人向监理人承诺按照本合同注明的期限、方式、币种，向监理人支付报酬。监理人应在收款前，向委托人出具等额合法有效的增值税专用发票，发票抬头为广州市净水有限公司。</w:t>
      </w:r>
    </w:p>
    <w:p>
      <w:pPr>
        <w:tabs>
          <w:tab w:val="left" w:pos="709"/>
          <w:tab w:val="left" w:pos="4140"/>
          <w:tab w:val="left" w:pos="4560"/>
          <w:tab w:val="left" w:pos="4980"/>
        </w:tabs>
        <w:spacing w:line="360" w:lineRule="auto"/>
        <w:ind w:firstLine="420" w:firstLineChars="200"/>
        <w:rPr>
          <w:rFonts w:ascii="宋体" w:hAnsi="宋体"/>
          <w:color w:val="auto"/>
          <w:sz w:val="21"/>
          <w:highlight w:val="none"/>
        </w:rPr>
      </w:pPr>
      <w:r>
        <w:rPr>
          <w:rFonts w:hint="eastAsia" w:eastAsia="宋体"/>
          <w:color w:val="auto"/>
          <w:sz w:val="21"/>
          <w:highlight w:val="none"/>
          <w:lang w:val="en-US" w:eastAsia="zh-CN"/>
        </w:rPr>
        <w:t>9.</w:t>
      </w:r>
      <w:r>
        <w:rPr>
          <w:rFonts w:ascii="宋体" w:hAnsi="宋体"/>
          <w:color w:val="auto"/>
          <w:sz w:val="21"/>
          <w:highlight w:val="none"/>
        </w:rPr>
        <w:t>监理人计划开始监理日期：按照委托人在开始监理通知中载明的开始监理日期为准。监理服务期限</w:t>
      </w:r>
      <w:r>
        <w:rPr>
          <w:rFonts w:hint="eastAsia" w:ascii="宋体" w:hAnsi="宋体"/>
          <w:color w:val="auto"/>
          <w:sz w:val="21"/>
          <w:highlight w:val="none"/>
        </w:rPr>
        <w:t>：自开始监理日期，至工程竣工验收合格、缺陷责任期届满之日并完成结算止</w:t>
      </w:r>
      <w:r>
        <w:rPr>
          <w:rFonts w:ascii="宋体" w:hAnsi="宋体"/>
          <w:color w:val="auto"/>
          <w:sz w:val="21"/>
          <w:highlight w:val="none"/>
        </w:rPr>
        <w:t>。</w:t>
      </w:r>
    </w:p>
    <w:p>
      <w:pPr>
        <w:spacing w:line="24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合同签订后</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个月内</w:t>
      </w:r>
      <w:r>
        <w:rPr>
          <w:rFonts w:hint="eastAsia" w:ascii="宋体" w:hAnsi="宋体" w:eastAsia="宋体" w:cs="宋体"/>
          <w:color w:val="auto"/>
          <w:kern w:val="2"/>
          <w:sz w:val="21"/>
          <w:szCs w:val="21"/>
          <w:highlight w:val="none"/>
          <w:lang w:val="en-US" w:eastAsia="zh-CN"/>
        </w:rPr>
        <w:t>委托</w:t>
      </w:r>
      <w:r>
        <w:rPr>
          <w:rFonts w:hint="eastAsia" w:ascii="宋体" w:hAnsi="宋体" w:cs="宋体"/>
          <w:color w:val="auto"/>
          <w:kern w:val="2"/>
          <w:sz w:val="21"/>
          <w:szCs w:val="21"/>
          <w:highlight w:val="none"/>
          <w:lang w:val="en-US" w:eastAsia="zh-CN"/>
        </w:rPr>
        <w:t>人</w:t>
      </w:r>
      <w:r>
        <w:rPr>
          <w:rFonts w:hint="eastAsia" w:ascii="宋体" w:hAnsi="宋体" w:eastAsia="宋体" w:cs="宋体"/>
          <w:color w:val="auto"/>
          <w:kern w:val="2"/>
          <w:sz w:val="21"/>
          <w:szCs w:val="21"/>
          <w:highlight w:val="none"/>
        </w:rPr>
        <w:t>未</w:t>
      </w:r>
      <w:r>
        <w:rPr>
          <w:rFonts w:hint="eastAsia" w:ascii="宋体" w:hAnsi="宋体" w:eastAsia="宋体" w:cs="宋体"/>
          <w:color w:val="auto"/>
          <w:kern w:val="2"/>
          <w:sz w:val="21"/>
          <w:szCs w:val="21"/>
          <w:highlight w:val="none"/>
          <w:lang w:val="en-US" w:eastAsia="zh-CN"/>
        </w:rPr>
        <w:t>向监理人发出</w:t>
      </w:r>
      <w:r>
        <w:rPr>
          <w:rFonts w:hint="eastAsia" w:ascii="宋体" w:hAnsi="宋体" w:cs="宋体"/>
          <w:color w:val="auto"/>
          <w:kern w:val="2"/>
          <w:sz w:val="21"/>
          <w:szCs w:val="21"/>
          <w:highlight w:val="none"/>
        </w:rPr>
        <w:t>开始监理通知</w:t>
      </w:r>
      <w:r>
        <w:rPr>
          <w:rFonts w:hint="eastAsia" w:ascii="宋体" w:hAnsi="宋体" w:eastAsia="宋体" w:cs="宋体"/>
          <w:color w:val="auto"/>
          <w:kern w:val="2"/>
          <w:sz w:val="21"/>
          <w:szCs w:val="21"/>
          <w:highlight w:val="none"/>
        </w:rPr>
        <w:t>，视为合同无需继续履行、合同自动终止，</w:t>
      </w:r>
      <w:r>
        <w:rPr>
          <w:rFonts w:hint="eastAsia" w:ascii="宋体" w:hAnsi="宋体" w:cs="宋体"/>
          <w:color w:val="auto"/>
          <w:kern w:val="2"/>
          <w:sz w:val="21"/>
          <w:szCs w:val="21"/>
          <w:highlight w:val="none"/>
          <w:lang w:val="en-US" w:eastAsia="zh-CN"/>
        </w:rPr>
        <w:t>监理人</w:t>
      </w:r>
      <w:r>
        <w:rPr>
          <w:rFonts w:hint="eastAsia" w:ascii="宋体" w:hAnsi="宋体" w:eastAsia="宋体" w:cs="宋体"/>
          <w:color w:val="auto"/>
          <w:kern w:val="2"/>
          <w:sz w:val="21"/>
          <w:szCs w:val="21"/>
          <w:highlight w:val="none"/>
        </w:rPr>
        <w:t>不得再向甲方要求任何补偿、赔偿及支付任何费用。合同终止后，按本合同条款</w:t>
      </w:r>
      <w:r>
        <w:rPr>
          <w:rFonts w:hint="eastAsia" w:ascii="宋体" w:hAnsi="宋体" w:cs="宋体"/>
          <w:color w:val="auto"/>
          <w:kern w:val="2"/>
          <w:sz w:val="21"/>
          <w:szCs w:val="21"/>
          <w:highlight w:val="none"/>
          <w:lang w:eastAsia="zh-CN"/>
        </w:rPr>
        <w:t>4</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退回履约担保。</w:t>
      </w:r>
    </w:p>
    <w:p>
      <w:pPr>
        <w:tabs>
          <w:tab w:val="left" w:pos="709"/>
          <w:tab w:val="left" w:pos="2720"/>
          <w:tab w:val="left" w:pos="3460"/>
          <w:tab w:val="left" w:pos="5140"/>
          <w:tab w:val="left" w:pos="5500"/>
        </w:tabs>
        <w:spacing w:line="360" w:lineRule="auto"/>
        <w:ind w:firstLine="420" w:firstLineChars="200"/>
        <w:rPr>
          <w:rFonts w:ascii="宋体" w:hAnsi="宋体"/>
          <w:color w:val="auto"/>
          <w:sz w:val="21"/>
          <w:highlight w:val="none"/>
        </w:rPr>
      </w:pPr>
      <w:r>
        <w:rPr>
          <w:rFonts w:hint="eastAsia" w:ascii="宋体" w:hAnsi="宋体"/>
          <w:color w:val="auto"/>
          <w:sz w:val="21"/>
          <w:highlight w:val="none"/>
          <w:lang w:val="en-US" w:eastAsia="zh-CN"/>
        </w:rPr>
        <w:t>11.</w:t>
      </w:r>
      <w:r>
        <w:rPr>
          <w:rFonts w:ascii="宋体" w:hAnsi="宋体"/>
          <w:color w:val="auto"/>
          <w:sz w:val="21"/>
          <w:highlight w:val="none"/>
          <w:u w:val="single"/>
        </w:rPr>
        <w:t>本合同协议书</w:t>
      </w:r>
      <w:r>
        <w:rPr>
          <w:rFonts w:hint="eastAsia" w:ascii="宋体" w:hAnsi="宋体"/>
          <w:color w:val="auto"/>
          <w:sz w:val="21"/>
          <w:highlight w:val="none"/>
          <w:u w:val="single"/>
        </w:rPr>
        <w:t>正本</w:t>
      </w:r>
      <w:r>
        <w:rPr>
          <w:rFonts w:ascii="宋体" w:hAnsi="宋体"/>
          <w:color w:val="auto"/>
          <w:sz w:val="21"/>
          <w:highlight w:val="none"/>
          <w:u w:val="single"/>
        </w:rPr>
        <w:t>一式</w:t>
      </w:r>
      <w:r>
        <w:rPr>
          <w:rFonts w:hint="eastAsia" w:ascii="宋体" w:hAnsi="宋体"/>
          <w:color w:val="auto"/>
          <w:sz w:val="21"/>
          <w:highlight w:val="none"/>
          <w:u w:val="single"/>
          <w:lang w:val="en-US" w:eastAsia="zh-CN"/>
        </w:rPr>
        <w:t xml:space="preserve">   </w:t>
      </w:r>
      <w:r>
        <w:rPr>
          <w:rFonts w:hint="eastAsia" w:ascii="宋体" w:hAnsi="宋体"/>
          <w:color w:val="auto"/>
          <w:w w:val="98"/>
          <w:sz w:val="21"/>
          <w:highlight w:val="none"/>
          <w:u w:val="single"/>
        </w:rPr>
        <w:t xml:space="preserve"> </w:t>
      </w:r>
      <w:r>
        <w:rPr>
          <w:rFonts w:ascii="宋体" w:hAnsi="宋体"/>
          <w:color w:val="auto"/>
          <w:sz w:val="21"/>
          <w:highlight w:val="none"/>
          <w:u w:val="single"/>
        </w:rPr>
        <w:t>份，合同双方各执</w:t>
      </w:r>
      <w:r>
        <w:rPr>
          <w:rFonts w:hint="eastAsia" w:ascii="宋体" w:hAnsi="宋体"/>
          <w:color w:val="auto"/>
          <w:sz w:val="21"/>
          <w:highlight w:val="none"/>
          <w:u w:val="single"/>
        </w:rPr>
        <w:t xml:space="preserve"> 一 </w:t>
      </w:r>
      <w:r>
        <w:rPr>
          <w:rFonts w:ascii="宋体" w:hAnsi="宋体"/>
          <w:color w:val="auto"/>
          <w:sz w:val="21"/>
          <w:highlight w:val="none"/>
          <w:u w:val="single"/>
        </w:rPr>
        <w:t>份</w:t>
      </w:r>
      <w:r>
        <w:rPr>
          <w:rFonts w:hint="eastAsia" w:ascii="宋体" w:hAnsi="宋体"/>
          <w:color w:val="auto"/>
          <w:sz w:val="21"/>
          <w:highlight w:val="none"/>
          <w:u w:val="single"/>
        </w:rPr>
        <w:t>；副本</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份，委托人执</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份，监理人执</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份。正本与副本不一致时，以正本为准</w:t>
      </w:r>
      <w:r>
        <w:rPr>
          <w:rFonts w:ascii="宋体" w:hAnsi="宋体"/>
          <w:color w:val="auto"/>
          <w:sz w:val="21"/>
          <w:highlight w:val="none"/>
          <w:u w:val="single"/>
        </w:rPr>
        <w:t>。</w:t>
      </w:r>
    </w:p>
    <w:p>
      <w:pPr>
        <w:tabs>
          <w:tab w:val="left" w:pos="1000"/>
          <w:tab w:val="left" w:pos="2720"/>
          <w:tab w:val="left" w:pos="3460"/>
          <w:tab w:val="left" w:pos="3580"/>
          <w:tab w:val="left" w:pos="4140"/>
          <w:tab w:val="left" w:pos="4560"/>
          <w:tab w:val="left" w:pos="4980"/>
          <w:tab w:val="left" w:pos="5140"/>
          <w:tab w:val="left" w:pos="5500"/>
          <w:tab w:val="left" w:pos="5880"/>
        </w:tabs>
        <w:spacing w:line="20" w:lineRule="exact"/>
        <w:ind w:left="360"/>
        <w:rPr>
          <w:rFonts w:eastAsia="Times New Roman"/>
          <w:color w:val="auto"/>
          <w:sz w:val="1"/>
          <w:highlight w:val="none"/>
        </w:rPr>
      </w:pP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p>
    <w:p>
      <w:pPr>
        <w:numPr>
          <w:ilvl w:val="0"/>
          <w:numId w:val="0"/>
        </w:numPr>
        <w:tabs>
          <w:tab w:val="left" w:pos="709"/>
        </w:tabs>
        <w:spacing w:line="256" w:lineRule="exact"/>
        <w:ind w:left="0" w:firstLine="420" w:firstLineChars="200"/>
        <w:rPr>
          <w:rFonts w:eastAsia="Times New Roman"/>
          <w:color w:val="auto"/>
          <w:sz w:val="21"/>
          <w:highlight w:val="none"/>
        </w:rPr>
      </w:pPr>
      <w:r>
        <w:rPr>
          <w:rFonts w:hint="eastAsia" w:ascii="宋体" w:hAnsi="宋体"/>
          <w:color w:val="auto"/>
          <w:sz w:val="21"/>
          <w:highlight w:val="none"/>
          <w:lang w:val="en-US" w:eastAsia="zh-CN"/>
        </w:rPr>
        <w:t>12.</w:t>
      </w:r>
      <w:r>
        <w:rPr>
          <w:rFonts w:ascii="宋体" w:hAnsi="宋体"/>
          <w:color w:val="auto"/>
          <w:sz w:val="21"/>
          <w:highlight w:val="none"/>
        </w:rPr>
        <w:t>合同未尽事宜，双方另行签订补充协议。补充协议是合同的组成部分。</w:t>
      </w:r>
    </w:p>
    <w:p>
      <w:pPr>
        <w:spacing w:line="200" w:lineRule="exact"/>
        <w:rPr>
          <w:rFonts w:eastAsia="Times New Roman"/>
          <w:color w:val="auto"/>
          <w:highlight w:val="none"/>
        </w:rPr>
      </w:pPr>
    </w:p>
    <w:p>
      <w:pPr>
        <w:tabs>
          <w:tab w:val="left" w:pos="1520"/>
          <w:tab w:val="left" w:pos="2260"/>
          <w:tab w:val="left" w:pos="2560"/>
          <w:tab w:val="left" w:pos="2880"/>
          <w:tab w:val="left" w:pos="4245"/>
          <w:tab w:val="left" w:pos="5720"/>
          <w:tab w:val="left" w:pos="6660"/>
          <w:tab w:val="left" w:pos="6980"/>
          <w:tab w:val="left" w:pos="7500"/>
          <w:tab w:val="left" w:pos="7600"/>
        </w:tabs>
        <w:spacing w:line="360" w:lineRule="auto"/>
        <w:rPr>
          <w:rFonts w:ascii="宋体" w:hAnsi="宋体"/>
          <w:color w:val="auto"/>
          <w:sz w:val="21"/>
          <w:highlight w:val="none"/>
        </w:rPr>
      </w:pPr>
      <w:r>
        <w:rPr>
          <w:rFonts w:ascii="宋体" w:hAnsi="宋体"/>
          <w:color w:val="auto"/>
          <w:sz w:val="21"/>
          <w:highlight w:val="none"/>
        </w:rPr>
        <w:t>委托人：</w:t>
      </w:r>
      <w:r>
        <w:rPr>
          <w:rFonts w:hint="eastAsia" w:ascii="宋体" w:hAnsi="宋体"/>
          <w:color w:val="auto"/>
          <w:sz w:val="21"/>
          <w:highlight w:val="none"/>
        </w:rPr>
        <w:t xml:space="preserve">               </w:t>
      </w:r>
      <w:r>
        <w:rPr>
          <w:rFonts w:ascii="宋体" w:hAnsi="宋体"/>
          <w:color w:val="auto"/>
          <w:sz w:val="21"/>
          <w:highlight w:val="none"/>
        </w:rPr>
        <w:t>（盖单位章）</w:t>
      </w:r>
      <w:r>
        <w:rPr>
          <w:rFonts w:ascii="宋体" w:hAnsi="宋体"/>
          <w:color w:val="auto"/>
          <w:w w:val="99"/>
          <w:sz w:val="21"/>
          <w:highlight w:val="none"/>
        </w:rPr>
        <w:tab/>
      </w:r>
      <w:r>
        <w:rPr>
          <w:rFonts w:ascii="宋体" w:hAnsi="宋体"/>
          <w:color w:val="auto"/>
          <w:sz w:val="21"/>
          <w:highlight w:val="none"/>
        </w:rPr>
        <w:t>监理人：</w:t>
      </w:r>
      <w:r>
        <w:rPr>
          <w:rFonts w:hint="eastAsia" w:ascii="宋体" w:hAnsi="宋体"/>
          <w:color w:val="auto"/>
          <w:sz w:val="21"/>
          <w:highlight w:val="none"/>
        </w:rPr>
        <w:t xml:space="preserve">               </w:t>
      </w:r>
      <w:r>
        <w:rPr>
          <w:rFonts w:ascii="宋体" w:hAnsi="宋体"/>
          <w:color w:val="auto"/>
          <w:sz w:val="21"/>
          <w:highlight w:val="none"/>
        </w:rPr>
        <w:t>（盖单位章）</w:t>
      </w:r>
    </w:p>
    <w:p>
      <w:pPr>
        <w:tabs>
          <w:tab w:val="left" w:pos="1200"/>
          <w:tab w:val="left" w:pos="1300"/>
          <w:tab w:val="left" w:pos="2260"/>
          <w:tab w:val="left" w:pos="2560"/>
          <w:tab w:val="left" w:pos="2880"/>
          <w:tab w:val="left" w:pos="3100"/>
          <w:tab w:val="left" w:pos="3300"/>
          <w:tab w:val="left" w:pos="3520"/>
          <w:tab w:val="left" w:pos="4660"/>
          <w:tab w:val="left" w:pos="5500"/>
          <w:tab w:val="left" w:pos="5620"/>
          <w:tab w:val="left" w:pos="6660"/>
          <w:tab w:val="left" w:pos="6980"/>
          <w:tab w:val="left" w:pos="7500"/>
          <w:tab w:val="left" w:pos="7600"/>
          <w:tab w:val="left" w:pos="7920"/>
          <w:tab w:val="left" w:pos="8140"/>
        </w:tabs>
        <w:spacing w:line="360" w:lineRule="auto"/>
        <w:rPr>
          <w:rFonts w:eastAsia="Times New Roman"/>
          <w:color w:val="auto"/>
          <w:sz w:val="1"/>
          <w:highlight w:val="none"/>
        </w:rPr>
      </w:pPr>
      <w:r>
        <w:rPr>
          <w:rFonts w:eastAsia="Times New Roman"/>
          <w:color w:val="auto"/>
          <w:sz w:val="1"/>
          <w:highlight w:val="none"/>
        </w:rPr>
        <w:tab/>
      </w:r>
    </w:p>
    <w:p>
      <w:pPr>
        <w:tabs>
          <w:tab w:val="left" w:pos="3002"/>
          <w:tab w:val="left" w:pos="3422"/>
          <w:tab w:val="left" w:pos="4247"/>
          <w:tab w:val="left" w:pos="7600"/>
          <w:tab w:val="left" w:pos="7920"/>
          <w:tab w:val="left" w:pos="8140"/>
        </w:tabs>
        <w:spacing w:line="360" w:lineRule="auto"/>
        <w:rPr>
          <w:rFonts w:ascii="宋体" w:hAnsi="宋体"/>
          <w:color w:val="auto"/>
          <w:sz w:val="21"/>
          <w:highlight w:val="none"/>
        </w:rPr>
      </w:pPr>
      <w:r>
        <w:rPr>
          <w:rFonts w:ascii="宋体" w:hAnsi="宋体"/>
          <w:color w:val="auto"/>
          <w:sz w:val="21"/>
          <w:highlight w:val="none"/>
        </w:rPr>
        <w:t>法定代表人或其委托代理人：</w:t>
      </w:r>
      <w:r>
        <w:rPr>
          <w:rFonts w:ascii="宋体" w:hAnsi="宋体"/>
          <w:color w:val="auto"/>
          <w:w w:val="99"/>
          <w:sz w:val="21"/>
          <w:highlight w:val="none"/>
        </w:rPr>
        <w:tab/>
      </w:r>
      <w:r>
        <w:rPr>
          <w:rFonts w:ascii="宋体" w:hAnsi="宋体"/>
          <w:color w:val="auto"/>
          <w:sz w:val="21"/>
          <w:highlight w:val="none"/>
        </w:rPr>
        <w:t>（签字）</w:t>
      </w:r>
      <w:r>
        <w:rPr>
          <w:rFonts w:ascii="宋体" w:hAnsi="宋体"/>
          <w:color w:val="auto"/>
          <w:sz w:val="21"/>
          <w:highlight w:val="none"/>
        </w:rPr>
        <w:tab/>
      </w:r>
      <w:r>
        <w:rPr>
          <w:rFonts w:ascii="宋体" w:hAnsi="宋体"/>
          <w:color w:val="auto"/>
          <w:sz w:val="21"/>
          <w:highlight w:val="none"/>
        </w:rPr>
        <w:t>法定代表人或其委托代理人：</w:t>
      </w:r>
      <w:r>
        <w:rPr>
          <w:rFonts w:hint="eastAsia"/>
          <w:color w:val="auto"/>
          <w:sz w:val="24"/>
          <w:highlight w:val="none"/>
        </w:rPr>
        <w:t xml:space="preserve">     </w:t>
      </w:r>
      <w:r>
        <w:rPr>
          <w:rFonts w:ascii="宋体" w:hAnsi="宋体"/>
          <w:color w:val="auto"/>
          <w:sz w:val="21"/>
          <w:highlight w:val="none"/>
        </w:rPr>
        <w:t>（签字）</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住所地：                                 住所地：</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开户银行：                               开户银行：</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账号：                                   账号：</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邮编：                                   邮编：</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电话：                                   电话：</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ind w:firstLine="735" w:firstLineChars="350"/>
        <w:rPr>
          <w:rFonts w:ascii="宋体" w:hAnsi="宋体"/>
          <w:color w:val="auto"/>
          <w:sz w:val="21"/>
          <w:szCs w:val="21"/>
          <w:highlight w:val="none"/>
        </w:rPr>
      </w:pPr>
      <w:r>
        <w:rPr>
          <w:rFonts w:ascii="宋体" w:hAnsi="宋体"/>
          <w:color w:val="auto"/>
          <w:sz w:val="21"/>
          <w:szCs w:val="21"/>
          <w:highlight w:val="none"/>
        </w:rPr>
        <w:t>年</w:t>
      </w:r>
      <w:r>
        <w:rPr>
          <w:rFonts w:hint="eastAsia" w:ascii="宋体" w:hAnsi="宋体"/>
          <w:color w:val="auto"/>
          <w:w w:val="95"/>
          <w:sz w:val="21"/>
          <w:szCs w:val="21"/>
          <w:highlight w:val="none"/>
        </w:rPr>
        <w:t xml:space="preserve">        </w:t>
      </w:r>
      <w:r>
        <w:rPr>
          <w:rFonts w:ascii="宋体" w:hAnsi="宋体"/>
          <w:color w:val="auto"/>
          <w:sz w:val="21"/>
          <w:szCs w:val="21"/>
          <w:highlight w:val="none"/>
        </w:rPr>
        <w:t>月</w:t>
      </w:r>
      <w:r>
        <w:rPr>
          <w:rFonts w:hint="eastAsia" w:ascii="宋体" w:hAnsi="宋体"/>
          <w:color w:val="auto"/>
          <w:sz w:val="21"/>
          <w:szCs w:val="21"/>
          <w:highlight w:val="none"/>
        </w:rPr>
        <w:t xml:space="preserve">          </w:t>
      </w:r>
      <w:r>
        <w:rPr>
          <w:rFonts w:ascii="宋体" w:hAnsi="宋体"/>
          <w:color w:val="auto"/>
          <w:sz w:val="21"/>
          <w:szCs w:val="21"/>
          <w:highlight w:val="none"/>
        </w:rPr>
        <w:t>日</w:t>
      </w:r>
      <w:r>
        <w:rPr>
          <w:rFonts w:hint="eastAsia" w:ascii="宋体" w:hAnsi="宋体"/>
          <w:color w:val="auto"/>
          <w:sz w:val="21"/>
          <w:szCs w:val="21"/>
          <w:highlight w:val="none"/>
        </w:rPr>
        <w:t xml:space="preserve"> </w:t>
      </w:r>
      <w:r>
        <w:rPr>
          <w:rFonts w:eastAsia="Times New Roman"/>
          <w:color w:val="auto"/>
          <w:sz w:val="21"/>
          <w:szCs w:val="21"/>
          <w:highlight w:val="none"/>
        </w:rPr>
        <w:tab/>
      </w:r>
      <w:r>
        <w:rPr>
          <w:rFonts w:ascii="宋体" w:hAnsi="宋体"/>
          <w:color w:val="auto"/>
          <w:sz w:val="21"/>
          <w:szCs w:val="21"/>
          <w:highlight w:val="none"/>
        </w:rPr>
        <w:t>年</w:t>
      </w:r>
      <w:r>
        <w:rPr>
          <w:rFonts w:hint="eastAsia" w:ascii="宋体" w:hAnsi="宋体"/>
          <w:color w:val="auto"/>
          <w:w w:val="95"/>
          <w:sz w:val="21"/>
          <w:szCs w:val="21"/>
          <w:highlight w:val="none"/>
        </w:rPr>
        <w:t xml:space="preserve">          </w:t>
      </w:r>
      <w:r>
        <w:rPr>
          <w:rFonts w:ascii="宋体" w:hAnsi="宋体"/>
          <w:color w:val="auto"/>
          <w:sz w:val="21"/>
          <w:szCs w:val="21"/>
          <w:highlight w:val="none"/>
        </w:rPr>
        <w:t>月</w:t>
      </w:r>
      <w:r>
        <w:rPr>
          <w:rFonts w:hint="eastAsia" w:ascii="宋体" w:hAnsi="宋体"/>
          <w:color w:val="auto"/>
          <w:sz w:val="21"/>
          <w:szCs w:val="21"/>
          <w:highlight w:val="none"/>
        </w:rPr>
        <w:t xml:space="preserve">          </w:t>
      </w:r>
      <w:r>
        <w:rPr>
          <w:rFonts w:ascii="宋体" w:hAnsi="宋体"/>
          <w:color w:val="auto"/>
          <w:sz w:val="21"/>
          <w:szCs w:val="21"/>
          <w:highlight w:val="none"/>
        </w:rPr>
        <w:t>日</w:t>
      </w:r>
    </w:p>
    <w:p>
      <w:pPr>
        <w:rPr>
          <w:rFonts w:ascii="宋体" w:hAnsi="宋体"/>
          <w:color w:val="auto"/>
          <w:sz w:val="36"/>
          <w:szCs w:val="36"/>
          <w:highlight w:val="none"/>
        </w:rPr>
      </w:pPr>
      <w:r>
        <w:rPr>
          <w:rFonts w:ascii="宋体" w:hAnsi="宋体"/>
          <w:color w:val="auto"/>
          <w:sz w:val="21"/>
          <w:highlight w:val="none"/>
        </w:rPr>
        <w:br w:type="page"/>
      </w:r>
    </w:p>
    <w:p>
      <w:pPr>
        <w:spacing w:line="366" w:lineRule="exact"/>
        <w:jc w:val="center"/>
        <w:rPr>
          <w:rFonts w:ascii="黑体" w:hAnsi="黑体" w:eastAsia="黑体"/>
          <w:b/>
          <w:color w:val="auto"/>
          <w:sz w:val="32"/>
          <w:highlight w:val="none"/>
        </w:rPr>
      </w:pPr>
      <w:r>
        <w:rPr>
          <w:rFonts w:ascii="黑体" w:hAnsi="黑体" w:eastAsia="黑体"/>
          <w:b/>
          <w:color w:val="auto"/>
          <w:sz w:val="32"/>
          <w:highlight w:val="none"/>
        </w:rPr>
        <w:t>第</w:t>
      </w:r>
      <w:r>
        <w:rPr>
          <w:rFonts w:hint="eastAsia" w:ascii="黑体" w:hAnsi="黑体" w:eastAsia="黑体"/>
          <w:b/>
          <w:color w:val="auto"/>
          <w:sz w:val="32"/>
          <w:highlight w:val="none"/>
        </w:rPr>
        <w:t>二</w:t>
      </w:r>
      <w:r>
        <w:rPr>
          <w:rFonts w:ascii="黑体" w:hAnsi="黑体" w:eastAsia="黑体"/>
          <w:b/>
          <w:color w:val="auto"/>
          <w:sz w:val="32"/>
          <w:highlight w:val="none"/>
        </w:rPr>
        <w:t>节通用合同条款</w:t>
      </w:r>
    </w:p>
    <w:p>
      <w:pPr>
        <w:spacing w:line="200" w:lineRule="exact"/>
        <w:rPr>
          <w:rFonts w:eastAsia="Times New Roman"/>
          <w:color w:val="auto"/>
          <w:highlight w:val="none"/>
        </w:rPr>
      </w:pPr>
    </w:p>
    <w:p>
      <w:pPr>
        <w:spacing w:line="383" w:lineRule="exact"/>
        <w:rPr>
          <w:rFonts w:eastAsia="Times New Roman"/>
          <w:color w:val="auto"/>
          <w:highlight w:val="none"/>
        </w:rPr>
      </w:pPr>
    </w:p>
    <w:p>
      <w:pPr>
        <w:numPr>
          <w:ilvl w:val="0"/>
          <w:numId w:val="31"/>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一般约定</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eastAsia="Times New Roman"/>
          <w:color w:val="auto"/>
          <w:sz w:val="28"/>
          <w:highlight w:val="none"/>
        </w:rPr>
        <w:t xml:space="preserve">1.1 </w:t>
      </w:r>
      <w:r>
        <w:rPr>
          <w:rFonts w:ascii="黑体" w:hAnsi="黑体" w:eastAsia="黑体"/>
          <w:color w:val="auto"/>
          <w:sz w:val="28"/>
          <w:highlight w:val="none"/>
        </w:rPr>
        <w:t>词语定义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通用合同条款、专用合同条款中的下列词语应具有本款所赋予的含义。</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1.1.1 合同</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1.1.1.1 合同文件（或称合同）：指合同协议书、中标通知书、投标函和投标函附录、专用合同条款、通用合同条款、委托人要求、</w:t>
      </w:r>
      <w:r>
        <w:rPr>
          <w:rFonts w:hint="eastAsia" w:ascii="宋体" w:hAnsi="宋体"/>
          <w:color w:val="auto"/>
          <w:sz w:val="21"/>
          <w:szCs w:val="21"/>
          <w:highlight w:val="none"/>
        </w:rPr>
        <w:t>监理服务收费报价计算表</w:t>
      </w:r>
      <w:r>
        <w:rPr>
          <w:rFonts w:ascii="宋体" w:hAnsi="宋体"/>
          <w:color w:val="auto"/>
          <w:sz w:val="21"/>
          <w:szCs w:val="21"/>
          <w:highlight w:val="none"/>
        </w:rPr>
        <w:t>、监理大纲，以及其他构成合同组成部分的文件。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1.1.1.2 合同协议书：指委托人和监理人共同签署的合同协议书。</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1.1.1.3 中标通知书：指委托人通知监理人中标的函件。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1.1.1.4 投标函：指由监理人填写并签署的，名为“投标函”的函件。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1.1.1.5 投标函附录：指由监理人填写并签署的、附在投标函后，名为“投标函附录”的函件。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1.1.1.6 委托人要求：指合同文件中名为“委托人要求”的文件。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1.1.1.7 监理大纲：指监理人在投标文件中的监理大纲。</w:t>
      </w:r>
    </w:p>
    <w:p>
      <w:pPr>
        <w:pStyle w:val="26"/>
        <w:ind w:firstLine="420" w:firstLineChars="200"/>
        <w:rPr>
          <w:rFonts w:ascii="宋体" w:hAnsi="宋体"/>
          <w:color w:val="auto"/>
          <w:sz w:val="21"/>
          <w:szCs w:val="21"/>
          <w:highlight w:val="none"/>
        </w:rPr>
      </w:pPr>
      <w:r>
        <w:rPr>
          <w:rFonts w:ascii="宋体" w:hAnsi="宋体"/>
          <w:color w:val="auto"/>
          <w:sz w:val="21"/>
          <w:szCs w:val="21"/>
          <w:highlight w:val="none"/>
        </w:rPr>
        <w:t>1.1.1.8 监理报酬清单：指监理人投标文件中的</w:t>
      </w:r>
      <w:r>
        <w:rPr>
          <w:rFonts w:hint="eastAsia"/>
          <w:color w:val="auto"/>
          <w:highlight w:val="none"/>
        </w:rPr>
        <w:t>监理服务收费报价计算表</w:t>
      </w:r>
      <w:r>
        <w:rPr>
          <w:rFonts w:ascii="宋体" w:hAnsi="宋体"/>
          <w:color w:val="auto"/>
          <w:sz w:val="21"/>
          <w:szCs w:val="21"/>
          <w:highlight w:val="none"/>
        </w:rPr>
        <w:t>。</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1.1.1.9 其他合同文件：指经合同双方当事人确认构成合同文件的其他文件。</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1.1.2 合同当事人和人员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1.1.2.1 合同当事人：指委托人和（或）监理人。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委托人：指与监理人签订合同协议书的当事人，及其合法继承人。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1.1.2.3 监理人：指与委托人签订合同协议书的当事人，及其合法继承人。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1.1.2.4 委托人代表：指由委托人任命，并在授权范围和期限内代表委托人行使权利和履行义务的全权负责人。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1.1.2.5 总监理工程师：指由监理人任命，代表监理人行使权利和履行义务的全权负责人。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 xml:space="preserve">1.1.2.6 </w:t>
      </w:r>
      <w:r>
        <w:rPr>
          <w:rFonts w:hint="eastAsia" w:ascii="宋体" w:hAnsi="宋体"/>
          <w:color w:val="auto"/>
          <w:sz w:val="21"/>
          <w:highlight w:val="none"/>
        </w:rPr>
        <w:t>承包人</w:t>
      </w:r>
      <w:r>
        <w:rPr>
          <w:rFonts w:ascii="宋体" w:hAnsi="宋体"/>
          <w:color w:val="auto"/>
          <w:sz w:val="21"/>
          <w:highlight w:val="none"/>
        </w:rPr>
        <w:t>：指在本工程监理范围内，与委托人签订勘察、设计、施工承包合同的当事人。</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1.1.3 工程和监理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1.1.3.1 工程：指永久工程和（或）临时工程。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1.1.3.2 监理服务：指监理人接受委托人的委托，依照法律、规范标准和监理合同等，对建设工程设计或施工等阶段进行质量控制、进度控制、投资控制、合同管理、信息管理、组织协调和安全监理、环保监理的服务活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1.1.3.3 监理资料：是委托人按合同约定向监理人提供的，用于完成监理范围与内容所需要的资料。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1.1.3.4 监理文件：指监理人按合同约定向委托人提交的监理大纲、监理规划、监理实施细则、监理日志、监理报告、工程质量评估报告、事故处理文件、监理工作总结和其他文件等，包括阶段性文件和最终文件，且应当采用合同中双方约定的格式和载体。</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1.1.4 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1.1.4.1 开始监理通知：指委托人按第 6.1 款通知监理人开始监理的函件。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1.1.4.2 开始监理日期：指委托人按第 6.1 款发出的开始监理通知中写明的开始监理日期。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1.1.4.3 监理服务期限：指监理人在投标函中承诺的完成合同监理服务所需的期限，包括按第 6.2 款和第 6.3.2 项约定所作的调整。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1.1.4.4 完成监理日期：指第 1.1.4.3 目约定监理服务期限届满时的日期。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1.1.4.5 基准日：指</w:t>
      </w:r>
      <w:r>
        <w:rPr>
          <w:rFonts w:hint="eastAsia" w:ascii="宋体" w:hAnsi="宋体"/>
          <w:color w:val="auto"/>
          <w:sz w:val="21"/>
          <w:highlight w:val="none"/>
          <w:lang w:val="en-US" w:eastAsia="zh-CN"/>
        </w:rPr>
        <w:t>采购响应</w:t>
      </w:r>
      <w:r>
        <w:rPr>
          <w:rFonts w:ascii="宋体" w:hAnsi="宋体"/>
          <w:color w:val="auto"/>
          <w:sz w:val="21"/>
          <w:highlight w:val="none"/>
        </w:rPr>
        <w:t>截止时间前 28 天的日期。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1.1.4.6 天：除特别指明外，指日历天。合同中按天计算时间的，开始当天不计入，从次日开始计算。期限最后一天的截止时间为当天 24:00。</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1.1.5 合同价格和费用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1.1.5.1 签约合同价：指签订合同时合同协议书中写明的监理报酬总金额。</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1.1.5.2 合同价格：指监理人按合同约定完成了全部监理工作后，委托人应付给监理人的金额，包括在履行合同过程中按合同约定进行的变更和调整。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1.1.5.3 费用：指为履行合同所发生的或将要发生的所有合理开支，包括管理费和应分摊的其他费用，但不包括利润。</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1.1.6 其他</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1.1.6.1 书面形式：指合同文件、信件和数据电文（包括电报、电传、传真、电子数据交换和电子邮件）等可以有形地表现所载内容的形式。</w:t>
      </w:r>
    </w:p>
    <w:p>
      <w:pPr>
        <w:spacing w:line="360" w:lineRule="auto"/>
        <w:rPr>
          <w:rFonts w:ascii="黑体" w:hAnsi="黑体" w:eastAsia="黑体"/>
          <w:color w:val="auto"/>
          <w:sz w:val="28"/>
          <w:highlight w:val="none"/>
        </w:rPr>
      </w:pPr>
      <w:r>
        <w:rPr>
          <w:rFonts w:ascii="黑体" w:hAnsi="黑体" w:eastAsia="黑体"/>
          <w:color w:val="auto"/>
          <w:sz w:val="28"/>
          <w:highlight w:val="none"/>
        </w:rPr>
        <w:t>1.2 语言文字</w:t>
      </w:r>
    </w:p>
    <w:p>
      <w:pPr>
        <w:spacing w:line="360" w:lineRule="auto"/>
        <w:ind w:firstLine="319" w:firstLineChars="152"/>
        <w:rPr>
          <w:rFonts w:ascii="宋体" w:hAnsi="宋体"/>
          <w:color w:val="auto"/>
          <w:sz w:val="21"/>
          <w:highlight w:val="none"/>
        </w:rPr>
      </w:pPr>
      <w:r>
        <w:rPr>
          <w:rFonts w:ascii="宋体" w:hAnsi="宋体"/>
          <w:color w:val="auto"/>
          <w:sz w:val="21"/>
          <w:highlight w:val="none"/>
        </w:rPr>
        <w:t>合同使用的语言文字为中文。专用术语使用外文的，应附有中文注释。</w:t>
      </w:r>
    </w:p>
    <w:p>
      <w:pPr>
        <w:spacing w:line="360" w:lineRule="auto"/>
        <w:rPr>
          <w:rFonts w:ascii="黑体" w:hAnsi="黑体" w:eastAsia="黑体"/>
          <w:color w:val="auto"/>
          <w:sz w:val="28"/>
          <w:highlight w:val="none"/>
        </w:rPr>
      </w:pPr>
      <w:r>
        <w:rPr>
          <w:rFonts w:ascii="黑体" w:hAnsi="黑体" w:eastAsia="黑体"/>
          <w:color w:val="auto"/>
          <w:sz w:val="28"/>
          <w:highlight w:val="none"/>
        </w:rPr>
        <w:t>1.3 适用法律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适用于合同的法律包括中华人民共和国法律、行政法规、部门规章，以及工程所在地的地方法规、自治条例、单行条例和地方政府规章。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本合同适用的其他规范性文件，可在专用合同条款中约定。</w:t>
      </w:r>
    </w:p>
    <w:p>
      <w:pPr>
        <w:spacing w:line="360" w:lineRule="auto"/>
        <w:rPr>
          <w:rFonts w:ascii="黑体" w:hAnsi="黑体" w:eastAsia="黑体"/>
          <w:color w:val="auto"/>
          <w:sz w:val="28"/>
          <w:highlight w:val="none"/>
        </w:rPr>
      </w:pPr>
      <w:r>
        <w:rPr>
          <w:rFonts w:ascii="黑体" w:hAnsi="黑体" w:eastAsia="黑体"/>
          <w:color w:val="auto"/>
          <w:sz w:val="28"/>
          <w:highlight w:val="none"/>
        </w:rPr>
        <w:t>1.4 合同文件的优先顺序</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组成合同的各项文件应互相解释，互为说明。除专用合同条款另有约定外，解释合同文件的优先顺序如下：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（1）合同协议书；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default" w:ascii="宋体" w:hAnsi="宋体"/>
          <w:color w:val="auto"/>
          <w:sz w:val="21"/>
          <w:highlight w:val="none"/>
          <w:lang w:val="en-US"/>
        </w:rPr>
        <w:t>中标</w:t>
      </w:r>
      <w:r>
        <w:rPr>
          <w:rFonts w:ascii="宋体" w:hAnsi="宋体"/>
          <w:color w:val="auto"/>
          <w:sz w:val="21"/>
          <w:highlight w:val="none"/>
        </w:rPr>
        <w:t>通知书；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（3）投标函及投标函附录；</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（4）专用合同条款；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（5）通用合同条款；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（6）委托人要求；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（7）监理报酬清单；</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（8）监理大纲；</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（9）其他合同文件。</w:t>
      </w:r>
    </w:p>
    <w:p>
      <w:pPr>
        <w:spacing w:line="360" w:lineRule="auto"/>
        <w:rPr>
          <w:rFonts w:ascii="黑体" w:hAnsi="黑体" w:eastAsia="黑体"/>
          <w:color w:val="auto"/>
          <w:sz w:val="28"/>
          <w:highlight w:val="none"/>
        </w:rPr>
      </w:pPr>
      <w:r>
        <w:rPr>
          <w:rFonts w:ascii="黑体" w:hAnsi="黑体" w:eastAsia="黑体"/>
          <w:color w:val="auto"/>
          <w:sz w:val="28"/>
          <w:highlight w:val="none"/>
        </w:rPr>
        <w:t>1.5 合同协议书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监理人按</w:t>
      </w:r>
      <w:r>
        <w:rPr>
          <w:rFonts w:hint="eastAsia" w:ascii="宋体" w:hAnsi="宋体"/>
          <w:color w:val="auto"/>
          <w:sz w:val="21"/>
          <w:szCs w:val="21"/>
          <w:highlight w:val="none"/>
          <w:lang w:val="en-US" w:eastAsia="zh-CN"/>
        </w:rPr>
        <w:t>成交通知书</w:t>
      </w:r>
      <w:r>
        <w:rPr>
          <w:rFonts w:ascii="宋体" w:hAnsi="宋体"/>
          <w:color w:val="auto"/>
          <w:sz w:val="21"/>
          <w:highlight w:val="none"/>
        </w:rPr>
        <w:t>规定的时间与委托人签订合同协议书。除法律另有规定或合同另有约定外，委托人和监理人的法定代表人或其委托代理人在合同协议书上签字并盖单位章后，合同生效。</w:t>
      </w:r>
    </w:p>
    <w:p>
      <w:pPr>
        <w:spacing w:line="360" w:lineRule="auto"/>
        <w:rPr>
          <w:rFonts w:ascii="黑体" w:hAnsi="黑体" w:eastAsia="黑体"/>
          <w:color w:val="auto"/>
          <w:sz w:val="28"/>
          <w:highlight w:val="none"/>
        </w:rPr>
      </w:pPr>
      <w:r>
        <w:rPr>
          <w:rFonts w:ascii="黑体" w:hAnsi="黑体" w:eastAsia="黑体"/>
          <w:color w:val="auto"/>
          <w:sz w:val="28"/>
          <w:highlight w:val="none"/>
        </w:rPr>
        <w:t>1.6 文件的提供和照管</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1.6.1 监理文件的提供</w:t>
      </w:r>
    </w:p>
    <w:p>
      <w:pPr>
        <w:spacing w:line="360" w:lineRule="auto"/>
        <w:ind w:firstLine="422" w:firstLineChars="201"/>
        <w:rPr>
          <w:rFonts w:ascii="宋体" w:hAnsi="宋体"/>
          <w:color w:val="auto"/>
          <w:sz w:val="21"/>
          <w:highlight w:val="none"/>
        </w:rPr>
      </w:pPr>
      <w:r>
        <w:rPr>
          <w:rFonts w:ascii="宋体" w:hAnsi="宋体"/>
          <w:color w:val="auto"/>
          <w:sz w:val="21"/>
          <w:highlight w:val="none"/>
        </w:rPr>
        <w:t>除专用合同条款另有约定外，监理人应在合理的期限内按照合同约定的数量向委托人提供监理文件。合同约定监理文件应经委托人批复的，委托人应当在合同约定的期限内批复或提出修改意见。</w:t>
      </w:r>
    </w:p>
    <w:p>
      <w:pPr>
        <w:spacing w:line="169" w:lineRule="exact"/>
        <w:ind w:firstLine="422" w:firstLineChars="201"/>
        <w:rPr>
          <w:rFonts w:eastAsia="Times New Roman"/>
          <w:color w:val="auto"/>
          <w:highlight w:val="none"/>
        </w:rPr>
      </w:pP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1.6.2 委托人提供的文件</w:t>
      </w:r>
    </w:p>
    <w:p>
      <w:pPr>
        <w:spacing w:line="360" w:lineRule="auto"/>
        <w:ind w:firstLine="422" w:firstLineChars="201"/>
        <w:rPr>
          <w:rFonts w:ascii="宋体" w:hAnsi="宋体"/>
          <w:color w:val="auto"/>
          <w:sz w:val="21"/>
          <w:highlight w:val="none"/>
        </w:rPr>
      </w:pPr>
      <w:r>
        <w:rPr>
          <w:rFonts w:ascii="宋体" w:hAnsi="宋体"/>
          <w:color w:val="auto"/>
          <w:sz w:val="21"/>
          <w:highlight w:val="none"/>
        </w:rPr>
        <w:t>按专用合同条款约定由委托人提供的文件，包括规范标准、承包合同、勘察文件、设计文件等，委托人应按约定的数量和期限交给监理人。由于委托人未按时提供文件造成监理服务期限延误的，按第 6.2 款约定执行。</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1.6.3 文件错误的通知</w:t>
      </w:r>
    </w:p>
    <w:p>
      <w:pPr>
        <w:spacing w:line="360" w:lineRule="auto"/>
        <w:ind w:firstLine="422" w:firstLineChars="201"/>
        <w:rPr>
          <w:rFonts w:ascii="宋体" w:hAnsi="宋体"/>
          <w:color w:val="auto"/>
          <w:sz w:val="21"/>
          <w:highlight w:val="none"/>
        </w:rPr>
      </w:pPr>
      <w:r>
        <w:rPr>
          <w:rFonts w:ascii="宋体" w:hAnsi="宋体"/>
          <w:color w:val="auto"/>
          <w:sz w:val="21"/>
          <w:highlight w:val="none"/>
        </w:rPr>
        <w:t>任何一方当事人发现文件中存在的明显错误或疏忽，均应及时通知对方当事人，并应立即采取适当的措施防止损失扩大。</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1.6.4 文件的照管</w:t>
      </w:r>
    </w:p>
    <w:p>
      <w:pPr>
        <w:spacing w:line="360" w:lineRule="auto"/>
        <w:ind w:firstLine="422" w:firstLineChars="201"/>
        <w:rPr>
          <w:rFonts w:ascii="宋体" w:hAnsi="宋体"/>
          <w:color w:val="auto"/>
          <w:sz w:val="21"/>
          <w:highlight w:val="none"/>
        </w:rPr>
      </w:pPr>
      <w:r>
        <w:rPr>
          <w:rFonts w:ascii="宋体" w:hAnsi="宋体"/>
          <w:color w:val="auto"/>
          <w:sz w:val="21"/>
          <w:highlight w:val="none"/>
        </w:rPr>
        <w:t>监理人应在现场保留一份合同文件、监理文件、委托人要求中的所列文件、以及其他根据合同收发的往来信函，以备委托人和行政管理部门查阅使用。</w:t>
      </w:r>
    </w:p>
    <w:p>
      <w:pPr>
        <w:spacing w:line="360" w:lineRule="auto"/>
        <w:rPr>
          <w:rFonts w:ascii="黑体" w:hAnsi="黑体" w:eastAsia="黑体"/>
          <w:color w:val="auto"/>
          <w:sz w:val="28"/>
          <w:highlight w:val="none"/>
        </w:rPr>
      </w:pPr>
      <w:r>
        <w:rPr>
          <w:rFonts w:ascii="黑体" w:hAnsi="黑体" w:eastAsia="黑体"/>
          <w:color w:val="auto"/>
          <w:sz w:val="28"/>
          <w:highlight w:val="none"/>
        </w:rPr>
        <w:t>1.7 联络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1.7.1 与合同有关的通知、批准、证明、证书、指示、要求、请求、同意、意见、确定和决定等，均应采用书面形式。</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1.7.2 上述通知、批准、证明、证书、指示、要求、请求、同意、意见、确定和决定等来往函件，均应在合同约定的期限内送达指定的地点和指定的接收人，并办理签收手续。</w:t>
      </w:r>
    </w:p>
    <w:p>
      <w:pPr>
        <w:spacing w:line="360" w:lineRule="auto"/>
        <w:rPr>
          <w:rFonts w:ascii="黑体" w:hAnsi="黑体" w:eastAsia="黑体"/>
          <w:color w:val="auto"/>
          <w:sz w:val="28"/>
          <w:highlight w:val="none"/>
        </w:rPr>
      </w:pPr>
      <w:r>
        <w:rPr>
          <w:rFonts w:ascii="黑体" w:hAnsi="黑体" w:eastAsia="黑体"/>
          <w:color w:val="auto"/>
          <w:sz w:val="28"/>
          <w:highlight w:val="none"/>
        </w:rPr>
        <w:t>1.8 转让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除专用合同条款另有约定外，未经对方当事人同意，一方当事人不得将合同权利全部或部分转让给第三人，也不得全部或部分转移合同义务。</w:t>
      </w:r>
    </w:p>
    <w:p>
      <w:pPr>
        <w:spacing w:line="360" w:lineRule="auto"/>
        <w:rPr>
          <w:rFonts w:ascii="黑体" w:hAnsi="黑体" w:eastAsia="黑体"/>
          <w:color w:val="auto"/>
          <w:sz w:val="28"/>
          <w:highlight w:val="none"/>
        </w:rPr>
      </w:pPr>
      <w:r>
        <w:rPr>
          <w:rFonts w:ascii="黑体" w:hAnsi="黑体" w:eastAsia="黑体"/>
          <w:color w:val="auto"/>
          <w:sz w:val="28"/>
          <w:highlight w:val="none"/>
        </w:rPr>
        <w:t>1.9 严禁贿赂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合同双方当事人不得以贿赂或变相贿赂的方式，谋取不当利益或损害对方权益。因贿赂造成对方当事人损失的，行为人应当赔偿损失，并承担相应的法律责任。</w:t>
      </w:r>
    </w:p>
    <w:p>
      <w:pPr>
        <w:spacing w:line="360" w:lineRule="auto"/>
        <w:rPr>
          <w:rFonts w:ascii="黑体" w:hAnsi="黑体" w:eastAsia="黑体"/>
          <w:color w:val="auto"/>
          <w:sz w:val="28"/>
          <w:highlight w:val="none"/>
        </w:rPr>
      </w:pPr>
      <w:r>
        <w:rPr>
          <w:rFonts w:ascii="黑体" w:hAnsi="黑体" w:eastAsia="黑体"/>
          <w:color w:val="auto"/>
          <w:sz w:val="28"/>
          <w:highlight w:val="none"/>
        </w:rPr>
        <w:t>1.10 知识产权</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1.10.1 除专用合同条款另有约定外，监理人完成的监理工作成果，除署名权以外的著作权和其他知识产权均归委托人享有。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1.10.2 监理人从事监理活动时不得侵犯他人的知识产权。因侵犯专利权或其他知识产权所引起的责任，由监理人自行承担。因委托人提供的监理资料导致侵权的，由委托人承担责任。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1.10.3 监理人在投标文件中采用专利技术、专有技术的，相应的使用费视为已包含在投标报价之中。</w:t>
      </w:r>
    </w:p>
    <w:p>
      <w:pPr>
        <w:spacing w:line="360" w:lineRule="auto"/>
        <w:rPr>
          <w:rFonts w:ascii="黑体" w:hAnsi="黑体" w:eastAsia="黑体"/>
          <w:color w:val="auto"/>
          <w:sz w:val="28"/>
          <w:highlight w:val="none"/>
        </w:rPr>
      </w:pPr>
      <w:r>
        <w:rPr>
          <w:rFonts w:ascii="黑体" w:hAnsi="黑体" w:eastAsia="黑体"/>
          <w:color w:val="auto"/>
          <w:sz w:val="28"/>
          <w:highlight w:val="none"/>
        </w:rPr>
        <w:t>1.11 文件及信息的保密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未经对方同意，任何一方当事人不得将有关文件、技术秘密、需要保密的资料和信息泄露给他人或公开发表与引用。</w:t>
      </w:r>
    </w:p>
    <w:p>
      <w:pPr>
        <w:spacing w:line="360" w:lineRule="auto"/>
        <w:rPr>
          <w:rFonts w:ascii="黑体" w:hAnsi="黑体" w:eastAsia="黑体"/>
          <w:color w:val="auto"/>
          <w:sz w:val="28"/>
          <w:highlight w:val="none"/>
        </w:rPr>
      </w:pPr>
      <w:r>
        <w:rPr>
          <w:rFonts w:ascii="黑体" w:hAnsi="黑体" w:eastAsia="黑体"/>
          <w:color w:val="auto"/>
          <w:sz w:val="28"/>
          <w:highlight w:val="none"/>
        </w:rPr>
        <w:t>1.12 委托人要求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1.12.1 监理人应认真阅读、复核委托人要求，发现错误的，应及时书面通知委托人。无论是否存在错误，委托人均有权修改委托人要求，并在修改后 3 日内通知监理人。除专用合同条款另有约定外，由此导致监理人费用增加和(或)周期延误的，委托人应当相应地增加费用和(或)延长周期。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如果委托人要求违反法律规定，监理人应在发现后及时书面通知委托人，要求其改正。委托人收到通知书后不予改正或不予答复的，监理人有权拒绝履行合同义务，直至解除合同；由此引起的监理人的全部损失由委托人承担。</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1.12.3 委托人要求采用国外规范和标准进行监理时，应由委托人负责提供该规范和标准的外国文本和中文译本，提供的时间、份数和其他要求在专用合同条款中约定。</w:t>
      </w:r>
    </w:p>
    <w:p>
      <w:pPr>
        <w:numPr>
          <w:ilvl w:val="0"/>
          <w:numId w:val="31"/>
        </w:numPr>
        <w:spacing w:line="390" w:lineRule="exact"/>
        <w:ind w:left="426" w:hanging="426"/>
        <w:rPr>
          <w:rFonts w:eastAsia="Times New Roman"/>
          <w:b/>
          <w:color w:val="auto"/>
          <w:sz w:val="32"/>
          <w:highlight w:val="none"/>
        </w:rPr>
      </w:pPr>
      <w:r>
        <w:rPr>
          <w:rFonts w:ascii="黑体" w:hAnsi="黑体" w:eastAsia="黑体"/>
          <w:color w:val="auto"/>
          <w:sz w:val="32"/>
          <w:highlight w:val="none"/>
        </w:rPr>
        <w:t>委托人</w:t>
      </w:r>
      <w:r>
        <w:rPr>
          <w:rFonts w:ascii="黑体" w:hAnsi="黑体" w:eastAsia="黑体"/>
          <w:b/>
          <w:color w:val="auto"/>
          <w:sz w:val="32"/>
          <w:highlight w:val="none"/>
        </w:rPr>
        <w:t>义务</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2.1 遵守法律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委托人在履行合同过程中应遵守法律，并保证监理人免于承担因委托人违反法律而引起的任何责任。</w:t>
      </w:r>
    </w:p>
    <w:p>
      <w:pPr>
        <w:spacing w:line="360" w:lineRule="auto"/>
        <w:rPr>
          <w:rFonts w:ascii="黑体" w:hAnsi="黑体" w:eastAsia="黑体"/>
          <w:color w:val="auto"/>
          <w:sz w:val="28"/>
          <w:highlight w:val="none"/>
        </w:rPr>
      </w:pPr>
      <w:r>
        <w:rPr>
          <w:rFonts w:ascii="黑体" w:hAnsi="黑体" w:eastAsia="黑体"/>
          <w:color w:val="auto"/>
          <w:sz w:val="28"/>
          <w:highlight w:val="none"/>
        </w:rPr>
        <w:t>2.2 发出开始监理通知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委托人应按第 6.1 款的约定向监理人发出开始监理通知。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除专用合同条款另有约定外，委托人应为监理人的现场人员，在施工期间提供办公房间、办公桌椅、互联网接口、冷暖设施、生活设施、进出现场交通服务和其他便利条件。</w:t>
      </w:r>
    </w:p>
    <w:p>
      <w:pPr>
        <w:spacing w:line="360" w:lineRule="auto"/>
        <w:rPr>
          <w:rFonts w:ascii="黑体" w:hAnsi="黑体" w:eastAsia="黑体"/>
          <w:color w:val="auto"/>
          <w:sz w:val="28"/>
          <w:highlight w:val="none"/>
        </w:rPr>
      </w:pPr>
      <w:r>
        <w:rPr>
          <w:rFonts w:ascii="黑体" w:hAnsi="黑体" w:eastAsia="黑体"/>
          <w:color w:val="auto"/>
          <w:sz w:val="28"/>
          <w:highlight w:val="none"/>
        </w:rPr>
        <w:t>2.3 办理证件和批件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法律规定和（或）合同约定由委托人负责办理的工程建设项目必须履行的各类审批、核准或备案手续，委托人应当按时办理，监理人应给予必要的协助。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法律规定和（或）合同约定由监理人负责办理的监理所需的证件和批件，委托人应给予必要的协助。</w:t>
      </w:r>
    </w:p>
    <w:p>
      <w:pPr>
        <w:spacing w:line="360" w:lineRule="auto"/>
        <w:rPr>
          <w:rFonts w:ascii="黑体" w:hAnsi="黑体" w:eastAsia="黑体"/>
          <w:color w:val="auto"/>
          <w:sz w:val="28"/>
          <w:highlight w:val="none"/>
        </w:rPr>
      </w:pPr>
      <w:r>
        <w:rPr>
          <w:rFonts w:ascii="黑体" w:hAnsi="黑体" w:eastAsia="黑体"/>
          <w:color w:val="auto"/>
          <w:sz w:val="28"/>
          <w:highlight w:val="none"/>
        </w:rPr>
        <w:t>2.4 支付合同价款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委托人应按合同约定向监理人及时支付合同价款。</w:t>
      </w:r>
    </w:p>
    <w:p>
      <w:pPr>
        <w:spacing w:line="360" w:lineRule="auto"/>
        <w:rPr>
          <w:rFonts w:ascii="黑体" w:hAnsi="黑体" w:eastAsia="黑体"/>
          <w:color w:val="auto"/>
          <w:sz w:val="28"/>
          <w:highlight w:val="none"/>
        </w:rPr>
      </w:pPr>
      <w:r>
        <w:rPr>
          <w:rFonts w:ascii="黑体" w:hAnsi="黑体" w:eastAsia="黑体"/>
          <w:color w:val="auto"/>
          <w:sz w:val="28"/>
          <w:highlight w:val="none"/>
        </w:rPr>
        <w:t>2.5 提供监理资料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委托人应按第 1.6.2 项的约定向监理人提供监理资料。</w:t>
      </w:r>
    </w:p>
    <w:p>
      <w:pPr>
        <w:spacing w:line="360" w:lineRule="auto"/>
        <w:rPr>
          <w:rFonts w:ascii="黑体" w:hAnsi="黑体" w:eastAsia="黑体"/>
          <w:color w:val="auto"/>
          <w:sz w:val="28"/>
          <w:highlight w:val="none"/>
        </w:rPr>
      </w:pPr>
      <w:r>
        <w:rPr>
          <w:rFonts w:ascii="黑体" w:hAnsi="黑体" w:eastAsia="黑体"/>
          <w:color w:val="auto"/>
          <w:sz w:val="28"/>
          <w:highlight w:val="none"/>
        </w:rPr>
        <w:t>2.6 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委托人应履行合同约定的其他义务。</w:t>
      </w:r>
    </w:p>
    <w:p>
      <w:pPr>
        <w:numPr>
          <w:ilvl w:val="0"/>
          <w:numId w:val="32"/>
        </w:numPr>
        <w:tabs>
          <w:tab w:val="left" w:pos="426"/>
        </w:tabs>
        <w:spacing w:line="390" w:lineRule="exact"/>
        <w:ind w:left="760" w:hanging="760"/>
        <w:rPr>
          <w:rFonts w:eastAsia="Times New Roman"/>
          <w:b/>
          <w:color w:val="auto"/>
          <w:sz w:val="32"/>
          <w:highlight w:val="none"/>
        </w:rPr>
      </w:pPr>
      <w:r>
        <w:rPr>
          <w:rFonts w:ascii="黑体" w:hAnsi="黑体" w:eastAsia="黑体"/>
          <w:color w:val="auto"/>
          <w:sz w:val="32"/>
          <w:highlight w:val="none"/>
        </w:rPr>
        <w:t>委托人</w:t>
      </w:r>
      <w:r>
        <w:rPr>
          <w:rFonts w:ascii="黑体" w:hAnsi="黑体" w:eastAsia="黑体"/>
          <w:b/>
          <w:color w:val="auto"/>
          <w:sz w:val="32"/>
          <w:highlight w:val="none"/>
        </w:rPr>
        <w:t>管理</w:t>
      </w:r>
    </w:p>
    <w:p>
      <w:pPr>
        <w:spacing w:line="210"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3.1 委托人代表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3.1.1 除专用合同条款另有约定外，委托人应在合同签订后 14 天内，将委托人代表的姓名、职务、联系方式、授权范围和授权期限书面通知监理人，由委托人代表在其授权范围和授权期限内，代表委托人行使权利、履行义务和处理合同履行中的具体事宜。委托人代表在授权范围内的行为由委托人承担法律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3.1.2 委托人代表违反法律法规、违背职业道德守则或者不按合同约定履行职责及义务，导致合同无法继续正常履行的，监理人有权通知委托人更换委托人代表。委托人收到通知后 7 天内，应当核实完毕并将处理结果通知监理人。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3.1.3 委托人更换委托人代表的，应提前 14 天将更换人员的姓名、职务、联系方式、授权范围和授权期限书面通知监理人。委托人代表超过 2 天不能履行职责的，应委派代表代行其职责，并通知监理人。</w:t>
      </w:r>
    </w:p>
    <w:p>
      <w:pPr>
        <w:spacing w:line="360" w:lineRule="auto"/>
        <w:rPr>
          <w:rFonts w:ascii="黑体" w:hAnsi="黑体" w:eastAsia="黑体"/>
          <w:color w:val="auto"/>
          <w:sz w:val="28"/>
          <w:highlight w:val="none"/>
        </w:rPr>
      </w:pPr>
      <w:r>
        <w:rPr>
          <w:rFonts w:ascii="黑体" w:hAnsi="黑体" w:eastAsia="黑体"/>
          <w:color w:val="auto"/>
          <w:sz w:val="28"/>
          <w:highlight w:val="none"/>
        </w:rPr>
        <w:t>3.2 委托人的指示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3.2.1 委托人应按合同约定向监理人发出指示，委托人的指示应盖有委托人单位章，并由委托人代表签字确认。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3.2.2 监理人收到委托人作出的指示后应遵照执行。指示构成变更的，应按第 8 条执行。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3.2.3 在紧急情况下，委托人代表或其授权人员可以当场签发临时书面指示，监理人应遵照执行。委托人代表应在临时书面指示发出后 24 小时内发出书面确认函，逾期未发出书面确认函的，该临时书面指示应被视为委托人的正式指示。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3.2.4 由于委托人未能按合同约定发出指示、指示延误或指示错误而导致监理人费用增加和（或）周期延误的，委托人应承担由此增加的费用和（或）周期延误。</w:t>
      </w:r>
    </w:p>
    <w:p>
      <w:pPr>
        <w:spacing w:line="360" w:lineRule="auto"/>
        <w:rPr>
          <w:rFonts w:ascii="黑体" w:hAnsi="黑体" w:eastAsia="黑体"/>
          <w:color w:val="auto"/>
          <w:sz w:val="28"/>
          <w:highlight w:val="none"/>
        </w:rPr>
      </w:pPr>
      <w:r>
        <w:rPr>
          <w:rFonts w:ascii="黑体" w:hAnsi="黑体" w:eastAsia="黑体"/>
          <w:color w:val="auto"/>
          <w:sz w:val="28"/>
          <w:highlight w:val="none"/>
        </w:rPr>
        <w:t>3.3 决定或答复</w:t>
      </w:r>
    </w:p>
    <w:p>
      <w:pPr>
        <w:spacing w:line="283" w:lineRule="exact"/>
        <w:rPr>
          <w:rFonts w:eastAsia="Times New Roman"/>
          <w:color w:val="auto"/>
          <w:highlight w:val="none"/>
        </w:rPr>
      </w:pPr>
    </w:p>
    <w:p>
      <w:pPr>
        <w:spacing w:line="360" w:lineRule="auto"/>
        <w:ind w:firstLine="424" w:firstLineChars="202"/>
        <w:rPr>
          <w:rFonts w:ascii="宋体" w:hAnsi="宋体"/>
          <w:color w:val="auto"/>
          <w:sz w:val="21"/>
          <w:highlight w:val="none"/>
        </w:rPr>
      </w:pPr>
      <w:r>
        <w:rPr>
          <w:rFonts w:ascii="宋体" w:hAnsi="宋体"/>
          <w:color w:val="auto"/>
          <w:sz w:val="21"/>
          <w:highlight w:val="none"/>
        </w:rPr>
        <w:t>3.3.1 委托人在法律允许的范围内有权对监理人的监理工作和/或监理文件作出处理决定，监理人应按照委托人的决定执行，涉及监理服务期限或监理报酬等问题按第 8 条的约定处理。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3.3.2 委托人应在专用合同条款约定的时间之内，对监理人书面提出的事项作出书面答复；逾期没有做出答复的，视为已获得委托人的批准。</w:t>
      </w:r>
    </w:p>
    <w:p>
      <w:pPr>
        <w:numPr>
          <w:ilvl w:val="0"/>
          <w:numId w:val="33"/>
        </w:numPr>
        <w:tabs>
          <w:tab w:val="left" w:pos="400"/>
        </w:tabs>
        <w:spacing w:line="390" w:lineRule="exact"/>
        <w:ind w:left="426" w:hanging="426"/>
        <w:rPr>
          <w:rFonts w:eastAsia="Times New Roman"/>
          <w:b/>
          <w:color w:val="auto"/>
          <w:sz w:val="32"/>
          <w:highlight w:val="none"/>
        </w:rPr>
      </w:pPr>
      <w:r>
        <w:rPr>
          <w:rFonts w:ascii="黑体" w:hAnsi="黑体" w:eastAsia="黑体"/>
          <w:b/>
          <w:color w:val="auto"/>
          <w:sz w:val="32"/>
          <w:highlight w:val="none"/>
        </w:rPr>
        <w:t>监理人义务</w:t>
      </w:r>
    </w:p>
    <w:p>
      <w:pPr>
        <w:spacing w:line="360" w:lineRule="auto"/>
        <w:rPr>
          <w:rFonts w:ascii="黑体" w:hAnsi="黑体" w:eastAsia="黑体"/>
          <w:color w:val="auto"/>
          <w:sz w:val="28"/>
          <w:highlight w:val="none"/>
        </w:rPr>
      </w:pPr>
      <w:r>
        <w:rPr>
          <w:rFonts w:ascii="黑体" w:hAnsi="黑体" w:eastAsia="黑体"/>
          <w:color w:val="auto"/>
          <w:sz w:val="28"/>
          <w:highlight w:val="none"/>
        </w:rPr>
        <w:t>4.1 监理人的一般义务</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4.1.1 遵守法律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监理人在履行合同过程中应遵守法律，并保证委托人免于承担因监理人违反法律而引起的任何责任。</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4.1.2 依法纳税</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监理人应按有关法律规定纳税，应缴纳的税金（含增值税）包括在合同价格之中。</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4.1.3 完成全部监理工作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监理人应按合同约定以及委托人要求，完成合同约定的全部工作，并对工作中的任何缺陷进行整改，使其满足合同约定的目的。</w:t>
      </w:r>
    </w:p>
    <w:p>
      <w:pPr>
        <w:spacing w:line="360" w:lineRule="auto"/>
        <w:ind w:firstLine="424" w:firstLineChars="201"/>
        <w:rPr>
          <w:rFonts w:ascii="宋体" w:hAnsi="宋体"/>
          <w:b/>
          <w:color w:val="auto"/>
          <w:sz w:val="21"/>
          <w:highlight w:val="none"/>
        </w:rPr>
      </w:pPr>
      <w:r>
        <w:rPr>
          <w:rFonts w:ascii="宋体" w:hAnsi="宋体"/>
          <w:b/>
          <w:color w:val="auto"/>
          <w:sz w:val="21"/>
          <w:highlight w:val="none"/>
        </w:rPr>
        <w:t>4.1.4 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监理人应履行合同约定的其他义务。</w:t>
      </w:r>
    </w:p>
    <w:p>
      <w:pPr>
        <w:spacing w:line="360" w:lineRule="auto"/>
        <w:rPr>
          <w:rFonts w:ascii="黑体" w:hAnsi="黑体" w:eastAsia="黑体"/>
          <w:color w:val="auto"/>
          <w:sz w:val="28"/>
          <w:highlight w:val="none"/>
        </w:rPr>
      </w:pPr>
      <w:r>
        <w:rPr>
          <w:rFonts w:ascii="黑体" w:hAnsi="黑体" w:eastAsia="黑体"/>
          <w:color w:val="auto"/>
          <w:sz w:val="28"/>
          <w:highlight w:val="none"/>
        </w:rPr>
        <w:t>4.2 履约保证金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除专用合同条款另有约定外，履约保证金自合同生效之日起生效，在委托人签发竣工验收证书之日起 28 日后失效。如果监理人不履行合同约定的义务或其履行不符合合同的约定，委托人有权扣划相应金额的履约保证金。</w:t>
      </w:r>
    </w:p>
    <w:p>
      <w:pPr>
        <w:spacing w:line="360" w:lineRule="auto"/>
        <w:rPr>
          <w:rFonts w:ascii="黑体" w:hAnsi="黑体" w:eastAsia="黑体"/>
          <w:color w:val="auto"/>
          <w:sz w:val="28"/>
          <w:highlight w:val="none"/>
        </w:rPr>
      </w:pPr>
      <w:r>
        <w:rPr>
          <w:rFonts w:ascii="黑体" w:hAnsi="黑体" w:eastAsia="黑体"/>
          <w:color w:val="auto"/>
          <w:sz w:val="28"/>
          <w:highlight w:val="none"/>
        </w:rPr>
        <w:t>4.3 联合体</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4.3.1 联合体各方应共同与委托人签订合同。联合体各方应为履行合同承担连带责任。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4.3.2 联合体协议经委托人确认后作为合同附件。在履行合同过程中，未经委托人同意，不得修改联合体协议。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4.3.3 联合体牵头人或联合体授权的代表负责与委托人联系，并接受指示，负责组织联合体各成员全面履行合同。</w:t>
      </w:r>
    </w:p>
    <w:p>
      <w:pPr>
        <w:spacing w:line="360" w:lineRule="auto"/>
        <w:rPr>
          <w:rFonts w:ascii="黑体" w:hAnsi="黑体" w:eastAsia="黑体"/>
          <w:color w:val="auto"/>
          <w:sz w:val="28"/>
          <w:highlight w:val="none"/>
        </w:rPr>
      </w:pPr>
      <w:r>
        <w:rPr>
          <w:rFonts w:ascii="黑体" w:hAnsi="黑体" w:eastAsia="黑体"/>
          <w:color w:val="auto"/>
          <w:sz w:val="28"/>
          <w:highlight w:val="none"/>
        </w:rPr>
        <w:t>4.4 总监理工程师</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4.4.1 监理人应按合同协议书的约定指派总监理工程师，并在约定的期限内到职。监理人更换总监理工程师应事先征得委托人同意，并应在更换 14 天前将拟更换的总监理工程师的姓名和详细资料提交委托人。总监理工程师 2 天内不能履行职责的，应事先征得委托人同意，并委派代表代行其职责。</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4.4.2 总监理工程师应按合同约定以及委托人要求，负责组织合同工作的实施。在情况紧急且无法与委托人取得联系时，可采取保证工程和人员生命财产安全的紧急措施，并在采取措施后 24 小时内向委托人提交书面报告。</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4.4.3 监理人为履行合同发出的一切函件均应盖有监理人单位章或由监理人授权的项目机构章，并由监理人的总监理工程师签字确认。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4.4.4 按照专用合同条款约定，总监理工程师可以授权其下属人员履行其某项职责，但事先应将这些人员的姓名和授权范围书面通知委托人和</w:t>
      </w:r>
      <w:r>
        <w:rPr>
          <w:rFonts w:hint="eastAsia" w:ascii="宋体" w:hAnsi="宋体"/>
          <w:color w:val="auto"/>
          <w:sz w:val="21"/>
          <w:highlight w:val="none"/>
        </w:rPr>
        <w:t>承包人，并取得委托人同意</w:t>
      </w:r>
      <w:r>
        <w:rPr>
          <w:rFonts w:ascii="宋体" w:hAnsi="宋体"/>
          <w:color w:val="auto"/>
          <w:sz w:val="21"/>
          <w:highlight w:val="none"/>
        </w:rPr>
        <w:t>。</w:t>
      </w:r>
    </w:p>
    <w:p>
      <w:pPr>
        <w:spacing w:line="360" w:lineRule="auto"/>
        <w:rPr>
          <w:rFonts w:ascii="黑体" w:hAnsi="黑体" w:eastAsia="黑体"/>
          <w:color w:val="auto"/>
          <w:sz w:val="28"/>
          <w:highlight w:val="none"/>
        </w:rPr>
      </w:pPr>
      <w:r>
        <w:rPr>
          <w:rFonts w:ascii="黑体" w:hAnsi="黑体" w:eastAsia="黑体"/>
          <w:color w:val="auto"/>
          <w:sz w:val="28"/>
          <w:highlight w:val="none"/>
        </w:rPr>
        <w:t>4.5 监理人员的管理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4.5.1 监理人应在接到开始监理通知之日起 7 天内，向委托人提交监理项目机构以及人员安排的报告，其内容应包括项目机构设置、主要监理人员和作业人员的名单及资格条件。主要监理人员应相对稳定，更换主要监理人员的，应取得委托人的同意,并向委托人提交继任人员的资格、管理经验等资料。总监理工程师的更换，应按照本章第 4.4.1 项规定执行。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4.5.2 除专用合同条款另有约定外，主要监理人员包括总监理工程师、专业监理工程师等；其他人员包括各专业的监理员、资料员等。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4.5.3 监理人应保证其主要监理人员在合同期限内的任何时候，都能按时参加委托人组织的工作会议。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4.5.4 国家规定应当持证上岗的工作人员均应持有相应的资格证明，委托人有权随时检查。委托人认为有必要时，可以进行现场考核。</w:t>
      </w:r>
    </w:p>
    <w:p>
      <w:pPr>
        <w:spacing w:line="360" w:lineRule="auto"/>
        <w:rPr>
          <w:rFonts w:ascii="黑体" w:hAnsi="黑体" w:eastAsia="黑体"/>
          <w:color w:val="auto"/>
          <w:sz w:val="28"/>
          <w:highlight w:val="none"/>
        </w:rPr>
      </w:pPr>
      <w:r>
        <w:rPr>
          <w:rFonts w:ascii="黑体" w:hAnsi="黑体" w:eastAsia="黑体"/>
          <w:color w:val="auto"/>
          <w:sz w:val="28"/>
          <w:highlight w:val="none"/>
        </w:rPr>
        <w:t>4.6 撤换总监理工程师和其他人员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监理人应对其总监理工程师和其他人员进行有效管理。委托人要求撤换不能胜任本职工作、行为不端或玩忽职守的总监理工程师和其他人员的，监理人应予以撤换。</w:t>
      </w:r>
    </w:p>
    <w:p>
      <w:pPr>
        <w:spacing w:line="360" w:lineRule="auto"/>
        <w:rPr>
          <w:rFonts w:ascii="黑体" w:hAnsi="黑体" w:eastAsia="黑体"/>
          <w:color w:val="auto"/>
          <w:sz w:val="28"/>
          <w:highlight w:val="none"/>
        </w:rPr>
      </w:pPr>
      <w:r>
        <w:rPr>
          <w:rFonts w:ascii="黑体" w:hAnsi="黑体" w:eastAsia="黑体"/>
          <w:color w:val="auto"/>
          <w:sz w:val="28"/>
          <w:highlight w:val="none"/>
        </w:rPr>
        <w:t>4.7 保障人员的合法权益</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4.7.1 监理人应与其雇佣的人员签订劳动合同，并按时发放工资。</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4.7.2 监理人应按劳动法的规定安排工作时间，保证其雇佣人员享有休息和休假的权利。因监理需要占用休假日或延长工作时间的，应不超过法律规定的限度，并按法律规定给予补休或付酬。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4.7.3 监理人应按有关法律规定和合同约定，为其雇佣人员办理保险。</w:t>
      </w:r>
    </w:p>
    <w:p>
      <w:pPr>
        <w:spacing w:line="360" w:lineRule="auto"/>
        <w:rPr>
          <w:rFonts w:ascii="黑体" w:hAnsi="黑体" w:eastAsia="黑体"/>
          <w:color w:val="auto"/>
          <w:sz w:val="28"/>
          <w:highlight w:val="none"/>
        </w:rPr>
      </w:pPr>
      <w:r>
        <w:rPr>
          <w:rFonts w:ascii="黑体" w:hAnsi="黑体" w:eastAsia="黑体"/>
          <w:color w:val="auto"/>
          <w:sz w:val="28"/>
          <w:highlight w:val="none"/>
        </w:rPr>
        <w:t>4.8 合同价款应专款专用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委托人按合同约定支付给监理人的各项价款，应专用于合同监理工作。</w:t>
      </w:r>
    </w:p>
    <w:p>
      <w:pPr>
        <w:numPr>
          <w:ilvl w:val="0"/>
          <w:numId w:val="34"/>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监理要求</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5.1 监理范围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5.1.1 本合同的监理范围包括工程范围、阶段范围和工作范围，具体监理范围应当根据三者之间的关联内容进行确定。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5.1.2 工程范围指所监理工程的建设内容，具体范围在专用合同条款中约定。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5.1.3 阶段范围指工程建设程序中的勘察阶段、设计阶段、施工阶段、缺陷责任期及保修阶段中的一个或者多个阶段，具体范围在专用合同条款中约定。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5.1.4 工作范围指监理工作中的质量控制、进度控制、投资控制、合同管理、信息管理、组织协调和安全监理、环保监理中的一项或者多项工作，具体范围在专用合同条款中约定。</w:t>
      </w:r>
    </w:p>
    <w:p>
      <w:pPr>
        <w:spacing w:line="360" w:lineRule="auto"/>
        <w:rPr>
          <w:rFonts w:ascii="黑体" w:hAnsi="黑体" w:eastAsia="黑体"/>
          <w:color w:val="auto"/>
          <w:sz w:val="28"/>
          <w:highlight w:val="none"/>
        </w:rPr>
      </w:pPr>
      <w:r>
        <w:rPr>
          <w:rFonts w:ascii="黑体" w:hAnsi="黑体" w:eastAsia="黑体"/>
          <w:color w:val="auto"/>
          <w:sz w:val="28"/>
          <w:highlight w:val="none"/>
        </w:rPr>
        <w:t>5.2 监理依据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除专用合同条款另有约定外，本工程的监理依据如下：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（1）适用的法律、行政法规及部门规章；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（2）与工程有关的规范、标准、规程；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（3）工程勘察文件、设计文件及其他文件；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（4）本工程监理的委托合同及补充合同；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（5）委托人签订的勘察、设计和施工承包合同；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（6）合同履行中与监理服务有关的来往函件；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（7）其他监理依据。</w:t>
      </w:r>
    </w:p>
    <w:p>
      <w:pPr>
        <w:spacing w:line="360" w:lineRule="auto"/>
        <w:rPr>
          <w:rFonts w:ascii="黑体" w:hAnsi="黑体" w:eastAsia="黑体"/>
          <w:color w:val="auto"/>
          <w:sz w:val="28"/>
          <w:highlight w:val="none"/>
        </w:rPr>
      </w:pPr>
      <w:r>
        <w:rPr>
          <w:rFonts w:ascii="黑体" w:hAnsi="黑体" w:eastAsia="黑体"/>
          <w:color w:val="auto"/>
          <w:sz w:val="28"/>
          <w:highlight w:val="none"/>
        </w:rPr>
        <w:t>5.3 监理内容</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除专用条件另有约定外，监理工作内容包括：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（1）收到工程设计文件后编制监理规划，并在第一次工地会议 7 天前报委托人。根据有关规定和监理工作需要，编制监理实施细则；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（2）熟悉工程设计文件，并参加由委托人主持的图纸会审和设计交底会议；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（3）参加由委托人主持的第一次工地会议；主持监理例会并根据工程需要主持或参加专题会议；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（4）审查施工</w:t>
      </w:r>
      <w:r>
        <w:rPr>
          <w:rFonts w:hint="eastAsia" w:ascii="宋体" w:hAnsi="宋体"/>
          <w:color w:val="auto"/>
          <w:sz w:val="21"/>
          <w:highlight w:val="none"/>
        </w:rPr>
        <w:t>承包人</w:t>
      </w:r>
      <w:r>
        <w:rPr>
          <w:rFonts w:ascii="宋体" w:hAnsi="宋体"/>
          <w:color w:val="auto"/>
          <w:sz w:val="21"/>
          <w:highlight w:val="none"/>
        </w:rPr>
        <w:t>提交的施工组织设计，重点审查其中的质量安全技术措施、专项施工方案与工程建设强制性标准的符合性；</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（5）检查施工</w:t>
      </w:r>
      <w:r>
        <w:rPr>
          <w:rFonts w:hint="eastAsia" w:ascii="宋体" w:hAnsi="宋体"/>
          <w:color w:val="auto"/>
          <w:sz w:val="21"/>
          <w:highlight w:val="none"/>
        </w:rPr>
        <w:t>承包人</w:t>
      </w:r>
      <w:r>
        <w:rPr>
          <w:rFonts w:ascii="宋体" w:hAnsi="宋体"/>
          <w:color w:val="auto"/>
          <w:sz w:val="21"/>
          <w:highlight w:val="none"/>
        </w:rPr>
        <w:t>工程质量、安全生产管理制度及组织机构和人员资格；</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（6）检查施工</w:t>
      </w:r>
      <w:r>
        <w:rPr>
          <w:rFonts w:hint="eastAsia" w:ascii="宋体" w:hAnsi="宋体"/>
          <w:color w:val="auto"/>
          <w:sz w:val="21"/>
          <w:highlight w:val="none"/>
        </w:rPr>
        <w:t>承包人</w:t>
      </w:r>
      <w:r>
        <w:rPr>
          <w:rFonts w:ascii="宋体" w:hAnsi="宋体"/>
          <w:color w:val="auto"/>
          <w:sz w:val="21"/>
          <w:highlight w:val="none"/>
        </w:rPr>
        <w:t>专职安全生产管理人员的配备情况；</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（7）审查施工</w:t>
      </w:r>
      <w:r>
        <w:rPr>
          <w:rFonts w:hint="eastAsia" w:ascii="宋体" w:hAnsi="宋体"/>
          <w:color w:val="auto"/>
          <w:sz w:val="21"/>
          <w:highlight w:val="none"/>
        </w:rPr>
        <w:t>承包人</w:t>
      </w:r>
      <w:r>
        <w:rPr>
          <w:rFonts w:ascii="宋体" w:hAnsi="宋体"/>
          <w:color w:val="auto"/>
          <w:sz w:val="21"/>
          <w:highlight w:val="none"/>
        </w:rPr>
        <w:t>提交的施工进度计划，核查</w:t>
      </w:r>
      <w:r>
        <w:rPr>
          <w:rFonts w:hint="eastAsia" w:ascii="宋体" w:hAnsi="宋体"/>
          <w:color w:val="auto"/>
          <w:sz w:val="21"/>
          <w:highlight w:val="none"/>
        </w:rPr>
        <w:t>承包人</w:t>
      </w:r>
      <w:r>
        <w:rPr>
          <w:rFonts w:ascii="宋体" w:hAnsi="宋体"/>
          <w:color w:val="auto"/>
          <w:sz w:val="21"/>
          <w:highlight w:val="none"/>
        </w:rPr>
        <w:t>对施工进度计划的调整；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（8）检查施工</w:t>
      </w:r>
      <w:r>
        <w:rPr>
          <w:rFonts w:hint="eastAsia" w:ascii="宋体" w:hAnsi="宋体"/>
          <w:color w:val="auto"/>
          <w:sz w:val="21"/>
          <w:highlight w:val="none"/>
        </w:rPr>
        <w:t>承包人</w:t>
      </w:r>
      <w:r>
        <w:rPr>
          <w:rFonts w:ascii="宋体" w:hAnsi="宋体"/>
          <w:color w:val="auto"/>
          <w:sz w:val="21"/>
          <w:highlight w:val="none"/>
        </w:rPr>
        <w:t>的试验室；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（9）审核施工分包人资质条件；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（10）查验施工</w:t>
      </w:r>
      <w:r>
        <w:rPr>
          <w:rFonts w:hint="eastAsia" w:ascii="宋体" w:hAnsi="宋体"/>
          <w:color w:val="auto"/>
          <w:sz w:val="21"/>
          <w:highlight w:val="none"/>
        </w:rPr>
        <w:t>承包人</w:t>
      </w:r>
      <w:r>
        <w:rPr>
          <w:rFonts w:ascii="宋体" w:hAnsi="宋体"/>
          <w:color w:val="auto"/>
          <w:sz w:val="21"/>
          <w:highlight w:val="none"/>
        </w:rPr>
        <w:t>的施工测量放线成果；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（11）审查工程开工条件，对条件具备的签发开工令；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（12）审查施工</w:t>
      </w:r>
      <w:r>
        <w:rPr>
          <w:rFonts w:hint="eastAsia" w:ascii="宋体" w:hAnsi="宋体"/>
          <w:color w:val="auto"/>
          <w:sz w:val="21"/>
          <w:highlight w:val="none"/>
        </w:rPr>
        <w:t>承包人</w:t>
      </w:r>
      <w:r>
        <w:rPr>
          <w:rFonts w:ascii="宋体" w:hAnsi="宋体"/>
          <w:color w:val="auto"/>
          <w:sz w:val="21"/>
          <w:highlight w:val="none"/>
        </w:rPr>
        <w:t>报送的工程材料、构配件、设备质量证明文件的有效性和符合性，并按规定对用于工程的材料采取平行检验或见证取样方式进行抽检；</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（13）审核施工</w:t>
      </w:r>
      <w:r>
        <w:rPr>
          <w:rFonts w:hint="eastAsia" w:ascii="宋体" w:hAnsi="宋体"/>
          <w:color w:val="auto"/>
          <w:sz w:val="21"/>
          <w:highlight w:val="none"/>
        </w:rPr>
        <w:t>承包人</w:t>
      </w:r>
      <w:r>
        <w:rPr>
          <w:rFonts w:ascii="宋体" w:hAnsi="宋体"/>
          <w:color w:val="auto"/>
          <w:sz w:val="21"/>
          <w:highlight w:val="none"/>
        </w:rPr>
        <w:t>提交的工程款支付申请，签发或出具工程款支付证书，并报委托人审核、批准</w:t>
      </w:r>
      <w:r>
        <w:rPr>
          <w:rFonts w:hint="eastAsia" w:ascii="宋体" w:hAnsi="宋体" w:cs="宋体"/>
          <w:color w:val="auto"/>
          <w:sz w:val="21"/>
          <w:highlight w:val="none"/>
        </w:rPr>
        <w:t>，</w:t>
      </w:r>
      <w:r>
        <w:rPr>
          <w:rFonts w:hint="eastAsia" w:ascii="宋体" w:hAnsi="宋体" w:cs="宋体"/>
          <w:color w:val="auto"/>
          <w:sz w:val="21"/>
          <w:szCs w:val="21"/>
          <w:highlight w:val="none"/>
        </w:rPr>
        <w:t>做好现场签证的发生与计量工作</w:t>
      </w:r>
      <w:r>
        <w:rPr>
          <w:rFonts w:ascii="宋体" w:hAnsi="宋体"/>
          <w:color w:val="auto"/>
          <w:sz w:val="21"/>
          <w:highlight w:val="none"/>
        </w:rPr>
        <w:t>；</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（14）在巡视、旁站和检验过程中，发现工程质量、施工安全存在事故隐患的，要求施工</w:t>
      </w:r>
      <w:r>
        <w:rPr>
          <w:rFonts w:hint="eastAsia" w:ascii="宋体" w:hAnsi="宋体"/>
          <w:color w:val="auto"/>
          <w:sz w:val="21"/>
          <w:highlight w:val="none"/>
        </w:rPr>
        <w:t>承包人</w:t>
      </w:r>
      <w:r>
        <w:rPr>
          <w:rFonts w:ascii="宋体" w:hAnsi="宋体"/>
          <w:color w:val="auto"/>
          <w:sz w:val="21"/>
          <w:highlight w:val="none"/>
        </w:rPr>
        <w:t>整改并报委托人；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（15）经委托人同意，签发工程暂停令和复工令；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（16）审查施工</w:t>
      </w:r>
      <w:r>
        <w:rPr>
          <w:rFonts w:hint="eastAsia" w:ascii="宋体" w:hAnsi="宋体"/>
          <w:color w:val="auto"/>
          <w:sz w:val="21"/>
          <w:highlight w:val="none"/>
        </w:rPr>
        <w:t>承包人</w:t>
      </w:r>
      <w:r>
        <w:rPr>
          <w:rFonts w:ascii="宋体" w:hAnsi="宋体"/>
          <w:color w:val="auto"/>
          <w:sz w:val="21"/>
          <w:highlight w:val="none"/>
        </w:rPr>
        <w:t>提交的采用新材料、新工艺、新技术、新设备的论证材料及相关验收标准；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（17）验收隐蔽工程、分部分项工程；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（18）审查</w:t>
      </w:r>
      <w:r>
        <w:rPr>
          <w:rFonts w:hint="eastAsia" w:ascii="宋体" w:hAnsi="宋体"/>
          <w:color w:val="auto"/>
          <w:sz w:val="21"/>
          <w:highlight w:val="none"/>
        </w:rPr>
        <w:t>施工承包人</w:t>
      </w:r>
      <w:r>
        <w:rPr>
          <w:rFonts w:ascii="宋体" w:hAnsi="宋体"/>
          <w:color w:val="auto"/>
          <w:sz w:val="21"/>
          <w:highlight w:val="none"/>
        </w:rPr>
        <w:t>提交的工程变更申请，协调处理施工进度调整、费用索赔、合同争议等事项；</w:t>
      </w:r>
    </w:p>
    <w:p>
      <w:pPr>
        <w:spacing w:line="360" w:lineRule="auto"/>
        <w:ind w:firstLine="424" w:firstLineChars="202"/>
        <w:rPr>
          <w:rFonts w:ascii="宋体" w:hAnsi="宋体" w:cs="宋体"/>
          <w:color w:val="auto"/>
          <w:sz w:val="21"/>
          <w:szCs w:val="21"/>
          <w:highlight w:val="none"/>
        </w:rPr>
      </w:pPr>
      <w:r>
        <w:rPr>
          <w:rFonts w:ascii="宋体" w:hAnsi="宋体"/>
          <w:color w:val="auto"/>
          <w:sz w:val="21"/>
          <w:highlight w:val="none"/>
        </w:rPr>
        <w:t>（19）审查</w:t>
      </w:r>
      <w:r>
        <w:rPr>
          <w:rFonts w:hint="eastAsia" w:ascii="宋体" w:hAnsi="宋体"/>
          <w:color w:val="auto"/>
          <w:sz w:val="21"/>
          <w:highlight w:val="none"/>
        </w:rPr>
        <w:t>施工承包人</w:t>
      </w:r>
      <w:r>
        <w:rPr>
          <w:rFonts w:ascii="宋体" w:hAnsi="宋体"/>
          <w:color w:val="auto"/>
          <w:sz w:val="21"/>
          <w:highlight w:val="none"/>
        </w:rPr>
        <w:t>提交的竣工验收申请，编写工程质量评估报告</w:t>
      </w:r>
      <w:r>
        <w:rPr>
          <w:rFonts w:hint="eastAsia" w:ascii="宋体" w:hAnsi="宋体" w:cs="宋体"/>
          <w:color w:val="auto"/>
          <w:sz w:val="21"/>
          <w:szCs w:val="21"/>
          <w:highlight w:val="none"/>
        </w:rPr>
        <w:t>，并对工程质量进行竣工预验收；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（20）参加工程竣工验收，签署竣工验收意见；</w:t>
      </w:r>
    </w:p>
    <w:p>
      <w:pPr>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（21）缺陷责任期阶段，对工程质量缺陷原因进行调查分析并确定责任归属，对委托人提出的工程质量缺陷进行检查和记录，对施工承包人进行修复的工程质量进行验收。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eastAsia" w:ascii="宋体" w:hAnsi="宋体"/>
          <w:color w:val="auto"/>
          <w:sz w:val="21"/>
          <w:highlight w:val="none"/>
        </w:rPr>
        <w:t>2</w:t>
      </w:r>
      <w:r>
        <w:rPr>
          <w:rFonts w:ascii="宋体" w:hAnsi="宋体"/>
          <w:color w:val="auto"/>
          <w:sz w:val="21"/>
          <w:highlight w:val="none"/>
        </w:rPr>
        <w:t>）审查</w:t>
      </w:r>
      <w:r>
        <w:rPr>
          <w:rFonts w:hint="eastAsia" w:ascii="宋体" w:hAnsi="宋体"/>
          <w:color w:val="auto"/>
          <w:sz w:val="21"/>
          <w:highlight w:val="none"/>
        </w:rPr>
        <w:t>施工承包人</w:t>
      </w:r>
      <w:r>
        <w:rPr>
          <w:rFonts w:ascii="宋体" w:hAnsi="宋体"/>
          <w:color w:val="auto"/>
          <w:sz w:val="21"/>
          <w:highlight w:val="none"/>
        </w:rPr>
        <w:t>提交的竣工结算申请并报委托人；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eastAsia" w:ascii="宋体" w:hAnsi="宋体"/>
          <w:color w:val="auto"/>
          <w:sz w:val="21"/>
          <w:highlight w:val="none"/>
        </w:rPr>
        <w:t>3</w:t>
      </w:r>
      <w:r>
        <w:rPr>
          <w:rFonts w:ascii="宋体" w:hAnsi="宋体"/>
          <w:color w:val="auto"/>
          <w:sz w:val="21"/>
          <w:highlight w:val="none"/>
        </w:rPr>
        <w:t>）编制、整理工程监理归档文件并报委托人。</w:t>
      </w:r>
    </w:p>
    <w:p>
      <w:pPr>
        <w:spacing w:line="360" w:lineRule="auto"/>
        <w:rPr>
          <w:rFonts w:ascii="黑体" w:hAnsi="黑体" w:eastAsia="黑体"/>
          <w:color w:val="auto"/>
          <w:sz w:val="28"/>
          <w:highlight w:val="none"/>
        </w:rPr>
      </w:pPr>
      <w:r>
        <w:rPr>
          <w:rFonts w:ascii="黑体" w:hAnsi="黑体" w:eastAsia="黑体"/>
          <w:color w:val="auto"/>
          <w:sz w:val="28"/>
          <w:highlight w:val="none"/>
        </w:rPr>
        <w:t>5.4 监理文件要求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5.4.1 监理文件的编制应符合法律、规范标准的强制性规定和委托人要求，相关的监理依据应当完整准确，文件内容和相应数据应当真实可靠。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5.4.2 监理文件的深度应满足本阶段相应监理工作的规定要求，满足委托人的下步工作需要，并应符合国家和行业现行规定。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5.4.3 本工程监理文件的具体类别、编制要求、编制内容、提交时间和份数等，在专用合同条款中约定。</w:t>
      </w:r>
    </w:p>
    <w:p>
      <w:pPr>
        <w:numPr>
          <w:ilvl w:val="0"/>
          <w:numId w:val="35"/>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开始监理和完成监理</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6.1 开始监理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6.1.1 符合专用合同条款约定的开始监理条件的，委托人应提前 7 天向监理人发出开始监理通知。监理服务期限自开始监理通知中载明的开始监理日期起计算。</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6.1.2 除专用合同条款另有约定外，因委托人原因造成合同签订之日起 90 天内未能发出开始监理通知的，</w:t>
      </w:r>
      <w:r>
        <w:rPr>
          <w:rFonts w:hint="eastAsia" w:ascii="宋体" w:hAnsi="宋体"/>
          <w:color w:val="auto"/>
          <w:sz w:val="21"/>
          <w:highlight w:val="none"/>
        </w:rPr>
        <w:t>监理人有权与委托人协商调整价格或者解除合同</w:t>
      </w:r>
      <w:r>
        <w:rPr>
          <w:rFonts w:ascii="宋体" w:hAnsi="宋体"/>
          <w:color w:val="auto"/>
          <w:sz w:val="21"/>
          <w:highlight w:val="none"/>
        </w:rPr>
        <w:t>。委托人应当承担由此增加的费用和（或）周期延误。</w:t>
      </w:r>
    </w:p>
    <w:p>
      <w:pPr>
        <w:spacing w:line="360" w:lineRule="auto"/>
        <w:rPr>
          <w:rFonts w:ascii="黑体" w:hAnsi="黑体" w:eastAsia="黑体"/>
          <w:color w:val="auto"/>
          <w:sz w:val="28"/>
          <w:highlight w:val="none"/>
        </w:rPr>
      </w:pPr>
      <w:r>
        <w:rPr>
          <w:rFonts w:ascii="黑体" w:hAnsi="黑体" w:eastAsia="黑体"/>
          <w:color w:val="auto"/>
          <w:sz w:val="28"/>
          <w:highlight w:val="none"/>
        </w:rPr>
        <w:t>6.2 监理周期延误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在履行合同过程中，由于下列原因造成监理服务期限延误的，委托人应当延长监理服务期限并增加监理报酬，具体方法在专用合同条款中约定。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（1）合同变更；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（2）因委托人原因导致的监理工作暂停；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（3）未按合同约定及时支付监理报酬；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（4）未及时履行合同约定的相关义务；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（5）由于</w:t>
      </w:r>
      <w:r>
        <w:rPr>
          <w:rFonts w:hint="eastAsia" w:ascii="宋体" w:hAnsi="宋体"/>
          <w:color w:val="auto"/>
          <w:sz w:val="21"/>
          <w:highlight w:val="none"/>
        </w:rPr>
        <w:t>承包人</w:t>
      </w:r>
      <w:r>
        <w:rPr>
          <w:rFonts w:ascii="宋体" w:hAnsi="宋体"/>
          <w:color w:val="auto"/>
          <w:sz w:val="21"/>
          <w:highlight w:val="none"/>
        </w:rPr>
        <w:t>延误、行政管理造成的监理服务期延误；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（6）造成监理服务期限延误的其他原因。</w:t>
      </w:r>
    </w:p>
    <w:p>
      <w:pPr>
        <w:spacing w:line="360" w:lineRule="auto"/>
        <w:rPr>
          <w:rFonts w:ascii="黑体" w:hAnsi="黑体" w:eastAsia="黑体"/>
          <w:color w:val="auto"/>
          <w:sz w:val="28"/>
          <w:highlight w:val="none"/>
        </w:rPr>
      </w:pPr>
      <w:r>
        <w:rPr>
          <w:rFonts w:ascii="黑体" w:hAnsi="黑体" w:eastAsia="黑体"/>
          <w:color w:val="auto"/>
          <w:sz w:val="28"/>
          <w:highlight w:val="none"/>
        </w:rPr>
        <w:t>6.3 完成监理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6.3.1 监理人应当根据法律、规范标准、合同约定和委托人要求实施和完成监理，并编制和移交监理文件。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6.3.2 根据委托人要求或者基于专业能力判断，监理人认为能够提前完成监理的，可向委托人递交一份提前完成监理建议书，包括实施方案、提前时间、监理报酬变动等内容。除专用合同条款另有约定之外，委托人接受建议书的，不因提前完成监理而减少监理报酬；增加监理报酬的，所增费用由委托人承担。</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6.3.3 缺陷修复监理指缺陷责任期间，监理人对</w:t>
      </w:r>
      <w:r>
        <w:rPr>
          <w:rFonts w:hint="eastAsia" w:ascii="宋体" w:hAnsi="宋体"/>
          <w:color w:val="auto"/>
          <w:sz w:val="21"/>
          <w:highlight w:val="none"/>
        </w:rPr>
        <w:t>承包人</w:t>
      </w:r>
      <w:r>
        <w:rPr>
          <w:rFonts w:ascii="宋体" w:hAnsi="宋体"/>
          <w:color w:val="auto"/>
          <w:sz w:val="21"/>
          <w:highlight w:val="none"/>
        </w:rPr>
        <w:t>修复质量缺陷进行的监理。缺陷修复监理的责任由监理人负责。</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6.3.4 委托人应当及时接收监理人提交的监理文件。如无正当理由拒收的，视为委托人已经接收监理文件。接收监理文件时，委托人应向监理人出具文件签收凭证，凭证内容包括文件名称、文件内容、文件形式、份数、提交和接收日期、提交人与接收人的亲笔签名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6.3.5 除专用合同条款另有约定外，监理文件包括纸质文件和电子文件两种形式，两者若有不一致时，应以纸质文件为准。纸质文件应当加盖单位章和总监理工程师的注册执业印章，具体份数、纸幅、装订格式等要求，应在专用合同条款中约定；电子文件应使用光盘和 U 盘分别贮存。</w:t>
      </w:r>
    </w:p>
    <w:p>
      <w:pPr>
        <w:numPr>
          <w:ilvl w:val="0"/>
          <w:numId w:val="36"/>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监理责任与保险</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7.1 监理责任主体</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7.1.1 监理人应运用一切合理的专业技术、知识技能和项目经验，按照职业道德准则和行业公认标准尽其全部职责，勤勉、谨慎、公正地履行其在本合同项下的责任和义务。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7.1.2 监理责任为监理单位项目负责人终身责任制。总监理工程师应当按照法律法规、有关技术标准、设计文件和工程承包合同进行监理，对施工质量承担监理责任。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7.1.3 总监理工程师应当在办理工程质量监督手续前签署工程质量终身责任承诺书，连同法定代表人出具的授权书，报工程质量监督机构备案。</w:t>
      </w:r>
    </w:p>
    <w:p>
      <w:pPr>
        <w:spacing w:line="360" w:lineRule="auto"/>
        <w:rPr>
          <w:rFonts w:ascii="黑体" w:hAnsi="黑体" w:eastAsia="黑体"/>
          <w:color w:val="auto"/>
          <w:sz w:val="28"/>
          <w:highlight w:val="none"/>
        </w:rPr>
      </w:pPr>
      <w:r>
        <w:rPr>
          <w:rFonts w:ascii="黑体" w:hAnsi="黑体" w:eastAsia="黑体"/>
          <w:color w:val="auto"/>
          <w:sz w:val="28"/>
          <w:highlight w:val="none"/>
        </w:rPr>
        <w:t>7.2 监理责任保险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除专用合同条款另有约定外，建议监理人根据工程情况对监理责任进行保险，并在合同履行期间保持足额、有效。</w:t>
      </w:r>
    </w:p>
    <w:p>
      <w:pPr>
        <w:numPr>
          <w:ilvl w:val="0"/>
          <w:numId w:val="37"/>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合同变更</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8.1 变更情形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8.1.1 合同履行中发生下述情形时，合同一方均可向对方提出变更请求，经双方协商一致后进行变更，监理服务期限和监理报酬的调整方法在专用合同条款中约定。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（1）监理范围发生变化；</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（2）除不可抗力外，非监理人的原因引起的周期延误；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（3）非监理人的原因，对工程同一部分重复进行监理；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（4）非监理人的原因，对工程暂停监理及恢复监理。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8.1.2 基准日后，因颁布新的或修订原有法律、法规、规范和标准等引发合同变更情形的，按照上述约定进行调整。</w:t>
      </w:r>
    </w:p>
    <w:p>
      <w:pPr>
        <w:spacing w:line="360" w:lineRule="auto"/>
        <w:rPr>
          <w:rFonts w:ascii="黑体" w:hAnsi="黑体" w:eastAsia="黑体"/>
          <w:color w:val="auto"/>
          <w:sz w:val="28"/>
          <w:highlight w:val="none"/>
        </w:rPr>
      </w:pPr>
      <w:r>
        <w:rPr>
          <w:rFonts w:ascii="黑体" w:hAnsi="黑体" w:eastAsia="黑体"/>
          <w:color w:val="auto"/>
          <w:sz w:val="28"/>
          <w:highlight w:val="none"/>
        </w:rPr>
        <w:t>8.2 合理化建议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8.2.1 合同履行中，监理人可对委托人要求提出合理化建议。合理化建议应以书面形式提交委托人，被委托人采纳并构成变更的，执行第 8.1 款约定。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8.2.2 监理人提出的合理化建议降低了工程投资、缩短了施工期限或者提高了工程经济效益的，委托人应按专用合同条款中的约定给予奖励。</w:t>
      </w:r>
    </w:p>
    <w:p>
      <w:pPr>
        <w:numPr>
          <w:ilvl w:val="0"/>
          <w:numId w:val="38"/>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合同价格与支付</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9.1 合同价格</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9.1.1 本合同的价款确定方式、调整方式和风险范围划分，在专用合同条款中约定。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9.1.2 除专用合同条款另有约定外，合同价格应当包括收集资料、踏勘现场、制订纲要、实施监理、编制监理文件等全部费用和国家规定的增值税税金。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9.1.3 委托人要求监理人进行外出考察、试验检测、专项咨询或专家评审时，相应费用不含在合同价格之中，由委托人另行支付。</w:t>
      </w:r>
    </w:p>
    <w:p>
      <w:pPr>
        <w:spacing w:line="360" w:lineRule="auto"/>
        <w:rPr>
          <w:rFonts w:ascii="黑体" w:hAnsi="黑体" w:eastAsia="黑体"/>
          <w:color w:val="auto"/>
          <w:sz w:val="28"/>
          <w:highlight w:val="none"/>
        </w:rPr>
      </w:pPr>
      <w:r>
        <w:rPr>
          <w:rFonts w:ascii="黑体" w:hAnsi="黑体" w:eastAsia="黑体"/>
          <w:color w:val="auto"/>
          <w:sz w:val="28"/>
          <w:highlight w:val="none"/>
        </w:rPr>
        <w:t>9.2 预付款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9.2.1 预付款应专用于本工程的监理。预付款的额度、支付方式及抵扣方式在专用合同条款中约定。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9.2.2 委托人应在收到预付款支付申请后 28 天内，将预付款支付给监理人；监理人应当提供等额的增值税发票。</w:t>
      </w:r>
    </w:p>
    <w:p>
      <w:pPr>
        <w:spacing w:line="360" w:lineRule="auto"/>
        <w:rPr>
          <w:rFonts w:ascii="黑体" w:hAnsi="黑体" w:eastAsia="黑体"/>
          <w:color w:val="auto"/>
          <w:sz w:val="28"/>
          <w:highlight w:val="none"/>
        </w:rPr>
      </w:pPr>
      <w:r>
        <w:rPr>
          <w:rFonts w:ascii="黑体" w:hAnsi="黑体" w:eastAsia="黑体"/>
          <w:color w:val="auto"/>
          <w:sz w:val="28"/>
          <w:highlight w:val="none"/>
        </w:rPr>
        <w:t>9.3 中期支付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9.3.1 监理人应按委托人批准或专用合同条款约定的格式及份数，向委托人提交中期支付申请，并附相应的支持性证明文件。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9.3.2 委托人应在收到中期支付申请后的 28 天内，将应付款项支付给监理人；监理人应当提供等额的增值税发票。委托人未能在前述时间内完成审批或不予答复的，视为委托人同意中期支付申请。委托人不按期支付的，按专用合同条款的约定支付逾期付款违约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9.3.3 中期支付涉及政府投资资金的，按照国库集中支付等国家相关规定和专用合同条款的约定执行。</w:t>
      </w:r>
    </w:p>
    <w:p>
      <w:pPr>
        <w:spacing w:line="360" w:lineRule="auto"/>
        <w:rPr>
          <w:rFonts w:ascii="黑体" w:hAnsi="黑体" w:eastAsia="黑体"/>
          <w:color w:val="auto"/>
          <w:sz w:val="28"/>
          <w:highlight w:val="none"/>
        </w:rPr>
      </w:pPr>
      <w:r>
        <w:rPr>
          <w:rFonts w:ascii="黑体" w:hAnsi="黑体" w:eastAsia="黑体"/>
          <w:color w:val="auto"/>
          <w:sz w:val="28"/>
          <w:highlight w:val="none"/>
        </w:rPr>
        <w:t>9.4 费用结算</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9.4.1 合同工作完成后，监理人可按专用合同条款约定的份数和期限，向委托人提交监理费用结算申请，并提供相关证明材料。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9.4.2 委托人应在收到费用结算申请后的 28 天内，将应付款项支付给监理人；监理人应当提供等额的增值税发票。委托人未能在前述时间内完成审批或不予答复的，视为委托人同意费用结算申请。委托人不按期支付的，按专用合同条款的约定支付逾期付款违约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9.4.3 委托人对费用结算申请内容有异议的，有权要求监理人进行修正和提供补充资料，由监理人重新提交。监理人对此有异议的，按第 12 条的约定执行。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9.4.4 最终结清付款涉及政府投资资金的，按第 9.3.3 项的约定执行。</w:t>
      </w:r>
    </w:p>
    <w:p>
      <w:pPr>
        <w:numPr>
          <w:ilvl w:val="0"/>
          <w:numId w:val="39"/>
        </w:numPr>
        <w:tabs>
          <w:tab w:val="left" w:pos="567"/>
        </w:tabs>
        <w:spacing w:line="390" w:lineRule="exact"/>
        <w:ind w:left="920" w:hanging="920"/>
        <w:rPr>
          <w:rFonts w:eastAsia="Times New Roman"/>
          <w:b/>
          <w:color w:val="auto"/>
          <w:sz w:val="32"/>
          <w:highlight w:val="none"/>
        </w:rPr>
      </w:pPr>
      <w:r>
        <w:rPr>
          <w:rFonts w:ascii="黑体" w:hAnsi="黑体" w:eastAsia="黑体"/>
          <w:b/>
          <w:color w:val="auto"/>
          <w:sz w:val="32"/>
          <w:highlight w:val="none"/>
        </w:rPr>
        <w:t>不可抗力</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10.1 不可抗力的确认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10.1.1 不可抗力是指监理人和委托人在订立合同时不可预见，在履行合同过程中不可避免发生并不能克服的自然灾害和社会性突发事件，如地震、海啸、瘟疫、水灾、骚乱、暴动、战争和专用合同条款约定的其他情形。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10.1.2 不可抗力发生后，委托人和监理人应及时认真统计所造成的损失，收集不可抗力造成损失的证据。合同双方对是否属于不可抗力或其损失的意见不一致的，由合同双方协商确定。</w:t>
      </w:r>
    </w:p>
    <w:p>
      <w:pPr>
        <w:spacing w:line="360" w:lineRule="auto"/>
        <w:rPr>
          <w:rFonts w:ascii="黑体" w:hAnsi="黑体" w:eastAsia="黑体"/>
          <w:color w:val="auto"/>
          <w:sz w:val="28"/>
          <w:highlight w:val="none"/>
        </w:rPr>
      </w:pPr>
      <w:r>
        <w:rPr>
          <w:rFonts w:ascii="黑体" w:hAnsi="黑体" w:eastAsia="黑体"/>
          <w:color w:val="auto"/>
          <w:sz w:val="28"/>
          <w:highlight w:val="none"/>
        </w:rPr>
        <w:t>10.2 不可抗力的通知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10.2.1 合同一方当事人遇到不可抗力事件，使其履行合同义务受到阻碍时，应立即通知合同另一方当事人，书面说明不可抗力和受阻碍的详细情况，并提供必要的证明。</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10.2.2 如不可抗力持续发生，合同一方当事人应及时向合同另一方当事人提交中间报告，说明不可抗力和履行合同受阻的情况，并于不可抗力事件结束后 28 天内提交最终报告及有关资料。</w:t>
      </w:r>
    </w:p>
    <w:p>
      <w:pPr>
        <w:spacing w:line="360" w:lineRule="auto"/>
        <w:rPr>
          <w:rFonts w:ascii="黑体" w:hAnsi="黑体" w:eastAsia="黑体"/>
          <w:color w:val="auto"/>
          <w:sz w:val="28"/>
          <w:highlight w:val="none"/>
        </w:rPr>
      </w:pPr>
      <w:r>
        <w:rPr>
          <w:rFonts w:ascii="黑体" w:hAnsi="黑体" w:eastAsia="黑体"/>
          <w:color w:val="auto"/>
          <w:sz w:val="28"/>
          <w:highlight w:val="none"/>
        </w:rPr>
        <w:t>10.3 不可抗力后果及其处理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10.3.1 不可抗力引起的后果及其损失，应由合同当事人依据法律规定各自承担。不可抗力发生前已完成的监理工作，应当按照合同约定进行支付。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10.3.2 不可抗力发生后，合同当事人应当采取有效措施避免损失进一步扩大，如未采取有效措施致使损失扩大的，应当自行承担扩大部分的损失。</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10.3.3 因一方当事人迟延履行合同义务，致使迟延履行期间遭遇不可抗力的，应由该当事人承担全部损失。</w:t>
      </w:r>
    </w:p>
    <w:p>
      <w:pPr>
        <w:numPr>
          <w:ilvl w:val="0"/>
          <w:numId w:val="40"/>
        </w:numPr>
        <w:spacing w:line="390" w:lineRule="exact"/>
        <w:ind w:left="567" w:hanging="567"/>
        <w:rPr>
          <w:rFonts w:eastAsia="Times New Roman"/>
          <w:b/>
          <w:color w:val="auto"/>
          <w:sz w:val="32"/>
          <w:highlight w:val="none"/>
        </w:rPr>
      </w:pPr>
      <w:r>
        <w:rPr>
          <w:rFonts w:ascii="黑体" w:hAnsi="黑体" w:eastAsia="黑体"/>
          <w:b/>
          <w:color w:val="auto"/>
          <w:sz w:val="32"/>
          <w:highlight w:val="none"/>
        </w:rPr>
        <w:t>违约</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11.1 监理人违约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11.1.1 合同履行中发生下列情况之一的，属监理人违约：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（1）监理文件不符合规范标准以及合同约定；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（2）监理人转让监理工作；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（3）监理人未按合同约定实施监理并造成工程损失；</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（4）监理人无法履行或停止履行合同；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（5）监理人不履行合同约定的其他义务。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11.1.2 监理人发生违约情况时，委托人可向监理人发出整改通知，要求其在限定期限内纠正；逾期仍不纠正的，委托人有权解除合同并向监理人发出解除合同通知。监理人应当承担由于违约所造成的费用增加、周期延误和委托人损失等。</w:t>
      </w:r>
    </w:p>
    <w:p>
      <w:pPr>
        <w:spacing w:line="360" w:lineRule="auto"/>
        <w:rPr>
          <w:rFonts w:ascii="黑体" w:hAnsi="黑体" w:eastAsia="黑体"/>
          <w:color w:val="auto"/>
          <w:sz w:val="28"/>
          <w:highlight w:val="none"/>
        </w:rPr>
      </w:pPr>
      <w:r>
        <w:rPr>
          <w:rFonts w:ascii="黑体" w:hAnsi="黑体" w:eastAsia="黑体"/>
          <w:color w:val="auto"/>
          <w:sz w:val="28"/>
          <w:highlight w:val="none"/>
        </w:rPr>
        <w:t>1</w:t>
      </w:r>
      <w:r>
        <w:rPr>
          <w:rFonts w:hint="eastAsia" w:ascii="黑体" w:hAnsi="黑体" w:eastAsia="黑体"/>
          <w:color w:val="auto"/>
          <w:sz w:val="28"/>
          <w:highlight w:val="none"/>
        </w:rPr>
        <w:t>1</w:t>
      </w:r>
      <w:r>
        <w:rPr>
          <w:rFonts w:ascii="黑体" w:hAnsi="黑体" w:eastAsia="黑体"/>
          <w:color w:val="auto"/>
          <w:sz w:val="28"/>
          <w:highlight w:val="none"/>
        </w:rPr>
        <w:t>.2 委托人违约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w:t>
      </w:r>
      <w:r>
        <w:rPr>
          <w:rFonts w:hint="eastAsia" w:ascii="宋体" w:hAnsi="宋体"/>
          <w:color w:val="auto"/>
          <w:sz w:val="21"/>
          <w:highlight w:val="none"/>
        </w:rPr>
        <w:t>1</w:t>
      </w:r>
      <w:r>
        <w:rPr>
          <w:rFonts w:ascii="宋体" w:hAnsi="宋体"/>
          <w:color w:val="auto"/>
          <w:sz w:val="21"/>
          <w:highlight w:val="none"/>
        </w:rPr>
        <w:t>.2.1 合同履行中发生下列情况之一的，属委托人违约：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（1）委托人未按合同约定支付监理报酬；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（2）委托人原因造成监理停止；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（3）委托人无法履行或停止履行合同；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（4）委托人不履行合同约定的其他义务。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w:t>
      </w:r>
    </w:p>
    <w:p>
      <w:pPr>
        <w:spacing w:line="360" w:lineRule="auto"/>
        <w:rPr>
          <w:rFonts w:ascii="黑体" w:hAnsi="黑体" w:eastAsia="黑体"/>
          <w:color w:val="auto"/>
          <w:sz w:val="28"/>
          <w:highlight w:val="none"/>
        </w:rPr>
      </w:pPr>
      <w:r>
        <w:rPr>
          <w:rFonts w:ascii="黑体" w:hAnsi="黑体" w:eastAsia="黑体"/>
          <w:color w:val="auto"/>
          <w:sz w:val="28"/>
          <w:highlight w:val="none"/>
        </w:rPr>
        <w:t>11.3 第三人造成的违约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在履行合同过程中，一方当事人因第三人的原因造成违约的，应当向对方当事人承担违约责任。一方当事人和第三人之间的纠纷，依照法律规定或者按照约定解决。</w:t>
      </w:r>
    </w:p>
    <w:p>
      <w:pPr>
        <w:numPr>
          <w:ilvl w:val="0"/>
          <w:numId w:val="41"/>
        </w:numPr>
        <w:tabs>
          <w:tab w:val="left" w:pos="426"/>
        </w:tabs>
        <w:spacing w:line="390" w:lineRule="exact"/>
        <w:ind w:left="920" w:hanging="920"/>
        <w:rPr>
          <w:rFonts w:eastAsia="Times New Roman"/>
          <w:b/>
          <w:color w:val="auto"/>
          <w:sz w:val="32"/>
          <w:highlight w:val="none"/>
        </w:rPr>
      </w:pPr>
      <w:r>
        <w:rPr>
          <w:rFonts w:ascii="黑体" w:hAnsi="黑体" w:eastAsia="黑体"/>
          <w:b/>
          <w:color w:val="auto"/>
          <w:sz w:val="32"/>
          <w:highlight w:val="none"/>
        </w:rPr>
        <w:t>争议的解决</w:t>
      </w:r>
    </w:p>
    <w:p>
      <w:pPr>
        <w:spacing w:line="200" w:lineRule="exact"/>
        <w:rPr>
          <w:rFonts w:eastAsia="Times New Roman"/>
          <w:color w:val="auto"/>
          <w:highlight w:val="none"/>
        </w:rPr>
      </w:pP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委托人和监理人在履行合同中发生争议的，可以友好协商解决。合同当事人友好协商解决不成的，可在专用合同条款中约定下列一种方式解决：</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（1）向约定的仲裁委员会申请仲裁；</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（2）向</w:t>
      </w:r>
      <w:r>
        <w:rPr>
          <w:rFonts w:hint="eastAsia" w:ascii="宋体" w:hAnsi="宋体"/>
          <w:color w:val="auto"/>
          <w:sz w:val="21"/>
          <w:highlight w:val="none"/>
          <w:lang w:val="en-US" w:eastAsia="zh-CN"/>
        </w:rPr>
        <w:t>甲方所在地</w:t>
      </w:r>
      <w:r>
        <w:rPr>
          <w:rFonts w:ascii="宋体" w:hAnsi="宋体"/>
          <w:color w:val="auto"/>
          <w:sz w:val="21"/>
          <w:highlight w:val="none"/>
        </w:rPr>
        <w:t>的人民法院提起诉讼。</w:t>
      </w:r>
    </w:p>
    <w:p>
      <w:pPr>
        <w:spacing w:line="360" w:lineRule="auto"/>
        <w:ind w:firstLine="424" w:firstLineChars="202"/>
        <w:rPr>
          <w:rFonts w:ascii="宋体" w:hAnsi="宋体"/>
          <w:color w:val="auto"/>
          <w:sz w:val="21"/>
          <w:highlight w:val="none"/>
        </w:rPr>
      </w:pPr>
    </w:p>
    <w:p>
      <w:pPr>
        <w:rPr>
          <w:rFonts w:ascii="宋体" w:hAnsi="宋体"/>
          <w:color w:val="auto"/>
          <w:sz w:val="21"/>
          <w:highlight w:val="none"/>
        </w:rPr>
      </w:pPr>
      <w:r>
        <w:rPr>
          <w:rFonts w:ascii="宋体" w:hAnsi="宋体"/>
          <w:color w:val="auto"/>
          <w:sz w:val="21"/>
          <w:highlight w:val="none"/>
        </w:rPr>
        <w:br w:type="page"/>
      </w:r>
    </w:p>
    <w:p>
      <w:pPr>
        <w:spacing w:line="360" w:lineRule="auto"/>
        <w:jc w:val="center"/>
        <w:rPr>
          <w:rFonts w:ascii="黑体" w:hAnsi="黑体" w:eastAsia="黑体"/>
          <w:b/>
          <w:color w:val="auto"/>
          <w:sz w:val="31"/>
          <w:highlight w:val="none"/>
        </w:rPr>
      </w:pPr>
      <w:r>
        <w:rPr>
          <w:rFonts w:ascii="黑体" w:hAnsi="黑体" w:eastAsia="黑体"/>
          <w:b/>
          <w:color w:val="auto"/>
          <w:sz w:val="31"/>
          <w:highlight w:val="none"/>
        </w:rPr>
        <w:t>第</w:t>
      </w:r>
      <w:r>
        <w:rPr>
          <w:rFonts w:hint="eastAsia" w:ascii="黑体" w:hAnsi="黑体" w:eastAsia="黑体"/>
          <w:b/>
          <w:color w:val="auto"/>
          <w:sz w:val="31"/>
          <w:highlight w:val="none"/>
        </w:rPr>
        <w:t>三</w:t>
      </w:r>
      <w:r>
        <w:rPr>
          <w:rFonts w:ascii="黑体" w:hAnsi="黑体" w:eastAsia="黑体"/>
          <w:b/>
          <w:color w:val="auto"/>
          <w:sz w:val="31"/>
          <w:highlight w:val="none"/>
        </w:rPr>
        <w:t>节专用合同条款</w:t>
      </w:r>
    </w:p>
    <w:p>
      <w:pPr>
        <w:spacing w:line="360" w:lineRule="auto"/>
        <w:ind w:firstLine="420" w:firstLineChars="200"/>
        <w:rPr>
          <w:rFonts w:ascii="黑体" w:hAnsi="黑体" w:eastAsia="黑体"/>
          <w:b/>
          <w:color w:val="auto"/>
          <w:sz w:val="31"/>
          <w:highlight w:val="none"/>
        </w:rPr>
      </w:pPr>
      <w:r>
        <w:rPr>
          <w:rFonts w:hint="eastAsia"/>
          <w:color w:val="auto"/>
          <w:highlight w:val="none"/>
        </w:rPr>
        <w:t>本专用合同条款对本合同通用合同条款中有需要进行定义、解释或具体约定的条款内容进行补充、删除或修改，其条款序号与通用合同条款中的一一对应，并且专用合同条款较通用合同条款具优先解释权。专用合同条款中缺号的条款表示按通用合同条款中对应的条款执行。</w:t>
      </w:r>
    </w:p>
    <w:p>
      <w:pPr>
        <w:spacing w:line="390" w:lineRule="exact"/>
        <w:rPr>
          <w:rFonts w:eastAsia="Times New Roman"/>
          <w:b/>
          <w:color w:val="auto"/>
          <w:sz w:val="32"/>
          <w:highlight w:val="none"/>
        </w:rPr>
      </w:pPr>
      <w:r>
        <w:rPr>
          <w:rFonts w:hint="eastAsia" w:ascii="黑体" w:hAnsi="黑体" w:eastAsia="黑体"/>
          <w:b/>
          <w:color w:val="auto"/>
          <w:sz w:val="32"/>
          <w:highlight w:val="none"/>
        </w:rPr>
        <w:t>1.</w:t>
      </w:r>
      <w:r>
        <w:rPr>
          <w:rFonts w:ascii="黑体" w:hAnsi="黑体" w:eastAsia="黑体"/>
          <w:b/>
          <w:color w:val="auto"/>
          <w:sz w:val="32"/>
          <w:highlight w:val="none"/>
        </w:rPr>
        <w:t>一般约定</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eastAsia="Times New Roman"/>
          <w:color w:val="auto"/>
          <w:sz w:val="28"/>
          <w:highlight w:val="none"/>
        </w:rPr>
        <w:t xml:space="preserve">1.1 </w:t>
      </w:r>
      <w:r>
        <w:rPr>
          <w:rFonts w:ascii="黑体" w:hAnsi="黑体" w:eastAsia="黑体"/>
          <w:color w:val="auto"/>
          <w:sz w:val="28"/>
          <w:highlight w:val="none"/>
        </w:rPr>
        <w:t>词语定义</w:t>
      </w:r>
    </w:p>
    <w:p>
      <w:pPr>
        <w:spacing w:line="360" w:lineRule="auto"/>
        <w:ind w:firstLine="426" w:firstLineChars="202"/>
        <w:rPr>
          <w:rFonts w:ascii="宋体" w:hAnsi="宋体"/>
          <w:b/>
          <w:color w:val="auto"/>
          <w:sz w:val="21"/>
          <w:highlight w:val="none"/>
        </w:rPr>
      </w:pPr>
      <w:r>
        <w:rPr>
          <w:rFonts w:hint="eastAsia" w:ascii="宋体" w:hAnsi="宋体"/>
          <w:b/>
          <w:color w:val="auto"/>
          <w:sz w:val="21"/>
          <w:highlight w:val="none"/>
        </w:rPr>
        <w:t>1.1.1 合同</w:t>
      </w:r>
    </w:p>
    <w:p>
      <w:pPr>
        <w:spacing w:line="360" w:lineRule="auto"/>
        <w:ind w:firstLine="426" w:firstLineChars="202"/>
        <w:rPr>
          <w:rFonts w:ascii="宋体" w:hAnsi="宋体"/>
          <w:b/>
          <w:color w:val="auto"/>
          <w:sz w:val="21"/>
          <w:highlight w:val="none"/>
        </w:rPr>
      </w:pPr>
      <w:r>
        <w:rPr>
          <w:rFonts w:hint="eastAsia" w:ascii="宋体" w:hAnsi="宋体"/>
          <w:b/>
          <w:color w:val="auto"/>
          <w:sz w:val="21"/>
          <w:highlight w:val="none"/>
        </w:rPr>
        <w:t>1.1.1.1 合同文件（或称合同）：指合同双方当事人为实施、完成合同所订立的全部合同文件。合同文件由合同协议书第1条所列的文件组成。</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1.1.2 合同当事人和人员</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1.1.2.2 委托人：</w:t>
      </w:r>
      <w:r>
        <w:rPr>
          <w:rFonts w:hint="eastAsia" w:ascii="宋体" w:hAnsi="宋体"/>
          <w:color w:val="auto"/>
          <w:sz w:val="21"/>
          <w:highlight w:val="none"/>
          <w:u w:val="single"/>
        </w:rPr>
        <w:t>指承担直接投资责任和委托监理业务的一方以及其合法继承人。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1.1.2.3 监理人：</w:t>
      </w:r>
      <w:r>
        <w:rPr>
          <w:rFonts w:hint="eastAsia" w:ascii="宋体" w:hAnsi="宋体"/>
          <w:color w:val="auto"/>
          <w:sz w:val="21"/>
          <w:highlight w:val="none"/>
          <w:u w:val="single"/>
        </w:rPr>
        <w:t>指承担监理业务和监理责任的一方，以及其合法继承人。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1.1.2.5 总监理工程师：</w:t>
      </w:r>
      <w:r>
        <w:rPr>
          <w:rFonts w:hint="eastAsia" w:ascii="宋体" w:hAnsi="宋体"/>
          <w:color w:val="auto"/>
          <w:sz w:val="21"/>
          <w:highlight w:val="none"/>
          <w:u w:val="single"/>
        </w:rPr>
        <w:t>指经委托人同意，监理人派到监理机构全面履行本合同的全权负责人。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 xml:space="preserve">1.1.2.6 </w:t>
      </w:r>
      <w:r>
        <w:rPr>
          <w:rFonts w:hint="eastAsia" w:ascii="宋体" w:hAnsi="宋体"/>
          <w:color w:val="auto"/>
          <w:sz w:val="21"/>
          <w:highlight w:val="none"/>
        </w:rPr>
        <w:t>承包人</w:t>
      </w:r>
      <w:r>
        <w:rPr>
          <w:rFonts w:ascii="宋体" w:hAnsi="宋体"/>
          <w:color w:val="auto"/>
          <w:sz w:val="21"/>
          <w:highlight w:val="none"/>
        </w:rPr>
        <w:t>：</w:t>
      </w:r>
      <w:r>
        <w:rPr>
          <w:rFonts w:hint="eastAsia" w:ascii="宋体" w:hAnsi="宋体"/>
          <w:color w:val="auto"/>
          <w:sz w:val="21"/>
          <w:highlight w:val="none"/>
          <w:u w:val="single"/>
        </w:rPr>
        <w:t>指除监理人以外，委托人就工程建设有关事宜签订合同的当事人。</w:t>
      </w:r>
    </w:p>
    <w:p>
      <w:pPr>
        <w:spacing w:line="360" w:lineRule="auto"/>
        <w:ind w:firstLine="424" w:firstLineChars="202"/>
        <w:rPr>
          <w:rFonts w:ascii="宋体" w:hAnsi="宋体"/>
          <w:color w:val="auto"/>
          <w:sz w:val="21"/>
          <w:highlight w:val="none"/>
          <w:u w:val="single"/>
        </w:rPr>
      </w:pP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1.1.3 工程和监理</w:t>
      </w:r>
    </w:p>
    <w:p>
      <w:pPr>
        <w:spacing w:line="360" w:lineRule="auto"/>
        <w:ind w:firstLine="424" w:firstLineChars="202"/>
        <w:rPr>
          <w:rFonts w:ascii="宋体" w:hAnsi="宋体"/>
          <w:b/>
          <w:color w:val="auto"/>
          <w:sz w:val="21"/>
          <w:highlight w:val="none"/>
        </w:rPr>
      </w:pPr>
      <w:r>
        <w:rPr>
          <w:rFonts w:ascii="宋体" w:hAnsi="宋体"/>
          <w:color w:val="auto"/>
          <w:sz w:val="21"/>
          <w:highlight w:val="none"/>
        </w:rPr>
        <w:t>1.1.3.1 工程：</w:t>
      </w:r>
      <w:r>
        <w:rPr>
          <w:rFonts w:hint="eastAsia" w:ascii="宋体" w:hAnsi="宋体"/>
          <w:color w:val="auto"/>
          <w:sz w:val="21"/>
          <w:highlight w:val="none"/>
          <w:u w:val="single"/>
        </w:rPr>
        <w:t>指委托人委托实施监理的工程。</w:t>
      </w:r>
    </w:p>
    <w:p>
      <w:pPr>
        <w:spacing w:line="360" w:lineRule="auto"/>
        <w:ind w:firstLine="426" w:firstLineChars="202"/>
        <w:rPr>
          <w:rFonts w:ascii="宋体" w:hAnsi="宋体"/>
          <w:b/>
          <w:color w:val="auto"/>
          <w:sz w:val="21"/>
          <w:highlight w:val="none"/>
        </w:rPr>
      </w:pPr>
      <w:r>
        <w:rPr>
          <w:rFonts w:ascii="宋体" w:hAnsi="宋体"/>
          <w:b/>
          <w:color w:val="auto"/>
          <w:sz w:val="21"/>
          <w:highlight w:val="none"/>
        </w:rPr>
        <w:t>1.1.</w:t>
      </w:r>
      <w:r>
        <w:rPr>
          <w:rFonts w:hint="eastAsia" w:ascii="宋体" w:hAnsi="宋体"/>
          <w:b/>
          <w:color w:val="auto"/>
          <w:sz w:val="21"/>
          <w:highlight w:val="none"/>
        </w:rPr>
        <w:t>7补充词语定义</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 xml:space="preserve">.1 </w:t>
      </w:r>
      <w:r>
        <w:rPr>
          <w:rFonts w:hint="eastAsia" w:ascii="宋体" w:hAnsi="宋体"/>
          <w:color w:val="auto"/>
          <w:sz w:val="21"/>
          <w:highlight w:val="none"/>
        </w:rPr>
        <w:t>监理机构：指监理人派驻本工程现场实施监理业务的组织。</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2</w:t>
      </w:r>
      <w:r>
        <w:rPr>
          <w:rFonts w:hint="eastAsia" w:ascii="宋体" w:hAnsi="宋体"/>
          <w:color w:val="auto"/>
          <w:sz w:val="21"/>
          <w:highlight w:val="none"/>
        </w:rPr>
        <w:t>专业监理工程师：指根据项目监理岗位职责分工和</w:t>
      </w:r>
      <w:r>
        <w:rPr>
          <w:color w:val="auto"/>
          <w:highlight w:val="none"/>
        </w:rPr>
        <w:fldChar w:fldCharType="begin"/>
      </w:r>
      <w:r>
        <w:rPr>
          <w:color w:val="auto"/>
          <w:highlight w:val="none"/>
        </w:rPr>
        <w:instrText xml:space="preserve"> HYPERLINK "http://baike.baidu.com/view/77639.htm" \t "_blank" </w:instrText>
      </w:r>
      <w:r>
        <w:rPr>
          <w:color w:val="auto"/>
          <w:highlight w:val="none"/>
        </w:rPr>
        <w:fldChar w:fldCharType="separate"/>
      </w:r>
      <w:r>
        <w:rPr>
          <w:rFonts w:hint="eastAsia" w:ascii="宋体" w:hAnsi="宋体"/>
          <w:color w:val="auto"/>
          <w:sz w:val="21"/>
          <w:highlight w:val="none"/>
        </w:rPr>
        <w:t>总监理工程师</w:t>
      </w:r>
      <w:r>
        <w:rPr>
          <w:rFonts w:hint="eastAsia" w:ascii="宋体" w:hAnsi="宋体"/>
          <w:color w:val="auto"/>
          <w:sz w:val="21"/>
          <w:highlight w:val="none"/>
        </w:rPr>
        <w:fldChar w:fldCharType="end"/>
      </w:r>
      <w:r>
        <w:rPr>
          <w:rFonts w:hint="eastAsia" w:ascii="宋体" w:hAnsi="宋体"/>
          <w:color w:val="auto"/>
          <w:sz w:val="21"/>
          <w:highlight w:val="none"/>
        </w:rPr>
        <w:t>的指令，负责实施某一专业或某一方面的监理工作，具有相应监理文件签发权的专业人员。</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3</w:t>
      </w:r>
      <w:r>
        <w:rPr>
          <w:rFonts w:hint="eastAsia" w:ascii="宋体" w:hAnsi="宋体"/>
          <w:color w:val="auto"/>
          <w:sz w:val="21"/>
          <w:highlight w:val="none"/>
        </w:rPr>
        <w:t>造价工程师：指监理人委派常驻施工现场负责合同工程工程造价专业技术的专业人员。造价工程师由监理人提名，经委托人同意后任命并书面通知承包人。监理人经招标确定的，监理人提名的造价工程师应与监理人投标时确定的人选一致。本合同中特指注册造价工程师。</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4</w:t>
      </w:r>
      <w:r>
        <w:rPr>
          <w:rFonts w:hint="eastAsia" w:ascii="宋体" w:hAnsi="宋体"/>
          <w:color w:val="auto"/>
          <w:sz w:val="21"/>
          <w:highlight w:val="none"/>
        </w:rPr>
        <w:t>工程监理的正常工作：指双方在专用合同条款中约定，委托人委托的监理工程范围和内容。</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5</w:t>
      </w:r>
      <w:r>
        <w:rPr>
          <w:rFonts w:hint="eastAsia" w:ascii="宋体" w:hAnsi="宋体"/>
          <w:color w:val="auto"/>
          <w:sz w:val="21"/>
          <w:highlight w:val="none"/>
        </w:rPr>
        <w:t>工程监理的附加工作：指①委托人委托监理范围以外，通过双方书面协议另外增加的工作内容；②由于委托人或承包人原因，使监理工作受到阻碍或延误，因增加工作量或持续时间而增加的工作。</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6</w:t>
      </w:r>
      <w:r>
        <w:rPr>
          <w:rFonts w:hint="eastAsia" w:ascii="宋体" w:hAnsi="宋体"/>
          <w:color w:val="auto"/>
          <w:sz w:val="21"/>
          <w:highlight w:val="none"/>
        </w:rPr>
        <w:t>工程监理的额外工作：指正常工作和附加工作以外或非监理人自己的原因而暂停或终止监理业务，其善后工作及恢复监理业务的工作。</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7</w:t>
      </w:r>
      <w:r>
        <w:rPr>
          <w:rFonts w:hint="eastAsia" w:ascii="宋体" w:hAnsi="宋体"/>
          <w:color w:val="auto"/>
          <w:sz w:val="21"/>
          <w:highlight w:val="none"/>
        </w:rPr>
        <w:t>日：指任何一天零时至第二天零时的时间段。</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8</w:t>
      </w:r>
      <w:r>
        <w:rPr>
          <w:rFonts w:hint="eastAsia" w:ascii="宋体" w:hAnsi="宋体"/>
          <w:color w:val="auto"/>
          <w:sz w:val="21"/>
          <w:highlight w:val="none"/>
        </w:rPr>
        <w:t>月：指根据公历从一个月份中任何一天开始到下一个月相应日期的前一天的时间段。</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9</w:t>
      </w:r>
      <w:r>
        <w:rPr>
          <w:rFonts w:hint="eastAsia" w:ascii="宋体" w:hAnsi="宋体"/>
          <w:color w:val="auto"/>
          <w:sz w:val="21"/>
          <w:highlight w:val="none"/>
        </w:rPr>
        <w:t>合同价款：指根据合同条款，用以支付监理人为完成监理及有关工作应付的总金额。</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10</w:t>
      </w:r>
      <w:r>
        <w:rPr>
          <w:rFonts w:hint="eastAsia" w:ascii="宋体" w:hAnsi="宋体"/>
          <w:color w:val="auto"/>
          <w:sz w:val="21"/>
          <w:highlight w:val="none"/>
        </w:rPr>
        <w:t>合同有效期：指自合同生效之日起至合同终止之日止。</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11</w:t>
      </w:r>
      <w:r>
        <w:rPr>
          <w:rFonts w:hint="eastAsia" w:ascii="宋体" w:hAnsi="宋体"/>
          <w:color w:val="auto"/>
          <w:sz w:val="21"/>
          <w:highlight w:val="none"/>
        </w:rPr>
        <w:t>书面文件：指任何与本合同有关的手写、双方确认的电话记录、双方确认的电子邮件或传真件、打印件盖有印章或由法定代表人或其授权人签名的文件。</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12</w:t>
      </w:r>
      <w:r>
        <w:rPr>
          <w:rFonts w:hint="eastAsia" w:ascii="宋体" w:hAnsi="宋体"/>
          <w:color w:val="auto"/>
          <w:sz w:val="21"/>
          <w:highlight w:val="none"/>
        </w:rPr>
        <w:t>履约保证金：指合同签订</w:t>
      </w:r>
      <w:r>
        <w:rPr>
          <w:rFonts w:hint="eastAsia" w:ascii="宋体" w:hAnsi="宋体"/>
          <w:color w:val="auto"/>
          <w:sz w:val="21"/>
          <w:highlight w:val="none"/>
          <w:lang w:val="en-US" w:eastAsia="zh-CN"/>
        </w:rPr>
        <w:t>后30天内</w:t>
      </w:r>
      <w:r>
        <w:rPr>
          <w:rFonts w:hint="eastAsia" w:ascii="宋体" w:hAnsi="宋体"/>
          <w:color w:val="auto"/>
          <w:sz w:val="21"/>
          <w:highlight w:val="none"/>
        </w:rPr>
        <w:t>，监理人应在委托人支付预付款前向委托人提交</w:t>
      </w:r>
      <w:r>
        <w:rPr>
          <w:rFonts w:hint="eastAsia" w:ascii="宋体" w:hAnsi="宋体"/>
          <w:color w:val="auto"/>
          <w:sz w:val="21"/>
          <w:highlight w:val="none"/>
          <w:lang w:val="en-US" w:eastAsia="zh-CN"/>
        </w:rPr>
        <w:t>履约担保</w:t>
      </w:r>
      <w:r>
        <w:rPr>
          <w:rFonts w:hint="eastAsia" w:ascii="宋体" w:hAnsi="宋体"/>
          <w:color w:val="auto"/>
          <w:sz w:val="21"/>
          <w:highlight w:val="none"/>
        </w:rPr>
        <w:t>。履约保证金的金额为合同暂定价的10%。</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13</w:t>
      </w:r>
      <w:r>
        <w:rPr>
          <w:rFonts w:hint="eastAsia" w:ascii="宋体" w:hAnsi="宋体"/>
          <w:color w:val="auto"/>
          <w:sz w:val="21"/>
          <w:highlight w:val="none"/>
        </w:rPr>
        <w:t>设备安装：指本工程有关设备、系统的安装工作，包括按照所有设备、系统的设计图纸进行组装、就位和连接,以及为验明合同设备和系统的性能和功能，对单台设备和系统设备分部试运行。</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14工程变更：指合同实施过程中由于各种原因引起的设计变更、合同变更。包括工程量变更、工程项目的变更、进度计划变更、施工条件变更以及原招标文件和工程量清单中未包括的新增工程等。</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15开工日期：总监理工程师在开工令中写明的开始施工的日期。</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16完工日期：以</w:t>
      </w:r>
      <w:r>
        <w:rPr>
          <w:rFonts w:hint="eastAsia" w:ascii="宋体" w:hAnsi="宋体"/>
          <w:color w:val="auto"/>
          <w:sz w:val="21"/>
          <w:szCs w:val="21"/>
          <w:highlight w:val="none"/>
          <w:lang w:val="en-US" w:eastAsia="zh-CN"/>
        </w:rPr>
        <w:t>完工验收报告</w:t>
      </w:r>
      <w:r>
        <w:rPr>
          <w:rFonts w:hint="eastAsia" w:ascii="宋体" w:hAnsi="宋体"/>
          <w:color w:val="auto"/>
          <w:sz w:val="21"/>
          <w:szCs w:val="21"/>
          <w:highlight w:val="none"/>
        </w:rPr>
        <w:t>中记载的时间为准。</w:t>
      </w:r>
    </w:p>
    <w:p>
      <w:pPr>
        <w:adjustRightInd w:val="0"/>
        <w:snapToGrid w:val="0"/>
        <w:spacing w:line="360" w:lineRule="auto"/>
        <w:ind w:firstLine="420" w:firstLineChars="200"/>
        <w:rPr>
          <w:rFonts w:hint="eastAsia" w:ascii="宋体" w:hAnsi="宋体" w:eastAsia="宋体"/>
          <w:color w:val="auto"/>
          <w:sz w:val="21"/>
          <w:szCs w:val="21"/>
          <w:highlight w:val="none"/>
          <w:lang w:eastAsia="zh-CN"/>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17竣工验收：指承包人完成了全部合同工作后，由委托人组织</w:t>
      </w:r>
      <w:r>
        <w:rPr>
          <w:rFonts w:hint="eastAsia" w:ascii="宋体" w:hAnsi="宋体"/>
          <w:color w:val="auto"/>
          <w:sz w:val="21"/>
          <w:szCs w:val="21"/>
          <w:highlight w:val="none"/>
          <w:lang w:val="en-US" w:eastAsia="zh-CN"/>
        </w:rPr>
        <w:t>参建各单位</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按如下流程组织</w:t>
      </w:r>
      <w:r>
        <w:rPr>
          <w:rFonts w:hint="eastAsia" w:ascii="宋体" w:hAnsi="宋体"/>
          <w:color w:val="auto"/>
          <w:sz w:val="21"/>
          <w:szCs w:val="21"/>
          <w:highlight w:val="none"/>
        </w:rPr>
        <w:t>竣工验收</w:t>
      </w:r>
      <w:r>
        <w:rPr>
          <w:rFonts w:hint="eastAsia" w:ascii="宋体" w:hAnsi="宋体"/>
          <w:color w:val="auto"/>
          <w:sz w:val="21"/>
          <w:szCs w:val="21"/>
          <w:highlight w:val="none"/>
          <w:lang w:val="en-US" w:eastAsia="zh-CN"/>
        </w:rPr>
        <w:t>.</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1）施工单位完成爆破拆除后，向建设单位提交验收申请，并附以下资料：施工方案及审批文件、爆破作业许可证、安全监测记录（如振动、噪声、粉尘监测数据）、隐蔽工程影像资料（如预拆除处理、炮孔布置）。</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2）业主组织参建各方进行现场安全检查、环境影响检查，以查证爆破作业是否符合设计和相关规范标准要求。</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3）业主组织参建各方召开验收会议，形成书面验收意见。</w:t>
      </w:r>
    </w:p>
    <w:p>
      <w:pPr>
        <w:adjustRightInd w:val="0"/>
        <w:snapToGrid w:val="0"/>
        <w:spacing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验收合格后，</w:t>
      </w:r>
      <w:r>
        <w:rPr>
          <w:rFonts w:hint="eastAsia" w:ascii="宋体" w:hAnsi="宋体"/>
          <w:color w:val="auto"/>
          <w:sz w:val="21"/>
          <w:szCs w:val="21"/>
          <w:highlight w:val="none"/>
          <w:lang w:val="en-US" w:eastAsia="zh-CN"/>
        </w:rPr>
        <w:t>参建各单位</w:t>
      </w:r>
      <w:r>
        <w:rPr>
          <w:rFonts w:hint="eastAsia" w:ascii="宋体" w:hAnsi="宋体"/>
          <w:color w:val="auto"/>
          <w:sz w:val="21"/>
          <w:szCs w:val="21"/>
          <w:highlight w:val="none"/>
          <w:lang w:eastAsia="zh-CN"/>
        </w:rPr>
        <w:t>办理验收报告手续，同步按业主要求整理上述验收资料归档。</w:t>
      </w:r>
    </w:p>
    <w:p>
      <w:pPr>
        <w:adjustRightInd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18国家验收：指政府部门根据法律和政策等有关规定，针对委托人全面组织实施的整个工程在正式交付投运前的验收。</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1.2 语言文字</w:t>
      </w:r>
    </w:p>
    <w:p>
      <w:pPr>
        <w:adjustRightInd w:val="0"/>
        <w:snapToGrid w:val="0"/>
        <w:spacing w:line="360" w:lineRule="auto"/>
        <w:ind w:firstLine="420" w:firstLineChars="200"/>
        <w:rPr>
          <w:rFonts w:ascii="宋体" w:hAnsi="宋体"/>
          <w:color w:val="auto"/>
          <w:sz w:val="21"/>
          <w:highlight w:val="none"/>
          <w:u w:val="single"/>
        </w:rPr>
      </w:pPr>
      <w:r>
        <w:rPr>
          <w:rFonts w:ascii="宋体" w:hAnsi="宋体"/>
          <w:color w:val="auto"/>
          <w:sz w:val="21"/>
          <w:highlight w:val="none"/>
        </w:rPr>
        <w:t>合同使用的语言文字为中文。专用术语使用外文的，应附有中文注释。</w:t>
      </w:r>
      <w:r>
        <w:rPr>
          <w:rFonts w:hint="eastAsia" w:ascii="宋体" w:hAnsi="宋体"/>
          <w:color w:val="auto"/>
          <w:sz w:val="21"/>
          <w:highlight w:val="none"/>
          <w:u w:val="single"/>
        </w:rPr>
        <w:t>本合同文件使用汉语语言文字书写、解释和说明。如约定使用两种以上（含两种）语言文字时，汉语应为解释和说明本合同的标准语言文字。</w:t>
      </w:r>
    </w:p>
    <w:p>
      <w:pPr>
        <w:adjustRightInd w:val="0"/>
        <w:snapToGrid w:val="0"/>
        <w:spacing w:line="360" w:lineRule="auto"/>
        <w:rPr>
          <w:rFonts w:ascii="宋体" w:hAnsi="宋体"/>
          <w:color w:val="auto"/>
          <w:sz w:val="21"/>
          <w:highlight w:val="none"/>
        </w:rPr>
      </w:pPr>
      <w:r>
        <w:rPr>
          <w:rFonts w:ascii="黑体" w:hAnsi="黑体" w:eastAsia="黑体"/>
          <w:color w:val="auto"/>
          <w:sz w:val="28"/>
          <w:highlight w:val="none"/>
        </w:rPr>
        <w:t>1.3 适用法律</w:t>
      </w:r>
    </w:p>
    <w:p>
      <w:pPr>
        <w:adjustRightInd w:val="0"/>
        <w:snapToGrid w:val="0"/>
        <w:spacing w:line="360" w:lineRule="auto"/>
        <w:ind w:firstLine="422" w:firstLineChars="200"/>
        <w:rPr>
          <w:rFonts w:ascii="宋体" w:hAnsi="宋体"/>
          <w:color w:val="auto"/>
          <w:sz w:val="21"/>
          <w:szCs w:val="21"/>
          <w:highlight w:val="none"/>
        </w:rPr>
      </w:pPr>
      <w:r>
        <w:rPr>
          <w:rFonts w:ascii="宋体" w:hAnsi="宋体"/>
          <w:b/>
          <w:color w:val="auto"/>
          <w:sz w:val="21"/>
          <w:highlight w:val="none"/>
        </w:rPr>
        <w:t>1.</w:t>
      </w:r>
      <w:r>
        <w:rPr>
          <w:rFonts w:hint="eastAsia" w:ascii="宋体" w:hAnsi="宋体"/>
          <w:b/>
          <w:color w:val="auto"/>
          <w:sz w:val="21"/>
          <w:highlight w:val="none"/>
        </w:rPr>
        <w:t>3</w:t>
      </w:r>
      <w:r>
        <w:rPr>
          <w:rFonts w:ascii="宋体" w:hAnsi="宋体"/>
          <w:b/>
          <w:color w:val="auto"/>
          <w:sz w:val="21"/>
          <w:highlight w:val="none"/>
        </w:rPr>
        <w:t>.</w:t>
      </w:r>
      <w:r>
        <w:rPr>
          <w:rFonts w:hint="eastAsia" w:ascii="宋体" w:hAnsi="宋体"/>
          <w:b/>
          <w:color w:val="auto"/>
          <w:sz w:val="21"/>
          <w:highlight w:val="none"/>
        </w:rPr>
        <w:t>1</w:t>
      </w:r>
      <w:r>
        <w:rPr>
          <w:rFonts w:ascii="宋体" w:hAnsi="宋体"/>
          <w:b/>
          <w:color w:val="auto"/>
          <w:sz w:val="21"/>
          <w:highlight w:val="none"/>
        </w:rPr>
        <w:t xml:space="preserve"> </w:t>
      </w:r>
      <w:r>
        <w:rPr>
          <w:rFonts w:hint="eastAsia" w:ascii="宋体" w:hAnsi="宋体"/>
          <w:b/>
          <w:color w:val="auto"/>
          <w:sz w:val="21"/>
          <w:highlight w:val="none"/>
        </w:rPr>
        <w:t>本合同所称法律为中华人民共和国的现行法律、行政法规、部门规章、司法解释和合同工程所在地的地方性法规、地方政府规章、行政规范性文件</w:t>
      </w:r>
      <w:r>
        <w:rPr>
          <w:rFonts w:hint="eastAsia" w:ascii="宋体" w:hAnsi="宋体"/>
          <w:color w:val="auto"/>
          <w:sz w:val="21"/>
          <w:szCs w:val="21"/>
          <w:highlight w:val="none"/>
        </w:rPr>
        <w:t>。</w:t>
      </w:r>
    </w:p>
    <w:p>
      <w:pPr>
        <w:adjustRightInd w:val="0"/>
        <w:snapToGrid w:val="0"/>
        <w:spacing w:line="360" w:lineRule="auto"/>
        <w:ind w:firstLine="405"/>
        <w:rPr>
          <w:rFonts w:ascii="宋体" w:hAnsi="宋体"/>
          <w:b/>
          <w:color w:val="auto"/>
          <w:sz w:val="21"/>
          <w:highlight w:val="none"/>
        </w:rPr>
      </w:pPr>
      <w:r>
        <w:rPr>
          <w:rFonts w:ascii="宋体" w:hAnsi="宋体"/>
          <w:b/>
          <w:color w:val="auto"/>
          <w:sz w:val="21"/>
          <w:highlight w:val="none"/>
        </w:rPr>
        <w:t>1.</w:t>
      </w:r>
      <w:r>
        <w:rPr>
          <w:rFonts w:hint="eastAsia" w:ascii="宋体" w:hAnsi="宋体"/>
          <w:b/>
          <w:color w:val="auto"/>
          <w:sz w:val="21"/>
          <w:highlight w:val="none"/>
        </w:rPr>
        <w:t>3</w:t>
      </w:r>
      <w:r>
        <w:rPr>
          <w:rFonts w:ascii="宋体" w:hAnsi="宋体"/>
          <w:b/>
          <w:color w:val="auto"/>
          <w:sz w:val="21"/>
          <w:highlight w:val="none"/>
        </w:rPr>
        <w:t>.</w:t>
      </w:r>
      <w:r>
        <w:rPr>
          <w:rFonts w:hint="eastAsia" w:ascii="宋体" w:hAnsi="宋体"/>
          <w:b/>
          <w:color w:val="auto"/>
          <w:sz w:val="21"/>
          <w:highlight w:val="none"/>
        </w:rPr>
        <w:t>2</w:t>
      </w:r>
      <w:r>
        <w:rPr>
          <w:rFonts w:ascii="宋体" w:hAnsi="宋体"/>
          <w:b/>
          <w:color w:val="auto"/>
          <w:sz w:val="21"/>
          <w:highlight w:val="none"/>
        </w:rPr>
        <w:t xml:space="preserve"> </w:t>
      </w:r>
      <w:r>
        <w:rPr>
          <w:rFonts w:hint="eastAsia" w:ascii="宋体" w:hAnsi="宋体"/>
          <w:b/>
          <w:color w:val="auto"/>
          <w:sz w:val="21"/>
          <w:highlight w:val="none"/>
        </w:rPr>
        <w:t>本合同适用监理依据</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1.3.2.1本监理合同；</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1.3.2.2委托人和承包人签订的合同及补充协议或备忘录、委托人与建设管理人签订的建设管理合同；</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1.3.2.3经委托人审查认可的本工程正式的工程地质勘察报告、施工图纸、说明以及会审记录、有关工程洽商的技术、施工洽商记录、设计修改和变更文件；</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1.3.2.4广州地区现行的有关工程预结算定额和文件；</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1.3.2.5国家和广州地区现行的设计规范（规程）、建筑工程质量检验评定标准、施工和验收规范；</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1.3.2.6经委托人审批认可，由监理人编制的监理规划；</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1.3.2.7委托人发出的指令；</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1.3.2.8委托人及委托人上级部门颁布的有关管理办法。</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1.4 合同文件的优先顺序</w:t>
      </w:r>
    </w:p>
    <w:p>
      <w:pPr>
        <w:adjustRightInd w:val="0"/>
        <w:snapToGrid w:val="0"/>
        <w:spacing w:line="312" w:lineRule="auto"/>
        <w:ind w:left="743" w:leftChars="354" w:firstLine="123" w:firstLineChars="59"/>
        <w:rPr>
          <w:rFonts w:ascii="宋体" w:hAnsi="宋体" w:cs="宋体"/>
          <w:color w:val="auto"/>
          <w:sz w:val="21"/>
          <w:szCs w:val="21"/>
          <w:highlight w:val="none"/>
        </w:rPr>
      </w:pPr>
      <w:r>
        <w:rPr>
          <w:rFonts w:hint="eastAsia" w:ascii="宋体" w:hAnsi="宋体"/>
          <w:color w:val="auto"/>
          <w:sz w:val="21"/>
          <w:szCs w:val="21"/>
          <w:highlight w:val="none"/>
        </w:rPr>
        <w:t>（1）在实施过程中双方共同签署的补充与修正文件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（2）本合同协议书</w:t>
      </w:r>
    </w:p>
    <w:p>
      <w:pPr>
        <w:adjustRightInd w:val="0"/>
        <w:snapToGrid w:val="0"/>
        <w:spacing w:line="312" w:lineRule="auto"/>
        <w:ind w:left="743" w:leftChars="354" w:firstLine="123" w:firstLineChars="59"/>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成交通知书</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（4）本合同专用条款</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（5）合同附件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（6）本合同通用条款</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（7）标准、规范及有关技术文件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（8）</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文件（包括补充、修改、澄清文件、答疑纪要等）</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（9）</w:t>
      </w:r>
      <w:r>
        <w:rPr>
          <w:rFonts w:hint="eastAsia" w:ascii="宋体" w:hAnsi="宋体"/>
          <w:color w:val="auto"/>
          <w:sz w:val="21"/>
          <w:szCs w:val="21"/>
          <w:highlight w:val="none"/>
          <w:lang w:val="en-US" w:eastAsia="zh-CN"/>
        </w:rPr>
        <w:t>响应</w:t>
      </w:r>
      <w:r>
        <w:rPr>
          <w:rFonts w:hint="eastAsia" w:ascii="宋体" w:hAnsi="宋体"/>
          <w:color w:val="auto"/>
          <w:sz w:val="21"/>
          <w:szCs w:val="21"/>
          <w:highlight w:val="none"/>
        </w:rPr>
        <w:t>文件及其附件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（10）双方约定的其他合同文件</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1.6 文件的提供和照管</w:t>
      </w:r>
    </w:p>
    <w:p>
      <w:pPr>
        <w:adjustRightInd w:val="0"/>
        <w:snapToGrid w:val="0"/>
        <w:spacing w:line="360" w:lineRule="auto"/>
        <w:ind w:firstLine="422" w:firstLineChars="200"/>
        <w:rPr>
          <w:rFonts w:ascii="宋体" w:hAnsi="宋体"/>
          <w:b/>
          <w:color w:val="auto"/>
          <w:sz w:val="21"/>
          <w:highlight w:val="none"/>
        </w:rPr>
      </w:pPr>
      <w:r>
        <w:rPr>
          <w:rFonts w:hint="eastAsia" w:ascii="宋体" w:hAnsi="宋体"/>
          <w:b/>
          <w:color w:val="auto"/>
          <w:sz w:val="21"/>
          <w:highlight w:val="none"/>
        </w:rPr>
        <w:t>1.6.1监理文件的提供</w:t>
      </w:r>
    </w:p>
    <w:p>
      <w:pPr>
        <w:adjustRightInd w:val="0"/>
        <w:snapToGrid w:val="0"/>
        <w:spacing w:line="360" w:lineRule="auto"/>
        <w:ind w:firstLine="420" w:firstLineChars="200"/>
        <w:rPr>
          <w:rFonts w:ascii="宋体" w:hAnsi="宋体"/>
          <w:bCs/>
          <w:color w:val="auto"/>
          <w:sz w:val="21"/>
          <w:highlight w:val="none"/>
        </w:rPr>
      </w:pPr>
      <w:r>
        <w:rPr>
          <w:rFonts w:hint="eastAsia" w:ascii="宋体" w:hAnsi="宋体"/>
          <w:bCs/>
          <w:color w:val="auto"/>
          <w:sz w:val="21"/>
          <w:highlight w:val="none"/>
        </w:rPr>
        <w:t>监理人应在合理的期限内按照国家、行业现行标准、规范、规定，《建设工程监理规范》及项目设计采购施工总承包合同约定向委托人提供监理文件。合同约定监理文件应经委托人批复的，委托人应当在合同约定的期限内批复或提出修改意见。</w:t>
      </w:r>
    </w:p>
    <w:p>
      <w:pPr>
        <w:adjustRightInd w:val="0"/>
        <w:snapToGrid w:val="0"/>
        <w:spacing w:line="360" w:lineRule="auto"/>
        <w:ind w:firstLine="422" w:firstLineChars="200"/>
        <w:rPr>
          <w:rFonts w:ascii="宋体" w:hAnsi="宋体"/>
          <w:b/>
          <w:color w:val="auto"/>
          <w:sz w:val="21"/>
          <w:highlight w:val="none"/>
        </w:rPr>
      </w:pPr>
      <w:r>
        <w:rPr>
          <w:rFonts w:ascii="宋体" w:hAnsi="宋体"/>
          <w:b/>
          <w:color w:val="auto"/>
          <w:sz w:val="21"/>
          <w:highlight w:val="none"/>
        </w:rPr>
        <w:t>1.6.2 委托人提供的文件</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olor w:val="auto"/>
          <w:sz w:val="21"/>
          <w:highlight w:val="none"/>
        </w:rPr>
        <w:t>按照通用合同条款的规定外，委托人应在不影响监理人开展监理工作的时间内提供如下资料：</w:t>
      </w:r>
      <w:r>
        <w:rPr>
          <w:rFonts w:hint="eastAsia" w:ascii="宋体" w:hAnsi="宋体"/>
          <w:color w:val="auto"/>
          <w:sz w:val="21"/>
          <w:highlight w:val="none"/>
          <w:u w:val="single"/>
        </w:rPr>
        <w:t>与本工程合作的原材料、构配件、设备等生产厂家名录；提供与本工程有关的协作单位、配合单位的名录。</w:t>
      </w:r>
    </w:p>
    <w:p>
      <w:pPr>
        <w:tabs>
          <w:tab w:val="left" w:pos="760"/>
        </w:tabs>
        <w:adjustRightInd w:val="0"/>
        <w:snapToGrid w:val="0"/>
        <w:spacing w:line="360" w:lineRule="auto"/>
        <w:rPr>
          <w:rFonts w:ascii="黑体" w:hAnsi="黑体" w:eastAsia="黑体"/>
          <w:b/>
          <w:color w:val="auto"/>
          <w:sz w:val="32"/>
          <w:highlight w:val="none"/>
        </w:rPr>
      </w:pPr>
      <w:r>
        <w:rPr>
          <w:rFonts w:hint="eastAsia" w:ascii="黑体" w:hAnsi="黑体" w:eastAsia="黑体"/>
          <w:color w:val="auto"/>
          <w:sz w:val="32"/>
          <w:highlight w:val="none"/>
        </w:rPr>
        <w:t>2.</w:t>
      </w:r>
      <w:r>
        <w:rPr>
          <w:rFonts w:ascii="黑体" w:hAnsi="黑体" w:eastAsia="黑体"/>
          <w:color w:val="auto"/>
          <w:sz w:val="32"/>
          <w:highlight w:val="none"/>
        </w:rPr>
        <w:t>委托人</w:t>
      </w:r>
      <w:r>
        <w:rPr>
          <w:rFonts w:ascii="黑体" w:hAnsi="黑体" w:eastAsia="黑体"/>
          <w:b/>
          <w:color w:val="auto"/>
          <w:sz w:val="32"/>
          <w:highlight w:val="none"/>
        </w:rPr>
        <w:t>义务</w:t>
      </w:r>
    </w:p>
    <w:p>
      <w:pPr>
        <w:tabs>
          <w:tab w:val="left" w:pos="760"/>
        </w:tabs>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2.3 办理证件和批件</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委托人应当负责工程建设的所有外部关系的协调，为监理工作提供外部条件。根据需要，如将部分或全部协调工作委托监理人承担，则在专用合同条款中明确委托的工作和相应的报酬。本款所指的外部条件包括由委托人负责完善工程开工的前期条件，获得政府有关部门的批准文件，支付有关费用。具体内容如下(有关资料和副本提供给监理人)：</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1.1工程地质勘探资料及工程设计施工图纸；</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1.2规划报建资料：施工许可文件和制作施工标牌的需要的有关资料；</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1.3向有关部门缴纳施工报建中规定由委托人负担的费用；</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1.4场地条件：能满足工程开工，提供管线摸查、交通疏解、拆迁等信息；</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1.5选择总承包人或各专业工程承包人，并签订工程合同，并及时将有关资料和副本提供给监理人；</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1.6用书面形式通知有关外部关系各方，明确监理人在工程建设监理过程的责权。</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2.5 提供监理资料</w:t>
      </w:r>
    </w:p>
    <w:p>
      <w:pPr>
        <w:adjustRightInd w:val="0"/>
        <w:snapToGrid w:val="0"/>
        <w:spacing w:line="360" w:lineRule="auto"/>
        <w:ind w:firstLine="420" w:firstLineChars="200"/>
        <w:rPr>
          <w:rFonts w:ascii="宋体" w:hAnsi="宋体"/>
          <w:color w:val="auto"/>
          <w:sz w:val="21"/>
          <w:highlight w:val="none"/>
          <w:u w:val="single"/>
        </w:rPr>
      </w:pPr>
      <w:r>
        <w:rPr>
          <w:rFonts w:hint="eastAsia" w:ascii="宋体" w:hAnsi="宋体"/>
          <w:color w:val="auto"/>
          <w:sz w:val="21"/>
          <w:highlight w:val="none"/>
          <w:u w:val="single"/>
        </w:rPr>
        <w:t>委托人应当在双方约定的时间内免费向监理人提供与工程有关的为监理工作所需要的工程资料。</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2.6 其他义务</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olor w:val="auto"/>
          <w:sz w:val="21"/>
          <w:highlight w:val="none"/>
        </w:rPr>
        <w:t>2.6.1委托人应当将授予监理人的监理权利，以及监理人主要成员的职能分工、监理权限及时书面通知已选定的承包合同的承包人，并在与第三人签订的合同中予以明确。</w:t>
      </w:r>
    </w:p>
    <w:p>
      <w:pPr>
        <w:adjustRightInd w:val="0"/>
        <w:snapToGrid w:val="0"/>
        <w:spacing w:line="360" w:lineRule="auto"/>
        <w:rPr>
          <w:rFonts w:ascii="黑体" w:hAnsi="黑体" w:eastAsia="黑体"/>
          <w:b/>
          <w:color w:val="auto"/>
          <w:sz w:val="32"/>
          <w:highlight w:val="none"/>
        </w:rPr>
      </w:pPr>
      <w:r>
        <w:rPr>
          <w:rFonts w:hint="eastAsia" w:ascii="黑体" w:hAnsi="黑体" w:eastAsia="黑体"/>
          <w:color w:val="auto"/>
          <w:sz w:val="32"/>
          <w:highlight w:val="none"/>
        </w:rPr>
        <w:t>3.</w:t>
      </w:r>
      <w:r>
        <w:rPr>
          <w:rFonts w:ascii="黑体" w:hAnsi="黑体" w:eastAsia="黑体"/>
          <w:color w:val="auto"/>
          <w:sz w:val="32"/>
          <w:highlight w:val="none"/>
        </w:rPr>
        <w:t>委托人</w:t>
      </w:r>
      <w:r>
        <w:rPr>
          <w:rFonts w:ascii="黑体" w:hAnsi="黑体" w:eastAsia="黑体"/>
          <w:b/>
          <w:color w:val="auto"/>
          <w:sz w:val="32"/>
          <w:highlight w:val="none"/>
        </w:rPr>
        <w:t>管理</w:t>
      </w:r>
    </w:p>
    <w:p>
      <w:pPr>
        <w:adjustRightInd w:val="0"/>
        <w:snapToGrid w:val="0"/>
        <w:spacing w:line="360" w:lineRule="auto"/>
        <w:rPr>
          <w:color w:val="auto"/>
          <w:highlight w:val="none"/>
        </w:rPr>
      </w:pPr>
      <w:r>
        <w:rPr>
          <w:rFonts w:ascii="黑体" w:hAnsi="黑体" w:eastAsia="黑体"/>
          <w:color w:val="auto"/>
          <w:sz w:val="28"/>
          <w:highlight w:val="none"/>
        </w:rPr>
        <w:t>3.1 委托人代表</w:t>
      </w:r>
    </w:p>
    <w:p>
      <w:pPr>
        <w:adjustRightInd w:val="0"/>
        <w:snapToGrid w:val="0"/>
        <w:spacing w:line="360" w:lineRule="auto"/>
        <w:rPr>
          <w:rFonts w:ascii="黑体" w:hAnsi="黑体" w:eastAsia="黑体"/>
          <w:color w:val="auto"/>
          <w:sz w:val="28"/>
          <w:highlight w:val="none"/>
        </w:rPr>
      </w:pPr>
      <w:r>
        <w:rPr>
          <w:rFonts w:hint="eastAsia" w:eastAsia="黑体"/>
          <w:color w:val="auto"/>
          <w:highlight w:val="none"/>
        </w:rPr>
        <w:t xml:space="preserve">    3.1.2 删除通用合同条款3.1.2</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s="宋体"/>
          <w:color w:val="auto"/>
          <w:sz w:val="21"/>
          <w:szCs w:val="21"/>
          <w:highlight w:val="none"/>
        </w:rPr>
        <w:t>3.1.4</w:t>
      </w:r>
      <w:r>
        <w:rPr>
          <w:rFonts w:hint="eastAsia" w:ascii="宋体" w:hAnsi="宋体"/>
          <w:color w:val="auto"/>
          <w:sz w:val="21"/>
          <w:highlight w:val="none"/>
        </w:rPr>
        <w:t>委托人应当授权一名熟悉工程情况、能在规定时间内作出决定的常驻代表，负责与监理人联系。更换常驻代表，要提前通知监理人。委托人的常驻代表为</w:t>
      </w:r>
      <w:r>
        <w:rPr>
          <w:rFonts w:hint="eastAsia" w:ascii="宋体" w:hAnsi="宋体"/>
          <w:color w:val="auto"/>
          <w:sz w:val="21"/>
          <w:highlight w:val="none"/>
          <w:u w:val="single"/>
        </w:rPr>
        <w:t xml:space="preserve">          </w:t>
      </w:r>
      <w:r>
        <w:rPr>
          <w:rFonts w:hint="eastAsia" w:ascii="宋体" w:hAnsi="宋体"/>
          <w:color w:val="auto"/>
          <w:sz w:val="21"/>
          <w:highlight w:val="none"/>
        </w:rPr>
        <w:t>。</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3.3 决定或答复</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3.3.2</w:t>
      </w:r>
      <w:r>
        <w:rPr>
          <w:rFonts w:hint="eastAsia" w:ascii="宋体" w:hAnsi="宋体"/>
          <w:color w:val="auto"/>
          <w:sz w:val="21"/>
          <w:highlight w:val="none"/>
        </w:rPr>
        <w:t>委托人按照下列约定的时间内就监理人书面提交并要求作出决定的一切事宜作出书面决定：委托人原则上应在5天内对监理人书面提交并要求作出决定的事宜作出书面答复，重大事件回复时间可以适当延长。若在特殊情况下在特殊时间要求的，委托人应根据情况按监理人要求的时间及时答复。</w:t>
      </w:r>
    </w:p>
    <w:p>
      <w:pPr>
        <w:tabs>
          <w:tab w:val="left" w:pos="760"/>
        </w:tabs>
        <w:spacing w:line="390" w:lineRule="exact"/>
        <w:rPr>
          <w:rFonts w:ascii="黑体" w:hAnsi="黑体" w:eastAsia="黑体"/>
          <w:b/>
          <w:color w:val="auto"/>
          <w:sz w:val="32"/>
          <w:highlight w:val="none"/>
        </w:rPr>
      </w:pPr>
      <w:r>
        <w:rPr>
          <w:rFonts w:hint="eastAsia" w:ascii="黑体" w:hAnsi="黑体" w:eastAsia="黑体"/>
          <w:b/>
          <w:color w:val="auto"/>
          <w:sz w:val="32"/>
          <w:highlight w:val="none"/>
        </w:rPr>
        <w:t>4.</w:t>
      </w:r>
      <w:r>
        <w:rPr>
          <w:rFonts w:ascii="黑体" w:hAnsi="黑体" w:eastAsia="黑体"/>
          <w:b/>
          <w:color w:val="auto"/>
          <w:sz w:val="32"/>
          <w:highlight w:val="none"/>
        </w:rPr>
        <w:t>监理人义务</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4.1 监理人的一般义务</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4.1.</w:t>
      </w:r>
      <w:r>
        <w:rPr>
          <w:rFonts w:hint="eastAsia" w:ascii="宋体" w:hAnsi="宋体"/>
          <w:color w:val="auto"/>
          <w:sz w:val="21"/>
          <w:highlight w:val="none"/>
        </w:rPr>
        <w:t>5</w:t>
      </w:r>
      <w:r>
        <w:rPr>
          <w:rFonts w:hint="eastAsia" w:ascii="宋体" w:hAnsi="宋体" w:cs="宋体"/>
          <w:color w:val="auto"/>
          <w:sz w:val="21"/>
          <w:szCs w:val="21"/>
          <w:highlight w:val="none"/>
        </w:rPr>
        <w:t>监理人按合同约定派出监理工作需要的监理机构及监理人员，向委托人报送委派的总监理工程师、专业监理工程师及其监理机构主要成员名单、监理规划，完成监理合同专用合同条款中约定的监理工作范围内的监理业务。在履行合同义务期间，应按合同约定定期向委托人报告监理工作。</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4.1.</w:t>
      </w:r>
      <w:r>
        <w:rPr>
          <w:rFonts w:hint="eastAsia" w:ascii="宋体" w:hAnsi="宋体"/>
          <w:color w:val="auto"/>
          <w:sz w:val="21"/>
          <w:highlight w:val="none"/>
        </w:rPr>
        <w:t>6</w:t>
      </w:r>
      <w:r>
        <w:rPr>
          <w:rFonts w:hint="eastAsia" w:ascii="宋体" w:hAnsi="宋体" w:cs="宋体"/>
          <w:color w:val="auto"/>
          <w:sz w:val="21"/>
          <w:szCs w:val="21"/>
          <w:highlight w:val="none"/>
        </w:rPr>
        <w:t xml:space="preserve">监理人使用委托人提供的设施和物品属委托人的财产。在监理工作完成或合同终止后 </w:t>
      </w:r>
      <w:r>
        <w:rPr>
          <w:rFonts w:hint="eastAsia" w:ascii="宋体" w:hAnsi="宋体" w:cs="宋体"/>
          <w:color w:val="auto"/>
          <w:sz w:val="21"/>
          <w:szCs w:val="21"/>
          <w:highlight w:val="none"/>
          <w:u w:val="single"/>
        </w:rPr>
        <w:t xml:space="preserve"> 7 </w:t>
      </w:r>
      <w:r>
        <w:rPr>
          <w:rFonts w:hint="eastAsia" w:ascii="宋体" w:hAnsi="宋体" w:cs="宋体"/>
          <w:color w:val="auto"/>
          <w:sz w:val="21"/>
          <w:szCs w:val="21"/>
          <w:highlight w:val="none"/>
        </w:rPr>
        <w:t>日内，应将其设施和剩余的物品移交给委托人。</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4.1.7在合同期内或合同终止后，未征得有关方同意，不得泄露与本工程、本合同业务有关的保密资料。合同双方对提供给对方的本工程、本合同业务活动的有关资料，如有保密要求的，要在提供的资料上注明保密等级，另一方应按密级为对方保密，如发生泄密，由责任方承担有关责任。</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4.1.8监理人驻地监理机构及其职员不得接受监理工程项目施工承包人的任何报酬或者经济利益。监理人不得参与可能与合同规定的与委托人的利益相冲突的任何活动。</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4.1.9监理人在监理过程中，不得泄露委托人申明的秘密，监理人亦不得泄露设计人、承包人等提供并申明的秘密。</w:t>
      </w:r>
    </w:p>
    <w:p>
      <w:pPr>
        <w:spacing w:line="360" w:lineRule="auto"/>
        <w:rPr>
          <w:rFonts w:ascii="黑体" w:hAnsi="黑体" w:eastAsia="黑体"/>
          <w:color w:val="auto"/>
          <w:sz w:val="28"/>
          <w:highlight w:val="none"/>
        </w:rPr>
      </w:pPr>
      <w:r>
        <w:rPr>
          <w:rFonts w:ascii="黑体" w:hAnsi="黑体" w:eastAsia="黑体"/>
          <w:color w:val="auto"/>
          <w:sz w:val="28"/>
          <w:highlight w:val="none"/>
        </w:rPr>
        <w:t>4.2 履约保证金</w:t>
      </w:r>
    </w:p>
    <w:p>
      <w:pPr>
        <w:numPr>
          <w:ilvl w:val="0"/>
          <w:numId w:val="0"/>
        </w:numPr>
        <w:spacing w:line="440" w:lineRule="exact"/>
        <w:ind w:firstLine="420" w:firstLineChars="200"/>
        <w:outlineLvl w:val="0"/>
        <w:rPr>
          <w:rFonts w:ascii="仿宋_GB2312" w:hAnsi="仿宋_GB2312" w:eastAsia="仿宋_GB2312" w:cs="仿宋_GB2312"/>
          <w:color w:val="auto"/>
          <w:sz w:val="28"/>
          <w:szCs w:val="28"/>
          <w:highlight w:val="none"/>
          <w:u w:val="single"/>
        </w:rPr>
      </w:pPr>
      <w:r>
        <w:rPr>
          <w:rFonts w:hint="eastAsia" w:ascii="宋体" w:hAnsi="宋体" w:cs="宋体"/>
          <w:color w:val="auto"/>
          <w:sz w:val="21"/>
          <w:szCs w:val="21"/>
          <w:highlight w:val="none"/>
        </w:rPr>
        <w:t>4.2.1</w:t>
      </w:r>
      <w:r>
        <w:rPr>
          <w:rFonts w:hint="eastAsia" w:ascii="仿宋_GB2312" w:hAnsi="仿宋_GB2312" w:eastAsia="仿宋_GB2312" w:cs="仿宋_GB2312"/>
          <w:color w:val="auto"/>
          <w:sz w:val="28"/>
          <w:szCs w:val="28"/>
          <w:highlight w:val="none"/>
        </w:rPr>
        <w:t>履约担保：</w:t>
      </w:r>
      <w:r>
        <w:rPr>
          <w:rFonts w:hint="eastAsia" w:ascii="仿宋_GB2312" w:hAnsi="仿宋_GB2312" w:eastAsia="仿宋_GB2312" w:cs="仿宋_GB2312"/>
          <w:bCs/>
          <w:color w:val="auto"/>
          <w:sz w:val="28"/>
          <w:szCs w:val="28"/>
          <w:highlight w:val="none"/>
        </w:rPr>
        <w:t>于</w:t>
      </w:r>
      <w:r>
        <w:rPr>
          <w:rFonts w:hint="eastAsia" w:ascii="仿宋_GB2312" w:hAnsi="仿宋_GB2312" w:eastAsia="仿宋_GB2312" w:cs="仿宋_GB2312"/>
          <w:color w:val="auto"/>
          <w:sz w:val="28"/>
          <w:szCs w:val="28"/>
          <w:highlight w:val="none"/>
        </w:rPr>
        <w:t>本合同签订后</w:t>
      </w:r>
      <w:r>
        <w:rPr>
          <w:rFonts w:hint="eastAsia" w:ascii="仿宋_GB2312" w:hAnsi="仿宋_GB2312" w:eastAsia="仿宋_GB2312" w:cs="仿宋_GB2312"/>
          <w:color w:val="auto"/>
          <w:sz w:val="28"/>
          <w:szCs w:val="28"/>
          <w:highlight w:val="none"/>
          <w:lang w:val="en-US" w:eastAsia="zh-CN"/>
        </w:rPr>
        <w:t>30</w:t>
      </w:r>
      <w:r>
        <w:rPr>
          <w:rFonts w:hint="eastAsia" w:ascii="仿宋_GB2312" w:hAnsi="仿宋_GB2312" w:eastAsia="仿宋_GB2312" w:cs="仿宋_GB2312"/>
          <w:color w:val="auto"/>
          <w:sz w:val="28"/>
          <w:szCs w:val="28"/>
          <w:highlight w:val="none"/>
        </w:rPr>
        <w:t>日内</w:t>
      </w:r>
      <w:r>
        <w:rPr>
          <w:rFonts w:hint="eastAsia" w:ascii="仿宋_GB2312" w:hAnsi="仿宋_GB2312" w:eastAsia="仿宋_GB2312" w:cs="仿宋_GB2312"/>
          <w:color w:val="auto"/>
          <w:sz w:val="28"/>
          <w:szCs w:val="28"/>
          <w:highlight w:val="none"/>
          <w:u w:val="single"/>
        </w:rPr>
        <w:t>按照合同暂定总价的10%提交履约担保，</w:t>
      </w:r>
      <w:r>
        <w:rPr>
          <w:rFonts w:hint="eastAsia" w:ascii="仿宋_GB2312" w:hAnsi="仿宋_GB2312" w:eastAsia="仿宋_GB2312" w:cs="仿宋_GB2312"/>
          <w:color w:val="auto"/>
          <w:sz w:val="28"/>
          <w:szCs w:val="28"/>
          <w:highlight w:val="none"/>
        </w:rPr>
        <w:t>金额为：（大写人民币：）未按时提供履约担保的，</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有权解除合同并要求</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支付</w:t>
      </w:r>
      <w:r>
        <w:rPr>
          <w:rFonts w:hint="eastAsia" w:ascii="仿宋_GB2312" w:hAnsi="仿宋_GB2312" w:eastAsia="仿宋_GB2312" w:cs="仿宋_GB2312"/>
          <w:color w:val="auto"/>
          <w:sz w:val="28"/>
          <w:szCs w:val="28"/>
          <w:highlight w:val="none"/>
          <w:u w:val="single"/>
        </w:rPr>
        <w:t>合同暂定总价20%</w:t>
      </w:r>
      <w:r>
        <w:rPr>
          <w:rFonts w:hint="eastAsia" w:ascii="仿宋_GB2312" w:hAnsi="仿宋_GB2312" w:eastAsia="仿宋_GB2312" w:cs="仿宋_GB2312"/>
          <w:color w:val="auto"/>
          <w:sz w:val="28"/>
          <w:szCs w:val="28"/>
          <w:highlight w:val="none"/>
        </w:rPr>
        <w:t>作为违约金。</w:t>
      </w:r>
    </w:p>
    <w:p>
      <w:pPr>
        <w:pStyle w:val="78"/>
        <w:spacing w:beforeAutospacing="0" w:afterAutospacing="0" w:line="440" w:lineRule="exact"/>
        <w:ind w:firstLine="480" w:firstLineChars="200"/>
        <w:rPr>
          <w:rFonts w:hint="eastAsia" w:ascii="仿宋_GB2312" w:hAnsi="仿宋_GB2312" w:eastAsia="仿宋_GB2312" w:cs="仿宋_GB2312"/>
          <w:sz w:val="28"/>
          <w:szCs w:val="28"/>
          <w:highlight w:val="none"/>
          <w:lang w:eastAsia="zh-CN"/>
        </w:rPr>
      </w:pPr>
      <w:r>
        <w:rPr>
          <w:rFonts w:hint="eastAsia" w:cs="宋体"/>
          <w:color w:val="auto"/>
          <w:sz w:val="24"/>
          <w:szCs w:val="24"/>
          <w:highlight w:val="none"/>
          <w:lang w:val="en-US" w:eastAsia="zh-CN"/>
        </w:rPr>
        <w:t>4.2.2</w:t>
      </w:r>
      <w:r>
        <w:rPr>
          <w:rFonts w:hint="eastAsia" w:ascii="宋体" w:hAnsi="宋体" w:cs="宋体"/>
          <w:color w:val="auto"/>
          <w:sz w:val="24"/>
          <w:szCs w:val="24"/>
          <w:highlight w:val="none"/>
        </w:rPr>
        <w:t>监理人应向委托人</w:t>
      </w:r>
      <w:r>
        <w:rPr>
          <w:rFonts w:hint="eastAsia" w:ascii="仿宋_GB2312" w:hAnsi="仿宋_GB2312" w:eastAsia="仿宋_GB2312" w:cs="仿宋_GB2312"/>
          <w:sz w:val="28"/>
          <w:szCs w:val="28"/>
          <w:highlight w:val="none"/>
        </w:rPr>
        <w:t>按以下任一种形式提供履约担保</w:t>
      </w:r>
      <w:r>
        <w:rPr>
          <w:rFonts w:hint="eastAsia" w:ascii="仿宋_GB2312" w:hAnsi="仿宋_GB2312" w:eastAsia="仿宋_GB2312" w:cs="仿宋_GB2312"/>
          <w:sz w:val="28"/>
          <w:szCs w:val="28"/>
          <w:highlight w:val="none"/>
          <w:lang w:eastAsia="zh-CN"/>
        </w:rPr>
        <w:t>：</w:t>
      </w:r>
    </w:p>
    <w:p>
      <w:pPr>
        <w:pStyle w:val="78"/>
        <w:spacing w:beforeAutospacing="0" w:afterAutospacing="0" w:line="440" w:lineRule="exact"/>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（1）符合</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要求（详见附件保函格式）的银行独立保函</w:t>
      </w:r>
      <w:r>
        <w:rPr>
          <w:rFonts w:hint="eastAsia" w:ascii="仿宋_GB2312" w:hAnsi="仿宋_GB2312" w:eastAsia="仿宋_GB2312" w:cs="仿宋_GB2312"/>
          <w:sz w:val="28"/>
          <w:szCs w:val="28"/>
          <w:highlight w:val="none"/>
          <w:lang w:eastAsia="zh-CN"/>
        </w:rPr>
        <w:t>；</w:t>
      </w:r>
    </w:p>
    <w:p>
      <w:pPr>
        <w:pStyle w:val="78"/>
        <w:numPr>
          <w:ilvl w:val="0"/>
          <w:numId w:val="0"/>
        </w:numPr>
        <w:spacing w:beforeAutospacing="0" w:afterAutospacing="0" w:line="4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（2）担保公司担保：项目所在地担保公司出具并经</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认可的无条件、不可撤销的连带担保；</w:t>
      </w:r>
    </w:p>
    <w:p>
      <w:pPr>
        <w:pStyle w:val="78"/>
        <w:numPr>
          <w:ilvl w:val="0"/>
          <w:numId w:val="0"/>
        </w:numPr>
        <w:spacing w:beforeAutospacing="0" w:afterAutospacing="0" w:line="4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（3）保证保险：项目所在地保险公司出具并经</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认可的无条件、不可撤销的保证保险；</w:t>
      </w:r>
    </w:p>
    <w:p>
      <w:pPr>
        <w:pStyle w:val="78"/>
        <w:spacing w:beforeAutospacing="0" w:afterAutospacing="0" w:line="440" w:lineRule="exact"/>
        <w:ind w:firstLine="48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（4）现金转账至</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以下指定账户：</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户名：广州市净水有限公司</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账号：82010154900000342</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开户行：浦发银行广州分行</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4.2.3</w:t>
      </w:r>
      <w:r>
        <w:rPr>
          <w:rFonts w:hint="eastAsia" w:ascii="仿宋_GB2312" w:hAnsi="仿宋_GB2312" w:eastAsia="仿宋_GB2312" w:cs="仿宋_GB2312"/>
          <w:color w:val="auto"/>
          <w:sz w:val="28"/>
          <w:szCs w:val="28"/>
          <w:highlight w:val="none"/>
        </w:rPr>
        <w:t>履约担保的担保期限和返还</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（1）</w:t>
      </w:r>
      <w:r>
        <w:rPr>
          <w:rFonts w:hint="eastAsia" w:ascii="仿宋_GB2312" w:hAnsi="仿宋_GB2312" w:eastAsia="仿宋_GB2312" w:cs="仿宋_GB2312"/>
          <w:color w:val="auto"/>
          <w:sz w:val="28"/>
          <w:szCs w:val="28"/>
          <w:highlight w:val="none"/>
        </w:rPr>
        <w:t>担保期限：从提供履约担保（或转账成功）之日起至项目完工验收止。</w:t>
      </w:r>
    </w:p>
    <w:p>
      <w:pPr>
        <w:spacing w:line="440" w:lineRule="exact"/>
        <w:ind w:firstLine="560" w:firstLineChars="20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（2）</w:t>
      </w:r>
      <w:r>
        <w:rPr>
          <w:rFonts w:hint="eastAsia" w:ascii="仿宋_GB2312" w:hAnsi="仿宋_GB2312" w:eastAsia="仿宋_GB2312" w:cs="仿宋_GB2312"/>
          <w:color w:val="auto"/>
          <w:sz w:val="28"/>
          <w:szCs w:val="28"/>
          <w:highlight w:val="none"/>
        </w:rPr>
        <w:t>履约银行保函、担保公司担保、保证保险在工程完工验收后，由</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提出申请，</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在28日内返还，不支付利息：</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（3）</w:t>
      </w:r>
      <w:r>
        <w:rPr>
          <w:rFonts w:hint="eastAsia" w:ascii="仿宋_GB2312" w:hAnsi="仿宋_GB2312" w:eastAsia="仿宋_GB2312" w:cs="仿宋_GB2312"/>
          <w:color w:val="auto"/>
          <w:sz w:val="28"/>
          <w:szCs w:val="28"/>
          <w:highlight w:val="none"/>
        </w:rPr>
        <w:t>延长担保期限。</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应在履约担保有效期届满之日的7天前，向</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提交同样格式且更新日期后的有效担保替代原担保，否则，每逾期一天，</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应向</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支付违约金</w:t>
      </w:r>
      <w:r>
        <w:rPr>
          <w:rFonts w:hint="eastAsia" w:ascii="仿宋_GB2312" w:hAnsi="仿宋_GB2312" w:eastAsia="仿宋_GB2312" w:cs="仿宋_GB2312"/>
          <w:color w:val="auto"/>
          <w:sz w:val="28"/>
          <w:szCs w:val="28"/>
          <w:highlight w:val="none"/>
          <w:u w:val="single"/>
          <w:lang w:val="en-US" w:eastAsia="zh-CN"/>
        </w:rPr>
        <w:t>2</w:t>
      </w:r>
      <w:r>
        <w:rPr>
          <w:rFonts w:hint="eastAsia" w:ascii="仿宋_GB2312" w:hAnsi="仿宋_GB2312" w:eastAsia="仿宋_GB2312" w:cs="仿宋_GB2312"/>
          <w:color w:val="auto"/>
          <w:sz w:val="28"/>
          <w:szCs w:val="28"/>
          <w:highlight w:val="none"/>
          <w:u w:val="single"/>
        </w:rPr>
        <w:t>万元/天</w:t>
      </w:r>
      <w:r>
        <w:rPr>
          <w:rFonts w:hint="eastAsia" w:ascii="仿宋_GB2312" w:hAnsi="仿宋_GB2312" w:eastAsia="仿宋_GB2312" w:cs="仿宋_GB2312"/>
          <w:color w:val="auto"/>
          <w:sz w:val="28"/>
          <w:szCs w:val="28"/>
          <w:highlight w:val="none"/>
        </w:rPr>
        <w:t>，且</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有权提取全部履约担保金额并解除合同。</w:t>
      </w:r>
    </w:p>
    <w:p>
      <w:pPr>
        <w:pStyle w:val="78"/>
        <w:spacing w:beforeAutospacing="0" w:afterAutospacing="0" w:line="440" w:lineRule="exact"/>
        <w:ind w:firstLine="560" w:firstLineChars="200"/>
        <w:rPr>
          <w:rFonts w:ascii="仿宋_GB2312" w:hAnsi="仿宋_GB2312" w:eastAsia="仿宋_GB2312" w:cs="仿宋_GB2312"/>
          <w:color w:val="auto"/>
          <w:sz w:val="28"/>
          <w:szCs w:val="28"/>
          <w:highlight w:val="none"/>
          <w:u w:val="single"/>
        </w:rPr>
      </w:pPr>
      <w:r>
        <w:rPr>
          <w:rFonts w:hint="eastAsia" w:ascii="仿宋_GB2312" w:hAnsi="仿宋_GB2312" w:cs="仿宋_GB2312"/>
          <w:color w:val="auto"/>
          <w:sz w:val="28"/>
          <w:szCs w:val="28"/>
          <w:highlight w:val="none"/>
        </w:rPr>
        <w:t>（4）</w:t>
      </w:r>
      <w:r>
        <w:rPr>
          <w:rFonts w:hint="eastAsia" w:ascii="仿宋_GB2312" w:hAnsi="仿宋_GB2312" w:eastAsia="仿宋_GB2312" w:cs="仿宋_GB2312"/>
          <w:color w:val="auto"/>
          <w:sz w:val="28"/>
          <w:szCs w:val="28"/>
          <w:highlight w:val="none"/>
        </w:rPr>
        <w:t>现金履约保证金的退还：工程完工验收后，由</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提出申请，</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在</w:t>
      </w:r>
      <w:r>
        <w:rPr>
          <w:rFonts w:hint="eastAsia" w:ascii="仿宋_GB2312" w:hAnsi="仿宋_GB2312" w:eastAsia="仿宋_GB2312" w:cs="仿宋_GB2312"/>
          <w:color w:val="auto"/>
          <w:sz w:val="28"/>
          <w:szCs w:val="28"/>
          <w:highlight w:val="none"/>
          <w:u w:val="single"/>
        </w:rPr>
        <w:t>28日</w:t>
      </w:r>
      <w:r>
        <w:rPr>
          <w:rFonts w:hint="eastAsia" w:ascii="仿宋_GB2312" w:hAnsi="仿宋_GB2312" w:eastAsia="仿宋_GB2312" w:cs="仿宋_GB2312"/>
          <w:color w:val="auto"/>
          <w:sz w:val="28"/>
          <w:szCs w:val="28"/>
          <w:highlight w:val="none"/>
        </w:rPr>
        <w:t>内将剩余保证金（无息）返还。</w:t>
      </w:r>
    </w:p>
    <w:p>
      <w:pPr>
        <w:spacing w:line="44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4.2.4</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按本合同规定提取履约担保金额后，</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应在收到</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通知后</w:t>
      </w:r>
      <w:r>
        <w:rPr>
          <w:rFonts w:hint="eastAsia" w:ascii="仿宋_GB2312" w:hAnsi="仿宋_GB2312" w:eastAsia="仿宋_GB2312" w:cs="仿宋_GB2312"/>
          <w:color w:val="auto"/>
          <w:sz w:val="28"/>
          <w:szCs w:val="28"/>
          <w:highlight w:val="none"/>
          <w:u w:val="single"/>
        </w:rPr>
        <w:t xml:space="preserve"> 7 </w:t>
      </w:r>
      <w:r>
        <w:rPr>
          <w:rFonts w:hint="eastAsia" w:ascii="仿宋_GB2312" w:hAnsi="仿宋_GB2312" w:eastAsia="仿宋_GB2312" w:cs="仿宋_GB2312"/>
          <w:color w:val="auto"/>
          <w:sz w:val="28"/>
          <w:szCs w:val="28"/>
          <w:highlight w:val="none"/>
        </w:rPr>
        <w:t>日内补足数额，逾期未补足的，则</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有权提取履约担保的全部余额并解除合同。</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4.2.5</w:t>
      </w:r>
      <w:r>
        <w:rPr>
          <w:rFonts w:hint="eastAsia" w:ascii="宋体" w:hAnsi="宋体" w:cs="宋体"/>
          <w:color w:val="auto"/>
          <w:sz w:val="21"/>
          <w:szCs w:val="21"/>
          <w:highlight w:val="none"/>
        </w:rPr>
        <w:t>监理人未按合同约定履行合同义务和责任，需向委托人支付违约金、赔偿金及其他费用，或因监理人原因给委托人造成损失或导致第三方向委托人索赔的，委托人有权直接提取等额的履约担保金额。</w:t>
      </w:r>
    </w:p>
    <w:p>
      <w:pPr>
        <w:spacing w:line="360" w:lineRule="auto"/>
        <w:rPr>
          <w:rFonts w:ascii="黑体" w:hAnsi="黑体" w:eastAsia="黑体"/>
          <w:color w:val="auto"/>
          <w:sz w:val="28"/>
          <w:highlight w:val="none"/>
        </w:rPr>
      </w:pPr>
      <w:r>
        <w:rPr>
          <w:rFonts w:ascii="黑体" w:hAnsi="黑体" w:eastAsia="黑体"/>
          <w:color w:val="auto"/>
          <w:sz w:val="28"/>
          <w:highlight w:val="none"/>
        </w:rPr>
        <w:t>4.5 监理人员的管理</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4.5.2 除专用合同条款另有约定外，主要监理人员包括总监理工程师、专业监理工程师、造价工程师等；其他人员包括各专业的监理员、资料员等。</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5</w:t>
      </w:r>
      <w:r>
        <w:rPr>
          <w:rFonts w:hint="eastAsia" w:ascii="宋体" w:hAnsi="宋体" w:cs="宋体"/>
          <w:color w:val="auto"/>
          <w:sz w:val="21"/>
          <w:szCs w:val="21"/>
          <w:highlight w:val="none"/>
        </w:rPr>
        <w:t>监理人派驻到工程所在地履行监理服务的监理人员，必须符合法律法规规定的资质要求并能够适应监理合同规定的监理服务工作。监理人员的资质、配额见合同附件《本项目的监理组织机构》。</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6</w:t>
      </w:r>
      <w:r>
        <w:rPr>
          <w:rFonts w:hint="eastAsia" w:ascii="宋体" w:hAnsi="宋体" w:cs="宋体"/>
          <w:color w:val="auto"/>
          <w:sz w:val="21"/>
          <w:szCs w:val="21"/>
          <w:highlight w:val="none"/>
        </w:rPr>
        <w:t>监理人按合同约定派出监理工作需要的监理机构及监理人员（监理人员配备应该符合投标文件的要求），向委托人报送委派的总监理工程师及其监理机构主要成员名单（名单需经委托人按投标文件复核、确认）、监理规划，完成监理合同专用合同条款中约定的监理工程范围内的监理业务。在履行合同义务期间，应按合同约定定期向委托人报告监理工作。委托人有权根据工程进展和工程建设需要增加要求监理人增加监理人员，监理人须无条件服从。</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7</w:t>
      </w:r>
      <w:r>
        <w:rPr>
          <w:rFonts w:hint="eastAsia" w:ascii="宋体" w:hAnsi="宋体" w:cs="宋体"/>
          <w:color w:val="auto"/>
          <w:sz w:val="21"/>
          <w:szCs w:val="21"/>
          <w:highlight w:val="none"/>
        </w:rPr>
        <w:t>为了履行监理服务，监理人应向委托人及各有关单位提供监理机构名录及联系方式，并同时指定一名授权代表与委托人授权代表建立工作联系。</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8</w:t>
      </w:r>
      <w:r>
        <w:rPr>
          <w:rFonts w:hint="eastAsia" w:ascii="宋体" w:hAnsi="宋体" w:cs="宋体"/>
          <w:color w:val="auto"/>
          <w:sz w:val="21"/>
          <w:szCs w:val="21"/>
          <w:highlight w:val="none"/>
        </w:rPr>
        <w:t>为做好工程造价控制工作，监理人需委派出负责合同工程工程造价专业技术的注册造价工程师，监理人应在签订监理合同后将造价工程师任命书以书面形式通知委托人和承包人。造价工程师行使合同明文规定和必然隐含的职权，负责工程计量和计价，工程进度款的调整和核实，变更预算的审核、结算价款的审核、调整，签发支付证书，及时向承包人提供合同价款的核实、调整和通知等指令。造价工程师无权免除或变更合同规定的合同任何一方当事人在合同履行期间的权利、义务和责任。</w:t>
      </w:r>
    </w:p>
    <w:p>
      <w:pPr>
        <w:spacing w:line="360" w:lineRule="auto"/>
        <w:ind w:firstLine="420" w:firstLineChars="200"/>
        <w:rPr>
          <w:rFonts w:ascii="宋体" w:hAnsi="宋体"/>
          <w:color w:val="auto"/>
          <w:sz w:val="21"/>
          <w:highlight w:val="none"/>
        </w:rPr>
      </w:pPr>
      <w:r>
        <w:rPr>
          <w:rFonts w:ascii="宋体" w:hAnsi="宋体"/>
          <w:color w:val="auto"/>
          <w:sz w:val="21"/>
          <w:highlight w:val="none"/>
        </w:rPr>
        <w:t>4.5.</w:t>
      </w:r>
      <w:r>
        <w:rPr>
          <w:rFonts w:hint="eastAsia" w:ascii="宋体" w:hAnsi="宋体"/>
          <w:color w:val="auto"/>
          <w:sz w:val="21"/>
          <w:highlight w:val="none"/>
        </w:rPr>
        <w:t>9监理人不得更换其在</w:t>
      </w:r>
      <w:r>
        <w:rPr>
          <w:rFonts w:hint="eastAsia" w:ascii="宋体" w:hAnsi="宋体"/>
          <w:color w:val="auto"/>
          <w:sz w:val="21"/>
          <w:highlight w:val="none"/>
          <w:lang w:val="en-US" w:eastAsia="zh-CN"/>
        </w:rPr>
        <w:t>响应</w:t>
      </w:r>
      <w:r>
        <w:rPr>
          <w:rFonts w:hint="eastAsia" w:ascii="宋体" w:hAnsi="宋体"/>
          <w:color w:val="auto"/>
          <w:sz w:val="21"/>
          <w:highlight w:val="none"/>
        </w:rPr>
        <w:t>文件中承诺的总监理工程师及其他主要监理人员，但因重病（需持有县、区以上医院出具的两个月以上不能履行职责的证明）、身故更换的除外。</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监理人向委托人申请更换的，非突发情况应提前</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天提出申请，突发情况下，应在事件发生之日起3天内提出。无论是否经委托人同意，监理人更换人员应承担下列违约责任：因人员辞职（需提供辞职流程文件及社保停保证明）更换总监理工程师的，应支付违约金</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万元/人次，更换其他主要监理人员的，应支付违约金</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5万元/人次；因其他原因更换总监理工程师的，应支付违约金</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万元/人次，更换其他主要监理人员的，应支付违约金1万元/人次。</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监理人更换的总监理工程师及其他主要监理人员的资质必须不低于原总监理工程师及其他主要监理人员。</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10</w:t>
      </w:r>
      <w:r>
        <w:rPr>
          <w:rFonts w:hint="eastAsia" w:ascii="宋体" w:hAnsi="宋体" w:cs="宋体"/>
          <w:color w:val="auto"/>
          <w:sz w:val="21"/>
          <w:szCs w:val="21"/>
          <w:highlight w:val="none"/>
        </w:rPr>
        <w:t>经委托人同意，除合同约定或依法规应由总监理工程师、造价工程师行使的职权外，总监理工程师、造价工程师可将其部分职权以书面形式授予其任命的总监理工程师、造价工程师代表，亦可将其授权撤回。任何此类任命或撤回，均应至少提前7 天以书面形式通知委托人和承包人。未将有关文件送交委托人和承包人之前，任何此类任命或撤回均为无效。</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11</w:t>
      </w:r>
      <w:r>
        <w:rPr>
          <w:rFonts w:hint="eastAsia" w:ascii="宋体" w:hAnsi="宋体" w:cs="宋体"/>
          <w:color w:val="auto"/>
          <w:sz w:val="21"/>
          <w:szCs w:val="21"/>
          <w:highlight w:val="none"/>
        </w:rPr>
        <w:t xml:space="preserve">经委托人同意并由总监理工程师任命的总监理工程师或造价工程师代表行使总监理工程师或造价工程师授予的职权，对总监理工程师或造价工程师负责。被授权代表在授予职权范围内工作，总监理工程师或造价工程师应予认可。 </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12</w:t>
      </w:r>
      <w:r>
        <w:rPr>
          <w:rFonts w:hint="eastAsia" w:ascii="宋体" w:hAnsi="宋体" w:cs="宋体"/>
          <w:color w:val="auto"/>
          <w:sz w:val="21"/>
          <w:szCs w:val="21"/>
          <w:highlight w:val="none"/>
        </w:rPr>
        <w:t>在监理合同有效期内，委托人有权要求监理人派驻造价人员驻委托人总部（或二级机构）配合委托人进行审价工作，该费用已包含在投标报价中。</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4.5.13监理人派驻至委托人总部（或二级机构）的造价人员在一个月（日历月）内，若5次无故迟到早退的（以委托人的考勤为准），委托人有权要求监理人支付违约金人民币0.5万元。</w:t>
      </w:r>
    </w:p>
    <w:p>
      <w:pPr>
        <w:spacing w:line="360" w:lineRule="auto"/>
        <w:rPr>
          <w:rFonts w:ascii="黑体" w:hAnsi="黑体" w:eastAsia="黑体"/>
          <w:color w:val="auto"/>
          <w:sz w:val="28"/>
          <w:highlight w:val="none"/>
        </w:rPr>
      </w:pPr>
      <w:r>
        <w:rPr>
          <w:rFonts w:ascii="黑体" w:hAnsi="黑体" w:eastAsia="黑体"/>
          <w:color w:val="auto"/>
          <w:sz w:val="28"/>
          <w:highlight w:val="none"/>
        </w:rPr>
        <w:t>4.6 撤换总监理工程师和其他人员</w:t>
      </w:r>
    </w:p>
    <w:p>
      <w:pPr>
        <w:spacing w:line="360" w:lineRule="auto"/>
        <w:ind w:firstLine="840" w:firstLineChars="400"/>
        <w:rPr>
          <w:rFonts w:ascii="宋体" w:hAnsi="宋体"/>
          <w:color w:val="auto"/>
          <w:sz w:val="21"/>
          <w:highlight w:val="none"/>
        </w:rPr>
      </w:pPr>
      <w:r>
        <w:rPr>
          <w:rFonts w:hint="eastAsia" w:ascii="宋体" w:hAnsi="宋体"/>
          <w:color w:val="auto"/>
          <w:sz w:val="21"/>
          <w:highlight w:val="none"/>
        </w:rPr>
        <w:t>委托人有权书面通知监理人要求撤换其认为不称职的、或无故缺勤累计10天以上、或擅自离开施工现场累计达到5次以上的派驻人员，通知中应当载明要求撤换的理由。监理人应在接到撤换通知后7天内向委托人提出书面的改进报告。如监理人没有提出改进报告，应在收到撤换通知后7天内撤换派驻人员。委托人收到改进报告后仍要求撤换的，监理人应在接到第二次撤换通知的7天内进行撤换，并将新任命的派驻人员的注册执业资格、管理经验等资料书面通知委托人，继任人员的资质、资历、学历、职称、业绩、实际工作能力应不低于被继任人员，继任人员继续履行本合同约定的职责。监理人无正当理由拒绝撤换总监理工程师的，应支付违约金</w:t>
      </w:r>
      <w:r>
        <w:rPr>
          <w:rFonts w:hint="eastAsia" w:ascii="宋体" w:hAnsi="宋体"/>
          <w:color w:val="auto"/>
          <w:sz w:val="21"/>
          <w:highlight w:val="none"/>
          <w:lang w:val="en-US" w:eastAsia="zh-CN"/>
        </w:rPr>
        <w:t>2.5</w:t>
      </w:r>
      <w:r>
        <w:rPr>
          <w:rFonts w:hint="eastAsia" w:ascii="宋体" w:hAnsi="宋体"/>
          <w:color w:val="auto"/>
          <w:sz w:val="21"/>
          <w:highlight w:val="none"/>
        </w:rPr>
        <w:t>万元/次；承包人无正当理由拒绝撤换其他主要监理人员的，应支付违约金</w:t>
      </w:r>
      <w:r>
        <w:rPr>
          <w:rFonts w:hint="eastAsia" w:ascii="宋体" w:hAnsi="宋体"/>
          <w:color w:val="auto"/>
          <w:sz w:val="21"/>
          <w:highlight w:val="none"/>
          <w:lang w:val="en-US" w:eastAsia="zh-CN"/>
        </w:rPr>
        <w:t>1</w:t>
      </w:r>
      <w:r>
        <w:rPr>
          <w:rFonts w:hint="eastAsia" w:ascii="宋体" w:hAnsi="宋体"/>
          <w:color w:val="auto"/>
          <w:sz w:val="21"/>
          <w:highlight w:val="none"/>
        </w:rPr>
        <w:t>万元/人次。</w:t>
      </w:r>
      <w:bookmarkStart w:id="133" w:name="_GoBack"/>
      <w:bookmarkEnd w:id="133"/>
    </w:p>
    <w:p>
      <w:pPr>
        <w:spacing w:line="360" w:lineRule="auto"/>
        <w:ind w:firstLine="560" w:firstLineChars="200"/>
        <w:rPr>
          <w:rFonts w:ascii="黑体" w:hAnsi="黑体" w:eastAsia="黑体"/>
          <w:color w:val="auto"/>
          <w:sz w:val="28"/>
          <w:highlight w:val="none"/>
        </w:rPr>
      </w:pPr>
      <w:r>
        <w:rPr>
          <w:rFonts w:ascii="黑体" w:hAnsi="黑体" w:eastAsia="黑体"/>
          <w:color w:val="auto"/>
          <w:sz w:val="28"/>
          <w:highlight w:val="none"/>
        </w:rPr>
        <w:t>4.7 保障人员的合法权益</w:t>
      </w:r>
    </w:p>
    <w:p>
      <w:pPr>
        <w:spacing w:line="360" w:lineRule="auto"/>
        <w:ind w:firstLine="420" w:firstLineChars="200"/>
        <w:rPr>
          <w:rFonts w:ascii="宋体" w:hAnsi="宋体"/>
          <w:color w:val="auto"/>
          <w:sz w:val="21"/>
          <w:highlight w:val="none"/>
          <w:u w:val="single"/>
        </w:rPr>
      </w:pPr>
      <w:r>
        <w:rPr>
          <w:rFonts w:ascii="宋体" w:hAnsi="宋体" w:cs="宋体"/>
          <w:color w:val="auto"/>
          <w:sz w:val="21"/>
          <w:szCs w:val="21"/>
          <w:highlight w:val="none"/>
        </w:rPr>
        <w:t xml:space="preserve">4.7.3 </w:t>
      </w:r>
      <w:r>
        <w:rPr>
          <w:rFonts w:hint="eastAsia" w:ascii="宋体" w:hAnsi="宋体"/>
          <w:color w:val="auto"/>
          <w:sz w:val="21"/>
          <w:highlight w:val="none"/>
          <w:u w:val="single"/>
        </w:rPr>
        <w:t>监理人需给从事本工程监理工作的监理工作人员办理必要的保险。</w:t>
      </w:r>
    </w:p>
    <w:p>
      <w:pPr>
        <w:spacing w:line="390" w:lineRule="exact"/>
        <w:rPr>
          <w:rFonts w:eastAsia="Times New Roman"/>
          <w:b/>
          <w:color w:val="auto"/>
          <w:sz w:val="32"/>
          <w:highlight w:val="none"/>
        </w:rPr>
      </w:pPr>
      <w:r>
        <w:rPr>
          <w:rFonts w:hint="eastAsia" w:ascii="黑体" w:hAnsi="黑体" w:eastAsia="黑体"/>
          <w:b/>
          <w:color w:val="auto"/>
          <w:sz w:val="32"/>
          <w:highlight w:val="none"/>
        </w:rPr>
        <w:t>5.</w:t>
      </w:r>
      <w:r>
        <w:rPr>
          <w:rFonts w:ascii="黑体" w:hAnsi="黑体" w:eastAsia="黑体"/>
          <w:b/>
          <w:color w:val="auto"/>
          <w:sz w:val="32"/>
          <w:highlight w:val="none"/>
        </w:rPr>
        <w:t>监理要求</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5.1 监理范围</w:t>
      </w:r>
    </w:p>
    <w:p>
      <w:pPr>
        <w:spacing w:line="360" w:lineRule="auto"/>
        <w:ind w:firstLine="420" w:firstLineChars="200"/>
        <w:rPr>
          <w:rFonts w:ascii="宋体" w:hAnsi="宋体"/>
          <w:color w:val="auto"/>
          <w:sz w:val="21"/>
          <w:highlight w:val="none"/>
        </w:rPr>
      </w:pPr>
      <w:r>
        <w:rPr>
          <w:rFonts w:ascii="宋体" w:hAnsi="宋体"/>
          <w:color w:val="auto"/>
          <w:sz w:val="21"/>
          <w:highlight w:val="none"/>
        </w:rPr>
        <w:t>5.1.2 工程范围指所监理工程的建设内容</w:t>
      </w:r>
      <w:r>
        <w:rPr>
          <w:rFonts w:hint="eastAsia" w:ascii="宋体" w:hAnsi="宋体"/>
          <w:color w:val="auto"/>
          <w:sz w:val="21"/>
          <w:highlight w:val="none"/>
        </w:rPr>
        <w:t>,具体范围如下：</w:t>
      </w:r>
    </w:p>
    <w:p>
      <w:pPr>
        <w:spacing w:line="360" w:lineRule="auto"/>
        <w:ind w:firstLine="420" w:firstLineChars="200"/>
        <w:rPr>
          <w:rFonts w:ascii="宋体" w:hAnsi="宋体"/>
          <w:color w:val="auto"/>
          <w:kern w:val="2"/>
          <w:sz w:val="21"/>
          <w:szCs w:val="21"/>
          <w:highlight w:val="none"/>
        </w:rPr>
      </w:pPr>
      <w:r>
        <w:rPr>
          <w:rFonts w:ascii="宋体" w:hAnsi="宋体"/>
          <w:color w:val="auto"/>
          <w:sz w:val="21"/>
          <w:highlight w:val="none"/>
        </w:rPr>
        <w:t>5.1.2</w:t>
      </w:r>
      <w:r>
        <w:rPr>
          <w:rFonts w:hint="eastAsia" w:ascii="宋体" w:hAnsi="宋体"/>
          <w:color w:val="auto"/>
          <w:sz w:val="21"/>
          <w:highlight w:val="none"/>
        </w:rPr>
        <w:t>.1工程名称</w:t>
      </w:r>
      <w:r>
        <w:rPr>
          <w:rFonts w:hint="eastAsia" w:ascii="宋体" w:hAnsi="宋体"/>
          <w:color w:val="auto"/>
          <w:sz w:val="21"/>
          <w:highlight w:val="none"/>
          <w:u w:val="single"/>
        </w:rPr>
        <w:t>：</w:t>
      </w:r>
      <w:r>
        <w:rPr>
          <w:rFonts w:hint="eastAsia" w:ascii="宋体" w:hAnsi="宋体"/>
          <w:color w:val="auto"/>
          <w:sz w:val="21"/>
          <w:highlight w:val="none"/>
          <w:u w:val="single"/>
          <w:lang w:eastAsia="zh-CN"/>
        </w:rPr>
        <w:t>化龙堆存污泥综合处理处置项目</w:t>
      </w:r>
      <w:r>
        <w:rPr>
          <w:rFonts w:hint="eastAsia" w:ascii="宋体" w:hAnsi="宋体"/>
          <w:color w:val="auto"/>
          <w:sz w:val="21"/>
          <w:highlight w:val="none"/>
          <w:u w:val="single"/>
          <w:lang w:val="en-US" w:eastAsia="zh-CN"/>
        </w:rPr>
        <w:t xml:space="preserve">废弃烟囱爆破拆除工程       </w:t>
      </w:r>
      <w:r>
        <w:rPr>
          <w:rFonts w:hint="eastAsia" w:ascii="宋体" w:hAnsi="宋体"/>
          <w:color w:val="auto"/>
          <w:sz w:val="21"/>
          <w:highlight w:val="none"/>
          <w:lang w:val="en-US" w:eastAsia="zh-CN"/>
        </w:rPr>
        <w:t xml:space="preserve"> </w:t>
      </w:r>
      <w:r>
        <w:rPr>
          <w:rFonts w:hint="eastAsia" w:ascii="宋体" w:hAnsi="宋体"/>
          <w:color w:val="auto"/>
          <w:sz w:val="21"/>
          <w:highlight w:val="none"/>
        </w:rPr>
        <w:t xml:space="preserve">   </w:t>
      </w:r>
      <w:r>
        <w:rPr>
          <w:rFonts w:hint="eastAsia" w:ascii="宋体" w:hAnsi="宋体"/>
          <w:color w:val="auto"/>
          <w:kern w:val="2"/>
          <w:sz w:val="21"/>
          <w:szCs w:val="21"/>
          <w:highlight w:val="none"/>
        </w:rPr>
        <w:t xml:space="preserve"> </w:t>
      </w:r>
    </w:p>
    <w:p>
      <w:pPr>
        <w:spacing w:line="360" w:lineRule="auto"/>
        <w:ind w:firstLine="420" w:firstLineChars="200"/>
        <w:rPr>
          <w:rFonts w:ascii="宋体" w:hAnsi="宋体"/>
          <w:color w:val="auto"/>
          <w:sz w:val="21"/>
          <w:highlight w:val="none"/>
        </w:rPr>
      </w:pPr>
      <w:r>
        <w:rPr>
          <w:rFonts w:ascii="宋体" w:hAnsi="宋体"/>
          <w:color w:val="auto"/>
          <w:sz w:val="21"/>
          <w:highlight w:val="none"/>
        </w:rPr>
        <w:t>5.1.2</w:t>
      </w:r>
      <w:r>
        <w:rPr>
          <w:rFonts w:hint="eastAsia" w:ascii="宋体" w:hAnsi="宋体"/>
          <w:color w:val="auto"/>
          <w:sz w:val="21"/>
          <w:highlight w:val="none"/>
        </w:rPr>
        <w:t>.2</w:t>
      </w:r>
      <w:r>
        <w:rPr>
          <w:rFonts w:hint="eastAsia" w:ascii="宋体" w:hAnsi="宋体" w:cs="宋体"/>
          <w:color w:val="auto"/>
          <w:kern w:val="2"/>
          <w:sz w:val="21"/>
          <w:szCs w:val="21"/>
          <w:highlight w:val="none"/>
        </w:rPr>
        <w:t>建设地点</w:t>
      </w:r>
      <w:r>
        <w:rPr>
          <w:rFonts w:hint="eastAsia" w:ascii="宋体" w:hAnsi="宋体" w:cs="宋体"/>
          <w:i w:val="0"/>
          <w:iCs w:val="0"/>
          <w:color w:val="auto"/>
          <w:kern w:val="2"/>
          <w:sz w:val="21"/>
          <w:szCs w:val="21"/>
          <w:highlight w:val="none"/>
          <w:u w:val="single"/>
        </w:rPr>
        <w:t>：广州市番禺区化龙镇</w:t>
      </w:r>
      <w:r>
        <w:rPr>
          <w:rFonts w:hint="eastAsia" w:ascii="宋体" w:hAnsi="宋体" w:cs="宋体"/>
          <w:i w:val="0"/>
          <w:iCs w:val="0"/>
          <w:color w:val="auto"/>
          <w:kern w:val="2"/>
          <w:sz w:val="21"/>
          <w:szCs w:val="21"/>
          <w:highlight w:val="none"/>
          <w:u w:val="single"/>
          <w:lang w:val="en-US" w:eastAsia="zh-CN"/>
        </w:rPr>
        <w:t xml:space="preserve">沙亭村       </w:t>
      </w:r>
      <w:r>
        <w:rPr>
          <w:rFonts w:hint="eastAsia"/>
          <w:color w:val="auto"/>
          <w:sz w:val="21"/>
          <w:szCs w:val="21"/>
          <w:highlight w:val="none"/>
        </w:rPr>
        <w:t xml:space="preserve"> </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5.1.2</w:t>
      </w:r>
      <w:r>
        <w:rPr>
          <w:rFonts w:hint="eastAsia" w:ascii="宋体" w:hAnsi="宋体"/>
          <w:color w:val="auto"/>
          <w:sz w:val="21"/>
          <w:highlight w:val="none"/>
        </w:rPr>
        <w:t>.3</w:t>
      </w:r>
      <w:r>
        <w:rPr>
          <w:rFonts w:hint="eastAsia" w:ascii="宋体" w:hAnsi="宋体" w:cs="宋体"/>
          <w:color w:val="auto"/>
          <w:kern w:val="2"/>
          <w:sz w:val="21"/>
          <w:szCs w:val="21"/>
          <w:highlight w:val="none"/>
        </w:rPr>
        <w:t>建设规模</w:t>
      </w:r>
      <w:r>
        <w:rPr>
          <w:rFonts w:hint="eastAsia" w:ascii="宋体" w:hAnsi="宋体" w:cs="宋体"/>
          <w:color w:val="auto"/>
          <w:kern w:val="2"/>
          <w:sz w:val="21"/>
          <w:szCs w:val="21"/>
          <w:highlight w:val="none"/>
          <w:u w:val="single"/>
        </w:rPr>
        <w:t>：位于</w:t>
      </w:r>
      <w:r>
        <w:rPr>
          <w:rFonts w:hint="eastAsia" w:ascii="宋体" w:hAnsi="宋体" w:cs="宋体"/>
          <w:color w:val="auto"/>
          <w:kern w:val="2"/>
          <w:sz w:val="21"/>
          <w:szCs w:val="21"/>
          <w:highlight w:val="none"/>
          <w:u w:val="single"/>
          <w:lang w:eastAsia="zh-CN"/>
        </w:rPr>
        <w:t>化龙堆存污泥综合处理处置项目</w:t>
      </w:r>
      <w:r>
        <w:rPr>
          <w:rFonts w:hint="eastAsia" w:ascii="宋体" w:hAnsi="宋体" w:cs="宋体"/>
          <w:color w:val="auto"/>
          <w:kern w:val="2"/>
          <w:sz w:val="21"/>
          <w:szCs w:val="21"/>
          <w:highlight w:val="none"/>
          <w:u w:val="single"/>
        </w:rPr>
        <w:t>地块一的</w:t>
      </w:r>
      <w:r>
        <w:rPr>
          <w:rFonts w:hint="eastAsia" w:ascii="宋体" w:hAnsi="宋体" w:cs="宋体"/>
          <w:color w:val="auto"/>
          <w:kern w:val="2"/>
          <w:sz w:val="21"/>
          <w:szCs w:val="21"/>
          <w:highlight w:val="none"/>
          <w:u w:val="single"/>
          <w:lang w:val="en-US" w:eastAsia="zh-CN"/>
        </w:rPr>
        <w:t>砖砌</w:t>
      </w:r>
      <w:r>
        <w:rPr>
          <w:rFonts w:hint="eastAsia" w:ascii="宋体" w:hAnsi="宋体" w:cs="宋体"/>
          <w:color w:val="auto"/>
          <w:kern w:val="2"/>
          <w:sz w:val="21"/>
          <w:szCs w:val="21"/>
          <w:highlight w:val="none"/>
          <w:u w:val="single"/>
        </w:rPr>
        <w:t>烟囱高度56.4m，底部外径5.7m，壁厚1.09m</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lang w:val="en-US" w:eastAsia="zh-CN"/>
        </w:rPr>
        <w:t xml:space="preserve"> </w:t>
      </w:r>
      <w:r>
        <w:rPr>
          <w:rFonts w:hint="eastAsia" w:ascii="宋体" w:hAnsi="宋体"/>
          <w:color w:val="auto"/>
          <w:sz w:val="21"/>
          <w:szCs w:val="21"/>
          <w:highlight w:val="none"/>
        </w:rPr>
        <w:t xml:space="preserve"> </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5.1.3</w:t>
      </w:r>
      <w:r>
        <w:rPr>
          <w:rFonts w:hint="eastAsia" w:ascii="宋体" w:hAnsi="宋体"/>
          <w:color w:val="auto"/>
          <w:sz w:val="21"/>
          <w:highlight w:val="none"/>
        </w:rPr>
        <w:t>本项目</w:t>
      </w:r>
      <w:r>
        <w:rPr>
          <w:rFonts w:ascii="宋体" w:hAnsi="宋体"/>
          <w:color w:val="auto"/>
          <w:sz w:val="21"/>
          <w:highlight w:val="none"/>
        </w:rPr>
        <w:t>阶段范围具体范围</w:t>
      </w:r>
      <w:r>
        <w:rPr>
          <w:rFonts w:hint="eastAsia" w:ascii="宋体" w:hAnsi="宋体"/>
          <w:color w:val="auto"/>
          <w:sz w:val="21"/>
          <w:highlight w:val="none"/>
        </w:rPr>
        <w:t>：</w:t>
      </w:r>
      <w:r>
        <w:rPr>
          <w:rFonts w:ascii="宋体" w:hAnsi="宋体"/>
          <w:color w:val="auto"/>
          <w:sz w:val="21"/>
          <w:highlight w:val="none"/>
        </w:rPr>
        <w:t>工程建设程序中的</w:t>
      </w:r>
      <w:r>
        <w:rPr>
          <w:rFonts w:hint="eastAsia" w:ascii="宋体" w:hAnsi="宋体"/>
          <w:color w:val="auto"/>
          <w:sz w:val="21"/>
          <w:highlight w:val="none"/>
        </w:rPr>
        <w:t>施工图</w:t>
      </w:r>
      <w:r>
        <w:rPr>
          <w:rFonts w:ascii="宋体" w:hAnsi="宋体"/>
          <w:color w:val="auto"/>
          <w:sz w:val="21"/>
          <w:highlight w:val="none"/>
        </w:rPr>
        <w:t>设计阶段、</w:t>
      </w:r>
      <w:r>
        <w:rPr>
          <w:rFonts w:hint="eastAsia" w:ascii="宋体" w:hAnsi="宋体"/>
          <w:color w:val="auto"/>
          <w:sz w:val="21"/>
          <w:highlight w:val="none"/>
        </w:rPr>
        <w:t>施工准备阶段、</w:t>
      </w:r>
      <w:r>
        <w:rPr>
          <w:rFonts w:ascii="宋体" w:hAnsi="宋体"/>
          <w:color w:val="auto"/>
          <w:sz w:val="21"/>
          <w:highlight w:val="none"/>
        </w:rPr>
        <w:t>施工阶段、</w:t>
      </w:r>
      <w:r>
        <w:rPr>
          <w:rFonts w:hint="eastAsia" w:ascii="宋体" w:hAnsi="宋体"/>
          <w:color w:val="auto"/>
          <w:sz w:val="21"/>
          <w:highlight w:val="none"/>
        </w:rPr>
        <w:t>验收与</w:t>
      </w:r>
      <w:r>
        <w:rPr>
          <w:rFonts w:ascii="宋体" w:hAnsi="宋体"/>
          <w:color w:val="auto"/>
          <w:sz w:val="21"/>
          <w:highlight w:val="none"/>
        </w:rPr>
        <w:t>缺陷责任期阶段</w:t>
      </w:r>
      <w:r>
        <w:rPr>
          <w:rFonts w:hint="eastAsia" w:ascii="宋体" w:hAnsi="宋体" w:cs="宋体"/>
          <w:color w:val="auto"/>
          <w:kern w:val="2"/>
          <w:sz w:val="21"/>
          <w:szCs w:val="21"/>
          <w:highlight w:val="none"/>
        </w:rPr>
        <w:t>。</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5.1.4</w:t>
      </w:r>
      <w:r>
        <w:rPr>
          <w:rFonts w:hint="eastAsia" w:ascii="宋体" w:hAnsi="宋体"/>
          <w:color w:val="auto"/>
          <w:sz w:val="21"/>
          <w:highlight w:val="none"/>
        </w:rPr>
        <w:t>本项目</w:t>
      </w:r>
      <w:r>
        <w:rPr>
          <w:rFonts w:ascii="宋体" w:hAnsi="宋体"/>
          <w:color w:val="auto"/>
          <w:sz w:val="21"/>
          <w:highlight w:val="none"/>
        </w:rPr>
        <w:t>工作范围具体范围</w:t>
      </w:r>
      <w:r>
        <w:rPr>
          <w:rFonts w:hint="eastAsia" w:ascii="宋体" w:hAnsi="宋体"/>
          <w:color w:val="auto"/>
          <w:sz w:val="21"/>
          <w:highlight w:val="none"/>
        </w:rPr>
        <w:t>：本</w:t>
      </w:r>
      <w:r>
        <w:rPr>
          <w:rFonts w:hint="eastAsia" w:ascii="宋体" w:hAnsi="宋体"/>
          <w:color w:val="auto"/>
          <w:sz w:val="21"/>
          <w:highlight w:val="none"/>
          <w:lang w:val="en-US" w:eastAsia="zh-CN"/>
        </w:rPr>
        <w:t>项目</w:t>
      </w:r>
      <w:r>
        <w:rPr>
          <w:rFonts w:hint="eastAsia" w:ascii="宋体" w:hAnsi="宋体"/>
          <w:color w:val="auto"/>
          <w:sz w:val="21"/>
          <w:highlight w:val="none"/>
        </w:rPr>
        <w:t>施工图设计阶段、施工准备阶段、施工阶段、竣工验收阶段、结算阶段、缺陷责任期阶段的质量、投资、进度控制和环保、安全管理、参建各方竣工档案编制工作进行全过程监理；监督、管理建设工程合同的履行，协调建设单位和工程建设有关各方的工作关系，以及配合项目移交等监理工作。除上述工作范围外，监理人还须按委托人的要求提前参与设计阶段的工作、开工前期的准备和筹划工作，协助委托人制定工程管理办法、各参建方职责及有关事务性工作等。</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w:t>
      </w:r>
      <w:r>
        <w:rPr>
          <w:rFonts w:hint="eastAsia" w:ascii="宋体" w:hAnsi="宋体" w:cs="宋体"/>
          <w:color w:val="auto"/>
          <w:kern w:val="2"/>
          <w:sz w:val="21"/>
          <w:szCs w:val="21"/>
          <w:highlight w:val="none"/>
        </w:rPr>
        <w:t>监理范围：包括施工图设计阶段的监理工作，工程建设施工阶段的质量、安全、工期、投资、文明施工等方面的监控直至工程竣工验收合格、缺陷责任期届满并完成结算。</w:t>
      </w:r>
      <w:r>
        <w:rPr>
          <w:rFonts w:hint="eastAsia"/>
          <w:color w:val="auto"/>
          <w:highlight w:val="none"/>
        </w:rPr>
        <w:t>具体包括：</w:t>
      </w:r>
    </w:p>
    <w:p>
      <w:pPr>
        <w:spacing w:line="360" w:lineRule="auto"/>
        <w:ind w:firstLine="420" w:firstLineChars="200"/>
        <w:rPr>
          <w:rFonts w:hint="eastAsia"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5.2</w:t>
      </w:r>
      <w:r>
        <w:rPr>
          <w:rFonts w:hint="eastAsia" w:ascii="宋体" w:hAnsi="宋体" w:cs="宋体"/>
          <w:color w:val="auto"/>
          <w:kern w:val="2"/>
          <w:sz w:val="21"/>
          <w:szCs w:val="21"/>
          <w:highlight w:val="none"/>
        </w:rPr>
        <w:t>工程设计监理：对设计方案、施工图设计图纸、施工图预算和主要设备、材料清单的审查，发现不符合要求的地方，分析原因，发出修改设计的指令；对设计工作协调控制，及时检查和控制设计的进度，及时消除隐患；组织对设计的评审或咨询等工作。</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5.3</w:t>
      </w:r>
      <w:r>
        <w:rPr>
          <w:rFonts w:hint="eastAsia" w:ascii="宋体" w:hAnsi="宋体" w:cs="宋体"/>
          <w:color w:val="auto"/>
          <w:kern w:val="2"/>
          <w:sz w:val="21"/>
          <w:szCs w:val="21"/>
          <w:highlight w:val="none"/>
        </w:rPr>
        <w:t>工程施工监理：包括《建设施工监理规范》（GB50319—2013）规定的隶属于本工程的施工准备期、施工期、工程缺陷责任期阶段、结算期间的质量、安全控制、投资控制、进度控制、组织协调、合同管理、文明施工、竣工档案编制的监理工作；</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5.4</w:t>
      </w:r>
      <w:r>
        <w:rPr>
          <w:rFonts w:hint="eastAsia" w:ascii="宋体" w:hAnsi="宋体" w:cs="宋体"/>
          <w:color w:val="auto"/>
          <w:kern w:val="2"/>
          <w:sz w:val="21"/>
          <w:szCs w:val="21"/>
          <w:highlight w:val="none"/>
        </w:rPr>
        <w:t>工程项目管理：负责对整个工程内各专项工程的统一规划、统一调度、统一协调。协调各进驻单位（包括总包与分包单位）工程同步建设，对各进驻单位工程进度统一调控，以使各进驻单位施工期间能够做到井然有序，不相互干扰、制约。</w:t>
      </w:r>
    </w:p>
    <w:p>
      <w:pPr>
        <w:spacing w:line="360" w:lineRule="auto"/>
        <w:rPr>
          <w:rFonts w:ascii="黑体" w:hAnsi="黑体" w:eastAsia="黑体"/>
          <w:color w:val="auto"/>
          <w:sz w:val="28"/>
          <w:highlight w:val="none"/>
        </w:rPr>
      </w:pPr>
      <w:r>
        <w:rPr>
          <w:rFonts w:ascii="黑体" w:hAnsi="黑体" w:eastAsia="黑体"/>
          <w:color w:val="auto"/>
          <w:sz w:val="28"/>
          <w:highlight w:val="none"/>
        </w:rPr>
        <w:t>5.3 监理内容</w:t>
      </w:r>
    </w:p>
    <w:p>
      <w:pPr>
        <w:spacing w:line="360" w:lineRule="auto"/>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监理工作内容</w:t>
      </w:r>
      <w:r>
        <w:rPr>
          <w:rFonts w:hint="eastAsia" w:ascii="宋体" w:hAnsi="宋体" w:cs="宋体"/>
          <w:color w:val="auto"/>
          <w:kern w:val="2"/>
          <w:sz w:val="21"/>
          <w:szCs w:val="21"/>
          <w:highlight w:val="none"/>
        </w:rPr>
        <w:t>包括通用合同条款、专用合同条款规定外，还包括本合同附件《监理服务的形式、范围与内容》详列的监理服务的内容和要求。</w:t>
      </w:r>
    </w:p>
    <w:p>
      <w:pPr>
        <w:spacing w:line="360" w:lineRule="auto"/>
        <w:ind w:firstLine="420" w:firstLineChars="200"/>
        <w:rPr>
          <w:rFonts w:ascii="宋体" w:hAnsi="宋体" w:cs="宋体"/>
          <w:color w:val="auto"/>
          <w:kern w:val="2"/>
          <w:sz w:val="21"/>
          <w:szCs w:val="21"/>
          <w:highlight w:val="none"/>
        </w:rPr>
      </w:pP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6.</w:t>
      </w:r>
      <w:r>
        <w:rPr>
          <w:rFonts w:ascii="黑体" w:hAnsi="黑体" w:eastAsia="黑体"/>
          <w:b/>
          <w:color w:val="auto"/>
          <w:sz w:val="32"/>
          <w:highlight w:val="none"/>
        </w:rPr>
        <w:t>开始监理和完成监理</w:t>
      </w:r>
    </w:p>
    <w:p>
      <w:pPr>
        <w:spacing w:line="360" w:lineRule="auto"/>
        <w:rPr>
          <w:rFonts w:ascii="黑体" w:hAnsi="黑体" w:eastAsia="黑体"/>
          <w:color w:val="auto"/>
          <w:sz w:val="28"/>
          <w:highlight w:val="none"/>
        </w:rPr>
      </w:pPr>
      <w:r>
        <w:rPr>
          <w:rFonts w:hint="eastAsia" w:ascii="黑体" w:hAnsi="黑体" w:eastAsia="黑体"/>
          <w:color w:val="auto"/>
          <w:sz w:val="28"/>
          <w:highlight w:val="none"/>
        </w:rPr>
        <w:t>6.1开始监理</w:t>
      </w:r>
    </w:p>
    <w:p>
      <w:pPr>
        <w:spacing w:line="360" w:lineRule="auto"/>
        <w:rPr>
          <w:rFonts w:ascii="黑体" w:hAnsi="黑体"/>
          <w:color w:val="auto"/>
          <w:sz w:val="28"/>
          <w:highlight w:val="none"/>
        </w:rPr>
      </w:pPr>
      <w:r>
        <w:rPr>
          <w:rFonts w:ascii="宋体" w:hAnsi="宋体"/>
          <w:color w:val="auto"/>
          <w:sz w:val="21"/>
          <w:highlight w:val="none"/>
        </w:rPr>
        <w:t xml:space="preserve">6.1.1 </w:t>
      </w:r>
      <w:r>
        <w:rPr>
          <w:rFonts w:hint="eastAsia" w:ascii="宋体" w:hAnsi="宋体"/>
          <w:color w:val="auto"/>
          <w:sz w:val="21"/>
          <w:szCs w:val="21"/>
          <w:highlight w:val="none"/>
          <w:lang w:val="en-US" w:eastAsia="zh-CN"/>
        </w:rPr>
        <w:t>成交通知书</w:t>
      </w:r>
      <w:r>
        <w:rPr>
          <w:rFonts w:hint="eastAsia" w:ascii="宋体" w:hAnsi="宋体"/>
          <w:color w:val="auto"/>
          <w:sz w:val="21"/>
          <w:highlight w:val="none"/>
        </w:rPr>
        <w:t>发出后，监理人可进行前期准备工作，</w:t>
      </w:r>
      <w:r>
        <w:rPr>
          <w:rFonts w:ascii="宋体" w:hAnsi="宋体"/>
          <w:color w:val="auto"/>
          <w:sz w:val="21"/>
          <w:highlight w:val="none"/>
        </w:rPr>
        <w:t>委托人应提前 7 天向监理人发出开始监理通知。监理服务期限自开始监理通知中载明的开始监理日期起计算。</w:t>
      </w:r>
      <w:r>
        <w:rPr>
          <w:rFonts w:hint="eastAsia" w:ascii="宋体" w:hAnsi="宋体"/>
          <w:color w:val="auto"/>
          <w:sz w:val="21"/>
          <w:highlight w:val="none"/>
        </w:rPr>
        <w:t>监理人应按照监理合同约定的时间和有关期限履行和完成监理服务，根据本项目工程的进展情况和委托人批准的人员进场计划，安排监理人员及时进场。</w:t>
      </w:r>
    </w:p>
    <w:p>
      <w:pPr>
        <w:spacing w:line="360" w:lineRule="auto"/>
        <w:rPr>
          <w:rFonts w:ascii="黑体" w:hAnsi="黑体" w:eastAsia="黑体"/>
          <w:color w:val="auto"/>
          <w:sz w:val="28"/>
          <w:highlight w:val="none"/>
        </w:rPr>
      </w:pPr>
      <w:r>
        <w:rPr>
          <w:rFonts w:ascii="黑体" w:hAnsi="黑体" w:eastAsia="黑体"/>
          <w:color w:val="auto"/>
          <w:sz w:val="28"/>
          <w:highlight w:val="none"/>
        </w:rPr>
        <w:t>6.2 监理周期延误</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6</w:t>
      </w:r>
      <w:r>
        <w:rPr>
          <w:rFonts w:ascii="宋体" w:hAnsi="宋体"/>
          <w:color w:val="auto"/>
          <w:sz w:val="21"/>
          <w:highlight w:val="none"/>
        </w:rPr>
        <w:t>.</w:t>
      </w:r>
      <w:r>
        <w:rPr>
          <w:rFonts w:hint="eastAsia" w:ascii="宋体" w:hAnsi="宋体"/>
          <w:color w:val="auto"/>
          <w:sz w:val="21"/>
          <w:highlight w:val="none"/>
        </w:rPr>
        <w:t>2</w:t>
      </w:r>
      <w:r>
        <w:rPr>
          <w:rFonts w:ascii="宋体" w:hAnsi="宋体"/>
          <w:color w:val="auto"/>
          <w:sz w:val="21"/>
          <w:highlight w:val="none"/>
        </w:rPr>
        <w:t>.</w:t>
      </w:r>
      <w:r>
        <w:rPr>
          <w:rFonts w:hint="eastAsia" w:ascii="宋体" w:hAnsi="宋体"/>
          <w:color w:val="auto"/>
          <w:sz w:val="21"/>
          <w:highlight w:val="none"/>
        </w:rPr>
        <w:t>1在履行合同过程中，由于下列原因造成监理服务期限延误的，委托人应当延长监理服务期限，监理费不做调整。具体方法在专用合同条款中约定。</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（1）合同变更；</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（2）因委托人原因导致的监理工作暂停；</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（3）未按合同约定及时支付监理报酬；</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（4）未及时履行合同约定的相关义务；</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（5）由于承包人延误、行政管理造成的监理服务期延误；</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（6）造成监理服务期限延误的其他原因。</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6.2.2由于委托人或承包人的原因使监理工作受到阻碍或延误，以致发生了附加工作或延长了持续时间，则监理人应当将此情况与可能产生的影响及时通知委托人。完成监理业务的时间相应延长。</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6.2.3在委托监理合同签订后，实际情况发生变化，使得监理人不能全部或部分执行监理业务时，监理人应当立即通知委托人。该监理业务的完成时间应予延长。当恢复执行监理业务时，应当在不超过14日的时间内恢复执行监理业务。</w:t>
      </w:r>
    </w:p>
    <w:p>
      <w:pPr>
        <w:tabs>
          <w:tab w:val="left" w:pos="426"/>
        </w:tabs>
        <w:spacing w:line="390" w:lineRule="exact"/>
        <w:rPr>
          <w:rFonts w:ascii="宋体" w:hAnsi="宋体" w:cs="宋体"/>
          <w:color w:val="auto"/>
          <w:kern w:val="2"/>
          <w:sz w:val="21"/>
          <w:szCs w:val="21"/>
          <w:highlight w:val="none"/>
        </w:rPr>
      </w:pPr>
      <w:r>
        <w:rPr>
          <w:rFonts w:hint="eastAsia" w:ascii="黑体" w:hAnsi="黑体" w:eastAsia="黑体" w:cs="黑体"/>
          <w:color w:val="auto"/>
          <w:kern w:val="2"/>
          <w:sz w:val="28"/>
          <w:szCs w:val="28"/>
          <w:highlight w:val="none"/>
        </w:rPr>
        <w:t>7.</w:t>
      </w:r>
      <w:r>
        <w:rPr>
          <w:rFonts w:hint="eastAsia" w:ascii="黑体" w:hAnsi="黑体" w:eastAsia="黑体" w:cs="黑体"/>
          <w:b/>
          <w:color w:val="auto"/>
          <w:sz w:val="28"/>
          <w:szCs w:val="28"/>
          <w:highlight w:val="none"/>
        </w:rPr>
        <w:t>监理责任与保险</w:t>
      </w:r>
    </w:p>
    <w:p>
      <w:pPr>
        <w:spacing w:line="360" w:lineRule="auto"/>
        <w:rPr>
          <w:rFonts w:ascii="宋体" w:hAnsi="宋体" w:cs="宋体"/>
          <w:color w:val="auto"/>
          <w:kern w:val="2"/>
          <w:sz w:val="21"/>
          <w:szCs w:val="21"/>
          <w:highlight w:val="none"/>
        </w:rPr>
      </w:pPr>
      <w:r>
        <w:rPr>
          <w:rFonts w:hint="eastAsia" w:ascii="宋体" w:hAnsi="宋体" w:cs="宋体"/>
          <w:color w:val="auto"/>
          <w:kern w:val="2"/>
          <w:sz w:val="21"/>
          <w:szCs w:val="21"/>
          <w:highlight w:val="none"/>
        </w:rPr>
        <w:t>7.3 监理人员和设备的保险</w:t>
      </w:r>
    </w:p>
    <w:p>
      <w:pPr>
        <w:ind w:firstLine="440" w:firstLineChars="200"/>
        <w:rPr>
          <w:color w:val="auto"/>
          <w:highlight w:val="none"/>
        </w:rPr>
      </w:pPr>
      <w:r>
        <w:rPr>
          <w:rFonts w:hint="eastAsia" w:ascii="宋体" w:hAnsi="宋体" w:cs="宋体"/>
          <w:color w:val="auto"/>
          <w:sz w:val="22"/>
          <w:szCs w:val="22"/>
          <w:highlight w:val="none"/>
          <w:lang w:bidi="ar"/>
        </w:rPr>
        <w:t xml:space="preserve">监理人应在监理服务期内，自费办理派驻到工程所在地人员的人身和自备财产的有关保险，保险时间应随服务时间的延长而顺延，并在出险后自行办理索赔。如果监理人不办理上述保险，则应对有关风险及后果自负其责。 </w:t>
      </w:r>
    </w:p>
    <w:p>
      <w:pPr>
        <w:spacing w:line="360" w:lineRule="auto"/>
        <w:rPr>
          <w:rFonts w:ascii="宋体" w:hAnsi="宋体" w:cs="宋体"/>
          <w:color w:val="auto"/>
          <w:kern w:val="2"/>
          <w:sz w:val="21"/>
          <w:szCs w:val="21"/>
          <w:highlight w:val="none"/>
        </w:rPr>
      </w:pP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8.</w:t>
      </w:r>
      <w:r>
        <w:rPr>
          <w:rFonts w:ascii="黑体" w:hAnsi="黑体" w:eastAsia="黑体"/>
          <w:b/>
          <w:color w:val="auto"/>
          <w:sz w:val="32"/>
          <w:highlight w:val="none"/>
        </w:rPr>
        <w:t>合同变更</w:t>
      </w:r>
    </w:p>
    <w:p>
      <w:pPr>
        <w:spacing w:line="360" w:lineRule="auto"/>
        <w:rPr>
          <w:rFonts w:ascii="黑体" w:hAnsi="黑体" w:eastAsia="黑体"/>
          <w:b/>
          <w:color w:val="auto"/>
          <w:sz w:val="32"/>
          <w:highlight w:val="none"/>
        </w:rPr>
      </w:pPr>
      <w:r>
        <w:rPr>
          <w:rFonts w:hint="eastAsia" w:ascii="黑体" w:hAnsi="黑体" w:eastAsia="黑体"/>
          <w:color w:val="auto"/>
          <w:sz w:val="28"/>
          <w:highlight w:val="none"/>
        </w:rPr>
        <w:t>通用条款8.1.1 修改为：</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合同履行中发生下述情形时，合同一方均可向对方提出变更请求，经双方协商一致后进行变更，监理服务期限和监理报酬的调整方法在专用合同条款中约定。</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（1）监理范围发生变化；</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（2）非监理人的原因，对工程同一部分重复进行监理；</w:t>
      </w:r>
    </w:p>
    <w:p>
      <w:pPr>
        <w:spacing w:line="360" w:lineRule="auto"/>
        <w:rPr>
          <w:rFonts w:ascii="黑体" w:hAnsi="黑体" w:eastAsia="黑体"/>
          <w:color w:val="auto"/>
          <w:sz w:val="28"/>
          <w:highlight w:val="none"/>
        </w:rPr>
      </w:pPr>
      <w:r>
        <w:rPr>
          <w:rFonts w:ascii="黑体" w:hAnsi="黑体" w:eastAsia="黑体"/>
          <w:color w:val="auto"/>
          <w:sz w:val="28"/>
          <w:highlight w:val="none"/>
        </w:rPr>
        <w:t>8.</w:t>
      </w:r>
      <w:r>
        <w:rPr>
          <w:rFonts w:hint="eastAsia" w:ascii="黑体" w:hAnsi="黑体" w:eastAsia="黑体"/>
          <w:color w:val="auto"/>
          <w:sz w:val="28"/>
          <w:highlight w:val="none"/>
        </w:rPr>
        <w:t>3合同的终止或解除</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1</w:t>
      </w:r>
      <w:r>
        <w:rPr>
          <w:rFonts w:hint="eastAsia" w:ascii="宋体" w:hAnsi="宋体" w:cs="宋体"/>
          <w:color w:val="auto"/>
          <w:kern w:val="2"/>
          <w:sz w:val="21"/>
          <w:szCs w:val="21"/>
          <w:highlight w:val="none"/>
        </w:rPr>
        <w:t>合同工程竣工验收合格，承包人和委托人已签订工程保修责任书，监理人履行了缺陷责任期的责任，缺陷责任期满且无遗留问题，并履行了竣工验收的责任、监理人收到监理报酬尾款，本合同即终止。</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2</w:t>
      </w:r>
      <w:r>
        <w:rPr>
          <w:rFonts w:hint="eastAsia" w:ascii="宋体" w:hAnsi="宋体" w:cs="宋体"/>
          <w:color w:val="auto"/>
          <w:kern w:val="2"/>
          <w:sz w:val="21"/>
          <w:szCs w:val="21"/>
          <w:highlight w:val="none"/>
        </w:rPr>
        <w:t>由于非监理人的原因而暂停或终止执行监理业务的，监理人应按委托人的要求做好善后工作以及恢复执行监理业务的工作。</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3</w:t>
      </w:r>
      <w:r>
        <w:rPr>
          <w:rFonts w:hint="eastAsia" w:ascii="宋体" w:hAnsi="宋体" w:cs="宋体"/>
          <w:color w:val="auto"/>
          <w:kern w:val="2"/>
          <w:sz w:val="21"/>
          <w:szCs w:val="21"/>
          <w:highlight w:val="none"/>
        </w:rPr>
        <w:t>当委托人认为监理人无正当理由而又未履行监理义务时，可向监理人发出指明其未履行义务的通知。若委托人发出通知后14日内监理人未进行有效整改，监理人应支付违约金</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10000</w:t>
      </w:r>
      <w:r>
        <w:rPr>
          <w:rFonts w:ascii="宋体" w:hAnsi="宋体" w:cs="宋体"/>
          <w:color w:val="auto"/>
          <w:kern w:val="2"/>
          <w:sz w:val="21"/>
          <w:szCs w:val="21"/>
          <w:highlight w:val="none"/>
          <w:u w:val="single"/>
        </w:rPr>
        <w:t>元</w:t>
      </w:r>
      <w:r>
        <w:rPr>
          <w:rFonts w:hint="eastAsia" w:ascii="宋体" w:hAnsi="宋体" w:cs="宋体"/>
          <w:color w:val="auto"/>
          <w:kern w:val="2"/>
          <w:sz w:val="21"/>
          <w:szCs w:val="21"/>
          <w:highlight w:val="none"/>
        </w:rPr>
        <w:t>且委托人有权解除合同。</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4</w:t>
      </w:r>
      <w:r>
        <w:rPr>
          <w:rFonts w:hint="eastAsia" w:ascii="宋体" w:hAnsi="宋体" w:cs="宋体"/>
          <w:color w:val="auto"/>
          <w:kern w:val="2"/>
          <w:sz w:val="21"/>
          <w:szCs w:val="21"/>
          <w:highlight w:val="none"/>
        </w:rPr>
        <w:t>合同协议的终止或解除并不影响各方应有的权利和应当承担的责任。</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9.</w:t>
      </w:r>
      <w:r>
        <w:rPr>
          <w:rFonts w:ascii="黑体" w:hAnsi="黑体" w:eastAsia="黑体"/>
          <w:b/>
          <w:color w:val="auto"/>
          <w:sz w:val="32"/>
          <w:highlight w:val="none"/>
        </w:rPr>
        <w:t>合同价格与支付</w:t>
      </w:r>
    </w:p>
    <w:p>
      <w:pPr>
        <w:spacing w:line="360" w:lineRule="auto"/>
        <w:rPr>
          <w:rFonts w:ascii="黑体" w:hAnsi="黑体" w:eastAsia="黑体"/>
          <w:color w:val="auto"/>
          <w:sz w:val="28"/>
          <w:highlight w:val="none"/>
        </w:rPr>
      </w:pPr>
      <w:r>
        <w:rPr>
          <w:rFonts w:ascii="黑体" w:hAnsi="黑体" w:eastAsia="黑体"/>
          <w:color w:val="auto"/>
          <w:sz w:val="28"/>
          <w:highlight w:val="none"/>
        </w:rPr>
        <w:t>9.1 合同价格</w:t>
      </w:r>
    </w:p>
    <w:p>
      <w:pPr>
        <w:spacing w:line="360" w:lineRule="auto"/>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9.1.</w:t>
      </w:r>
      <w:r>
        <w:rPr>
          <w:rFonts w:hint="eastAsia" w:ascii="宋体" w:hAnsi="宋体" w:cs="宋体"/>
          <w:color w:val="auto"/>
          <w:kern w:val="2"/>
          <w:sz w:val="21"/>
          <w:szCs w:val="21"/>
          <w:highlight w:val="none"/>
        </w:rPr>
        <w:t>1监理费明细详见附件：</w:t>
      </w:r>
      <w:r>
        <w:rPr>
          <w:rFonts w:hint="eastAsia" w:ascii="宋体" w:hAnsi="宋体" w:cs="宋体"/>
          <w:color w:val="auto"/>
          <w:kern w:val="2"/>
          <w:sz w:val="21"/>
          <w:szCs w:val="21"/>
          <w:highlight w:val="none"/>
          <w:u w:val="single"/>
        </w:rPr>
        <w:t>监理服务收费报价计算表</w:t>
      </w:r>
      <w:r>
        <w:rPr>
          <w:rFonts w:hint="eastAsia" w:ascii="宋体" w:hAnsi="宋体" w:cs="宋体"/>
          <w:color w:val="auto"/>
          <w:kern w:val="2"/>
          <w:sz w:val="21"/>
          <w:szCs w:val="21"/>
          <w:highlight w:val="none"/>
        </w:rPr>
        <w:t>。合同价格是监理人按照合同约定完成施工图设计阶段、施工准备阶段、施工阶段、验收与缺陷责任期阶段监理服务所需的全部费用，包括不限于监理人员服务费、办公设施费、检验试验费、利润、税金、企业管理费等。</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除本合同第8条约定的变更情形和专用合同条款约定的其他情形外，本监理合同的监理服务费用在合同实施期间不予调整。</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9.1.3委托的建设工程监理所必要的监理人员出外考察、材料、设备复试，其费用支出经委托人同意的，在预算范围内向委托人实报实销。在监理业务范围内，如需聘用专家咨询或协助，由监理人聘用的，其费用由监理人承担；由委托人聘用的，其费用由委托人承担。</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9.1.4税金按国家税务部门的规定执行。</w:t>
      </w:r>
    </w:p>
    <w:p>
      <w:pPr>
        <w:spacing w:line="390" w:lineRule="exact"/>
        <w:rPr>
          <w:rFonts w:ascii="黑体" w:hAnsi="黑体" w:eastAsia="黑体"/>
          <w:color w:val="auto"/>
          <w:sz w:val="28"/>
          <w:highlight w:val="none"/>
        </w:rPr>
      </w:pPr>
      <w:r>
        <w:rPr>
          <w:rFonts w:ascii="黑体" w:hAnsi="黑体" w:eastAsia="黑体"/>
          <w:color w:val="auto"/>
          <w:sz w:val="28"/>
          <w:highlight w:val="none"/>
        </w:rPr>
        <w:t>9.2 预付款</w:t>
      </w:r>
    </w:p>
    <w:p>
      <w:pPr>
        <w:spacing w:line="390" w:lineRule="exact"/>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9.2.1本项目设置预付款；</w:t>
      </w:r>
      <w:r>
        <w:rPr>
          <w:rFonts w:hint="eastAsia" w:ascii="宋体" w:hAnsi="宋体" w:cs="宋体"/>
          <w:color w:val="auto"/>
          <w:kern w:val="2"/>
          <w:sz w:val="21"/>
          <w:szCs w:val="21"/>
          <w:highlight w:val="none"/>
        </w:rPr>
        <w:t>委托人在本合同签订生效后，在委托人收到监理人提交</w:t>
      </w:r>
      <w:r>
        <w:rPr>
          <w:rFonts w:hint="eastAsia" w:ascii="宋体" w:hAnsi="宋体" w:cs="宋体"/>
          <w:color w:val="auto"/>
          <w:sz w:val="24"/>
          <w:szCs w:val="24"/>
          <w:highlight w:val="none"/>
        </w:rPr>
        <w:t>支付申请及</w:t>
      </w:r>
      <w:r>
        <w:rPr>
          <w:rFonts w:hint="eastAsia" w:ascii="宋体" w:hAnsi="宋体" w:cs="宋体"/>
          <w:color w:val="auto"/>
          <w:kern w:val="2"/>
          <w:sz w:val="21"/>
          <w:szCs w:val="21"/>
          <w:highlight w:val="none"/>
        </w:rPr>
        <w:t>等额预付款保函</w:t>
      </w:r>
      <w:r>
        <w:rPr>
          <w:rFonts w:hint="eastAsia" w:ascii="宋体" w:hAnsi="宋体" w:cs="宋体"/>
          <w:color w:val="auto"/>
          <w:sz w:val="24"/>
          <w:szCs w:val="24"/>
          <w:highlight w:val="none"/>
        </w:rPr>
        <w:t>（详见附件预付款保函格式）</w:t>
      </w:r>
      <w:r>
        <w:rPr>
          <w:rFonts w:hint="eastAsia" w:ascii="宋体" w:hAnsi="宋体" w:cs="宋体"/>
          <w:color w:val="auto"/>
          <w:kern w:val="2"/>
          <w:sz w:val="21"/>
          <w:szCs w:val="21"/>
          <w:highlight w:val="none"/>
        </w:rPr>
        <w:t>，经委托人审批后向监理人支付预付款，支付比例为</w:t>
      </w:r>
      <w:r>
        <w:rPr>
          <w:rFonts w:hint="eastAsia" w:ascii="宋体" w:hAnsi="宋体" w:cs="宋体"/>
          <w:color w:val="auto"/>
          <w:kern w:val="2"/>
          <w:sz w:val="21"/>
          <w:szCs w:val="21"/>
          <w:highlight w:val="none"/>
          <w:u w:val="single"/>
        </w:rPr>
        <w:t>合同暂定价的20%</w:t>
      </w:r>
      <w:r>
        <w:rPr>
          <w:rFonts w:hint="eastAsia" w:ascii="宋体" w:hAnsi="宋体" w:cs="宋体"/>
          <w:color w:val="auto"/>
          <w:kern w:val="2"/>
          <w:sz w:val="21"/>
          <w:szCs w:val="21"/>
          <w:highlight w:val="none"/>
        </w:rPr>
        <w:t>。</w:t>
      </w:r>
    </w:p>
    <w:p>
      <w:pPr>
        <w:pStyle w:val="44"/>
        <w:widowControl w:val="0"/>
        <w:adjustRightInd w:val="0"/>
        <w:snapToGrid w:val="0"/>
        <w:spacing w:line="360" w:lineRule="auto"/>
        <w:ind w:firstLine="420" w:firstLineChars="200"/>
        <w:jc w:val="both"/>
        <w:rPr>
          <w:rFonts w:hAnsi="宋体" w:cs="宋体"/>
          <w:color w:val="auto"/>
          <w:sz w:val="24"/>
          <w:szCs w:val="24"/>
          <w:highlight w:val="none"/>
        </w:rPr>
      </w:pPr>
      <w:r>
        <w:rPr>
          <w:rFonts w:hint="eastAsia" w:hAnsi="宋体" w:cs="宋体"/>
          <w:color w:val="auto"/>
          <w:kern w:val="2"/>
          <w:sz w:val="21"/>
          <w:szCs w:val="21"/>
          <w:highlight w:val="none"/>
        </w:rPr>
        <w:t>9.2.2预付款应专用于本工程的监理服务工作</w:t>
      </w:r>
      <w:r>
        <w:rPr>
          <w:rFonts w:hint="eastAsia" w:hAnsi="宋体" w:cs="宋体"/>
          <w:color w:val="auto"/>
          <w:sz w:val="24"/>
          <w:szCs w:val="24"/>
          <w:highlight w:val="none"/>
        </w:rPr>
        <w:t>，不得挪作他用。如经查实监理人违反专款专用、滥用预付款，监理人有权立即提取预付款保函中的等额担保金额，将预付款收回。</w:t>
      </w:r>
    </w:p>
    <w:p>
      <w:pPr>
        <w:pStyle w:val="44"/>
        <w:widowControl w:val="0"/>
        <w:adjustRightInd w:val="0"/>
        <w:snapToGrid w:val="0"/>
        <w:spacing w:line="360" w:lineRule="auto"/>
        <w:ind w:firstLine="480" w:firstLineChars="200"/>
        <w:jc w:val="both"/>
        <w:rPr>
          <w:rFonts w:hAnsi="宋体" w:cs="宋体"/>
          <w:color w:val="auto"/>
          <w:sz w:val="24"/>
          <w:szCs w:val="24"/>
          <w:highlight w:val="none"/>
        </w:rPr>
      </w:pPr>
      <w:r>
        <w:rPr>
          <w:rFonts w:hint="eastAsia" w:hAnsi="宋体" w:cs="宋体"/>
          <w:color w:val="auto"/>
          <w:sz w:val="24"/>
          <w:szCs w:val="24"/>
          <w:highlight w:val="none"/>
        </w:rPr>
        <w:t>9.2.3预付款保函的有效期：监理人应保持预付款保函在预付款全部扣回之前一直有效。监理人应在预付款保函有效期届满之日的7天前，向委托人提交同样格式且更新日期后的有效保函替代原保函，否则，每逾期一天，监理人应向委托人支付违约金</w:t>
      </w:r>
      <w:r>
        <w:rPr>
          <w:rFonts w:hint="eastAsia" w:hAnsi="宋体" w:cs="宋体"/>
          <w:color w:val="auto"/>
          <w:sz w:val="24"/>
          <w:szCs w:val="24"/>
          <w:highlight w:val="none"/>
          <w:u w:val="single"/>
          <w:lang w:val="en-US" w:eastAsia="zh-CN"/>
        </w:rPr>
        <w:t>1</w:t>
      </w:r>
      <w:r>
        <w:rPr>
          <w:rFonts w:hint="eastAsia" w:hAnsi="宋体" w:cs="宋体"/>
          <w:color w:val="auto"/>
          <w:sz w:val="24"/>
          <w:szCs w:val="24"/>
          <w:highlight w:val="none"/>
          <w:u w:val="single"/>
        </w:rPr>
        <w:t>万元/天，</w:t>
      </w:r>
      <w:r>
        <w:rPr>
          <w:rFonts w:hint="eastAsia" w:hAnsi="宋体" w:cs="宋体"/>
          <w:color w:val="auto"/>
          <w:sz w:val="24"/>
          <w:szCs w:val="24"/>
          <w:highlight w:val="none"/>
        </w:rPr>
        <w:t>且委托人有权提取全部未被扣回的预付款金额或暂停支付进度款。</w:t>
      </w:r>
    </w:p>
    <w:p>
      <w:pPr>
        <w:pStyle w:val="44"/>
        <w:widowControl w:val="0"/>
        <w:adjustRightInd w:val="0"/>
        <w:snapToGrid w:val="0"/>
        <w:spacing w:line="360" w:lineRule="auto"/>
        <w:ind w:firstLine="480" w:firstLineChars="200"/>
        <w:jc w:val="both"/>
        <w:rPr>
          <w:rFonts w:hAnsi="宋体" w:cs="宋体"/>
          <w:color w:val="auto"/>
          <w:sz w:val="24"/>
          <w:szCs w:val="24"/>
          <w:highlight w:val="none"/>
        </w:rPr>
      </w:pPr>
      <w:r>
        <w:rPr>
          <w:rFonts w:hint="eastAsia" w:hAnsi="宋体" w:cs="宋体"/>
          <w:color w:val="auto"/>
          <w:sz w:val="24"/>
          <w:szCs w:val="24"/>
          <w:highlight w:val="none"/>
        </w:rPr>
        <w:t>预付款保函的退还时间：委托人应在预付款扣完后的14天内将预付款保函退还监理人，并不得向监理人收取预付款的任何利息。</w:t>
      </w:r>
    </w:p>
    <w:p>
      <w:pPr>
        <w:rPr>
          <w:color w:val="auto"/>
          <w:highlight w:val="none"/>
        </w:rPr>
      </w:pPr>
    </w:p>
    <w:p>
      <w:pPr>
        <w:pStyle w:val="44"/>
        <w:widowControl w:val="0"/>
        <w:adjustRightInd w:val="0"/>
        <w:snapToGrid w:val="0"/>
        <w:spacing w:line="360" w:lineRule="auto"/>
        <w:ind w:firstLine="420" w:firstLineChars="200"/>
        <w:jc w:val="both"/>
        <w:rPr>
          <w:rFonts w:hAnsi="宋体" w:cs="宋体"/>
          <w:color w:val="auto"/>
          <w:sz w:val="24"/>
          <w:szCs w:val="24"/>
          <w:highlight w:val="none"/>
        </w:rPr>
      </w:pPr>
      <w:r>
        <w:rPr>
          <w:rFonts w:hint="eastAsia" w:hAnsi="宋体" w:cs="宋体"/>
          <w:color w:val="auto"/>
          <w:kern w:val="2"/>
          <w:sz w:val="21"/>
          <w:szCs w:val="21"/>
          <w:highlight w:val="none"/>
        </w:rPr>
        <w:t>9.2.4</w:t>
      </w:r>
      <w:r>
        <w:rPr>
          <w:rFonts w:hint="eastAsia" w:hAnsi="宋体" w:cs="宋体"/>
          <w:color w:val="auto"/>
          <w:sz w:val="24"/>
          <w:szCs w:val="24"/>
          <w:highlight w:val="none"/>
        </w:rPr>
        <w:t>合同提前解除的，监理人应于合同解除后</w:t>
      </w:r>
      <w:r>
        <w:rPr>
          <w:rFonts w:hint="eastAsia" w:hAnsi="宋体" w:cs="宋体"/>
          <w:color w:val="auto"/>
          <w:sz w:val="24"/>
          <w:szCs w:val="24"/>
          <w:highlight w:val="none"/>
          <w:u w:val="single"/>
          <w:lang w:val="en-US" w:eastAsia="zh-CN"/>
        </w:rPr>
        <w:t>5个工作日内</w:t>
      </w:r>
      <w:r>
        <w:rPr>
          <w:rFonts w:hint="eastAsia" w:hAnsi="宋体" w:cs="宋体"/>
          <w:color w:val="auto"/>
          <w:sz w:val="24"/>
          <w:szCs w:val="24"/>
          <w:highlight w:val="none"/>
        </w:rPr>
        <w:t>将尚未扣完的预付款全部退还委托人，每逾期一天，监理人应按</w:t>
      </w:r>
      <w:r>
        <w:rPr>
          <w:rFonts w:hint="eastAsia" w:hAnsi="宋体" w:cs="宋体"/>
          <w:color w:val="auto"/>
          <w:sz w:val="24"/>
          <w:szCs w:val="24"/>
          <w:highlight w:val="none"/>
          <w:u w:val="single"/>
        </w:rPr>
        <w:t>未退还金额的0.5%</w:t>
      </w:r>
      <w:r>
        <w:rPr>
          <w:rFonts w:hint="eastAsia" w:hAnsi="宋体" w:cs="宋体"/>
          <w:color w:val="auto"/>
          <w:sz w:val="24"/>
          <w:szCs w:val="24"/>
          <w:highlight w:val="none"/>
        </w:rPr>
        <w:t>支付违约金。</w:t>
      </w:r>
    </w:p>
    <w:p>
      <w:pPr>
        <w:spacing w:line="390" w:lineRule="exact"/>
        <w:ind w:firstLine="420" w:firstLineChars="200"/>
        <w:rPr>
          <w:rFonts w:ascii="宋体" w:hAnsi="宋体" w:cs="宋体"/>
          <w:color w:val="auto"/>
          <w:kern w:val="2"/>
          <w:sz w:val="21"/>
          <w:szCs w:val="21"/>
          <w:highlight w:val="none"/>
        </w:rPr>
      </w:pPr>
    </w:p>
    <w:p>
      <w:pPr>
        <w:spacing w:line="390" w:lineRule="exact"/>
        <w:rPr>
          <w:rFonts w:ascii="黑体" w:hAnsi="黑体" w:eastAsia="黑体"/>
          <w:color w:val="auto"/>
          <w:sz w:val="28"/>
          <w:highlight w:val="none"/>
        </w:rPr>
      </w:pPr>
      <w:r>
        <w:rPr>
          <w:rFonts w:ascii="黑体" w:hAnsi="黑体" w:eastAsia="黑体"/>
          <w:color w:val="auto"/>
          <w:sz w:val="28"/>
          <w:highlight w:val="none"/>
        </w:rPr>
        <w:t>9.3 中期支付</w:t>
      </w:r>
    </w:p>
    <w:p>
      <w:pPr>
        <w:spacing w:line="390" w:lineRule="exact"/>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9.3.2通用条款9.3.2修改为：委托人审核中期支付申请后将应付款项支付给监理人；监理人应当提供等额的增值税发票。</w:t>
      </w:r>
    </w:p>
    <w:p>
      <w:pPr>
        <w:spacing w:line="390" w:lineRule="exact"/>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9.3.3</w:t>
      </w:r>
      <w:r>
        <w:rPr>
          <w:rFonts w:hint="eastAsia" w:ascii="宋体" w:hAnsi="宋体" w:cs="宋体"/>
          <w:color w:val="auto"/>
          <w:kern w:val="2"/>
          <w:sz w:val="21"/>
          <w:szCs w:val="21"/>
          <w:highlight w:val="none"/>
        </w:rPr>
        <w:t>中期支付方式：</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爆破作业完成并竣工验收后，</w:t>
      </w:r>
      <w:r>
        <w:rPr>
          <w:rFonts w:hint="eastAsia" w:ascii="宋体" w:hAnsi="宋体" w:cs="宋体"/>
          <w:color w:val="auto"/>
          <w:kern w:val="2"/>
          <w:sz w:val="21"/>
          <w:szCs w:val="21"/>
          <w:highlight w:val="none"/>
        </w:rPr>
        <w:t>监理人</w:t>
      </w:r>
      <w:r>
        <w:rPr>
          <w:rFonts w:hint="eastAsia" w:ascii="宋体" w:hAnsi="宋体" w:cs="宋体"/>
          <w:color w:val="auto"/>
          <w:kern w:val="2"/>
          <w:sz w:val="21"/>
          <w:szCs w:val="21"/>
          <w:highlight w:val="none"/>
          <w:lang w:val="en-US" w:eastAsia="zh-CN"/>
        </w:rPr>
        <w:t>提交</w:t>
      </w:r>
      <w:r>
        <w:rPr>
          <w:rFonts w:hint="eastAsia" w:ascii="宋体" w:hAnsi="宋体" w:cs="宋体"/>
          <w:color w:val="auto"/>
          <w:kern w:val="2"/>
          <w:sz w:val="21"/>
          <w:szCs w:val="21"/>
          <w:highlight w:val="none"/>
        </w:rPr>
        <w:t>工程款进度款计量支付申请审批后</w:t>
      </w:r>
      <w:r>
        <w:rPr>
          <w:rFonts w:hint="eastAsia" w:ascii="宋体" w:hAnsi="宋体" w:cs="宋体"/>
          <w:color w:val="auto"/>
          <w:kern w:val="2"/>
          <w:sz w:val="21"/>
          <w:szCs w:val="21"/>
          <w:highlight w:val="none"/>
          <w:u w:val="single"/>
        </w:rPr>
        <w:t>10日</w:t>
      </w:r>
      <w:r>
        <w:rPr>
          <w:rFonts w:hint="eastAsia" w:ascii="宋体" w:hAnsi="宋体" w:cs="宋体"/>
          <w:color w:val="auto"/>
          <w:kern w:val="2"/>
          <w:sz w:val="21"/>
          <w:szCs w:val="21"/>
          <w:highlight w:val="none"/>
        </w:rPr>
        <w:t>向委托人提交监理费付款申请单</w:t>
      </w:r>
      <w:r>
        <w:rPr>
          <w:rFonts w:hint="eastAsia" w:ascii="宋体" w:hAnsi="宋体" w:cs="宋体"/>
          <w:color w:val="auto"/>
          <w:kern w:val="2"/>
          <w:sz w:val="21"/>
          <w:szCs w:val="21"/>
          <w:highlight w:val="none"/>
          <w:u w:val="single"/>
        </w:rPr>
        <w:t>一式四份</w:t>
      </w:r>
      <w:r>
        <w:rPr>
          <w:rFonts w:hint="eastAsia" w:ascii="宋体" w:hAnsi="宋体" w:cs="宋体"/>
          <w:color w:val="auto"/>
          <w:kern w:val="2"/>
          <w:sz w:val="21"/>
          <w:szCs w:val="21"/>
          <w:highlight w:val="none"/>
        </w:rPr>
        <w:t>，该付款申请单应包括：</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1.本期应支付的监理服务费用：支付监理费=</w:t>
      </w:r>
      <w:r>
        <w:rPr>
          <w:rFonts w:hint="eastAsia" w:ascii="宋体" w:hAnsi="宋体" w:cs="宋体"/>
          <w:color w:val="auto"/>
          <w:kern w:val="2"/>
          <w:sz w:val="21"/>
          <w:szCs w:val="21"/>
          <w:highlight w:val="none"/>
          <w:lang w:val="en-US" w:eastAsia="zh-CN"/>
        </w:rPr>
        <w:t>监理合同暂定价</w:t>
      </w:r>
      <w:r>
        <w:rPr>
          <w:rFonts w:hint="eastAsia" w:ascii="宋体" w:hAnsi="宋体" w:cs="宋体"/>
          <w:color w:val="auto"/>
          <w:kern w:val="2"/>
          <w:sz w:val="21"/>
          <w:szCs w:val="21"/>
          <w:highlight w:val="none"/>
        </w:rPr>
        <w:t>×80%。；</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2.本期应扣回的预付款；</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3.根据合同约定，本期应扣除的其他款项。</w:t>
      </w:r>
    </w:p>
    <w:p>
      <w:pPr>
        <w:spacing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当累计的监理费小于预付款时，委托人不支付监理费，直至此累计值超过预付款时，委托人一次性扣除预付款后支付监理费，此后委托人每期按上述要求支付监理费。到工程完工委托人最多支付至合同暂定价的80％。付款前，监理人应提交有效增值税发票。</w:t>
      </w:r>
    </w:p>
    <w:p>
      <w:pPr>
        <w:spacing w:line="360" w:lineRule="auto"/>
        <w:ind w:firstLine="420" w:firstLineChars="200"/>
        <w:rPr>
          <w:rFonts w:ascii="宋体" w:hAnsi="宋体" w:cs="宋体"/>
          <w:color w:val="auto"/>
          <w:kern w:val="2"/>
          <w:sz w:val="21"/>
          <w:szCs w:val="21"/>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9.4 费用结算</w:t>
      </w:r>
    </w:p>
    <w:p>
      <w:pPr>
        <w:spacing w:line="360" w:lineRule="auto"/>
        <w:ind w:firstLine="560" w:firstLineChars="200"/>
        <w:rPr>
          <w:rFonts w:ascii="宋体" w:hAnsi="宋体"/>
          <w:color w:val="auto"/>
          <w:sz w:val="21"/>
          <w:highlight w:val="none"/>
        </w:rPr>
      </w:pPr>
      <w:r>
        <w:rPr>
          <w:rFonts w:hint="eastAsia" w:ascii="黑体" w:hAnsi="黑体" w:eastAsia="黑体"/>
          <w:color w:val="auto"/>
          <w:sz w:val="28"/>
          <w:highlight w:val="none"/>
        </w:rPr>
        <w:t>9.4.1</w:t>
      </w:r>
      <w:r>
        <w:rPr>
          <w:rFonts w:hint="eastAsia" w:ascii="宋体" w:hAnsi="宋体"/>
          <w:color w:val="auto"/>
          <w:sz w:val="21"/>
          <w:highlight w:val="none"/>
        </w:rPr>
        <w:t>监理合同工程结算审定后28日内，监理人按委托人相关结算管理办法要求向委托人提交监理费用结算文件，结算经委托人审定后10日内，监理人向委托人提交监理结算款付款申请单</w:t>
      </w:r>
      <w:r>
        <w:rPr>
          <w:rFonts w:hint="eastAsia" w:ascii="宋体" w:hAnsi="宋体"/>
          <w:color w:val="auto"/>
          <w:sz w:val="21"/>
          <w:highlight w:val="none"/>
          <w:u w:val="single"/>
        </w:rPr>
        <w:t>一式四份</w:t>
      </w:r>
      <w:r>
        <w:rPr>
          <w:rFonts w:hint="eastAsia" w:ascii="宋体" w:hAnsi="宋体"/>
          <w:color w:val="auto"/>
          <w:sz w:val="21"/>
          <w:highlight w:val="none"/>
        </w:rPr>
        <w:t>，经委托人审批后14日内向监理人支付至结算金额的</w:t>
      </w:r>
      <w:r>
        <w:rPr>
          <w:rFonts w:hint="eastAsia" w:ascii="宋体" w:hAnsi="宋体"/>
          <w:color w:val="auto"/>
          <w:sz w:val="21"/>
          <w:highlight w:val="none"/>
          <w:lang w:val="en-US" w:eastAsia="zh-CN"/>
        </w:rPr>
        <w:t>100</w:t>
      </w:r>
      <w:r>
        <w:rPr>
          <w:rFonts w:hint="eastAsia" w:ascii="宋体" w:hAnsi="宋体"/>
          <w:color w:val="auto"/>
          <w:sz w:val="21"/>
          <w:highlight w:val="none"/>
        </w:rPr>
        <w:t>%</w:t>
      </w:r>
      <w:r>
        <w:rPr>
          <w:rFonts w:hint="eastAsia" w:ascii="宋体" w:hAnsi="宋体"/>
          <w:color w:val="auto"/>
          <w:sz w:val="21"/>
          <w:highlight w:val="none"/>
          <w:lang w:eastAsia="zh-CN"/>
        </w:rPr>
        <w:t>（</w:t>
      </w:r>
      <w:r>
        <w:rPr>
          <w:rFonts w:hint="eastAsia" w:ascii="宋体" w:hAnsi="宋体"/>
          <w:color w:val="auto"/>
          <w:sz w:val="21"/>
          <w:highlight w:val="none"/>
          <w:lang w:val="en-US" w:eastAsia="zh-CN"/>
        </w:rPr>
        <w:t>含因监理人未按规定履行合同约定而产生的各种违约金、扣罚金、赔偿金以及应由监理人交纳的各种费用等）</w:t>
      </w:r>
      <w:r>
        <w:rPr>
          <w:rFonts w:hint="eastAsia" w:ascii="宋体" w:hAnsi="宋体"/>
          <w:color w:val="auto"/>
          <w:sz w:val="21"/>
          <w:highlight w:val="none"/>
        </w:rPr>
        <w:t>。收款前，监理人应当提供等额的增值税发票。</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9.4.2删除通用条款9.4.2。</w:t>
      </w:r>
    </w:p>
    <w:p>
      <w:pPr>
        <w:spacing w:line="360" w:lineRule="auto"/>
        <w:ind w:firstLine="420" w:firstLineChars="200"/>
        <w:rPr>
          <w:rFonts w:ascii="宋体" w:hAnsi="宋体"/>
          <w:color w:val="auto"/>
          <w:sz w:val="21"/>
          <w:highlight w:val="none"/>
        </w:rPr>
      </w:pPr>
      <w:r>
        <w:rPr>
          <w:rFonts w:ascii="宋体" w:hAnsi="宋体"/>
          <w:color w:val="auto"/>
          <w:sz w:val="21"/>
          <w:highlight w:val="none"/>
        </w:rPr>
        <w:t>9.4.4 最终结清付款涉及政府投资资金的，按</w:t>
      </w:r>
      <w:r>
        <w:rPr>
          <w:rFonts w:hint="eastAsia" w:ascii="宋体" w:hAnsi="宋体"/>
          <w:color w:val="auto"/>
          <w:sz w:val="21"/>
          <w:highlight w:val="none"/>
        </w:rPr>
        <w:t>下列</w:t>
      </w:r>
      <w:r>
        <w:rPr>
          <w:rFonts w:ascii="宋体" w:hAnsi="宋体"/>
          <w:color w:val="auto"/>
          <w:sz w:val="21"/>
          <w:highlight w:val="none"/>
        </w:rPr>
        <w:t>约定执行</w:t>
      </w:r>
      <w:r>
        <w:rPr>
          <w:rFonts w:hint="eastAsia" w:ascii="宋体" w:hAnsi="宋体"/>
          <w:color w:val="auto"/>
          <w:sz w:val="21"/>
          <w:highlight w:val="none"/>
        </w:rPr>
        <w:t>：</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对属于《广州市财政投资评审管理办法》评审范围的财政性资金投资项目，财政投资评审结果作为该项目价款结算的依据。</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结算经市财局审核后，委托人按照《广州市本级基本建设项目财政性资金集中支付实施办法》及水务建设资金的支付程序付款至终审结算价的</w:t>
      </w:r>
      <w:r>
        <w:rPr>
          <w:rFonts w:hint="eastAsia" w:ascii="宋体" w:hAnsi="宋体" w:cs="宋体"/>
          <w:color w:val="auto"/>
          <w:kern w:val="2"/>
          <w:sz w:val="21"/>
          <w:szCs w:val="21"/>
          <w:highlight w:val="none"/>
          <w:lang w:val="en-US" w:eastAsia="zh-CN"/>
        </w:rPr>
        <w:t>100</w:t>
      </w:r>
      <w:r>
        <w:rPr>
          <w:rFonts w:hint="eastAsia" w:ascii="宋体" w:hAnsi="宋体" w:cs="宋体"/>
          <w:color w:val="auto"/>
          <w:kern w:val="2"/>
          <w:sz w:val="21"/>
          <w:szCs w:val="21"/>
          <w:highlight w:val="none"/>
        </w:rPr>
        <w:t>%</w:t>
      </w:r>
      <w:r>
        <w:rPr>
          <w:rFonts w:hint="eastAsia" w:ascii="宋体" w:hAnsi="宋体"/>
          <w:color w:val="auto"/>
          <w:sz w:val="21"/>
          <w:highlight w:val="none"/>
          <w:lang w:eastAsia="zh-CN"/>
        </w:rPr>
        <w:t>（</w:t>
      </w:r>
      <w:r>
        <w:rPr>
          <w:rFonts w:hint="eastAsia" w:ascii="宋体" w:hAnsi="宋体"/>
          <w:color w:val="auto"/>
          <w:sz w:val="21"/>
          <w:highlight w:val="none"/>
          <w:lang w:val="en-US" w:eastAsia="zh-CN"/>
        </w:rPr>
        <w:t>含因监理人未按规定履行合同约定而产生的各种违约金、扣罚金、赔偿金以及应由监理人交纳的各种费用等）</w:t>
      </w:r>
      <w:r>
        <w:rPr>
          <w:rFonts w:hint="eastAsia" w:ascii="宋体" w:hAnsi="宋体" w:cs="宋体"/>
          <w:color w:val="auto"/>
          <w:kern w:val="2"/>
          <w:sz w:val="21"/>
          <w:szCs w:val="21"/>
          <w:highlight w:val="none"/>
        </w:rPr>
        <w:t>。</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9.4.5监理费结算方式：本项目的监理费</w:t>
      </w:r>
      <w:r>
        <w:rPr>
          <w:rFonts w:hint="eastAsia" w:ascii="宋体" w:hAnsi="宋体" w:cs="宋体"/>
          <w:color w:val="auto"/>
          <w:kern w:val="2"/>
          <w:sz w:val="21"/>
          <w:szCs w:val="21"/>
          <w:highlight w:val="none"/>
          <w:lang w:val="en-US" w:eastAsia="zh-CN"/>
        </w:rPr>
        <w:t>采用</w:t>
      </w:r>
      <w:r>
        <w:rPr>
          <w:rFonts w:hint="eastAsia" w:ascii="宋体" w:hAnsi="宋体" w:cs="宋体"/>
          <w:color w:val="auto"/>
          <w:kern w:val="2"/>
          <w:sz w:val="21"/>
          <w:szCs w:val="21"/>
          <w:highlight w:val="none"/>
        </w:rPr>
        <w:t>总价包干</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rPr>
        <w:t>经</w:t>
      </w:r>
      <w:r>
        <w:rPr>
          <w:rFonts w:hint="eastAsia" w:ascii="宋体" w:hAnsi="宋体" w:cs="宋体"/>
          <w:color w:val="auto"/>
          <w:kern w:val="2"/>
          <w:sz w:val="21"/>
          <w:szCs w:val="21"/>
          <w:highlight w:val="none"/>
          <w:lang w:eastAsia="zh-CN"/>
        </w:rPr>
        <w:t>委托人</w:t>
      </w:r>
      <w:r>
        <w:rPr>
          <w:rFonts w:hint="eastAsia" w:ascii="宋体" w:hAnsi="宋体" w:cs="宋体"/>
          <w:color w:val="auto"/>
          <w:kern w:val="2"/>
          <w:sz w:val="21"/>
          <w:szCs w:val="21"/>
          <w:highlight w:val="none"/>
        </w:rPr>
        <w:t>或</w:t>
      </w:r>
      <w:r>
        <w:rPr>
          <w:rFonts w:hint="eastAsia" w:ascii="宋体" w:hAnsi="宋体" w:cs="宋体"/>
          <w:color w:val="auto"/>
          <w:kern w:val="2"/>
          <w:sz w:val="21"/>
          <w:szCs w:val="21"/>
          <w:highlight w:val="none"/>
          <w:lang w:eastAsia="zh-CN"/>
        </w:rPr>
        <w:t>委托人</w:t>
      </w:r>
      <w:r>
        <w:rPr>
          <w:rFonts w:hint="eastAsia" w:ascii="宋体" w:hAnsi="宋体" w:cs="宋体"/>
          <w:color w:val="auto"/>
          <w:kern w:val="2"/>
          <w:sz w:val="21"/>
          <w:szCs w:val="21"/>
          <w:highlight w:val="none"/>
        </w:rPr>
        <w:t>委托有资质第三方机构审核后，若结算审核价比合同暂定总价低，则以结算审核价作为合同结算价，否则以合同暂定总价为合同结算价。</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9.4.6监理费结算价不得高于工程初步设计概算中相应的监理费用，否则按照工程初步设计概算中相应的监理费用结算。   </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9.4.7本合同的监理费已包含了监理人履行本合同义务与责任所发生的一切费用以及因监理服务期限延长而可能发生的一切费用。</w:t>
      </w:r>
    </w:p>
    <w:p>
      <w:pPr>
        <w:spacing w:line="360" w:lineRule="auto"/>
        <w:rPr>
          <w:rFonts w:ascii="黑体" w:hAnsi="黑体" w:eastAsia="黑体"/>
          <w:color w:val="auto"/>
          <w:sz w:val="28"/>
          <w:highlight w:val="none"/>
        </w:rPr>
      </w:pPr>
      <w:r>
        <w:rPr>
          <w:rFonts w:ascii="黑体" w:hAnsi="黑体" w:eastAsia="黑体"/>
          <w:color w:val="auto"/>
          <w:sz w:val="28"/>
          <w:highlight w:val="none"/>
        </w:rPr>
        <w:t>9.</w:t>
      </w:r>
      <w:r>
        <w:rPr>
          <w:rFonts w:hint="eastAsia" w:ascii="黑体" w:hAnsi="黑体" w:eastAsia="黑体"/>
          <w:color w:val="auto"/>
          <w:sz w:val="28"/>
          <w:highlight w:val="none"/>
        </w:rPr>
        <w:t>5费用支付</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9.5.1正常的监理工作、附加工作和额外工作的报酬，按照监理合同专用合同条款中第9.2.1条、9.3.3条和9.4.4条约定的方法计算，并按约定的时间和数额支付。</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9.5.2委托人按照《广州市本级基本建设项目财政性资金集中支付实施办法》及现行水务建设资金的支付程序向监理人支付监理酬金，因支付程序的原因导致的支付拖延，委托人不承担责任。</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9.5.3双方同意用人民币支付监理酬金。</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9.5.4如果委托人对监理人提交的支付通知中报酬或部分报酬项目提出异议，应当在收到支付通知书向监理人发出表示异议的通知，但委托人不得拖延其他无异议报酬项目的支付。</w:t>
      </w:r>
    </w:p>
    <w:p>
      <w:pPr>
        <w:spacing w:line="360" w:lineRule="auto"/>
        <w:rPr>
          <w:rFonts w:eastAsia="Times New Roman"/>
          <w:b/>
          <w:color w:val="auto"/>
          <w:sz w:val="32"/>
          <w:highlight w:val="none"/>
        </w:rPr>
      </w:pPr>
      <w:r>
        <w:rPr>
          <w:rFonts w:hint="eastAsia" w:ascii="黑体" w:hAnsi="黑体" w:eastAsia="黑体"/>
          <w:b/>
          <w:color w:val="auto"/>
          <w:sz w:val="32"/>
          <w:highlight w:val="none"/>
        </w:rPr>
        <w:t>10.不可抗力</w:t>
      </w:r>
    </w:p>
    <w:p>
      <w:pPr>
        <w:spacing w:line="360" w:lineRule="auto"/>
        <w:rPr>
          <w:rFonts w:ascii="黑体" w:hAnsi="黑体" w:eastAsia="黑体"/>
          <w:color w:val="auto"/>
          <w:sz w:val="28"/>
          <w:highlight w:val="none"/>
        </w:rPr>
      </w:pPr>
      <w:r>
        <w:rPr>
          <w:rFonts w:eastAsia="Times New Roman"/>
          <w:color w:val="auto"/>
          <w:sz w:val="28"/>
          <w:highlight w:val="none"/>
        </w:rPr>
        <w:t>1</w:t>
      </w:r>
      <w:r>
        <w:rPr>
          <w:rFonts w:hint="eastAsia"/>
          <w:color w:val="auto"/>
          <w:sz w:val="28"/>
          <w:highlight w:val="none"/>
        </w:rPr>
        <w:t>0</w:t>
      </w:r>
      <w:r>
        <w:rPr>
          <w:rFonts w:eastAsia="Times New Roman"/>
          <w:color w:val="auto"/>
          <w:sz w:val="28"/>
          <w:highlight w:val="none"/>
        </w:rPr>
        <w:t xml:space="preserve">.1 </w:t>
      </w:r>
      <w:r>
        <w:rPr>
          <w:rFonts w:hint="eastAsia" w:ascii="黑体" w:hAnsi="黑体" w:eastAsia="黑体"/>
          <w:color w:val="auto"/>
          <w:sz w:val="28"/>
          <w:highlight w:val="none"/>
        </w:rPr>
        <w:t>不可抗力的确认</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w:t>
      </w:r>
      <w:r>
        <w:rPr>
          <w:rFonts w:hint="eastAsia" w:ascii="宋体" w:hAnsi="宋体"/>
          <w:color w:val="auto"/>
          <w:sz w:val="21"/>
          <w:szCs w:val="21"/>
          <w:highlight w:val="none"/>
        </w:rPr>
        <w:t>0</w:t>
      </w:r>
      <w:r>
        <w:rPr>
          <w:rFonts w:ascii="宋体" w:hAnsi="宋体"/>
          <w:color w:val="auto"/>
          <w:sz w:val="21"/>
          <w:szCs w:val="21"/>
          <w:highlight w:val="none"/>
        </w:rPr>
        <w:t xml:space="preserve">.1.1 </w:t>
      </w:r>
      <w:r>
        <w:rPr>
          <w:rFonts w:hint="eastAsia" w:ascii="宋体" w:hAnsi="宋体" w:cs="宋体"/>
          <w:color w:val="auto"/>
          <w:sz w:val="24"/>
          <w:szCs w:val="24"/>
          <w:highlight w:val="none"/>
        </w:rPr>
        <w:t>除通用合同条件约定的不可抗力事件之外，视为不可抗力的其他情形</w:t>
      </w:r>
      <w:r>
        <w:rPr>
          <w:rFonts w:hint="eastAsia" w:ascii="宋体" w:hAnsi="宋体" w:cs="宋体"/>
          <w:bCs/>
          <w:color w:val="auto"/>
          <w:sz w:val="24"/>
          <w:szCs w:val="24"/>
          <w:highlight w:val="none"/>
        </w:rPr>
        <w:t>：政府行为，如征收征用、政府计划调整、政府指令、规划调整等。</w:t>
      </w:r>
    </w:p>
    <w:p>
      <w:pPr>
        <w:spacing w:line="390" w:lineRule="exact"/>
        <w:rPr>
          <w:rFonts w:eastAsia="Times New Roman"/>
          <w:b/>
          <w:color w:val="auto"/>
          <w:sz w:val="32"/>
          <w:highlight w:val="none"/>
        </w:rPr>
      </w:pPr>
      <w:r>
        <w:rPr>
          <w:rFonts w:hint="eastAsia" w:ascii="黑体" w:hAnsi="黑体" w:eastAsia="黑体"/>
          <w:b/>
          <w:color w:val="auto"/>
          <w:sz w:val="32"/>
          <w:highlight w:val="none"/>
        </w:rPr>
        <w:t>11.</w:t>
      </w:r>
      <w:r>
        <w:rPr>
          <w:rFonts w:ascii="黑体" w:hAnsi="黑体" w:eastAsia="黑体"/>
          <w:b/>
          <w:color w:val="auto"/>
          <w:sz w:val="32"/>
          <w:highlight w:val="none"/>
        </w:rPr>
        <w:t>违约</w:t>
      </w:r>
    </w:p>
    <w:p>
      <w:pPr>
        <w:spacing w:line="207" w:lineRule="exact"/>
        <w:rPr>
          <w:rFonts w:eastAsia="Times New Roman"/>
          <w:color w:val="auto"/>
          <w:highlight w:val="none"/>
        </w:rPr>
      </w:pPr>
    </w:p>
    <w:p>
      <w:pPr>
        <w:spacing w:line="360" w:lineRule="auto"/>
        <w:rPr>
          <w:rFonts w:ascii="宋体" w:hAnsi="宋体"/>
          <w:color w:val="auto"/>
          <w:sz w:val="21"/>
          <w:highlight w:val="none"/>
        </w:rPr>
      </w:pPr>
      <w:r>
        <w:rPr>
          <w:rFonts w:ascii="黑体" w:hAnsi="黑体" w:eastAsia="黑体"/>
          <w:color w:val="auto"/>
          <w:sz w:val="28"/>
          <w:highlight w:val="none"/>
        </w:rPr>
        <w:t>11.1 监理人违约</w:t>
      </w:r>
    </w:p>
    <w:p>
      <w:pPr>
        <w:rPr>
          <w:color w:val="auto"/>
          <w:highlight w:val="none"/>
        </w:rPr>
      </w:pPr>
      <w:r>
        <w:rPr>
          <w:color w:val="auto"/>
          <w:sz w:val="22"/>
          <w:szCs w:val="22"/>
          <w:highlight w:val="none"/>
          <w:lang w:bidi="ar"/>
        </w:rPr>
        <w:t xml:space="preserve">11.1.1 </w:t>
      </w:r>
      <w:r>
        <w:rPr>
          <w:rFonts w:hint="eastAsia" w:ascii="宋体" w:hAnsi="宋体" w:cs="宋体"/>
          <w:color w:val="auto"/>
          <w:sz w:val="22"/>
          <w:szCs w:val="22"/>
          <w:highlight w:val="none"/>
          <w:lang w:bidi="ar"/>
        </w:rPr>
        <w:t xml:space="preserve">合同履行中发生下列情况之一的，属监理人违约：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1</w:t>
      </w:r>
      <w:r>
        <w:rPr>
          <w:rFonts w:hint="eastAsia" w:ascii="宋体" w:hAnsi="宋体" w:cs="宋体"/>
          <w:color w:val="auto"/>
          <w:sz w:val="22"/>
          <w:szCs w:val="22"/>
          <w:highlight w:val="none"/>
          <w:lang w:bidi="ar"/>
        </w:rPr>
        <w:t xml:space="preserve">）监理文件不符合规范标准以及合同约定；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2</w:t>
      </w:r>
      <w:r>
        <w:rPr>
          <w:rFonts w:hint="eastAsia" w:ascii="宋体" w:hAnsi="宋体" w:cs="宋体"/>
          <w:color w:val="auto"/>
          <w:sz w:val="22"/>
          <w:szCs w:val="22"/>
          <w:highlight w:val="none"/>
          <w:lang w:bidi="ar"/>
        </w:rPr>
        <w:t xml:space="preserve">）监理人转让或分包监理工作；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3</w:t>
      </w:r>
      <w:r>
        <w:rPr>
          <w:rFonts w:hint="eastAsia" w:ascii="宋体" w:hAnsi="宋体" w:cs="宋体"/>
          <w:color w:val="auto"/>
          <w:sz w:val="22"/>
          <w:szCs w:val="22"/>
          <w:highlight w:val="none"/>
          <w:lang w:bidi="ar"/>
        </w:rPr>
        <w:t xml:space="preserve">）监理人未按合同约定实施监理并造成工程损失；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4</w:t>
      </w:r>
      <w:r>
        <w:rPr>
          <w:rFonts w:hint="eastAsia" w:ascii="宋体" w:hAnsi="宋体" w:cs="宋体"/>
          <w:color w:val="auto"/>
          <w:sz w:val="22"/>
          <w:szCs w:val="22"/>
          <w:highlight w:val="none"/>
          <w:lang w:bidi="ar"/>
        </w:rPr>
        <w:t xml:space="preserve">）监理人向监理人索贿、谋取私利，或与监理人串通损害委托人利益，给委托人造 </w:t>
      </w:r>
    </w:p>
    <w:p>
      <w:pPr>
        <w:rPr>
          <w:color w:val="auto"/>
          <w:highlight w:val="none"/>
        </w:rPr>
      </w:pPr>
      <w:r>
        <w:rPr>
          <w:rFonts w:hint="eastAsia" w:ascii="宋体" w:hAnsi="宋体" w:cs="宋体"/>
          <w:color w:val="auto"/>
          <w:sz w:val="22"/>
          <w:szCs w:val="22"/>
          <w:highlight w:val="none"/>
          <w:lang w:bidi="ar"/>
        </w:rPr>
        <w:t xml:space="preserve">成损失；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5</w:t>
      </w:r>
      <w:r>
        <w:rPr>
          <w:rFonts w:hint="eastAsia" w:ascii="宋体" w:hAnsi="宋体" w:cs="宋体"/>
          <w:color w:val="auto"/>
          <w:sz w:val="22"/>
          <w:szCs w:val="22"/>
          <w:highlight w:val="none"/>
          <w:lang w:bidi="ar"/>
        </w:rPr>
        <w:t xml:space="preserve">）监理人未按《建设工程监理规范》的规定对主要工程或关键工序进行旁站、 </w:t>
      </w:r>
    </w:p>
    <w:p>
      <w:pPr>
        <w:rPr>
          <w:color w:val="auto"/>
          <w:highlight w:val="none"/>
        </w:rPr>
      </w:pPr>
      <w:r>
        <w:rPr>
          <w:rFonts w:hint="eastAsia" w:ascii="宋体" w:hAnsi="宋体" w:cs="宋体"/>
          <w:color w:val="auto"/>
          <w:sz w:val="22"/>
          <w:szCs w:val="22"/>
          <w:highlight w:val="none"/>
          <w:lang w:bidi="ar"/>
        </w:rPr>
        <w:t xml:space="preserve">巡视或抽检；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6</w:t>
      </w:r>
      <w:r>
        <w:rPr>
          <w:rFonts w:hint="eastAsia" w:ascii="宋体" w:hAnsi="宋体" w:cs="宋体"/>
          <w:color w:val="auto"/>
          <w:sz w:val="22"/>
          <w:szCs w:val="22"/>
          <w:highlight w:val="none"/>
          <w:lang w:bidi="ar"/>
        </w:rPr>
        <w:t xml:space="preserve">）监理人未能按照投标文件的承诺或合同文件的约定配备满足监理服务需求的人员 </w:t>
      </w:r>
    </w:p>
    <w:p>
      <w:pPr>
        <w:rPr>
          <w:color w:val="auto"/>
          <w:highlight w:val="none"/>
        </w:rPr>
      </w:pPr>
      <w:r>
        <w:rPr>
          <w:rFonts w:hint="eastAsia" w:ascii="宋体" w:hAnsi="宋体" w:cs="宋体"/>
          <w:color w:val="auto"/>
          <w:sz w:val="22"/>
          <w:szCs w:val="22"/>
          <w:highlight w:val="none"/>
          <w:lang w:bidi="ar"/>
        </w:rPr>
        <w:t xml:space="preserve">或设备；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7</w:t>
      </w:r>
      <w:r>
        <w:rPr>
          <w:rFonts w:hint="eastAsia" w:ascii="宋体" w:hAnsi="宋体" w:cs="宋体"/>
          <w:color w:val="auto"/>
          <w:sz w:val="22"/>
          <w:szCs w:val="22"/>
          <w:highlight w:val="none"/>
          <w:lang w:bidi="ar"/>
        </w:rPr>
        <w:t xml:space="preserve">）监理人无法履行或停止履行合同；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8</w:t>
      </w:r>
      <w:r>
        <w:rPr>
          <w:rFonts w:hint="eastAsia" w:ascii="宋体" w:hAnsi="宋体" w:cs="宋体"/>
          <w:color w:val="auto"/>
          <w:sz w:val="22"/>
          <w:szCs w:val="22"/>
          <w:highlight w:val="none"/>
          <w:lang w:bidi="ar"/>
        </w:rPr>
        <w:t>）监理人不履行合同约定的其他义务。</w:t>
      </w:r>
    </w:p>
    <w:p>
      <w:pPr>
        <w:ind w:firstLine="440" w:firstLineChars="200"/>
        <w:rPr>
          <w:rFonts w:ascii="宋体" w:hAnsi="宋体"/>
          <w:color w:val="auto"/>
          <w:sz w:val="21"/>
          <w:highlight w:val="none"/>
        </w:rPr>
      </w:pPr>
      <w:r>
        <w:rPr>
          <w:color w:val="auto"/>
          <w:sz w:val="22"/>
          <w:szCs w:val="22"/>
          <w:highlight w:val="none"/>
          <w:lang w:bidi="ar"/>
        </w:rPr>
        <w:t xml:space="preserve">11.1.2 </w:t>
      </w:r>
      <w:r>
        <w:rPr>
          <w:rFonts w:hint="eastAsia" w:ascii="宋体" w:hAnsi="宋体" w:cs="宋体"/>
          <w:color w:val="auto"/>
          <w:sz w:val="22"/>
          <w:szCs w:val="22"/>
          <w:highlight w:val="none"/>
          <w:lang w:bidi="ar"/>
        </w:rPr>
        <w:t xml:space="preserve">监理人发生违约情况时，委托人可向监理人发出整改通知，要求其在限定期限 内纠正；逾期仍不纠正的，委托人有权解除合同并向监理人发出解除合同通知。发生第 </w:t>
      </w:r>
      <w:r>
        <w:rPr>
          <w:color w:val="auto"/>
          <w:sz w:val="22"/>
          <w:szCs w:val="22"/>
          <w:highlight w:val="none"/>
          <w:lang w:bidi="ar"/>
        </w:rPr>
        <w:t xml:space="preserve">11.1.1 </w:t>
      </w:r>
      <w:r>
        <w:rPr>
          <w:rFonts w:hint="eastAsia" w:ascii="宋体" w:hAnsi="宋体" w:cs="宋体"/>
          <w:color w:val="auto"/>
          <w:sz w:val="22"/>
          <w:szCs w:val="22"/>
          <w:highlight w:val="none"/>
          <w:lang w:bidi="ar"/>
        </w:rPr>
        <w:t>项（</w:t>
      </w:r>
      <w:r>
        <w:rPr>
          <w:color w:val="auto"/>
          <w:sz w:val="22"/>
          <w:szCs w:val="22"/>
          <w:highlight w:val="none"/>
          <w:lang w:bidi="ar"/>
        </w:rPr>
        <w:t>2</w:t>
      </w:r>
      <w:r>
        <w:rPr>
          <w:rFonts w:hint="eastAsia" w:ascii="宋体" w:hAnsi="宋体" w:cs="宋体"/>
          <w:color w:val="auto"/>
          <w:sz w:val="22"/>
          <w:szCs w:val="22"/>
          <w:highlight w:val="none"/>
          <w:lang w:bidi="ar"/>
        </w:rPr>
        <w:t>）目或（</w:t>
      </w:r>
      <w:r>
        <w:rPr>
          <w:color w:val="auto"/>
          <w:sz w:val="22"/>
          <w:szCs w:val="22"/>
          <w:highlight w:val="none"/>
          <w:lang w:bidi="ar"/>
        </w:rPr>
        <w:t>4</w:t>
      </w:r>
      <w:r>
        <w:rPr>
          <w:rFonts w:hint="eastAsia" w:ascii="宋体" w:hAnsi="宋体" w:cs="宋体"/>
          <w:color w:val="auto"/>
          <w:sz w:val="22"/>
          <w:szCs w:val="22"/>
          <w:highlight w:val="none"/>
          <w:lang w:bidi="ar"/>
        </w:rPr>
        <w:t>）目情形时，委托人可直接发出解除合同通知。监理人应当承担由于违约所造成的费用增加、周期延误和委托人损失等。</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监理人在履行本合同的义务期间，应为委托人提供专业的咨询意见，公正维护各方面的合法权益。监理人违约及赔偿责任由双方约定如下：</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1监理人派驻到项目所在地履行监理服务的总监理工程师及其他主要监理人员，</w:t>
      </w:r>
      <w:r>
        <w:rPr>
          <w:rFonts w:hint="eastAsia" w:ascii="宋体" w:hAnsi="宋体"/>
          <w:color w:val="auto"/>
          <w:sz w:val="21"/>
          <w:szCs w:val="21"/>
          <w:highlight w:val="none"/>
          <w:lang w:val="en-US" w:eastAsia="zh-CN"/>
        </w:rPr>
        <w:t>爆破作业期间</w:t>
      </w:r>
      <w:r>
        <w:rPr>
          <w:rFonts w:hint="eastAsia" w:ascii="宋体" w:hAnsi="宋体"/>
          <w:color w:val="auto"/>
          <w:sz w:val="21"/>
          <w:szCs w:val="21"/>
          <w:highlight w:val="none"/>
        </w:rPr>
        <w:t>必须常驻现场。若需离开施工现场需报经委托人批准，否则委托人将有权对总监理工程师扣除</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违约金，对其他主要监理人员扣除</w:t>
      </w:r>
      <w:r>
        <w:rPr>
          <w:rFonts w:hint="eastAsia" w:ascii="宋体" w:hAnsi="宋体"/>
          <w:color w:val="auto"/>
          <w:sz w:val="21"/>
          <w:szCs w:val="21"/>
          <w:highlight w:val="none"/>
          <w:lang w:val="en-US" w:eastAsia="zh-CN"/>
        </w:rPr>
        <w:t>最多</w:t>
      </w:r>
      <w:r>
        <w:rPr>
          <w:rFonts w:hint="eastAsia" w:ascii="宋体" w:hAnsi="宋体"/>
          <w:color w:val="auto"/>
          <w:sz w:val="21"/>
          <w:szCs w:val="21"/>
          <w:highlight w:val="none"/>
          <w:u w:val="single"/>
        </w:rPr>
        <w:t>0.3万元</w:t>
      </w:r>
      <w:r>
        <w:rPr>
          <w:rFonts w:hint="eastAsia" w:ascii="宋体" w:hAnsi="宋体"/>
          <w:color w:val="auto"/>
          <w:sz w:val="21"/>
          <w:szCs w:val="21"/>
          <w:highlight w:val="none"/>
        </w:rPr>
        <w:t>违约金。</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2委托人要求总监理工程师或注册造价工程师必须参加的会议，总监理工程师或注册造价工程师必须到会，未经委托人同意不到会者，委托人有权扣除每人每次</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违约金。累计未到会超过</w:t>
      </w:r>
      <w:r>
        <w:rPr>
          <w:rFonts w:hint="eastAsia" w:ascii="宋体" w:hAnsi="宋体"/>
          <w:color w:val="auto"/>
          <w:sz w:val="21"/>
          <w:szCs w:val="21"/>
          <w:highlight w:val="none"/>
          <w:u w:val="single"/>
        </w:rPr>
        <w:t xml:space="preserve"> 5 </w:t>
      </w:r>
      <w:r>
        <w:rPr>
          <w:rFonts w:hint="eastAsia" w:ascii="宋体" w:hAnsi="宋体"/>
          <w:color w:val="auto"/>
          <w:sz w:val="21"/>
          <w:szCs w:val="21"/>
          <w:highlight w:val="none"/>
        </w:rPr>
        <w:t>次的，委托人有权要求监理人更换总监理工程师、注册造价工程师。</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3工程施工承包人未按投标书所作的承诺投入机械、设备、材料等、或对于承包人下场管理机构人员不到位、擅自离场，管理人员工作能力、工作态度存在严重不足、或承包人的施工方案不符合委托人要求，监理人对此不进行检查、督促、处理，不向委托人报告，被委托人发现后，监理人除必须根据委托人的要求负责督促承包人整改外，委托人有权要求监理人支付</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违约金/次。</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4对于工程施工承包人每次进场材料，监理人不进行检查和登记；对已进场的材料，监理人不按有关规定及时进行抽查</w:t>
      </w:r>
      <w:r>
        <w:rPr>
          <w:rFonts w:hint="eastAsia" w:ascii="宋体" w:hAnsi="宋体"/>
          <w:color w:val="auto"/>
          <w:sz w:val="21"/>
          <w:szCs w:val="21"/>
          <w:highlight w:val="none"/>
          <w:lang w:val="en-US" w:eastAsia="zh-CN"/>
        </w:rPr>
        <w:t>或</w:t>
      </w:r>
      <w:r>
        <w:rPr>
          <w:rFonts w:hint="eastAsia" w:ascii="宋体" w:hAnsi="宋体"/>
          <w:color w:val="auto"/>
          <w:sz w:val="21"/>
          <w:szCs w:val="21"/>
          <w:highlight w:val="none"/>
        </w:rPr>
        <w:t>送检，每被发现一次，委托人有权要求监理人支付违约金</w:t>
      </w:r>
      <w:r>
        <w:rPr>
          <w:rFonts w:hint="eastAsia" w:ascii="宋体" w:hAnsi="宋体"/>
          <w:color w:val="auto"/>
          <w:sz w:val="21"/>
          <w:szCs w:val="21"/>
          <w:highlight w:val="none"/>
          <w:u w:val="single"/>
        </w:rPr>
        <w:t>0.</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万元</w:t>
      </w:r>
      <w:r>
        <w:rPr>
          <w:rFonts w:hint="eastAsia" w:ascii="宋体" w:hAnsi="宋体"/>
          <w:color w:val="auto"/>
          <w:sz w:val="21"/>
          <w:szCs w:val="21"/>
          <w:highlight w:val="none"/>
        </w:rPr>
        <w:t>。如由此出现不合格材料使用于工程上并造成质量缺陷，委托人有权要求监理人支付违约金每次</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u w:val="single"/>
        </w:rPr>
        <w:t>万元</w:t>
      </w:r>
      <w:r>
        <w:rPr>
          <w:rFonts w:hint="eastAsia" w:ascii="宋体" w:hAnsi="宋体"/>
          <w:color w:val="auto"/>
          <w:sz w:val="21"/>
          <w:szCs w:val="21"/>
          <w:highlight w:val="none"/>
        </w:rPr>
        <w:t>。若出现质量事故或经济损失一次</w:t>
      </w:r>
      <w:r>
        <w:rPr>
          <w:rFonts w:hint="eastAsia" w:ascii="宋体" w:hAnsi="宋体"/>
          <w:color w:val="auto"/>
          <w:sz w:val="21"/>
          <w:szCs w:val="21"/>
          <w:highlight w:val="none"/>
          <w:u w:val="single"/>
        </w:rPr>
        <w:t>10万元</w:t>
      </w:r>
      <w:r>
        <w:rPr>
          <w:rFonts w:hint="eastAsia" w:ascii="宋体" w:hAnsi="宋体"/>
          <w:color w:val="auto"/>
          <w:sz w:val="21"/>
          <w:szCs w:val="21"/>
          <w:highlight w:val="none"/>
        </w:rPr>
        <w:t>以上的，委托人有权要求监理人支付违约金每次</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万元</w:t>
      </w:r>
      <w:r>
        <w:rPr>
          <w:rFonts w:hint="eastAsia" w:ascii="宋体" w:hAnsi="宋体"/>
          <w:color w:val="auto"/>
          <w:sz w:val="21"/>
          <w:szCs w:val="21"/>
          <w:highlight w:val="none"/>
        </w:rPr>
        <w:t>。造成较大质量事故（按国家规定界定），委托人视情况解除合同。</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6对于承包人提交的请款报告，监理人审核造价出现错误或不按要求签署拨款意见，被审查发现后，除必须限期改正外，每出现2次，委托人有权要求监理人支付</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11.1.3.7监理人未能按时进行隐蔽工程验收，委托人有权要求监理人支付违约金</w:t>
      </w:r>
      <w:r>
        <w:rPr>
          <w:rFonts w:hint="eastAsia" w:ascii="宋体" w:hAnsi="宋体"/>
          <w:color w:val="auto"/>
          <w:sz w:val="21"/>
          <w:szCs w:val="21"/>
          <w:highlight w:val="none"/>
          <w:lang w:val="en-US" w:eastAsia="zh-CN"/>
        </w:rPr>
        <w:t>0.5</w:t>
      </w:r>
      <w:r>
        <w:rPr>
          <w:rFonts w:hint="eastAsia" w:ascii="宋体" w:hAnsi="宋体"/>
          <w:color w:val="auto"/>
          <w:sz w:val="21"/>
          <w:szCs w:val="21"/>
          <w:highlight w:val="none"/>
        </w:rPr>
        <w:t>万元/次，并赔偿委托人损失。</w:t>
      </w:r>
    </w:p>
    <w:p>
      <w:pPr>
        <w:spacing w:line="360" w:lineRule="auto"/>
        <w:ind w:firstLine="420" w:firstLineChars="200"/>
        <w:rPr>
          <w:rFonts w:hint="eastAsia" w:ascii="宋体" w:hAnsi="宋体"/>
          <w:color w:val="auto"/>
          <w:sz w:val="21"/>
          <w:highlight w:val="none"/>
        </w:rPr>
      </w:pPr>
      <w:r>
        <w:rPr>
          <w:rFonts w:hint="eastAsia" w:ascii="宋体" w:hAnsi="宋体"/>
          <w:color w:val="auto"/>
          <w:sz w:val="21"/>
          <w:szCs w:val="21"/>
          <w:highlight w:val="none"/>
        </w:rPr>
        <w:t>11.1.3.8监理人未按规定对关键工序、关键部分进行旁站和见证取样，委托人有权要求监理人支付违约金</w:t>
      </w:r>
      <w:r>
        <w:rPr>
          <w:rFonts w:hint="eastAsia" w:ascii="宋体" w:hAnsi="宋体"/>
          <w:color w:val="auto"/>
          <w:sz w:val="21"/>
          <w:szCs w:val="21"/>
          <w:highlight w:val="none"/>
          <w:u w:val="single"/>
        </w:rPr>
        <w:t>3000元/次</w:t>
      </w:r>
      <w:r>
        <w:rPr>
          <w:rFonts w:hint="eastAsia" w:ascii="宋体" w:hAnsi="宋体"/>
          <w:color w:val="auto"/>
          <w:sz w:val="21"/>
          <w:highlight w:val="none"/>
        </w:rPr>
        <w:t>；</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9工程结算时，监理人审查的结算价与市财局批复（或委托人审核）的审定结算价相差5%~10%(含5%，不含10%)时，委托人有权扣除5%的监理费，并进行通报；相差在10%~20%（含10%，不含20%）时，委托人有权扣除10%监理费，并给予通报；相差大于等于20%的，委托人有权扣除20%监理费。</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10监理单位在控制工程进度、施工质量时，要结合工程的实际情况对工程资料进行严格把关，确保资料的完整、真实。如在对工程施工质量资料、竣工资料、结算资料的专项检查中发现监理单位对资料存在编制归档滞后，不按规定编制，把关不严等问题的，委托人有权要求监理人每次支付</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u w:val="single"/>
        </w:rPr>
        <w:t>万元</w:t>
      </w:r>
      <w:r>
        <w:rPr>
          <w:rFonts w:hint="eastAsia" w:ascii="宋体" w:hAnsi="宋体"/>
          <w:color w:val="auto"/>
          <w:sz w:val="21"/>
          <w:szCs w:val="21"/>
          <w:highlight w:val="none"/>
        </w:rPr>
        <w:t xml:space="preserve">的违约金。 </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11.1.</w:t>
      </w:r>
      <w:r>
        <w:rPr>
          <w:rFonts w:hint="eastAsia" w:ascii="宋体" w:hAnsi="宋体"/>
          <w:color w:val="auto"/>
          <w:sz w:val="21"/>
          <w:szCs w:val="21"/>
          <w:highlight w:val="none"/>
        </w:rPr>
        <w:t xml:space="preserve">3.11  </w:t>
      </w:r>
      <w:r>
        <w:rPr>
          <w:rFonts w:hint="eastAsia" w:ascii="宋体" w:hAnsi="宋体" w:cs="仿宋"/>
          <w:color w:val="auto"/>
          <w:sz w:val="21"/>
          <w:szCs w:val="21"/>
          <w:highlight w:val="none"/>
        </w:rPr>
        <w:t>发生安全生产事故的，每重伤一人监理人应支付违约金</w:t>
      </w:r>
      <w:r>
        <w:rPr>
          <w:rFonts w:hint="eastAsia" w:ascii="宋体" w:hAnsi="宋体" w:cs="仿宋"/>
          <w:color w:val="auto"/>
          <w:sz w:val="21"/>
          <w:szCs w:val="21"/>
          <w:highlight w:val="none"/>
          <w:u w:val="single"/>
          <w:lang w:val="en-US" w:eastAsia="zh-CN"/>
        </w:rPr>
        <w:t>0.5</w:t>
      </w:r>
      <w:r>
        <w:rPr>
          <w:rFonts w:hint="eastAsia" w:ascii="宋体" w:hAnsi="宋体" w:cs="仿宋"/>
          <w:color w:val="auto"/>
          <w:sz w:val="21"/>
          <w:szCs w:val="21"/>
          <w:highlight w:val="none"/>
          <w:u w:val="single"/>
        </w:rPr>
        <w:t>万元</w:t>
      </w:r>
      <w:r>
        <w:rPr>
          <w:rFonts w:hint="eastAsia" w:ascii="宋体" w:hAnsi="宋体" w:cs="仿宋"/>
          <w:color w:val="auto"/>
          <w:sz w:val="21"/>
          <w:szCs w:val="21"/>
          <w:highlight w:val="none"/>
        </w:rPr>
        <w:t>,每死亡一人支付违约金</w:t>
      </w:r>
      <w:r>
        <w:rPr>
          <w:rFonts w:hint="eastAsia" w:ascii="宋体" w:hAnsi="宋体" w:cs="仿宋"/>
          <w:color w:val="auto"/>
          <w:sz w:val="21"/>
          <w:szCs w:val="21"/>
          <w:highlight w:val="none"/>
          <w:u w:val="single"/>
          <w:lang w:val="en-US" w:eastAsia="zh-CN"/>
        </w:rPr>
        <w:t>1</w:t>
      </w:r>
      <w:r>
        <w:rPr>
          <w:rFonts w:hint="eastAsia" w:ascii="宋体" w:hAnsi="宋体" w:cs="仿宋"/>
          <w:color w:val="auto"/>
          <w:sz w:val="21"/>
          <w:szCs w:val="21"/>
          <w:highlight w:val="none"/>
          <w:u w:val="single"/>
        </w:rPr>
        <w:t>万元</w:t>
      </w:r>
      <w:r>
        <w:rPr>
          <w:rFonts w:hint="eastAsia" w:ascii="宋体" w:hAnsi="宋体" w:cs="仿宋"/>
          <w:color w:val="auto"/>
          <w:sz w:val="21"/>
          <w:szCs w:val="21"/>
          <w:highlight w:val="none"/>
        </w:rPr>
        <w:t>。发生前述情形的，委托人有权解除合同，并没收履约保证金。</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11.1.3.12监理人根据合同约定应支付违约金的，应在收到委托人开具的违约处罚通知书后1个月内以现金或转账方式向委托人缴交，逾期未交的，委托人有权从应付合同价款或履约保证金中扣除。</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11.1.3.13</w:t>
      </w:r>
      <w:r>
        <w:rPr>
          <w:rFonts w:hint="eastAsia" w:ascii="宋体" w:hAnsi="宋体"/>
          <w:color w:val="auto"/>
          <w:sz w:val="21"/>
          <w:szCs w:val="21"/>
          <w:highlight w:val="none"/>
        </w:rPr>
        <w:t>委托人有权对监理人的监理工作提出意见或要求，对于委托人发出的工作函件、合同履行中与监理服务有关的来往函件，监理人应在限定期限内提交书面回复函，直至委托人确认；逾期仍不提交的，委托人有权要求监理人支付</w:t>
      </w:r>
      <w:r>
        <w:rPr>
          <w:rFonts w:ascii="宋体" w:hAnsi="宋体"/>
          <w:color w:val="auto"/>
          <w:sz w:val="21"/>
          <w:szCs w:val="21"/>
          <w:highlight w:val="none"/>
          <w:u w:val="single"/>
        </w:rPr>
        <w:t>0.</w:t>
      </w:r>
      <w:r>
        <w:rPr>
          <w:rFonts w:hint="eastAsia" w:ascii="宋体" w:hAnsi="宋体"/>
          <w:color w:val="auto"/>
          <w:sz w:val="21"/>
          <w:szCs w:val="21"/>
          <w:highlight w:val="none"/>
          <w:u w:val="single"/>
          <w:lang w:val="en-US" w:eastAsia="zh-CN"/>
        </w:rPr>
        <w:t>1</w:t>
      </w:r>
      <w:r>
        <w:rPr>
          <w:rFonts w:ascii="宋体" w:hAnsi="宋体"/>
          <w:color w:val="auto"/>
          <w:sz w:val="21"/>
          <w:szCs w:val="21"/>
          <w:highlight w:val="none"/>
          <w:u w:val="single"/>
        </w:rPr>
        <w:t>万元</w:t>
      </w:r>
      <w:r>
        <w:rPr>
          <w:rFonts w:ascii="宋体" w:hAnsi="宋体"/>
          <w:color w:val="auto"/>
          <w:sz w:val="21"/>
          <w:szCs w:val="21"/>
          <w:highlight w:val="none"/>
        </w:rPr>
        <w:t>违约金/次。</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监理人违约的，委托人根据实际情况将其违约行为作为不良记录纳入广州市诚信评价管理系统。</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12.</w:t>
      </w:r>
      <w:r>
        <w:rPr>
          <w:rFonts w:ascii="黑体" w:hAnsi="黑体" w:eastAsia="黑体"/>
          <w:b/>
          <w:color w:val="auto"/>
          <w:sz w:val="32"/>
          <w:highlight w:val="none"/>
        </w:rPr>
        <w:t>争议的解决</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因违反或终止合同而引起的对对方损失和损害的赔偿，双方应当协商解决，如未能达成一致，可提交主管部门协调，如仍未能达成一致时，双方均可向委托人所在地人民法院提起诉讼。</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13.监理人权利和责任</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3</w:t>
      </w:r>
      <w:r>
        <w:rPr>
          <w:rFonts w:ascii="黑体" w:hAnsi="黑体" w:eastAsia="黑体"/>
          <w:color w:val="auto"/>
          <w:sz w:val="28"/>
          <w:highlight w:val="none"/>
        </w:rPr>
        <w:t>.</w:t>
      </w:r>
      <w:r>
        <w:rPr>
          <w:rFonts w:hint="eastAsia" w:ascii="黑体" w:hAnsi="黑体" w:eastAsia="黑体"/>
          <w:color w:val="auto"/>
          <w:sz w:val="28"/>
          <w:highlight w:val="none"/>
        </w:rPr>
        <w:t>1</w:t>
      </w:r>
      <w:r>
        <w:rPr>
          <w:rFonts w:ascii="黑体" w:hAnsi="黑体" w:eastAsia="黑体"/>
          <w:color w:val="auto"/>
          <w:sz w:val="28"/>
          <w:highlight w:val="none"/>
        </w:rPr>
        <w:t xml:space="preserve"> </w:t>
      </w:r>
      <w:r>
        <w:rPr>
          <w:rFonts w:hint="eastAsia" w:ascii="黑体" w:hAnsi="黑体" w:eastAsia="黑体"/>
          <w:color w:val="auto"/>
          <w:sz w:val="28"/>
          <w:highlight w:val="none"/>
        </w:rPr>
        <w:t>监理人权利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13.1.1监理人在委托人委托的工程范围内，享有以下权利：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（1）对工程建设有关事项包括工程规模、设计标准、规划设计、生产工艺设计和使用功能要求，向委托人的建议权。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对工程设计中的技术问题，按照安全和优化的原则，在征得委托人同意后向设计人提出建议。当发现工程设计不符合国家颁布的建设工程质量标准或设计合同约定的质量标准时，监理人应当书面报告委托人并由委托人要求设计人更正。</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）审批工程施工组织设计和技术方案，按照保质量、保工期和</w:t>
      </w:r>
      <w:r>
        <w:rPr>
          <w:rFonts w:hint="eastAsia" w:ascii="宋体" w:hAnsi="宋体"/>
          <w:color w:val="auto"/>
          <w:sz w:val="21"/>
          <w:szCs w:val="21"/>
          <w:highlight w:val="none"/>
          <w:lang w:val="en-US" w:eastAsia="zh-CN"/>
        </w:rPr>
        <w:t>保安全</w:t>
      </w:r>
      <w:r>
        <w:rPr>
          <w:rFonts w:hint="eastAsia" w:ascii="宋体" w:hAnsi="宋体"/>
          <w:color w:val="auto"/>
          <w:sz w:val="21"/>
          <w:szCs w:val="21"/>
          <w:highlight w:val="none"/>
        </w:rPr>
        <w:t>的原则，向承包人提出建议，并向委托人提出书面报告。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）主持工程建设有关协作单位的组织协调，重要协调事项应当事先向委托人报告。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）征得委托人同意，监理人有权发布开工令、停工令、复工令，但应当事先向委托人报告。如在紧急情况下未能事先报告时，则应在24小时内向委托人作出书面报告。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工程上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机构复工令后才能复工。</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）工程施工进度的检查、监督权，以及工程实际竣工日期提前或超过工程设计采购施工合同规定的竣工期限的签认权。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）在工程设计采购施工合同约定的工程价格范围内，工程款支付的审核，以及工程结算的复核确认。未经总监理工程师签字确认，委托人不支付工程款。</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13.1.2监理人在委托人授权下，可对任何承包人合同规定的义务提出变更。如果由此严重影响了工程费用或质量、或进度，则这种变更须经委托人事先批准。在紧急情况下未能事先报委托人批准时，监理人应事先口头请示委托人，并在24小时内书面向委托人报告。在监理过程中如发现工程承包人人员工作不力，监理机构可要求承包人调换有关人员。</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13.1.3在委托的工程范围内，委托人或承包人对对方的任何意见和要求（包括索赔要求），在向对方提出时均必须同时向监理机构提出，由监理机构研究处置意见，再同双方协商确定。当委托人和承包人发生争议时，监理机构应根据自己的职能，以独立的身份判断，公正地进行调解。当双方的争议由政府建设行政主管部门调解或经由司法途径解决时，应当提供作证的事实材料。</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13.1.4监理人对于由其编制的所有文件拥有版权，委托人仅有权为本工程使用或复制此类文件。</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3</w:t>
      </w:r>
      <w:r>
        <w:rPr>
          <w:rFonts w:ascii="黑体" w:hAnsi="黑体" w:eastAsia="黑体"/>
          <w:color w:val="auto"/>
          <w:sz w:val="28"/>
          <w:highlight w:val="none"/>
        </w:rPr>
        <w:t>.</w:t>
      </w:r>
      <w:r>
        <w:rPr>
          <w:rFonts w:hint="eastAsia" w:ascii="黑体" w:hAnsi="黑体" w:eastAsia="黑体"/>
          <w:color w:val="auto"/>
          <w:sz w:val="28"/>
          <w:highlight w:val="none"/>
        </w:rPr>
        <w:t>2</w:t>
      </w:r>
      <w:r>
        <w:rPr>
          <w:rFonts w:ascii="黑体" w:hAnsi="黑体" w:eastAsia="黑体"/>
          <w:color w:val="auto"/>
          <w:sz w:val="28"/>
          <w:highlight w:val="none"/>
        </w:rPr>
        <w:t xml:space="preserve"> </w:t>
      </w:r>
      <w:r>
        <w:rPr>
          <w:rFonts w:hint="eastAsia" w:ascii="黑体" w:hAnsi="黑体" w:eastAsia="黑体"/>
          <w:color w:val="auto"/>
          <w:sz w:val="28"/>
          <w:highlight w:val="none"/>
        </w:rPr>
        <w:t>监理人责任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13.2.1监理人的责任期即委托监理合同有效期。在监理过程中，如果因工程建设进度的推迟或延误而超过书面约定的日期，相应延长合同期。</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13.2.2监理人在责任期内，应当履行约定的义务。对于违反合同约定义务的行为，应承担违约责任，如果因监理人一般过失而造成了委托人的经济损失，应当向委托人赔偿。</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13.2.2.1监理人存在重大过失的情形包括并不限于以下情况：监理人对工程量的确认与经委托人或其他第三方复核的数量相比，多计工程量超过5%以上的。</w:t>
      </w:r>
    </w:p>
    <w:p>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13.2.2.2监理人存在恶意的情形包括并不限于以下情况：监理人将未实际发生的工作内容确认为实际发生的工作内容。</w:t>
      </w:r>
    </w:p>
    <w:p>
      <w:pPr>
        <w:spacing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13.2.2.</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爆破监理人员必须遵守国家、地方的相关法律法规和现场管理制度。</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13.2.3在监理人有充分证据证明其已经按合同履行了职责的情况下，监理人对承包人违反合同规定的质量要求和完工（交图、交货）时限，不承担责任。因不可抗力导致委托监理合同不能全部或部分履行，监理人不承担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13.2.4监理人向委托人提出赔偿要求不能成立时，监理人应当补偿由于该索赔所导致委托人的各种费用支出。</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14.委托人权利和责任</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4</w:t>
      </w:r>
      <w:r>
        <w:rPr>
          <w:rFonts w:ascii="黑体" w:hAnsi="黑体" w:eastAsia="黑体"/>
          <w:color w:val="auto"/>
          <w:sz w:val="28"/>
          <w:highlight w:val="none"/>
        </w:rPr>
        <w:t>.</w:t>
      </w:r>
      <w:r>
        <w:rPr>
          <w:rFonts w:hint="eastAsia" w:ascii="黑体" w:hAnsi="黑体" w:eastAsia="黑体"/>
          <w:color w:val="auto"/>
          <w:sz w:val="28"/>
          <w:highlight w:val="none"/>
        </w:rPr>
        <w:t>1</w:t>
      </w:r>
      <w:r>
        <w:rPr>
          <w:rFonts w:ascii="黑体" w:hAnsi="黑体" w:eastAsia="黑体"/>
          <w:color w:val="auto"/>
          <w:sz w:val="28"/>
          <w:highlight w:val="none"/>
        </w:rPr>
        <w:t xml:space="preserve"> </w:t>
      </w:r>
      <w:r>
        <w:rPr>
          <w:rFonts w:hint="eastAsia" w:ascii="黑体" w:hAnsi="黑体" w:eastAsia="黑体"/>
          <w:color w:val="auto"/>
          <w:sz w:val="28"/>
          <w:highlight w:val="none"/>
        </w:rPr>
        <w:t>委托人权利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14.1.1委托人有选定工程总承包人，以及与其订立合同的权利。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14.1.2委托人有对工程规模、设计标准、规划设计、生产工艺设计和设计使用功能要求的认定权，以及对工程设计变更的审批权。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14.1.3监理人调换总监理工程师或注册造价工程师及其它主要监理机构人员须事先经委托人同意。</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14.1.4委托人有权要求监理人提交监理工作月报及监理业务范围内的专项报告。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14.1.5当委托人发现监理人或监理人员不按监理合同履行监理职责，委托人有权要求监理人进行整改，要求监理人承担相应的违约及赔偿责任，直到解除合同，委托人发现监理人与承包人串通给委托人或工程造成损失的，监理人除应承担违约责任外，还应与承包人承担连带赔偿责任。</w:t>
      </w:r>
    </w:p>
    <w:p>
      <w:pPr>
        <w:spacing w:line="360" w:lineRule="auto"/>
        <w:rPr>
          <w:rFonts w:ascii="黑体" w:hAnsi="黑体" w:eastAsia="黑体"/>
          <w:color w:val="auto"/>
          <w:sz w:val="28"/>
          <w:highlight w:val="none"/>
        </w:rPr>
      </w:pPr>
      <w:r>
        <w:rPr>
          <w:rFonts w:ascii="黑体" w:hAnsi="黑体" w:eastAsia="黑体"/>
          <w:color w:val="auto"/>
          <w:sz w:val="28"/>
          <w:highlight w:val="none"/>
        </w:rPr>
        <w:t>1</w:t>
      </w:r>
      <w:r>
        <w:rPr>
          <w:rFonts w:hint="eastAsia" w:ascii="黑体" w:hAnsi="黑体" w:eastAsia="黑体"/>
          <w:color w:val="auto"/>
          <w:sz w:val="28"/>
          <w:highlight w:val="none"/>
        </w:rPr>
        <w:t>4</w:t>
      </w:r>
      <w:r>
        <w:rPr>
          <w:rFonts w:ascii="黑体" w:hAnsi="黑体" w:eastAsia="黑体"/>
          <w:color w:val="auto"/>
          <w:sz w:val="28"/>
          <w:highlight w:val="none"/>
        </w:rPr>
        <w:t>.</w:t>
      </w:r>
      <w:r>
        <w:rPr>
          <w:rFonts w:hint="eastAsia" w:ascii="黑体" w:hAnsi="黑体" w:eastAsia="黑体"/>
          <w:color w:val="auto"/>
          <w:sz w:val="28"/>
          <w:highlight w:val="none"/>
        </w:rPr>
        <w:t>2</w:t>
      </w:r>
      <w:r>
        <w:rPr>
          <w:rFonts w:ascii="黑体" w:hAnsi="黑体" w:eastAsia="黑体"/>
          <w:color w:val="auto"/>
          <w:sz w:val="28"/>
          <w:highlight w:val="none"/>
        </w:rPr>
        <w:t xml:space="preserve"> </w:t>
      </w:r>
      <w:r>
        <w:rPr>
          <w:rFonts w:hint="eastAsia" w:ascii="黑体" w:hAnsi="黑体" w:eastAsia="黑体"/>
          <w:color w:val="auto"/>
          <w:sz w:val="28"/>
          <w:highlight w:val="none"/>
        </w:rPr>
        <w:t>委托人责任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14.2.1委托人应当履行委托监理合同约定的义务，如有违反则应当承担违约责任，赔偿给监理人造成的经济损失。</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14.2.2委托人如果向监理人提出赔偿的要求不能成立，则应当补偿由该索赔所引起的监理人的各种费用支出。</w:t>
      </w:r>
    </w:p>
    <w:p>
      <w:pPr>
        <w:spacing w:line="360" w:lineRule="auto"/>
        <w:rPr>
          <w:rFonts w:ascii="宋体" w:hAnsi="宋体"/>
          <w:color w:val="auto"/>
          <w:sz w:val="21"/>
          <w:szCs w:val="21"/>
          <w:highlight w:val="none"/>
        </w:rPr>
      </w:pPr>
      <w:r>
        <w:rPr>
          <w:rFonts w:hint="eastAsia" w:ascii="黑体" w:hAnsi="黑体" w:eastAsia="黑体"/>
          <w:b/>
          <w:color w:val="auto"/>
          <w:sz w:val="32"/>
          <w:highlight w:val="none"/>
        </w:rPr>
        <w:t>15.附加条款</w:t>
      </w:r>
    </w:p>
    <w:p>
      <w:pPr>
        <w:spacing w:line="360" w:lineRule="auto"/>
        <w:rPr>
          <w:rFonts w:ascii="黑体" w:hAnsi="黑体" w:eastAsia="黑体"/>
          <w:color w:val="auto"/>
          <w:sz w:val="28"/>
          <w:highlight w:val="none"/>
        </w:rPr>
      </w:pPr>
      <w:r>
        <w:rPr>
          <w:rFonts w:hint="eastAsia" w:ascii="黑体" w:hAnsi="黑体" w:eastAsia="黑体"/>
          <w:color w:val="auto"/>
          <w:sz w:val="28"/>
          <w:highlight w:val="none"/>
        </w:rPr>
        <w:t>15.1诚信评价管理</w:t>
      </w:r>
    </w:p>
    <w:p>
      <w:pPr>
        <w:spacing w:line="30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根据《广州市水务工程施工和监理企业诚信评价管理办法》（穗水规划〔2014〕10号）及《广州市水务工程勘察设计企业诚信评价管理办法》（穗水规划〔2015〕14号）等有关规定，针对广州市水务投资集团有限公司（以下简称“市水投集团”）全资子公司广州市净水有限公司组织实施的建设项目，市水投集团对不充分履约或严重违反合同约定的企业，按诚信评价标准对其作出处罚，且该评价结果由广州市净水有限公司直接录入诚信评价信息系统，并运用于建设项目招投标活动中。</w:t>
      </w:r>
    </w:p>
    <w:p>
      <w:pPr>
        <w:spacing w:before="0" w:beforeAutospacing="0" w:after="0" w:afterAutospacing="0" w:line="300" w:lineRule="auto"/>
        <w:ind w:firstLine="560" w:firstLineChars="200"/>
        <w:rPr>
          <w:rFonts w:hint="eastAsia" w:ascii="宋体" w:hAnsi="宋体"/>
          <w:color w:val="auto"/>
          <w:sz w:val="21"/>
          <w:szCs w:val="21"/>
          <w:highlight w:val="none"/>
        </w:rPr>
      </w:pPr>
      <w:r>
        <w:rPr>
          <w:rFonts w:hint="eastAsia" w:ascii="黑体" w:hAnsi="黑体" w:eastAsia="黑体"/>
          <w:color w:val="auto"/>
          <w:sz w:val="28"/>
          <w:szCs w:val="20"/>
          <w:highlight w:val="none"/>
        </w:rPr>
        <w:t>15.2</w:t>
      </w:r>
      <w:r>
        <w:rPr>
          <w:rFonts w:hint="eastAsia"/>
          <w:color w:val="auto"/>
          <w:sz w:val="21"/>
          <w:szCs w:val="21"/>
          <w:highlight w:val="none"/>
        </w:rPr>
        <w:t>根据《广州市2018年度大气污染综合防治工作计划》（穗水质安[2018]45号）及《广州市住房和城乡建设委员会关于印发建设工程扬尘防治“6个100%”管理标准细化措施的通知》（穗建质【2018】1394号）要求，加强扬尘污染源头控制，监理单位应将施工扬尘污染防治纳入监理范围。在实施监理过程中，发现施工单位未落实扬尘污染防治措施的行为，应当要求施工单位予以整改，情节严重的应当要求施工单位暂时停止施工，并及时报告建设单位。施工单位拒不整改或者不停止施工的，监理单位应当向工程所在地相关行业</w:t>
      </w:r>
      <w:r>
        <w:rPr>
          <w:rFonts w:hint="eastAsia" w:ascii="宋体" w:hAnsi="宋体"/>
          <w:color w:val="auto"/>
          <w:sz w:val="21"/>
          <w:szCs w:val="21"/>
          <w:highlight w:val="none"/>
        </w:rPr>
        <w:t>主管部门报告。</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15.4监理人应负责协调、配合环境保护验收技术服务单位开展相关工作。</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15.5工程资料管理要求</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15.5.1  监理人应建立和完善监理文件资料管理制度，设置专职档案管理人员负责竣工文件的收集、汇总、整理、编制等工作，监理资料应根据施工进度同步组织、整理档案资料，确保资料的完整性、真实性、有效性，并按广州市城建档案馆相关规定、《广州市市政基础设施（水务工程部分）工程档案编制指南》、《广州市建设工程档案归档范围》及委托人制定的档案管理办法等相关要求进行档案管理。</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15.5.2 应落实对监理人资料的收集、整理情况的监督检查，确保每月检查不少于1次，并协助委托人展开档案资料检查工作。</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15.5.3 委托人有权对监理人工程资料管理进行监督检查，对于违反委托人档案管理相关要求或对监理人资料监督检查不到位的，委托人有权对监理人进行违约处罚。</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olor w:val="auto"/>
          <w:sz w:val="21"/>
          <w:szCs w:val="21"/>
          <w:highlight w:val="none"/>
        </w:rPr>
        <w:t>15.6</w:t>
      </w:r>
      <w:r>
        <w:rPr>
          <w:rFonts w:hint="eastAsia" w:ascii="宋体" w:hAnsi="宋体" w:cs="Times New Roman"/>
          <w:color w:val="auto"/>
          <w:kern w:val="0"/>
          <w:sz w:val="21"/>
          <w:szCs w:val="21"/>
          <w:highlight w:val="none"/>
        </w:rPr>
        <w:t>监理人在行使以下职权前，应先取得委托人的批准：</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（1）同意承包人分包工程；</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（2）批准承包人将工程材料和工程设备、施工设备移出施工现场；</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（3）批准承包人的工程设备购置方案、施工组织设计和工程进度计划；</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（4）发出工程开工令；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（5）同意使用替换工程材料；</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（6）发出变更指令；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（7）发出使用暂列金额的工作指令；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（8）指令或确认现场签证；</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（9）顺延工期；</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（10）指令暂停工作或暂停施工；</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（11）确定误期赔偿费；</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（12）调整合同价格；</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（13）合同约定需要委托人批准的其他事项。</w:t>
      </w:r>
    </w:p>
    <w:p>
      <w:pPr>
        <w:spacing w:line="300" w:lineRule="auto"/>
        <w:ind w:firstLine="420" w:firstLineChars="200"/>
        <w:rPr>
          <w:rFonts w:hint="eastAsia" w:ascii="宋体" w:hAnsi="宋体" w:eastAsia="宋体" w:cs="Times New Roman"/>
          <w:color w:val="auto"/>
          <w:kern w:val="0"/>
          <w:sz w:val="21"/>
          <w:szCs w:val="21"/>
          <w:highlight w:val="none"/>
          <w:lang w:val="en-US" w:eastAsia="zh-CN"/>
        </w:rPr>
      </w:pPr>
    </w:p>
    <w:p>
      <w:pPr>
        <w:spacing w:line="300" w:lineRule="auto"/>
        <w:ind w:firstLine="420" w:firstLineChars="200"/>
        <w:rPr>
          <w:rFonts w:hint="eastAsia" w:ascii="宋体" w:hAnsi="宋体"/>
          <w:color w:val="auto"/>
          <w:sz w:val="21"/>
          <w:szCs w:val="21"/>
          <w:highlight w:val="none"/>
        </w:rPr>
      </w:pPr>
    </w:p>
    <w:p>
      <w:pPr>
        <w:ind w:firstLine="420" w:firstLineChars="200"/>
        <w:rPr>
          <w:rFonts w:ascii="宋体" w:hAnsi="宋体"/>
          <w:color w:val="auto"/>
          <w:sz w:val="21"/>
          <w:highlight w:val="none"/>
        </w:rPr>
      </w:pPr>
    </w:p>
    <w:p>
      <w:pPr>
        <w:ind w:firstLine="420" w:firstLineChars="200"/>
        <w:rPr>
          <w:rFonts w:ascii="宋体" w:hAnsi="宋体"/>
          <w:color w:val="auto"/>
          <w:sz w:val="21"/>
          <w:highlight w:val="none"/>
        </w:rPr>
      </w:pPr>
    </w:p>
    <w:p>
      <w:pPr>
        <w:pStyle w:val="2"/>
        <w:rPr>
          <w:rFonts w:ascii="宋体" w:hAnsi="宋体"/>
          <w:color w:val="auto"/>
          <w:sz w:val="21"/>
          <w:highlight w:val="none"/>
        </w:rPr>
      </w:pPr>
    </w:p>
    <w:p>
      <w:pPr>
        <w:pStyle w:val="3"/>
        <w:rPr>
          <w:rFonts w:ascii="宋体" w:hAnsi="宋体"/>
          <w:color w:val="auto"/>
          <w:sz w:val="21"/>
          <w:highlight w:val="none"/>
        </w:rPr>
      </w:pPr>
    </w:p>
    <w:p>
      <w:pPr>
        <w:rPr>
          <w:rFonts w:ascii="宋体" w:hAnsi="宋体"/>
          <w:color w:val="auto"/>
          <w:sz w:val="21"/>
          <w:highlight w:val="none"/>
        </w:rPr>
      </w:pPr>
    </w:p>
    <w:p>
      <w:pPr>
        <w:pStyle w:val="2"/>
        <w:rPr>
          <w:rFonts w:ascii="宋体" w:hAnsi="宋体"/>
          <w:color w:val="auto"/>
          <w:sz w:val="21"/>
          <w:highlight w:val="none"/>
        </w:rPr>
      </w:pPr>
    </w:p>
    <w:p>
      <w:pPr>
        <w:pStyle w:val="3"/>
        <w:rPr>
          <w:rFonts w:ascii="宋体" w:hAnsi="宋体"/>
          <w:color w:val="auto"/>
          <w:sz w:val="21"/>
          <w:highlight w:val="none"/>
        </w:rPr>
      </w:pPr>
    </w:p>
    <w:p>
      <w:pPr>
        <w:rPr>
          <w:rFonts w:ascii="宋体" w:hAnsi="宋体"/>
          <w:color w:val="auto"/>
          <w:sz w:val="21"/>
          <w:highlight w:val="none"/>
        </w:rPr>
      </w:pPr>
    </w:p>
    <w:p>
      <w:pPr>
        <w:pStyle w:val="2"/>
        <w:rPr>
          <w:rFonts w:ascii="宋体" w:hAnsi="宋体"/>
          <w:color w:val="auto"/>
          <w:sz w:val="21"/>
          <w:highlight w:val="none"/>
        </w:rPr>
      </w:pPr>
    </w:p>
    <w:p>
      <w:pPr>
        <w:pStyle w:val="3"/>
      </w:pPr>
    </w:p>
    <w:p>
      <w:pPr>
        <w:ind w:firstLine="420" w:firstLineChars="200"/>
        <w:rPr>
          <w:rFonts w:ascii="宋体" w:hAnsi="宋体"/>
          <w:color w:val="auto"/>
          <w:sz w:val="21"/>
          <w:highlight w:val="none"/>
        </w:rPr>
      </w:pPr>
    </w:p>
    <w:p>
      <w:pPr>
        <w:ind w:firstLine="420" w:firstLineChars="200"/>
        <w:rPr>
          <w:rFonts w:ascii="宋体" w:hAnsi="宋体"/>
          <w:color w:val="auto"/>
          <w:sz w:val="21"/>
          <w:highlight w:val="none"/>
        </w:rPr>
      </w:pPr>
    </w:p>
    <w:p>
      <w:pPr>
        <w:spacing w:line="360" w:lineRule="auto"/>
        <w:jc w:val="center"/>
        <w:rPr>
          <w:rFonts w:ascii="宋体" w:hAnsi="宋体"/>
          <w:color w:val="auto"/>
          <w:sz w:val="21"/>
          <w:highlight w:val="none"/>
        </w:rPr>
      </w:pPr>
      <w:r>
        <w:rPr>
          <w:rFonts w:ascii="黑体" w:hAnsi="黑体" w:eastAsia="黑体"/>
          <w:b/>
          <w:color w:val="auto"/>
          <w:sz w:val="31"/>
          <w:highlight w:val="none"/>
        </w:rPr>
        <w:t>第</w:t>
      </w:r>
      <w:r>
        <w:rPr>
          <w:rFonts w:hint="eastAsia" w:ascii="黑体" w:hAnsi="黑体" w:eastAsia="黑体"/>
          <w:b/>
          <w:color w:val="auto"/>
          <w:sz w:val="31"/>
          <w:highlight w:val="none"/>
        </w:rPr>
        <w:t>四</w:t>
      </w:r>
      <w:r>
        <w:rPr>
          <w:rFonts w:ascii="黑体" w:hAnsi="黑体" w:eastAsia="黑体"/>
          <w:b/>
          <w:color w:val="auto"/>
          <w:sz w:val="31"/>
          <w:highlight w:val="none"/>
        </w:rPr>
        <w:t>节</w:t>
      </w:r>
      <w:r>
        <w:rPr>
          <w:rFonts w:hint="eastAsia" w:ascii="黑体" w:hAnsi="黑体" w:eastAsia="黑体"/>
          <w:b/>
          <w:color w:val="auto"/>
          <w:sz w:val="31"/>
          <w:highlight w:val="none"/>
        </w:rPr>
        <w:t xml:space="preserve">   </w:t>
      </w:r>
      <w:r>
        <w:rPr>
          <w:rFonts w:ascii="黑体" w:hAnsi="黑体" w:eastAsia="黑体"/>
          <w:b/>
          <w:color w:val="auto"/>
          <w:sz w:val="31"/>
          <w:highlight w:val="none"/>
        </w:rPr>
        <w:t>合同附件</w:t>
      </w: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rPr>
          <w:rFonts w:ascii="宋体" w:hAnsi="宋体"/>
          <w:color w:val="auto"/>
          <w:sz w:val="21"/>
          <w:highlight w:val="none"/>
        </w:rPr>
      </w:pPr>
      <w:r>
        <w:rPr>
          <w:rFonts w:ascii="宋体" w:hAnsi="宋体"/>
          <w:color w:val="auto"/>
          <w:sz w:val="21"/>
          <w:highlight w:val="none"/>
        </w:rPr>
        <w:br w:type="page"/>
      </w:r>
    </w:p>
    <w:p>
      <w:pPr>
        <w:rPr>
          <w:rFonts w:ascii="宋体" w:hAnsi="宋体" w:cs="宋体"/>
          <w:b/>
          <w:color w:val="auto"/>
          <w:sz w:val="24"/>
          <w:szCs w:val="24"/>
          <w:highlight w:val="none"/>
        </w:rPr>
      </w:pPr>
      <w:r>
        <w:rPr>
          <w:rFonts w:ascii="黑体" w:hAnsi="黑体" w:eastAsia="黑体"/>
          <w:color w:val="auto"/>
          <w:sz w:val="28"/>
          <w:highlight w:val="none"/>
        </w:rPr>
        <w:t>附件一：</w:t>
      </w:r>
      <w:r>
        <w:rPr>
          <w:rFonts w:hint="eastAsia" w:ascii="宋体" w:hAnsi="宋体" w:cs="宋体"/>
          <w:b/>
          <w:color w:val="auto"/>
          <w:sz w:val="24"/>
          <w:szCs w:val="24"/>
          <w:highlight w:val="none"/>
        </w:rPr>
        <w:t>履约担保（格式）</w:t>
      </w:r>
    </w:p>
    <w:p>
      <w:pPr>
        <w:spacing w:after="156"/>
        <w:jc w:val="center"/>
        <w:rPr>
          <w:rFonts w:ascii="宋体" w:hAnsi="宋体" w:cs="宋体"/>
          <w:b/>
          <w:color w:val="auto"/>
          <w:kern w:val="15"/>
          <w:position w:val="-6"/>
          <w:sz w:val="24"/>
          <w:szCs w:val="24"/>
          <w:highlight w:val="none"/>
        </w:rPr>
      </w:pPr>
      <w:bookmarkStart w:id="61" w:name="_Toc24134_WPSOffice_Level2"/>
      <w:bookmarkStart w:id="62" w:name="_Toc11988_WPSOffice_Level2"/>
      <w:bookmarkStart w:id="63" w:name="_Toc251077993"/>
      <w:bookmarkStart w:id="64" w:name="_Toc269390490"/>
      <w:bookmarkStart w:id="65" w:name="_Toc252864060"/>
      <w:bookmarkStart w:id="66" w:name="_Toc234234246"/>
      <w:bookmarkStart w:id="67" w:name="_Toc269281338"/>
      <w:bookmarkStart w:id="68" w:name="_Toc269280992"/>
      <w:bookmarkStart w:id="69" w:name="_Toc243738971"/>
      <w:bookmarkStart w:id="70" w:name="_Toc262224845"/>
      <w:bookmarkStart w:id="71" w:name="_Toc141263323"/>
      <w:bookmarkStart w:id="72" w:name="_Toc243738741"/>
      <w:r>
        <w:rPr>
          <w:rFonts w:hint="eastAsia" w:ascii="宋体" w:hAnsi="宋体" w:cs="宋体"/>
          <w:b/>
          <w:color w:val="auto"/>
          <w:kern w:val="15"/>
          <w:position w:val="-6"/>
          <w:sz w:val="24"/>
          <w:szCs w:val="24"/>
          <w:highlight w:val="none"/>
        </w:rPr>
        <w:t>履约银行保函</w:t>
      </w:r>
      <w:bookmarkEnd w:id="61"/>
      <w:bookmarkEnd w:id="62"/>
      <w:r>
        <w:rPr>
          <w:rFonts w:hint="eastAsia" w:ascii="宋体" w:hAnsi="宋体" w:cs="宋体"/>
          <w:b/>
          <w:color w:val="auto"/>
          <w:kern w:val="15"/>
          <w:position w:val="-6"/>
          <w:sz w:val="24"/>
          <w:szCs w:val="24"/>
          <w:highlight w:val="none"/>
        </w:rPr>
        <w:t>（格式）</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保函编号：</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致:广州市净水有限公司</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鉴于     （监理人全称）  （下称“监理人”）参与广州市净水有限公司 （以下简称“委托人”）          （项目名称）</w:t>
      </w:r>
      <w:r>
        <w:rPr>
          <w:rFonts w:hint="eastAsia" w:ascii="宋体" w:hAnsi="宋体" w:cs="宋体"/>
          <w:color w:val="auto"/>
          <w:kern w:val="15"/>
          <w:position w:val="-6"/>
          <w:sz w:val="24"/>
          <w:szCs w:val="24"/>
          <w:highlight w:val="none"/>
        </w:rPr>
        <w:tab/>
      </w:r>
      <w:r>
        <w:rPr>
          <w:rFonts w:hint="eastAsia" w:ascii="宋体" w:hAnsi="宋体" w:cs="宋体"/>
          <w:color w:val="auto"/>
          <w:kern w:val="15"/>
          <w:position w:val="-6"/>
          <w:sz w:val="24"/>
          <w:szCs w:val="24"/>
          <w:highlight w:val="none"/>
        </w:rPr>
        <w:t>的投标，委托人接受其投标并发出中标通知书（中标通知书编号：       ，于    年   月   日发出）。鉴于双方拟签订  合同，根据招标文件的规定，且监理人在投标文件中承诺履行实施、完成并保修合同工程的义务和责任，我行愿意出具保函为监理人担保，担保金额为人民币（大写） 元 （￥ 元 ）。</w:t>
      </w:r>
    </w:p>
    <w:p>
      <w:pPr>
        <w:spacing w:after="156"/>
        <w:ind w:firstLine="600" w:firstLineChars="250"/>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的义务是：我行在接到委托人提出的因监理人在履行合同过程中未能履约或违背合同规定的责任和义务而要求索赔的书面通知和付款凭证后的7天内，在上述担保金额的限额内向委托人支付任何数额的款项，无须委托人出具证明或陈述理由。</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在向我行提出要求前，我行将不坚持要求委托人首先向监理人提出上述款项的索赔。</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我行承诺：不论是否经我行知晓或同意，我行的义务和责任不因合同双方当事人对合同条款所作的任何修改或补充而解除。</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本保函至工程竣工验收、工程档案通过委托人验收并完成工程结算之日保持有效。</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本保函一式三份，委托人执正本一份，担保银行、监理人各执副本一份</w:t>
      </w:r>
      <w:bookmarkStart w:id="73" w:name="OLE_LINK10"/>
      <w:r>
        <w:rPr>
          <w:rFonts w:hint="eastAsia" w:ascii="宋体" w:hAnsi="宋体" w:cs="宋体"/>
          <w:color w:val="auto"/>
          <w:kern w:val="15"/>
          <w:position w:val="-6"/>
          <w:sz w:val="24"/>
          <w:szCs w:val="24"/>
          <w:highlight w:val="none"/>
        </w:rPr>
        <w:t>。</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担保银行：（盖章）</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法定代表人：（签字）</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日期：</w:t>
      </w:r>
    </w:p>
    <w:p>
      <w:pPr>
        <w:spacing w:after="156"/>
        <w:rPr>
          <w:rFonts w:ascii="宋体" w:hAnsi="宋体" w:cs="宋体"/>
          <w:color w:val="auto"/>
          <w:kern w:val="15"/>
          <w:position w:val="-6"/>
          <w:sz w:val="24"/>
          <w:szCs w:val="24"/>
          <w:highlight w:val="none"/>
        </w:rPr>
      </w:pPr>
    </w:p>
    <w:bookmarkEnd w:id="63"/>
    <w:bookmarkEnd w:id="64"/>
    <w:bookmarkEnd w:id="65"/>
    <w:bookmarkEnd w:id="66"/>
    <w:bookmarkEnd w:id="67"/>
    <w:bookmarkEnd w:id="68"/>
    <w:bookmarkEnd w:id="69"/>
    <w:bookmarkEnd w:id="70"/>
    <w:bookmarkEnd w:id="71"/>
    <w:bookmarkEnd w:id="72"/>
    <w:bookmarkEnd w:id="73"/>
    <w:p>
      <w:pPr>
        <w:spacing w:after="156"/>
        <w:ind w:firstLine="600"/>
        <w:outlineLvl w:val="0"/>
        <w:rPr>
          <w:rFonts w:ascii="宋体" w:hAnsi="宋体" w:cs="宋体"/>
          <w:color w:val="auto"/>
          <w:sz w:val="24"/>
          <w:szCs w:val="24"/>
          <w:highlight w:val="none"/>
        </w:rPr>
      </w:pPr>
      <w:bookmarkStart w:id="74" w:name="_Toc24732"/>
      <w:bookmarkStart w:id="75" w:name="_Toc26761_WPSOffice_Level1"/>
      <w:bookmarkStart w:id="76" w:name="_Toc4993_WPSOffice_Level1"/>
    </w:p>
    <w:bookmarkEnd w:id="74"/>
    <w:bookmarkEnd w:id="75"/>
    <w:bookmarkEnd w:id="76"/>
    <w:p>
      <w:pPr>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pPr>
        <w:pStyle w:val="84"/>
        <w:rPr>
          <w:rFonts w:hAnsi="宋体" w:cs="宋体"/>
          <w:sz w:val="24"/>
          <w:szCs w:val="24"/>
          <w:highlight w:val="none"/>
        </w:rPr>
      </w:pPr>
    </w:p>
    <w:p>
      <w:pPr>
        <w:spacing w:before="156" w:beforeLines="50" w:line="580" w:lineRule="exact"/>
        <w:outlineLvl w:val="1"/>
        <w:rPr>
          <w:rFonts w:ascii="宋体" w:hAnsi="宋体" w:cs="宋体"/>
          <w:b/>
          <w:color w:val="auto"/>
          <w:sz w:val="24"/>
          <w:szCs w:val="24"/>
          <w:highlight w:val="none"/>
        </w:rPr>
      </w:pPr>
    </w:p>
    <w:p>
      <w:pPr>
        <w:spacing w:before="156" w:beforeLines="50" w:line="580" w:lineRule="exact"/>
        <w:outlineLvl w:val="1"/>
        <w:rPr>
          <w:rFonts w:ascii="宋体" w:hAnsi="宋体" w:cs="宋体"/>
          <w:b/>
          <w:color w:val="auto"/>
          <w:sz w:val="24"/>
          <w:szCs w:val="24"/>
          <w:highlight w:val="none"/>
        </w:rPr>
      </w:pPr>
      <w:r>
        <w:rPr>
          <w:rFonts w:hint="eastAsia" w:ascii="宋体" w:hAnsi="宋体" w:cs="宋体"/>
          <w:b/>
          <w:color w:val="auto"/>
          <w:sz w:val="24"/>
          <w:szCs w:val="24"/>
          <w:highlight w:val="none"/>
        </w:rPr>
        <w:t>附件二 预付款担保（格式）</w:t>
      </w:r>
    </w:p>
    <w:p>
      <w:pPr>
        <w:spacing w:after="156"/>
        <w:jc w:val="center"/>
        <w:rPr>
          <w:rFonts w:ascii="宋体" w:hAnsi="宋体" w:cs="宋体"/>
          <w:b/>
          <w:color w:val="auto"/>
          <w:kern w:val="15"/>
          <w:position w:val="-6"/>
          <w:sz w:val="24"/>
          <w:szCs w:val="24"/>
          <w:highlight w:val="none"/>
        </w:rPr>
      </w:pPr>
      <w:bookmarkStart w:id="77" w:name="_Toc8972_WPSOffice_Level2"/>
      <w:bookmarkStart w:id="78" w:name="_Toc12263_WPSOffice_Level2"/>
      <w:bookmarkStart w:id="79" w:name="_Toc269390491"/>
      <w:bookmarkStart w:id="80" w:name="_Toc234234247"/>
      <w:bookmarkStart w:id="81" w:name="_Toc141263324"/>
      <w:bookmarkStart w:id="82" w:name="_Toc243738972"/>
      <w:bookmarkStart w:id="83" w:name="_Toc262224846"/>
      <w:bookmarkStart w:id="84" w:name="_Toc269281339"/>
      <w:bookmarkStart w:id="85" w:name="_Toc269280993"/>
      <w:bookmarkStart w:id="86" w:name="_Toc243738742"/>
      <w:bookmarkStart w:id="87" w:name="_Toc252864061"/>
      <w:bookmarkStart w:id="88" w:name="_Toc251077994"/>
      <w:r>
        <w:rPr>
          <w:rFonts w:hint="eastAsia" w:ascii="宋体" w:hAnsi="宋体" w:cs="宋体"/>
          <w:b/>
          <w:color w:val="auto"/>
          <w:kern w:val="15"/>
          <w:position w:val="-6"/>
          <w:sz w:val="24"/>
          <w:szCs w:val="24"/>
          <w:highlight w:val="none"/>
        </w:rPr>
        <w:t>预付款银行保函</w:t>
      </w:r>
      <w:bookmarkEnd w:id="77"/>
      <w:bookmarkEnd w:id="78"/>
      <w:r>
        <w:rPr>
          <w:rFonts w:hint="eastAsia" w:ascii="宋体" w:hAnsi="宋体" w:cs="宋体"/>
          <w:b/>
          <w:color w:val="auto"/>
          <w:kern w:val="15"/>
          <w:position w:val="-6"/>
          <w:sz w:val="24"/>
          <w:szCs w:val="24"/>
          <w:highlight w:val="none"/>
        </w:rPr>
        <w:t>（格式）</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保函编号：</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致：广州市净水有限公司</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根据（监理人全称）（以下简称“监理人”）与广州市净水有限公司（以下简称“委托人”）签订的      合同（合同编号：        ，于     年    月     日签订）关于预付款的约定,</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[监理人名称]应向广州市净水有限公司提交等额的预付款银行保函作为担保。我行愿意出具保函为监理人担保，担保金额为人民币</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 ¥</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元)。</w:t>
      </w:r>
    </w:p>
    <w:p>
      <w:pPr>
        <w:spacing w:after="156"/>
        <w:ind w:firstLine="360" w:firstLineChars="150"/>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的义务是：我行在接到委托人提出的因监理人在履行合同过程中未能履约或违背合同规定的责任和义务而要求索赔的书面通知和付款凭证后的7天内，在上述担保金额的限额内向委托人支付任何数额的款项，无须委托人出具证明或陈述理由。</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在向我行提出要求前，我行将不坚持要求委托人首先向监理人提出上述款项的索赔。</w:t>
      </w:r>
    </w:p>
    <w:p>
      <w:pPr>
        <w:spacing w:line="360" w:lineRule="auto"/>
        <w:ind w:firstLine="480"/>
        <w:rPr>
          <w:rFonts w:ascii="宋体" w:hAnsi="宋体" w:cs="宋体"/>
          <w:color w:val="auto"/>
          <w:kern w:val="15"/>
          <w:position w:val="-6"/>
          <w:sz w:val="24"/>
          <w:szCs w:val="24"/>
          <w:highlight w:val="none"/>
        </w:rPr>
      </w:pPr>
      <w:r>
        <w:rPr>
          <w:rFonts w:hint="eastAsia" w:ascii="宋体" w:hAnsi="宋体" w:cs="宋体"/>
          <w:color w:val="auto"/>
          <w:sz w:val="24"/>
          <w:szCs w:val="24"/>
          <w:highlight w:val="none"/>
        </w:rPr>
        <w:t>我行承诺：不论是否经我行知晓或同意，我行的义务和责任不因合同双方当事人对合同条款所作的任何修改或补充而解除。</w:t>
      </w:r>
    </w:p>
    <w:p>
      <w:pPr>
        <w:spacing w:after="156"/>
        <w:rPr>
          <w:rFonts w:ascii="宋体" w:hAnsi="宋体" w:cs="宋体"/>
          <w:color w:val="auto"/>
          <w:kern w:val="15"/>
          <w:position w:val="-6"/>
          <w:sz w:val="24"/>
          <w:szCs w:val="24"/>
          <w:highlight w:val="none"/>
        </w:rPr>
      </w:pPr>
      <w:r>
        <w:rPr>
          <w:rFonts w:hint="eastAsia" w:ascii="宋体" w:hAnsi="宋体" w:cs="宋体"/>
          <w:color w:val="auto"/>
          <w:sz w:val="24"/>
          <w:szCs w:val="24"/>
          <w:highlight w:val="none"/>
        </w:rPr>
        <w:t>本保函自监理人获得预付款之日起生效，至委托人抵扣完全部预付款之日止</w:t>
      </w:r>
      <w:r>
        <w:rPr>
          <w:rFonts w:hint="eastAsia" w:ascii="宋体" w:hAnsi="宋体" w:cs="宋体"/>
          <w:color w:val="auto"/>
          <w:kern w:val="15"/>
          <w:position w:val="-6"/>
          <w:sz w:val="24"/>
          <w:szCs w:val="24"/>
          <w:highlight w:val="none"/>
        </w:rPr>
        <w:t>。</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担保银行：（盖章）</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法定代表人：（签字）</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日期：</w:t>
      </w:r>
      <w:bookmarkEnd w:id="79"/>
      <w:bookmarkEnd w:id="80"/>
      <w:bookmarkEnd w:id="81"/>
      <w:bookmarkEnd w:id="82"/>
      <w:bookmarkEnd w:id="83"/>
      <w:bookmarkEnd w:id="84"/>
      <w:bookmarkEnd w:id="85"/>
      <w:bookmarkEnd w:id="86"/>
      <w:bookmarkEnd w:id="87"/>
      <w:bookmarkEnd w:id="88"/>
    </w:p>
    <w:p>
      <w:pPr>
        <w:pStyle w:val="84"/>
        <w:rPr>
          <w:rFonts w:hAnsi="宋体" w:cs="宋体"/>
          <w:sz w:val="24"/>
          <w:szCs w:val="24"/>
          <w:highlight w:val="none"/>
        </w:rPr>
      </w:pPr>
    </w:p>
    <w:p>
      <w:pPr>
        <w:tabs>
          <w:tab w:val="left" w:pos="2320"/>
          <w:tab w:val="left" w:pos="2940"/>
          <w:tab w:val="left" w:pos="3160"/>
          <w:tab w:val="left" w:pos="4620"/>
          <w:tab w:val="left" w:pos="5380"/>
          <w:tab w:val="left" w:pos="6120"/>
          <w:tab w:val="left" w:pos="6340"/>
          <w:tab w:val="left" w:pos="7060"/>
          <w:tab w:val="left" w:pos="7280"/>
          <w:tab w:val="left" w:pos="8020"/>
          <w:tab w:val="left" w:pos="8200"/>
        </w:tabs>
        <w:spacing w:line="20" w:lineRule="exact"/>
        <w:ind w:left="1900"/>
        <w:rPr>
          <w:rFonts w:eastAsia="Times New Roman"/>
          <w:color w:val="auto"/>
          <w:sz w:val="1"/>
          <w:highlight w:val="none"/>
        </w:rPr>
      </w:pP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p>
    <w:p>
      <w:pPr>
        <w:spacing w:line="560" w:lineRule="exact"/>
        <w:ind w:firstLine="480" w:firstLineChars="200"/>
        <w:rPr>
          <w:rFonts w:ascii="宋体" w:hAnsi="宋体" w:cs="宋体"/>
          <w:color w:val="auto"/>
          <w:sz w:val="24"/>
          <w:szCs w:val="24"/>
          <w:highlight w:val="none"/>
        </w:rPr>
      </w:pPr>
    </w:p>
    <w:p>
      <w:pPr>
        <w:spacing w:line="360" w:lineRule="auto"/>
        <w:rPr>
          <w:rFonts w:ascii="黑体" w:hAnsi="黑体" w:eastAsia="黑体"/>
          <w:color w:val="auto"/>
          <w:sz w:val="28"/>
          <w:highlight w:val="none"/>
        </w:rPr>
      </w:pPr>
      <w:r>
        <w:rPr>
          <w:rFonts w:ascii="宋体" w:hAnsi="宋体"/>
          <w:color w:val="auto"/>
          <w:sz w:val="21"/>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三</w:t>
      </w:r>
      <w:r>
        <w:rPr>
          <w:rFonts w:ascii="黑体" w:hAnsi="黑体" w:eastAsia="黑体"/>
          <w:color w:val="auto"/>
          <w:sz w:val="28"/>
          <w:highlight w:val="none"/>
        </w:rPr>
        <w:t>：</w:t>
      </w:r>
      <w:r>
        <w:rPr>
          <w:rFonts w:hint="eastAsia" w:ascii="宋体" w:hAnsi="宋体"/>
          <w:color w:val="auto"/>
          <w:sz w:val="21"/>
          <w:szCs w:val="21"/>
          <w:highlight w:val="none"/>
          <w:lang w:val="en-US" w:eastAsia="zh-CN"/>
        </w:rPr>
        <w:t>成交通知书</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四</w:t>
      </w:r>
      <w:r>
        <w:rPr>
          <w:rFonts w:ascii="黑体" w:hAnsi="黑体" w:eastAsia="黑体"/>
          <w:color w:val="auto"/>
          <w:sz w:val="28"/>
          <w:highlight w:val="none"/>
        </w:rPr>
        <w:t>：</w:t>
      </w:r>
      <w:r>
        <w:rPr>
          <w:rFonts w:hint="eastAsia" w:ascii="黑体" w:hAnsi="黑体" w:eastAsia="黑体"/>
          <w:color w:val="auto"/>
          <w:sz w:val="28"/>
          <w:highlight w:val="none"/>
        </w:rPr>
        <w:t>监理服务收费报价计算表</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五</w:t>
      </w:r>
      <w:r>
        <w:rPr>
          <w:rFonts w:ascii="黑体" w:hAnsi="黑体" w:eastAsia="黑体"/>
          <w:color w:val="auto"/>
          <w:sz w:val="28"/>
          <w:highlight w:val="none"/>
        </w:rPr>
        <w:t>：</w:t>
      </w:r>
      <w:r>
        <w:rPr>
          <w:rFonts w:hint="eastAsia" w:ascii="黑体" w:hAnsi="黑体" w:eastAsia="黑体"/>
          <w:color w:val="auto"/>
          <w:sz w:val="28"/>
          <w:highlight w:val="none"/>
        </w:rPr>
        <w:t>监理服务的形式、范围与内容</w:t>
      </w:r>
    </w:p>
    <w:p>
      <w:pPr>
        <w:spacing w:line="360" w:lineRule="auto"/>
        <w:jc w:val="center"/>
        <w:rPr>
          <w:rFonts w:ascii="宋体" w:hAnsi="宋体"/>
          <w:color w:val="auto"/>
          <w:sz w:val="32"/>
          <w:szCs w:val="32"/>
          <w:highlight w:val="none"/>
        </w:rPr>
      </w:pPr>
      <w:r>
        <w:rPr>
          <w:rFonts w:hint="eastAsia" w:ascii="宋体" w:hAnsi="宋体"/>
          <w:color w:val="auto"/>
          <w:sz w:val="32"/>
          <w:szCs w:val="32"/>
          <w:highlight w:val="none"/>
        </w:rPr>
        <w:t>监理服务的形式、范围与内容</w:t>
      </w:r>
    </w:p>
    <w:p>
      <w:pPr>
        <w:tabs>
          <w:tab w:val="left" w:pos="720"/>
          <w:tab w:val="left" w:pos="1080"/>
        </w:tabs>
        <w:autoSpaceDE w:val="0"/>
        <w:autoSpaceDN w:val="0"/>
        <w:adjustRightInd w:val="0"/>
        <w:spacing w:line="384" w:lineRule="auto"/>
        <w:ind w:left="720" w:hanging="238"/>
        <w:outlineLvl w:val="0"/>
        <w:rPr>
          <w:rFonts w:ascii="宋体"/>
          <w:color w:val="auto"/>
          <w:spacing w:val="2"/>
          <w:position w:val="2"/>
          <w:sz w:val="24"/>
          <w:highlight w:val="none"/>
        </w:rPr>
      </w:pPr>
      <w:r>
        <w:rPr>
          <w:rFonts w:hint="eastAsia" w:ascii="宋体" w:hAnsi="宋体"/>
          <w:color w:val="auto"/>
          <w:spacing w:val="2"/>
          <w:position w:val="2"/>
          <w:sz w:val="24"/>
          <w:highlight w:val="none"/>
        </w:rPr>
        <w:t>一、监理服务要求</w:t>
      </w:r>
    </w:p>
    <w:p>
      <w:pPr>
        <w:tabs>
          <w:tab w:val="left" w:pos="0"/>
        </w:tabs>
        <w:autoSpaceDE w:val="0"/>
        <w:autoSpaceDN w:val="0"/>
        <w:adjustRightInd w:val="0"/>
        <w:spacing w:line="384" w:lineRule="auto"/>
        <w:ind w:firstLine="540"/>
        <w:rPr>
          <w:rFonts w:ascii="宋体"/>
          <w:color w:val="auto"/>
          <w:spacing w:val="2"/>
          <w:position w:val="2"/>
          <w:sz w:val="24"/>
          <w:highlight w:val="none"/>
        </w:rPr>
      </w:pPr>
      <w:r>
        <w:rPr>
          <w:rFonts w:hint="eastAsia" w:ascii="宋体" w:hAnsi="宋体"/>
          <w:color w:val="auto"/>
          <w:spacing w:val="2"/>
          <w:position w:val="2"/>
          <w:sz w:val="24"/>
          <w:highlight w:val="none"/>
        </w:rPr>
        <w:t>监理人应依据项目合同条件的规定，通过有效地计划、组织和协调，监督相关各方履行各自的职责，如实地记录、作证，以实施质量控制为主</w:t>
      </w:r>
      <w:r>
        <w:rPr>
          <w:rFonts w:hint="eastAsia" w:ascii="宋体"/>
          <w:color w:val="auto"/>
          <w:spacing w:val="2"/>
          <w:position w:val="2"/>
          <w:sz w:val="24"/>
          <w:highlight w:val="none"/>
        </w:rPr>
        <w:t>,</w:t>
      </w:r>
      <w:r>
        <w:rPr>
          <w:rFonts w:hint="eastAsia" w:ascii="宋体" w:hAnsi="宋体"/>
          <w:color w:val="auto"/>
          <w:spacing w:val="2"/>
          <w:position w:val="2"/>
          <w:sz w:val="24"/>
          <w:highlight w:val="none"/>
        </w:rPr>
        <w:t>进行进度、投资、安全、工期控制及合同管理，使本项目达到合同约定标准和按期完工。</w:t>
      </w:r>
    </w:p>
    <w:p>
      <w:pPr>
        <w:spacing w:line="384" w:lineRule="auto"/>
        <w:ind w:firstLine="488" w:firstLineChars="200"/>
        <w:outlineLvl w:val="0"/>
        <w:rPr>
          <w:rFonts w:ascii="宋体"/>
          <w:color w:val="auto"/>
          <w:spacing w:val="2"/>
          <w:position w:val="2"/>
          <w:sz w:val="24"/>
          <w:highlight w:val="none"/>
        </w:rPr>
      </w:pPr>
      <w:r>
        <w:rPr>
          <w:rFonts w:hint="eastAsia" w:ascii="宋体" w:hAnsi="宋体"/>
          <w:color w:val="auto"/>
          <w:spacing w:val="2"/>
          <w:position w:val="2"/>
          <w:sz w:val="24"/>
          <w:highlight w:val="none"/>
        </w:rPr>
        <w:t>二、监理服务的范围</w:t>
      </w:r>
    </w:p>
    <w:p>
      <w:pPr>
        <w:adjustRightInd w:val="0"/>
        <w:snapToGrid w:val="0"/>
        <w:spacing w:line="384" w:lineRule="auto"/>
        <w:ind w:firstLine="480" w:firstLineChars="200"/>
        <w:rPr>
          <w:rFonts w:ascii="宋体"/>
          <w:color w:val="auto"/>
          <w:sz w:val="24"/>
          <w:highlight w:val="none"/>
        </w:rPr>
      </w:pPr>
      <w:r>
        <w:rPr>
          <w:rFonts w:hint="eastAsia" w:ascii="宋体" w:hAnsi="宋体"/>
          <w:color w:val="auto"/>
          <w:sz w:val="24"/>
          <w:highlight w:val="none"/>
          <w:u w:val="single"/>
        </w:rPr>
        <w:t>（1）</w:t>
      </w:r>
      <w:r>
        <w:rPr>
          <w:rFonts w:hint="eastAsia" w:ascii="宋体" w:hAnsi="宋体"/>
          <w:color w:val="auto"/>
          <w:sz w:val="24"/>
          <w:highlight w:val="none"/>
        </w:rPr>
        <w:t>工程施工监理：包括《建设施工监理规范》（GB50319—2013）规定的隶属于本工程的施工准备期、施工期、工程缺陷责任期阶段的质量控制、投资控制、进度控制、组织协调、合同管理、安全文明的施工监理工作；</w:t>
      </w:r>
    </w:p>
    <w:p>
      <w:pPr>
        <w:spacing w:line="300" w:lineRule="auto"/>
        <w:ind w:firstLine="480" w:firstLineChars="200"/>
        <w:rPr>
          <w:color w:val="auto"/>
          <w:highlight w:val="none"/>
        </w:rPr>
      </w:pPr>
      <w:r>
        <w:rPr>
          <w:rFonts w:hint="eastAsia" w:ascii="宋体" w:hAnsi="宋体"/>
          <w:color w:val="auto"/>
          <w:sz w:val="24"/>
          <w:highlight w:val="none"/>
          <w:u w:val="single"/>
        </w:rPr>
        <w:t>（2）</w:t>
      </w:r>
      <w:r>
        <w:rPr>
          <w:rFonts w:hint="eastAsia" w:ascii="宋体" w:hAnsi="宋体"/>
          <w:color w:val="auto"/>
          <w:sz w:val="24"/>
          <w:highlight w:val="none"/>
        </w:rPr>
        <w:t>工程项目管理：负责对整个工程内各专项工程的统一规划、统一调度、统一协调。协调各进驻单位（包括总包与分包单位）工程同步建设，对各进驻单位工程进度统一调控，以使各进驻单位施工期间能够做到井然有序，不相互干扰、制约。</w:t>
      </w:r>
    </w:p>
    <w:p>
      <w:pPr>
        <w:adjustRightInd w:val="0"/>
        <w:snapToGrid w:val="0"/>
        <w:spacing w:line="384" w:lineRule="auto"/>
        <w:ind w:firstLine="480" w:firstLineChars="200"/>
        <w:rPr>
          <w:rFonts w:ascii="宋体" w:hAnsi="宋体"/>
          <w:color w:val="auto"/>
          <w:sz w:val="24"/>
          <w:highlight w:val="none"/>
        </w:rPr>
      </w:pPr>
      <w:r>
        <w:rPr>
          <w:rFonts w:hint="eastAsia" w:ascii="宋体" w:hAnsi="宋体"/>
          <w:color w:val="auto"/>
          <w:sz w:val="24"/>
          <w:highlight w:val="none"/>
        </w:rPr>
        <w:t>（3）危大工程专项管理：根据《危险性较大的分部分项工程安全管理规定（住建部2018）37号文》规定，监理企业应当建立危大工程安全管理档案，应当将监理实施细则，专项施工方案审查、专项巡视检查、验收及整改等相关资料纳入档案管理。</w:t>
      </w:r>
    </w:p>
    <w:p>
      <w:pPr>
        <w:adjustRightInd w:val="0"/>
        <w:snapToGrid w:val="0"/>
        <w:spacing w:line="384" w:lineRule="auto"/>
        <w:ind w:firstLine="480" w:firstLineChars="200"/>
        <w:rPr>
          <w:rFonts w:ascii="宋体"/>
          <w:color w:val="auto"/>
          <w:sz w:val="24"/>
          <w:highlight w:val="none"/>
        </w:rPr>
      </w:pPr>
    </w:p>
    <w:p>
      <w:pPr>
        <w:tabs>
          <w:tab w:val="left" w:pos="0"/>
        </w:tabs>
        <w:autoSpaceDE w:val="0"/>
        <w:autoSpaceDN w:val="0"/>
        <w:adjustRightInd w:val="0"/>
        <w:spacing w:line="384" w:lineRule="auto"/>
        <w:ind w:firstLine="540"/>
        <w:outlineLvl w:val="0"/>
        <w:rPr>
          <w:rFonts w:ascii="宋体"/>
          <w:color w:val="auto"/>
          <w:spacing w:val="2"/>
          <w:position w:val="2"/>
          <w:sz w:val="24"/>
          <w:highlight w:val="none"/>
        </w:rPr>
      </w:pPr>
      <w:r>
        <w:rPr>
          <w:rFonts w:hint="eastAsia" w:ascii="宋体" w:hAnsi="宋体"/>
          <w:color w:val="auto"/>
          <w:spacing w:val="2"/>
          <w:position w:val="2"/>
          <w:sz w:val="24"/>
          <w:highlight w:val="none"/>
        </w:rPr>
        <w:t>三、监理服务的内容和要求</w:t>
      </w:r>
    </w:p>
    <w:p>
      <w:pPr>
        <w:adjustRightInd w:val="0"/>
        <w:snapToGrid w:val="0"/>
        <w:spacing w:before="0" w:beforeAutospacing="0" w:after="0" w:afterAutospacing="0" w:line="384" w:lineRule="auto"/>
        <w:ind w:firstLine="720" w:firstLineChars="300"/>
        <w:rPr>
          <w:rFonts w:hint="default" w:ascii="宋体" w:hAnsi="宋体"/>
          <w:color w:val="auto"/>
          <w:spacing w:val="0"/>
          <w:position w:val="0"/>
          <w:sz w:val="24"/>
          <w:highlight w:val="none"/>
          <w:lang w:val="en-US" w:eastAsia="zh-CN"/>
        </w:rPr>
      </w:pPr>
      <w:r>
        <w:rPr>
          <w:rFonts w:hint="eastAsia" w:ascii="宋体" w:hAnsi="宋体"/>
          <w:color w:val="auto"/>
          <w:spacing w:val="0"/>
          <w:position w:val="0"/>
          <w:sz w:val="24"/>
          <w:highlight w:val="none"/>
          <w:lang w:val="en-US" w:eastAsia="zh-CN"/>
        </w:rPr>
        <w:t>（一）</w:t>
      </w:r>
      <w:r>
        <w:rPr>
          <w:rFonts w:hint="default" w:ascii="宋体" w:hAnsi="宋体"/>
          <w:color w:val="auto"/>
          <w:spacing w:val="0"/>
          <w:position w:val="0"/>
          <w:sz w:val="24"/>
          <w:highlight w:val="none"/>
          <w:lang w:val="en-US" w:eastAsia="zh-CN"/>
        </w:rPr>
        <w:t>爆破安全监理的主要内容：</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val="en-US" w:eastAsia="zh-CN"/>
        </w:rPr>
        <w:t>1、</w:t>
      </w:r>
      <w:r>
        <w:rPr>
          <w:rFonts w:hint="eastAsia" w:ascii="宋体" w:hAnsi="宋体"/>
          <w:color w:val="auto"/>
          <w:spacing w:val="0"/>
          <w:position w:val="0"/>
          <w:sz w:val="24"/>
          <w:highlight w:val="none"/>
          <w:lang w:val="en-US" w:eastAsia="zh-CN"/>
        </w:rPr>
        <w:t>监督</w:t>
      </w:r>
      <w:r>
        <w:rPr>
          <w:rFonts w:hint="default" w:ascii="宋体" w:hAnsi="宋体"/>
          <w:color w:val="auto"/>
          <w:sz w:val="24"/>
          <w:highlight w:val="none"/>
        </w:rPr>
        <w:t>爆破作业单位按照</w:t>
      </w:r>
      <w:r>
        <w:rPr>
          <w:rFonts w:hint="eastAsia" w:ascii="宋体" w:hAnsi="宋体"/>
          <w:color w:val="auto"/>
          <w:sz w:val="24"/>
          <w:highlight w:val="none"/>
          <w:lang w:val="en-US" w:eastAsia="zh-CN"/>
        </w:rPr>
        <w:t>公安机关审批的爆破</w:t>
      </w:r>
      <w:r>
        <w:rPr>
          <w:rFonts w:hint="default" w:ascii="宋体" w:hAnsi="宋体"/>
          <w:color w:val="auto"/>
          <w:sz w:val="24"/>
          <w:highlight w:val="none"/>
        </w:rPr>
        <w:t>设计方案施工；</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val="en-US" w:eastAsia="zh-CN"/>
        </w:rPr>
        <w:t>2、</w:t>
      </w:r>
      <w:r>
        <w:rPr>
          <w:rFonts w:hint="eastAsia" w:ascii="宋体" w:hAnsi="宋体"/>
          <w:color w:val="auto"/>
          <w:spacing w:val="0"/>
          <w:position w:val="0"/>
          <w:sz w:val="24"/>
          <w:highlight w:val="none"/>
          <w:lang w:val="en-US" w:eastAsia="zh-CN"/>
        </w:rPr>
        <w:t>审查</w:t>
      </w:r>
      <w:r>
        <w:rPr>
          <w:rFonts w:hint="default" w:ascii="宋体" w:hAnsi="宋体"/>
          <w:color w:val="auto"/>
          <w:sz w:val="24"/>
          <w:highlight w:val="none"/>
        </w:rPr>
        <w:t>爆破有害效应是否控制在设计范围内；</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eastAsia="zh-CN"/>
        </w:rPr>
        <w:t>3、</w:t>
      </w:r>
      <w:r>
        <w:rPr>
          <w:rFonts w:hint="default" w:ascii="宋体" w:hAnsi="宋体"/>
          <w:color w:val="auto"/>
          <w:sz w:val="24"/>
          <w:highlight w:val="none"/>
        </w:rPr>
        <w:t>审验爆破作业人员的资格，制止无资格人员从事爆破作业；</w:t>
      </w:r>
      <w:r>
        <w:rPr>
          <w:rFonts w:hint="eastAsia" w:ascii="宋体" w:hAnsi="宋体"/>
          <w:color w:val="auto"/>
          <w:sz w:val="24"/>
          <w:highlight w:val="none"/>
          <w:lang w:val="en-US" w:eastAsia="zh-CN"/>
        </w:rPr>
        <w:t>监督施工方作业人员岗前安全培训及三级安全教育；监督承包商严格执行委托人规定的有关管理制度。</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eastAsia="zh-CN"/>
        </w:rPr>
        <w:t>4、</w:t>
      </w:r>
      <w:r>
        <w:rPr>
          <w:rFonts w:hint="default" w:ascii="宋体" w:hAnsi="宋体"/>
          <w:color w:val="auto"/>
          <w:sz w:val="24"/>
          <w:highlight w:val="none"/>
        </w:rPr>
        <w:t>监督民用爆炸物品领取、清退制度的落实情况；</w:t>
      </w:r>
    </w:p>
    <w:p>
      <w:pPr>
        <w:adjustRightInd w:val="0"/>
        <w:snapToGrid w:val="0"/>
        <w:spacing w:before="0" w:beforeAutospacing="0" w:after="0" w:afterAutospacing="0" w:line="384" w:lineRule="auto"/>
        <w:ind w:firstLine="480" w:firstLineChars="200"/>
        <w:rPr>
          <w:rFonts w:hint="eastAsia" w:ascii="宋体" w:hAnsi="宋体"/>
          <w:color w:val="auto"/>
          <w:spacing w:val="0"/>
          <w:position w:val="0"/>
          <w:sz w:val="24"/>
          <w:highlight w:val="none"/>
          <w:lang w:val="en-US" w:eastAsia="zh-CN"/>
        </w:rPr>
      </w:pPr>
      <w:r>
        <w:rPr>
          <w:rFonts w:hint="default" w:ascii="宋体" w:hAnsi="宋体"/>
          <w:color w:val="auto"/>
          <w:spacing w:val="0"/>
          <w:position w:val="0"/>
          <w:sz w:val="24"/>
          <w:highlight w:val="none"/>
          <w:lang w:eastAsia="zh-CN"/>
        </w:rPr>
        <w:t>5、</w:t>
      </w:r>
      <w:r>
        <w:rPr>
          <w:rFonts w:hint="default" w:ascii="宋体" w:hAnsi="宋体"/>
          <w:color w:val="auto"/>
          <w:sz w:val="24"/>
          <w:highlight w:val="none"/>
        </w:rPr>
        <w:t>监督爆破作业单位</w:t>
      </w:r>
      <w:r>
        <w:rPr>
          <w:rFonts w:hint="eastAsia" w:ascii="宋体" w:hAnsi="宋体"/>
          <w:color w:val="auto"/>
          <w:sz w:val="24"/>
          <w:highlight w:val="none"/>
          <w:lang w:val="en-US" w:eastAsia="zh-CN"/>
        </w:rPr>
        <w:t>严格</w:t>
      </w:r>
      <w:r>
        <w:rPr>
          <w:rFonts w:hint="default" w:ascii="宋体" w:hAnsi="宋体"/>
          <w:color w:val="auto"/>
          <w:sz w:val="24"/>
          <w:highlight w:val="none"/>
        </w:rPr>
        <w:t>遵守国家有关标准和规范</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落实安全措施</w:t>
      </w:r>
      <w:r>
        <w:rPr>
          <w:rFonts w:hint="default" w:ascii="宋体" w:hAnsi="宋体"/>
          <w:color w:val="auto"/>
          <w:sz w:val="24"/>
          <w:highlight w:val="none"/>
        </w:rPr>
        <w:t>，发现违章指挥和违章作业，有权停止其爆破作业，并向委托单位和公安机关报告。</w:t>
      </w:r>
    </w:p>
    <w:p>
      <w:pPr>
        <w:pStyle w:val="78"/>
        <w:spacing w:before="0" w:beforeAutospacing="0" w:after="0" w:afterAutospacing="0" w:line="360" w:lineRule="auto"/>
        <w:ind w:firstLine="480"/>
        <w:rPr>
          <w:rFonts w:hint="default" w:eastAsia="宋体"/>
          <w:color w:val="auto"/>
          <w:kern w:val="2"/>
          <w:szCs w:val="20"/>
          <w:highlight w:val="none"/>
          <w:lang w:val="en-US" w:eastAsia="zh-CN"/>
        </w:rPr>
      </w:pPr>
      <w:r>
        <w:rPr>
          <w:rFonts w:hint="eastAsia"/>
          <w:color w:val="auto"/>
          <w:kern w:val="2"/>
          <w:szCs w:val="20"/>
          <w:highlight w:val="none"/>
          <w:lang w:eastAsia="zh-CN"/>
        </w:rPr>
        <w:t>（</w:t>
      </w:r>
      <w:r>
        <w:rPr>
          <w:rFonts w:hint="eastAsia"/>
          <w:color w:val="auto"/>
          <w:kern w:val="2"/>
          <w:szCs w:val="20"/>
          <w:highlight w:val="none"/>
          <w:lang w:val="en-US" w:eastAsia="zh-CN"/>
        </w:rPr>
        <w:t>二）监理服务的主要要求</w:t>
      </w:r>
    </w:p>
    <w:p>
      <w:pPr>
        <w:pStyle w:val="78"/>
        <w:spacing w:before="0" w:beforeAutospacing="0" w:after="0" w:afterAutospacing="0" w:line="360" w:lineRule="auto"/>
        <w:ind w:firstLine="480"/>
        <w:rPr>
          <w:color w:val="auto"/>
          <w:kern w:val="2"/>
          <w:szCs w:val="20"/>
          <w:highlight w:val="none"/>
        </w:rPr>
      </w:pPr>
      <w:r>
        <w:rPr>
          <w:rFonts w:hint="eastAsia"/>
          <w:color w:val="auto"/>
          <w:kern w:val="2"/>
          <w:szCs w:val="20"/>
          <w:highlight w:val="none"/>
          <w:lang w:val="en-US" w:eastAsia="zh-CN"/>
        </w:rPr>
        <w:t>1</w:t>
      </w:r>
      <w:r>
        <w:rPr>
          <w:rFonts w:hint="eastAsia"/>
          <w:color w:val="auto"/>
          <w:kern w:val="2"/>
          <w:szCs w:val="20"/>
          <w:highlight w:val="none"/>
        </w:rPr>
        <w:t>、应在详细了解安全技术规定、应急预案后认真编制监理规划和实施细则，并制定监理人员岗位职责。</w:t>
      </w:r>
    </w:p>
    <w:p>
      <w:pPr>
        <w:pStyle w:val="78"/>
        <w:spacing w:before="0" w:beforeAutospacing="0" w:after="0" w:afterAutospacing="0" w:line="360" w:lineRule="auto"/>
        <w:ind w:firstLine="480"/>
        <w:rPr>
          <w:rFonts w:hint="eastAsia"/>
          <w:color w:val="auto"/>
          <w:kern w:val="2"/>
          <w:szCs w:val="20"/>
          <w:highlight w:val="none"/>
        </w:rPr>
      </w:pPr>
      <w:r>
        <w:rPr>
          <w:rFonts w:hint="eastAsia" w:ascii="宋体" w:hAnsi="宋体"/>
          <w:color w:val="auto"/>
          <w:sz w:val="24"/>
          <w:highlight w:val="none"/>
          <w:lang w:val="en-US" w:eastAsia="zh-CN"/>
        </w:rPr>
        <w:t>2、</w:t>
      </w:r>
      <w:r>
        <w:rPr>
          <w:rFonts w:hint="eastAsia"/>
          <w:color w:val="auto"/>
          <w:highlight w:val="none"/>
        </w:rPr>
        <w:t>应在爆破器材领用、清退、爆破作业、爆后安全检查及盲炮处理的各环节上实行旁站监理，并作出监理记录。</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lang w:val="en-US" w:eastAsia="zh-CN"/>
        </w:rPr>
        <w:t>3、</w:t>
      </w:r>
      <w:r>
        <w:rPr>
          <w:rFonts w:hint="eastAsia"/>
          <w:color w:val="auto"/>
          <w:kern w:val="2"/>
          <w:szCs w:val="20"/>
          <w:highlight w:val="none"/>
        </w:rPr>
        <w:t>发生下列情况之一时，监理机构应当签发爆破作业暂停令：</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 xml:space="preserve"> ——爆破作业严重违规经制止无效时；</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 xml:space="preserve"> ——施工中出现重大安全隐患，须停止爆破作业以消除隐患时。</w:t>
      </w:r>
    </w:p>
    <w:p>
      <w:pPr>
        <w:pStyle w:val="78"/>
        <w:numPr>
          <w:ilvl w:val="0"/>
          <w:numId w:val="42"/>
        </w:numPr>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定期向委托单位提交安全监理报告，工程结束时提交安全监理总结和相关监理资料。</w:t>
      </w:r>
    </w:p>
    <w:p>
      <w:pPr>
        <w:pStyle w:val="78"/>
        <w:numPr>
          <w:ilvl w:val="0"/>
          <w:numId w:val="42"/>
        </w:numPr>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lang w:eastAsia="zh-CN"/>
        </w:rPr>
        <w:t>监理人</w:t>
      </w:r>
      <w:r>
        <w:rPr>
          <w:rFonts w:hint="eastAsia"/>
          <w:color w:val="auto"/>
          <w:kern w:val="2"/>
          <w:szCs w:val="20"/>
          <w:highlight w:val="none"/>
        </w:rPr>
        <w:t>自行解决监理人员的办公场所（施工现场办公室、办公桌、椅子、网线端口）和食宿等问题。</w:t>
      </w:r>
    </w:p>
    <w:p>
      <w:pPr>
        <w:pStyle w:val="78"/>
        <w:numPr>
          <w:ilvl w:val="0"/>
          <w:numId w:val="0"/>
        </w:numPr>
        <w:spacing w:before="0" w:beforeAutospacing="0" w:after="0" w:afterAutospacing="0" w:line="360" w:lineRule="auto"/>
        <w:ind w:firstLine="480" w:firstLineChars="200"/>
        <w:rPr>
          <w:rFonts w:hint="eastAsia"/>
          <w:color w:val="auto"/>
          <w:kern w:val="2"/>
          <w:szCs w:val="20"/>
          <w:highlight w:val="none"/>
          <w:lang w:val="en-US" w:eastAsia="zh-CN"/>
        </w:rPr>
      </w:pPr>
      <w:r>
        <w:rPr>
          <w:rFonts w:hint="eastAsia"/>
          <w:color w:val="auto"/>
          <w:kern w:val="2"/>
          <w:szCs w:val="20"/>
          <w:highlight w:val="none"/>
        </w:rPr>
        <w:t>6、</w:t>
      </w:r>
      <w:r>
        <w:rPr>
          <w:rFonts w:hint="eastAsia"/>
          <w:color w:val="auto"/>
          <w:kern w:val="2"/>
          <w:szCs w:val="20"/>
          <w:highlight w:val="none"/>
          <w:lang w:eastAsia="zh-CN"/>
        </w:rPr>
        <w:t>监理人</w:t>
      </w:r>
      <w:r>
        <w:rPr>
          <w:rFonts w:hint="eastAsia"/>
          <w:color w:val="auto"/>
          <w:kern w:val="2"/>
          <w:szCs w:val="20"/>
          <w:highlight w:val="none"/>
        </w:rPr>
        <w:t>发出的监理工作指令必须经与</w:t>
      </w:r>
      <w:r>
        <w:rPr>
          <w:rFonts w:hint="eastAsia"/>
          <w:color w:val="auto"/>
          <w:kern w:val="2"/>
          <w:szCs w:val="20"/>
          <w:highlight w:val="none"/>
          <w:lang w:eastAsia="zh-CN"/>
        </w:rPr>
        <w:t>委托人</w:t>
      </w:r>
      <w:r>
        <w:rPr>
          <w:rFonts w:hint="eastAsia"/>
          <w:color w:val="auto"/>
          <w:kern w:val="2"/>
          <w:szCs w:val="20"/>
          <w:highlight w:val="none"/>
        </w:rPr>
        <w:t>协商一致后方可实施。</w:t>
      </w:r>
    </w:p>
    <w:p>
      <w:pPr>
        <w:spacing w:line="360" w:lineRule="auto"/>
        <w:ind w:firstLine="480" w:firstLineChars="200"/>
        <w:rPr>
          <w:rFonts w:ascii="黑体" w:hAnsi="黑体" w:eastAsia="黑体"/>
          <w:color w:val="auto"/>
          <w:sz w:val="28"/>
          <w:highlight w:val="none"/>
        </w:rPr>
      </w:pPr>
      <w:r>
        <w:rPr>
          <w:rFonts w:ascii="宋体" w:hAnsi="宋体"/>
          <w:color w:val="auto"/>
          <w:sz w:val="24"/>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六</w:t>
      </w:r>
      <w:r>
        <w:rPr>
          <w:rFonts w:ascii="黑体" w:hAnsi="黑体" w:eastAsia="黑体"/>
          <w:color w:val="auto"/>
          <w:sz w:val="28"/>
          <w:highlight w:val="none"/>
        </w:rPr>
        <w:t>：</w:t>
      </w:r>
      <w:r>
        <w:rPr>
          <w:rFonts w:hint="eastAsia" w:ascii="黑体" w:hAnsi="黑体" w:eastAsia="黑体"/>
          <w:color w:val="auto"/>
          <w:sz w:val="28"/>
          <w:highlight w:val="none"/>
        </w:rPr>
        <w:t>安全监理协议书</w:t>
      </w:r>
    </w:p>
    <w:p>
      <w:pPr>
        <w:tabs>
          <w:tab w:val="left" w:pos="0"/>
        </w:tabs>
        <w:autoSpaceDE w:val="0"/>
        <w:autoSpaceDN w:val="0"/>
        <w:adjustRightInd w:val="0"/>
        <w:spacing w:line="336" w:lineRule="auto"/>
        <w:ind w:firstLine="539"/>
        <w:rPr>
          <w:rFonts w:ascii="宋体"/>
          <w:color w:val="auto"/>
          <w:spacing w:val="2"/>
          <w:position w:val="2"/>
          <w:sz w:val="24"/>
          <w:highlight w:val="none"/>
        </w:rPr>
      </w:pPr>
    </w:p>
    <w:p>
      <w:pPr>
        <w:pStyle w:val="78"/>
        <w:spacing w:before="0" w:beforeAutospacing="0" w:after="0" w:afterAutospacing="0"/>
        <w:ind w:firstLine="1320" w:firstLineChars="550"/>
        <w:rPr>
          <w:color w:val="auto"/>
          <w:highlight w:val="none"/>
          <w:u w:val="single"/>
        </w:rPr>
      </w:pPr>
    </w:p>
    <w:p>
      <w:pPr>
        <w:pStyle w:val="78"/>
        <w:spacing w:before="0" w:beforeAutospacing="0" w:after="0" w:afterAutospacing="0" w:line="480" w:lineRule="exact"/>
        <w:ind w:firstLine="2122" w:firstLineChars="399"/>
        <w:rPr>
          <w:rFonts w:cs="Arial"/>
          <w:b/>
          <w:bCs/>
          <w:color w:val="auto"/>
          <w:spacing w:val="45"/>
          <w:sz w:val="44"/>
          <w:szCs w:val="44"/>
          <w:highlight w:val="none"/>
        </w:rPr>
      </w:pPr>
      <w:r>
        <w:rPr>
          <w:rFonts w:hint="eastAsia" w:cs="Arial"/>
          <w:b/>
          <w:bCs/>
          <w:color w:val="auto"/>
          <w:spacing w:val="45"/>
          <w:sz w:val="44"/>
          <w:szCs w:val="44"/>
          <w:highlight w:val="none"/>
        </w:rPr>
        <w:t>安全监理协议书</w:t>
      </w:r>
    </w:p>
    <w:p>
      <w:pPr>
        <w:pStyle w:val="78"/>
        <w:spacing w:before="0" w:beforeAutospacing="0" w:after="0" w:afterAutospacing="0" w:line="480" w:lineRule="exact"/>
        <w:rPr>
          <w:color w:val="auto"/>
          <w:highlight w:val="none"/>
        </w:rPr>
      </w:pPr>
      <w:r>
        <w:rPr>
          <w:rFonts w:hint="eastAsia"/>
          <w:color w:val="auto"/>
          <w:highlight w:val="none"/>
        </w:rPr>
        <w:t xml:space="preserve">                                           合同编号：</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委托人：广州市净水有限公司</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监理人承担委托人</w:t>
      </w:r>
      <w:r>
        <w:rPr>
          <w:rFonts w:hint="eastAsia"/>
          <w:color w:val="auto"/>
          <w:kern w:val="2"/>
          <w:szCs w:val="20"/>
          <w:highlight w:val="none"/>
          <w:u w:val="single"/>
          <w:lang w:eastAsia="zh-CN"/>
        </w:rPr>
        <w:t>化龙堆存污泥综合处理处置项目废弃</w:t>
      </w:r>
      <w:r>
        <w:rPr>
          <w:rFonts w:hint="eastAsia"/>
          <w:color w:val="auto"/>
          <w:kern w:val="2"/>
          <w:szCs w:val="20"/>
          <w:highlight w:val="none"/>
          <w:u w:val="single"/>
        </w:rPr>
        <w:t xml:space="preserve">烟囱爆破拆除工程                       </w:t>
      </w:r>
      <w:r>
        <w:rPr>
          <w:rFonts w:hint="eastAsia"/>
          <w:color w:val="auto"/>
          <w:kern w:val="2"/>
          <w:szCs w:val="20"/>
          <w:highlight w:val="none"/>
        </w:rPr>
        <w:t>（下称“本工程”）的监理工作，根据《中华人民共和国民法典》、《中华人民共和国安全生产法》、《中华人民共和国建筑法》、《建设工程安全生产管理条例》、《生产安全事故报告和调查处理条例》等有关法律法规，经双方协商，签订本协议书，以明确各自的安全生产责任并共同遵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第一条  应共同遵守《中华人民共和国安全生产法》、《中华人民共和国建筑法》、《建设工程安全生产管理条例》、《生产安全事故报告和调查处理条例》等一系列有关安全生产的法律法规，严格执行建设部标准JGJ59-2011《建筑安全施工检查标准》等一系列标准规程。同时双方应共同遵守《危险性较大的分部分项工程安全管理规定》（住房和城乡建设部令第37号）、《住房城乡建设部办公厅关于实施&lt;危险性较大的分部分项工程安全管理规定&gt;的有关问题的通知》（穗办质【2018】31号）及委托人为强化安全生产而制定的各项规章制度。</w:t>
      </w:r>
      <w:r>
        <w:rPr>
          <w:color w:val="auto"/>
          <w:kern w:val="2"/>
          <w:szCs w:val="20"/>
          <w:highlight w:val="none"/>
        </w:rPr>
        <w:tab/>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第二条  委托人的权利和义务</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1、委托人有权对本工程安全生产工作进行监督、指导、检查</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2、委托人有权对安全素质差、不服从安全生产指挥的监理人员限期退场；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3、委托人有权对监理人不履行安全监理职责的行为进行整改和处罚；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4、委托人有权要求监理人对不符合要求的监理人员进行撤换和处罚；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5、委托人有权在发生安全事故时，对监理人进行处罚和解除合同。</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第三条  监理人的安全责任、权利和义务</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监理人应全面履行本项目范围内的安全监理职责，具体内容包括且不限于：</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1、监理人的行政负责人对本工程监理的安全监理工作全面负责，项目总监理工程师对本工程项目安全监理工作负责，并根据本工程特点，确定施工现场具体安全人员（含安全监理工程师和安全监理员），明确其工作职责。安全监理人员在总监理工程师的领导下工作，安全监理人员必须经安全监理业务教育培训，考试合格，持证上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2、安全监理文件的编制：监理人编制的项目监理规划必须包含安全监理规划，明确安全监理内容，工作程序和制度措施，安全监理方案应对具体工作进行安排和分工，应细化到具体的单个安全监理人员，明确其职责；</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3、坚持“安全第一、预防为主”的方针和“管生产必须管安全”的原则，督促承包人加强安全生产宣传教育；</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4、及时答复承包人提出的有关安全生产的申请、通知，及时发出指令；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5、在开工或复工前及在施工过程中，审核承包人提交的项目安全风险因素辨识和评估报告，并提出意见供承包人和委托人参考；</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6、检查承包人单位提交的安全管理人员名单和联系方式等，确保联系畅通；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7、审查承包人编制的施工组织设计中的安全技术措施和危险性较大的分部分项工程安全专项施工方案，并在审核后报委托人。对于（住房和城乡建设部令第37号）、（穗办质【2018】31号）文列明的建筑起重机械安装拆卸、深基坑、附着式升降脚手架、建筑幕墙安装、钢结构（网架、索膜结构）安装、爆破及拆除、预应力、地下暗挖、顶管、水下作业等；根据污水工程的特性，对于地下有限空间作业（如下井作业）等，应检查承包单位的专项方案是否包含气体检测和通风等措施；监理人在审查时应当注意：专项方案应当由施工单位技术部门组织本单位施工技术、安全、质量等部门的专业技术人员进行审核。经审核合格的，由施工单位技术负责人签字。实行施工总承包的，专项方案应当由总承包单位技术负责人及相关专业承包单位技术负责人签字。不需专家论证的专项方案，经施工单位审核合格后报监理单位，由项目总监理工程师审核签字。超过一定规模的危险性较大的分部分项工程专项方案应当由施工单位组织召开专家论证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监理单位应当将危险性较大的分部分项工程列入监理规划和监理实施细则，应当针对工程特点、周边环境和施工工艺等，制定安全监理工作流程、方法和措施。</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8、监理单位应当对专项方案实施情况进行现场监理；对不按专项方案实施的，应当责令整改，施工单位拒不整改的，应当及时向建设单位报告；建设单位接到监理单位报告后，应当立即责令施工单位停工整改；施工单位仍不停工整改的，建设单位应当及时向住房城乡建设主管部门报告。在施工过程中，安全监理工程师应实施跟班监理，不得离开施工现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9、监理需检查承包人人员的持证上岗情况和平安卡制度的执行情况，对无证上岗等情况，必须加以制止，并报告给委托人；属于需由特种作业人员完成的工程项目，检查监理人是否按规定要求配置与特种作业属性相适应的持证特种作业人员，并报告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10、督促承包单位按照工程建设强制性标准、施工组织设计中的安全技术措施和专项安全方案进行施工，制止违规施工作业；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11、审核承包单位提交的安全文明施工实施方案及预算；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12、审核承包单位提交的安全生产措施费的申请，及时进行检查核实，并将审核结果及时报送委托人；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13开工或复工前，向委托人提交本项目的安全风险独立分析报告，并督促承包人做好逐级安全交底工作；</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14、参加工程项目例会，对承包人提出的风险预报进行点评和补充；</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15、参加委托人召集的安全生产约谈；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16、发生安全生产事故时，按照有关规定协助委托人和承包人进行事故处理，提交事故分析报告；</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17、承包人所购安全防护材料必须由监理工程师与承包人按照合同要求进行进场验收，并且委托人有权随时对安全防护材料进行抽检，凡不符合要求的材料不得进场。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18、监理工程师应加强日常安全巡查， 对发现的各类安全事故隐患，应书面通知承包人限期进行整改，情况严重的，监理人应及时下达暂停施工令，要求承包单位停工整改，并同时报告委托人。安全事故隐患消除后，监理人应检查整改结果，签署复查或复工意见。上述检查、整改、复查、报告等情况，应记载在监理日志和监理月报中。</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19、除了参加委托人组织的工地安全检查评分外，监理人必须确保按照《建筑安全施工检查标准》表格，每月一次对工地进行安全检查评分，并将评分结果报告给委托人。监理应将安全检查与安全文明措施费的拨付审核密切挂钩，并对投入现场设施、采取的措施按合同规定给予准确计量和考虑是否同意支付；未发生的安全文明子项应当扣减且不得计量支付。</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20、督促监理人施工所需要的设备、机具做好入场前检查，符合安全施工要求的方允许入场施工，有国家法律法规规定需要由政府等相关部门或第三方检测出具合格报告方能投入使用的，严格执行国家的相关要求。同时按合同要求，督促监理人定期检查检测设备机具。</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21、需要办理作业许可的施工，督促监理人按规范要求和程序办理作业许可，经审批后方可允许施工。对未按规范要求进行施工的及时予以纠正或叫停施工，并报告委托人。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22、根据监理工作规划和监理实施细则，定期开展安全检查和巡查，对发现的安全隐患，及时督促监理人进行整改，并及时报告委托人。</w:t>
      </w:r>
    </w:p>
    <w:p>
      <w:pPr>
        <w:pStyle w:val="78"/>
        <w:spacing w:beforeAutospacing="0" w:afterAutospacing="0" w:line="480" w:lineRule="exact"/>
        <w:ind w:firstLine="480" w:firstLineChars="200"/>
        <w:rPr>
          <w:color w:val="auto"/>
          <w:kern w:val="2"/>
          <w:szCs w:val="20"/>
          <w:highlight w:val="none"/>
        </w:rPr>
      </w:pP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第四条  违约责任及违约金的扣除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1、委托人不定时组织人员按照《建筑安全施工检查标准（JGJ59-2011）》对承包人进行检查，评分等级为不合格的，对监理人要求监理人支付 0.5 万/次，累计三次检查评分不合格的委托人有权解除合同；委托人日常检查发现监理人隐瞒安全隐患，或未督促承包人采取切实可行的安全防护措施、或履行第三条任何一项职责的，委托人有权参照评定不合格标准对监理人进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发生重伤安全生产责任事故的，委托人有权要求监理人支付监理人3万元/人次，出现死亡的，委托人有权要求监理人支付监理人10万元/人次。累计重伤达到2人次，或死亡一人以上（含一人）的，委托人除有权没收监理人履约保证金并解除监理合同。自安全责任认定之日起，监理人自愿放弃委托人招标项目范围内5年的投标资格。</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3、要求监理人支付的金额可从本项目工程委托人应付或将付给监理人的款项或监理人提交履约保证金等其他款项中扣除。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第五条   安全监理资料管理</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1、参照国家建设工程监理规范的资料管理和表式要求；</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2、安全监理工程师应在监理日志中记录当天施工现场安全生产和安全工作情况，记录发现和处理的安全生产问题，总监应至少一周审阅一次并签署意见；</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3、监理人应编制安全监理月报表，对当月施工现场的安全生产状况和安全监理工作作出述评，报委托人和安全监督部门；</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4、督促承包单位及时整理安全生产相关资料；</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第六条  事故处理</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发生生产安全事故的，监理人现场人员应督促承包单位项目经理或驻场的承包单位负责人立即（1小时内）按规定向事故所在地安监部门、行业主管部门和广州市规定的相关政府部门报告，并同时报告委托人代表;</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发生重伤或死亡或直接经济损失100万元以上的安全生产事故，监理人应配合委托人、承包人立即启动事故相应应急预案，并采取有效措施，组织抢救，防止事故扩大及二次事故发生，减少人员伤亡和财产损失。</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3、监理人由于没有尽到安全监理责任，被认定为安全生产责任事故的，应承担违约责任;</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4、由于发生安全生产事故，主管部门对委托人进行经济处罚的，监理人未尽到安全监理职责的，监理人承担赔偿责任。</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第七条 本安全监理协议作为监理合同的附件，与原施工和监理合同不一致的，按本协议约定执行，本协议书未约定，但原施工和监理合同有约定的与安全生产相关的条款按原约定执行。</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委托人(盖章)                           监理人(盖章)</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安全管理部门负责人(签字)              安全管理部门负责人(签字)：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总监理工程师：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安全监理工程师：</w:t>
      </w:r>
    </w:p>
    <w:p>
      <w:pPr>
        <w:pStyle w:val="78"/>
        <w:spacing w:beforeAutospacing="0" w:afterAutospacing="0" w:line="480" w:lineRule="exact"/>
        <w:ind w:firstLine="2760" w:firstLineChars="1150"/>
        <w:rPr>
          <w:color w:val="auto"/>
          <w:kern w:val="2"/>
          <w:szCs w:val="20"/>
          <w:highlight w:val="none"/>
        </w:rPr>
      </w:pPr>
      <w:r>
        <w:rPr>
          <w:rFonts w:hint="eastAsia"/>
          <w:color w:val="auto"/>
          <w:kern w:val="2"/>
          <w:szCs w:val="20"/>
          <w:highlight w:val="none"/>
        </w:rPr>
        <w:t>签</w:t>
      </w:r>
      <w:r>
        <w:rPr>
          <w:rFonts w:hint="eastAsia"/>
          <w:color w:val="auto"/>
          <w:kern w:val="2"/>
          <w:szCs w:val="20"/>
          <w:highlight w:val="none"/>
          <w:lang w:val="en-US" w:eastAsia="zh-CN"/>
        </w:rPr>
        <w:t>订</w:t>
      </w:r>
      <w:r>
        <w:rPr>
          <w:rFonts w:hint="eastAsia"/>
          <w:color w:val="auto"/>
          <w:kern w:val="2"/>
          <w:szCs w:val="20"/>
          <w:highlight w:val="none"/>
        </w:rPr>
        <w:t>日期：    年  月  日</w:t>
      </w:r>
    </w:p>
    <w:p>
      <w:pPr>
        <w:pStyle w:val="78"/>
        <w:spacing w:line="360" w:lineRule="auto"/>
        <w:ind w:firstLine="2760" w:firstLineChars="1150"/>
        <w:rPr>
          <w:color w:val="auto"/>
          <w:kern w:val="2"/>
          <w:szCs w:val="20"/>
          <w:highlight w:val="none"/>
        </w:rPr>
      </w:pPr>
    </w:p>
    <w:p>
      <w:pPr>
        <w:spacing w:line="520" w:lineRule="exact"/>
        <w:rPr>
          <w:rFonts w:ascii="仿宋_GB2312" w:hAnsi="仿宋_GB2312" w:eastAsia="仿宋_GB2312" w:cs="仿宋_GB2312"/>
          <w:bCs/>
          <w:color w:val="auto"/>
          <w:sz w:val="28"/>
          <w:szCs w:val="28"/>
          <w:highlight w:val="none"/>
        </w:rPr>
      </w:pPr>
      <w:r>
        <w:rPr>
          <w:color w:val="auto"/>
          <w:kern w:val="2"/>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七</w:t>
      </w:r>
      <w:r>
        <w:rPr>
          <w:rFonts w:ascii="黑体" w:hAnsi="黑体" w:eastAsia="黑体"/>
          <w:color w:val="auto"/>
          <w:sz w:val="28"/>
          <w:highlight w:val="none"/>
        </w:rPr>
        <w:t>：</w:t>
      </w:r>
      <w:r>
        <w:rPr>
          <w:rFonts w:hint="eastAsia" w:ascii="黑体" w:hAnsi="黑体" w:eastAsia="黑体"/>
          <w:color w:val="auto"/>
          <w:sz w:val="28"/>
          <w:highlight w:val="none"/>
        </w:rPr>
        <w:t xml:space="preserve">           </w:t>
      </w:r>
      <w:r>
        <w:rPr>
          <w:rFonts w:hint="eastAsia" w:ascii="仿宋_GB2312" w:hAnsi="仿宋_GB2312" w:eastAsia="仿宋_GB2312" w:cs="仿宋_GB2312"/>
          <w:bCs/>
          <w:color w:val="auto"/>
          <w:sz w:val="28"/>
          <w:szCs w:val="28"/>
          <w:highlight w:val="none"/>
        </w:rPr>
        <w:t>廉洁协议</w:t>
      </w:r>
    </w:p>
    <w:p>
      <w:pPr>
        <w:spacing w:line="520" w:lineRule="exact"/>
        <w:ind w:firstLine="630" w:firstLineChars="225"/>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Cs/>
          <w:color w:val="auto"/>
          <w:sz w:val="28"/>
          <w:szCs w:val="28"/>
          <w:highlight w:val="none"/>
          <w:u w:val="single"/>
        </w:rPr>
        <w:t>广州市净水有限公司</w:t>
      </w:r>
      <w:r>
        <w:rPr>
          <w:rFonts w:hint="eastAsia" w:ascii="仿宋_GB2312" w:hAnsi="仿宋_GB2312" w:eastAsia="仿宋_GB2312" w:cs="仿宋_GB2312"/>
          <w:bCs/>
          <w:color w:val="auto"/>
          <w:sz w:val="28"/>
          <w:szCs w:val="28"/>
          <w:highlight w:val="none"/>
        </w:rPr>
        <w:t>(以下称甲方)与(以下称乙方)，特此订立本协议共同遵照执行。</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第一条 甲乙双方的权利和义务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（一）甲乙双方严格遵守国家关于市场准入、项目招标投标、市场经营活动等有关法律、法规相关政策及廉政建设的各项规定。</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（二）严格执行</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合同（以下简称：主合同），自觉履行合同约定的相关义务。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（三）在业务活动中坚持公开、公正、诚信、透明的原则，不得损害国家、集体利益。</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（四）建立健全廉洁从业制度，开展廉洁教育，公布举报电话，监督并认真查处不廉洁及违法违纪行为。</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（五）发现对方在业务活动中有不廉洁行为，应及时提醒对方纠正。情节严重的，应向其有关监督部门检举。</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第二条甲方的义务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（一）甲方及其工作人员不得索要或接受乙方的礼金、有价证券和贵重物品，不得在乙方报销任何应由甲方或个人支付的费用等。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（三）甲方及其工作人员不得要求或者接受乙方为其住房装修、婚丧嫁娶活动、配偶子女工作安排以及出国出境、旅游等提供方便等。</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（四）甲方工作人员不得在乙方或与乙方有股权关联的企业兼职，不得向乙方介绍家属或者亲友从事与甲方业务有关的经济活动。</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（六）甲方工作人员不得利用职务之便收受乙方以回扣、手续费、加班费、咨询费、劳务费、协调费、辛苦费等各种名义给予或赠送的钱物。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（七）甲方工作人员不得接受乙方给予或赠送的干股或红利。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第三条乙方的义务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（一）乙方不得以任何理由向甲方及其工作人员行贿或馈赠礼金、有价证券、贵重礼品。</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（二)乙方不得以任何名义为甲方及其工作人员报销应由甲方单位或个人支付的任何费用。</w:t>
      </w:r>
    </w:p>
    <w:p>
      <w:pPr>
        <w:spacing w:line="520" w:lineRule="exact"/>
        <w:ind w:left="25" w:leftChars="12"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（三）乙方不得以任何理由安排甲方工作人员参加可能影响相关业务公开、公正、公平性的宴请及娱乐活动。</w:t>
      </w:r>
    </w:p>
    <w:p>
      <w:pPr>
        <w:pStyle w:val="50"/>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（四）乙方不得为甲方单位和个人购置或提供通讯工具和高档办公用品等物品，也不得为甲方提供与工作无关的房屋、汽车等。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（五）乙方不得擅自与甲方工作人员就主合同中的质量、数量、价格、工程量、验收等条款进行私下商谈或者达成默契。</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（六）乙方不得以回扣、手续费、加班费、咨询费、劳务费、协调费、辛苦费等各种名义向甲方工作人员给予或赠送钱物。</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（七）乙方不得向甲方工作人员提供干股或红利。</w:t>
      </w:r>
    </w:p>
    <w:p>
      <w:pPr>
        <w:spacing w:line="520" w:lineRule="exact"/>
        <w:ind w:left="15"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第四条违约责任</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甲方举报投诉联系部门：广州市净水有限公司</w:t>
      </w:r>
      <w:r>
        <w:rPr>
          <w:rFonts w:hint="eastAsia" w:ascii="仿宋_GB2312" w:hAnsi="仿宋_GB2312" w:eastAsia="仿宋_GB2312" w:cs="仿宋_GB2312"/>
          <w:bCs/>
          <w:color w:val="auto"/>
          <w:sz w:val="28"/>
          <w:szCs w:val="28"/>
          <w:highlight w:val="none"/>
          <w:u w:val="single"/>
        </w:rPr>
        <w:t>纪检室</w:t>
      </w:r>
      <w:r>
        <w:rPr>
          <w:rFonts w:hint="eastAsia" w:ascii="仿宋_GB2312" w:hAnsi="仿宋_GB2312" w:eastAsia="仿宋_GB2312" w:cs="仿宋_GB2312"/>
          <w:bCs/>
          <w:color w:val="auto"/>
          <w:sz w:val="28"/>
          <w:szCs w:val="28"/>
          <w:highlight w:val="none"/>
        </w:rPr>
        <w:t>，联系电话：</w:t>
      </w:r>
      <w:r>
        <w:rPr>
          <w:rFonts w:hint="eastAsia" w:ascii="仿宋_GB2312" w:hAnsi="仿宋_GB2312" w:eastAsia="仿宋_GB2312" w:cs="仿宋_GB2312"/>
          <w:bCs/>
          <w:color w:val="auto"/>
          <w:sz w:val="28"/>
          <w:szCs w:val="28"/>
          <w:highlight w:val="none"/>
          <w:u w:val="single"/>
        </w:rPr>
        <w:t xml:space="preserve"> 020-38890265 </w:t>
      </w:r>
      <w:r>
        <w:rPr>
          <w:rFonts w:hint="eastAsia" w:ascii="仿宋_GB2312" w:hAnsi="仿宋_GB2312" w:eastAsia="仿宋_GB2312" w:cs="仿宋_GB2312"/>
          <w:bCs/>
          <w:color w:val="auto"/>
          <w:sz w:val="28"/>
          <w:szCs w:val="28"/>
          <w:highlight w:val="none"/>
        </w:rPr>
        <w:t>。</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1、扣除主合同的全部履约保证金；</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2、解除主合同；</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3、追究乙方其他违约责任；</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4、根据甲方的有关规章制度，在一定时间内暂停乙方参与甲方及下属单位所有项目的交易资格；</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5、根据甲方的有关规章制度，将乙方清退出甲方相关企业库；</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6、根据甲方上级单位、行政主管部门的意见、决定执行；</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7、按规定向有关行政监督部门、乙方业务管理部门进行投诉、报告。</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乙方无条件接受甲方的处理决定并承担给甲方造成的损失，全额返还通过不正当手段获取的非法所得，并承担相应的法律责任。</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第五条 本协议执行情况，接受有管辖权的纪检、监察部门的监督，双方应予以配合检查调查。 </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第六条本协议作为</w:t>
      </w:r>
      <w:r>
        <w:rPr>
          <w:rFonts w:hint="eastAsia" w:ascii="仿宋_GB2312" w:hAnsi="仿宋_GB2312" w:eastAsia="仿宋_GB2312" w:cs="仿宋_GB2312"/>
          <w:bCs/>
          <w:color w:val="auto"/>
          <w:sz w:val="28"/>
          <w:szCs w:val="28"/>
          <w:highlight w:val="none"/>
          <w:u w:val="single"/>
        </w:rPr>
        <w:t>（合同名称）+（合同编号）</w:t>
      </w:r>
      <w:r>
        <w:rPr>
          <w:rFonts w:hint="eastAsia" w:ascii="仿宋_GB2312" w:hAnsi="仿宋_GB2312" w:eastAsia="仿宋_GB2312" w:cs="仿宋_GB2312"/>
          <w:bCs/>
          <w:color w:val="auto"/>
          <w:sz w:val="28"/>
          <w:szCs w:val="28"/>
          <w:highlight w:val="none"/>
        </w:rPr>
        <w:t>合同的附件，并具有同等的法律效力，本协议自双方签字盖章之日起生效，与主合同同时终止。</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第七条本协议一式</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份，甲方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份，乙方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w:t>
      </w:r>
    </w:p>
    <w:p>
      <w:pPr>
        <w:spacing w:line="520" w:lineRule="exact"/>
        <w:ind w:firstLine="560" w:firstLineChars="200"/>
        <w:rPr>
          <w:rFonts w:ascii="仿宋_GB2312" w:hAnsi="仿宋_GB2312" w:eastAsia="仿宋_GB2312" w:cs="仿宋_GB2312"/>
          <w:bCs/>
          <w:color w:val="auto"/>
          <w:sz w:val="28"/>
          <w:szCs w:val="28"/>
          <w:highlight w:val="none"/>
        </w:rPr>
      </w:pPr>
    </w:p>
    <w:p>
      <w:pPr>
        <w:spacing w:line="520" w:lineRule="exact"/>
        <w:rPr>
          <w:rFonts w:hint="eastAsia" w:ascii="仿宋_GB2312" w:hAnsi="仿宋_GB2312" w:eastAsia="仿宋_GB2312" w:cs="仿宋_GB2312"/>
          <w:bCs/>
          <w:color w:val="auto"/>
          <w:sz w:val="28"/>
          <w:szCs w:val="28"/>
          <w:highlight w:val="none"/>
          <w:lang w:eastAsia="zh-CN"/>
        </w:rPr>
      </w:pPr>
    </w:p>
    <w:p>
      <w:pPr>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甲方（盖章）：                     乙方（盖章）：</w:t>
      </w:r>
    </w:p>
    <w:p>
      <w:pPr>
        <w:pStyle w:val="189"/>
        <w:tabs>
          <w:tab w:val="left" w:pos="5100"/>
        </w:tabs>
        <w:spacing w:line="520" w:lineRule="exact"/>
        <w:ind w:left="7200" w:firstLine="0" w:firstLineChars="0"/>
        <w:jc w:val="left"/>
        <w:rPr>
          <w:rFonts w:ascii="仿宋_GB2312" w:hAnsi="仿宋_GB2312" w:eastAsia="仿宋_GB2312" w:cs="仿宋_GB2312"/>
          <w:bCs/>
          <w:color w:val="auto"/>
          <w:sz w:val="28"/>
          <w:szCs w:val="28"/>
          <w:highlight w:val="none"/>
        </w:rPr>
      </w:pPr>
    </w:p>
    <w:p>
      <w:pPr>
        <w:tabs>
          <w:tab w:val="left" w:pos="5100"/>
        </w:tabs>
        <w:spacing w:line="520" w:lineRule="exact"/>
        <w:ind w:left="8400" w:hanging="8400" w:hangingChars="30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签约代表：                         签约代表：</w:t>
      </w:r>
    </w:p>
    <w:p>
      <w:pPr>
        <w:tabs>
          <w:tab w:val="left" w:pos="4170"/>
        </w:tabs>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日期:    年  月  日</w:t>
      </w:r>
      <w:r>
        <w:rPr>
          <w:rFonts w:hint="eastAsia" w:ascii="仿宋_GB2312" w:hAnsi="仿宋_GB2312" w:eastAsia="仿宋_GB2312" w:cs="仿宋_GB2312"/>
          <w:bCs/>
          <w:color w:val="auto"/>
          <w:sz w:val="28"/>
          <w:szCs w:val="28"/>
          <w:highlight w:val="none"/>
        </w:rPr>
        <w:tab/>
      </w:r>
      <w:r>
        <w:rPr>
          <w:rFonts w:hint="eastAsia" w:ascii="仿宋_GB2312" w:hAnsi="仿宋_GB2312" w:eastAsia="仿宋_GB2312" w:cs="仿宋_GB2312"/>
          <w:bCs/>
          <w:color w:val="auto"/>
          <w:sz w:val="28"/>
          <w:szCs w:val="28"/>
          <w:highlight w:val="none"/>
        </w:rPr>
        <w:t>日期：  年  月  日</w:t>
      </w:r>
    </w:p>
    <w:p>
      <w:pPr>
        <w:rPr>
          <w:rFonts w:ascii="仿宋_GB2312" w:hAnsi="仿宋_GB2312" w:eastAsia="仿宋_GB2312" w:cs="仿宋_GB2312"/>
          <w:bCs/>
          <w:color w:val="auto"/>
          <w:sz w:val="30"/>
          <w:szCs w:val="30"/>
          <w:highlight w:val="none"/>
        </w:rPr>
      </w:pPr>
    </w:p>
    <w:p>
      <w:pPr>
        <w:spacing w:line="360" w:lineRule="auto"/>
        <w:rPr>
          <w:rFonts w:ascii="宋体" w:hAnsi="宋体"/>
          <w:color w:val="auto"/>
          <w:sz w:val="24"/>
          <w:highlight w:val="none"/>
        </w:rPr>
      </w:pPr>
    </w:p>
    <w:p>
      <w:pPr>
        <w:pStyle w:val="78"/>
        <w:rPr>
          <w:rFonts w:ascii="黑体" w:hAnsi="黑体" w:eastAsia="黑体"/>
          <w:color w:val="auto"/>
          <w:sz w:val="28"/>
          <w:highlight w:val="none"/>
        </w:rPr>
      </w:pPr>
      <w:r>
        <w:rPr>
          <w:color w:val="auto"/>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八</w:t>
      </w:r>
      <w:r>
        <w:rPr>
          <w:rFonts w:ascii="黑体" w:hAnsi="黑体" w:eastAsia="黑体"/>
          <w:color w:val="auto"/>
          <w:sz w:val="28"/>
          <w:highlight w:val="none"/>
        </w:rPr>
        <w:t>：</w:t>
      </w:r>
      <w:r>
        <w:rPr>
          <w:rFonts w:hint="eastAsia" w:ascii="黑体" w:hAnsi="黑体" w:eastAsia="黑体"/>
          <w:color w:val="auto"/>
          <w:sz w:val="28"/>
          <w:highlight w:val="none"/>
        </w:rPr>
        <w:t>本项目的监理组织机构</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ascii="黑体" w:hAnsi="黑体" w:eastAsia="黑体"/>
          <w:color w:val="auto"/>
          <w:sz w:val="28"/>
          <w:highlight w:val="none"/>
        </w:rPr>
      </w:pPr>
      <w:r>
        <w:rPr>
          <w:rFonts w:hint="eastAsia" w:ascii="黑体" w:hAnsi="黑体" w:eastAsia="黑体"/>
          <w:color w:val="auto"/>
          <w:sz w:val="28"/>
          <w:highlight w:val="none"/>
        </w:rPr>
        <w:t>附件九：拟投入本项目的主要监理人员汇总表</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ascii="黑体" w:hAnsi="黑体" w:eastAsia="黑体"/>
          <w:color w:val="auto"/>
          <w:sz w:val="28"/>
          <w:highlight w:val="none"/>
        </w:rPr>
      </w:pPr>
      <w:r>
        <w:rPr>
          <w:rFonts w:hint="eastAsia" w:ascii="黑体" w:hAnsi="黑体" w:eastAsia="黑体"/>
          <w:color w:val="auto"/>
          <w:sz w:val="28"/>
          <w:highlight w:val="none"/>
        </w:rPr>
        <w:t>附件十：拟投入本项目的其他监理人员汇总表</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hint="eastAsia" w:ascii="黑体" w:hAnsi="黑体" w:eastAsia="黑体"/>
          <w:color w:val="auto"/>
          <w:sz w:val="28"/>
          <w:highlight w:val="none"/>
          <w:lang w:eastAsia="zh-CN"/>
        </w:rPr>
      </w:pPr>
      <w:r>
        <w:rPr>
          <w:rFonts w:ascii="黑体" w:hAnsi="黑体" w:eastAsia="黑体"/>
          <w:color w:val="auto"/>
          <w:sz w:val="28"/>
          <w:highlight w:val="none"/>
        </w:rPr>
        <w:br w:type="page"/>
      </w:r>
    </w:p>
    <w:p>
      <w:pPr>
        <w:pStyle w:val="78"/>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一</w:t>
      </w:r>
      <w:r>
        <w:rPr>
          <w:rFonts w:ascii="黑体" w:hAnsi="黑体" w:eastAsia="黑体"/>
          <w:color w:val="auto"/>
          <w:sz w:val="28"/>
          <w:highlight w:val="none"/>
        </w:rPr>
        <w:t>：</w:t>
      </w:r>
      <w:r>
        <w:rPr>
          <w:rFonts w:hint="eastAsia" w:ascii="黑体" w:hAnsi="黑体" w:eastAsia="黑体"/>
          <w:color w:val="auto"/>
          <w:sz w:val="28"/>
          <w:highlight w:val="none"/>
        </w:rPr>
        <w:t>广州市净水有限公司工程计量结算条件及实施指引（修订版）</w:t>
      </w:r>
    </w:p>
    <w:p>
      <w:pPr>
        <w:jc w:val="center"/>
        <w:rPr>
          <w:rFonts w:ascii="方正小标宋简体" w:eastAsia="方正小标宋简体"/>
          <w:bCs/>
          <w:color w:val="auto"/>
          <w:sz w:val="32"/>
          <w:szCs w:val="32"/>
          <w:highlight w:val="none"/>
        </w:rPr>
      </w:pPr>
      <w:r>
        <w:rPr>
          <w:rFonts w:hint="eastAsia" w:ascii="方正小标宋简体" w:eastAsia="方正小标宋简体"/>
          <w:bCs/>
          <w:color w:val="auto"/>
          <w:sz w:val="32"/>
          <w:szCs w:val="32"/>
          <w:highlight w:val="none"/>
        </w:rPr>
        <w:t>广州市净水有限公司工程计量结算</w:t>
      </w:r>
    </w:p>
    <w:p>
      <w:pPr>
        <w:jc w:val="center"/>
        <w:rPr>
          <w:rFonts w:ascii="方正小标宋简体" w:eastAsia="方正小标宋简体"/>
          <w:bCs/>
          <w:color w:val="auto"/>
          <w:sz w:val="32"/>
          <w:szCs w:val="32"/>
          <w:highlight w:val="none"/>
        </w:rPr>
      </w:pPr>
      <w:r>
        <w:rPr>
          <w:rFonts w:hint="eastAsia" w:ascii="方正小标宋简体" w:eastAsia="方正小标宋简体"/>
          <w:bCs/>
          <w:color w:val="auto"/>
          <w:sz w:val="32"/>
          <w:szCs w:val="32"/>
          <w:highlight w:val="none"/>
        </w:rPr>
        <w:t>条件及实施指引（修订版）</w:t>
      </w:r>
    </w:p>
    <w:p>
      <w:pPr>
        <w:topLinePunct/>
        <w:ind w:firstLine="640" w:firstLineChars="200"/>
        <w:rPr>
          <w:rFonts w:ascii="仿宋_GB2312" w:eastAsia="仿宋_GB2312"/>
          <w:bCs/>
          <w:color w:val="auto"/>
          <w:sz w:val="32"/>
          <w:szCs w:val="32"/>
          <w:highlight w:val="none"/>
        </w:rPr>
      </w:pPr>
    </w:p>
    <w:p>
      <w:pPr>
        <w:topLinePunct/>
        <w:adjustRightInd w:val="0"/>
        <w:snapToGrid w:val="0"/>
        <w:ind w:firstLine="470" w:firstLineChars="196"/>
        <w:rPr>
          <w:rFonts w:ascii="黑体" w:eastAsia="黑体"/>
          <w:color w:val="auto"/>
          <w:sz w:val="24"/>
          <w:highlight w:val="none"/>
        </w:rPr>
      </w:pPr>
      <w:r>
        <w:rPr>
          <w:rFonts w:hint="eastAsia" w:ascii="黑体" w:eastAsia="黑体"/>
          <w:color w:val="auto"/>
          <w:sz w:val="24"/>
          <w:highlight w:val="none"/>
        </w:rPr>
        <w:t>一、总则</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（一）为加强和规范工程计量、结算管理，提高计量结算审核的准确性及效率，有效控制工程投资，根据《建设工程工程量清单计价规范（</w:t>
      </w:r>
      <w:r>
        <w:rPr>
          <w:rFonts w:ascii="仿宋_GB2312" w:eastAsia="仿宋_GB2312"/>
          <w:color w:val="auto"/>
          <w:sz w:val="24"/>
          <w:highlight w:val="none"/>
        </w:rPr>
        <w:t>GB50500-2013</w:t>
      </w:r>
      <w:r>
        <w:rPr>
          <w:rFonts w:hint="eastAsia" w:ascii="仿宋_GB2312" w:eastAsia="仿宋_GB2312"/>
          <w:color w:val="auto"/>
          <w:sz w:val="24"/>
          <w:highlight w:val="none"/>
        </w:rPr>
        <w:t>）》《广东省建设工程计价通则（2010）》《工程测量规范（GB50026-2007）》《混凝土结构工程施工质量验收规范〔GB50204-2002（2011年版）〕》《给水排水管道工程施工及验收规范（GB50268-2008）》《给水排水构筑物工程施工及验收规范（GB50141-2008）》《建筑地基基础工程施工质量验收规范（GB50202-2002）》《钢筋焊接及验收规程（JGJ18-2003）》《砌体结构工程施工质量验收规范（GB50203-2011）》，以及国家、省、市、局等政府部门有关规定，结合《广州市污水治理建设工程计量支付管理办法》（穗污治〔2008〕277号）《广州市污水治理工程监理造价审核管理规定及实施指引》（穗净水[2015]192号），特制定本办法。</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（二）凡由广州市净水有限公司负责组织实施的固定资产投资计划项目的工程计量及结算均适用本办法。</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二、已完工工程量验收及实测实量</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已完工工程量在计量前由承包方、监理、项目管理部按工程量清单中的子目对当次计量已完工工程量进行验收，验收合格后，根据实测实量结果进行计量，工程完工后根据实测实量结果审核承包方绘制的竣工图作为审核结算工程量的依据。管道工程在每完成两个相邻检查井之间的管段敷设后方可计量，其他清单项目按照最小计量单位进行计量，如检查井按座进行计量、挖沟槽土方根据实际工作进度按立方米进行计量。</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三、竣工图编制</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如工程量变更情况较小，经实测实量后，竣工图可在原设计底图上根据实测结果及变更设计通知单进行修改，并在修改位置标注及说明变更依据（如详见xxx变更设计通知单），同时在变更设计通知单上加盖竣工图章；如工程变更情况较大，由设计单位出具变更设计图，经实测实量后，如实测结果与变更设计图相符，则在变更设计图加盖竣工图章作为竣工图；如实测结果与变更设计图有差异，则根据实测结果在变更设计图上修改并加盖竣工图章后作为竣工图。</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四、临时工程</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（一）临时道路、临时便桥完成后按完成工程量的80%计量，待使用完成拆除后再计量余下的20%。</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管沟（基坑）支护、文明施工围栏、拆除修复工程计量前必须经承包方、监理方、项目管理部对已完工程量进行签证确认，签证时需附实施时的平面示意图及照片，在图上标示井号、里程、位置及长宽尺寸，经监理、项目管理部确认并按经确认的图示尺寸计算工程量进行签证，由各项目管理部负责存档备查。</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五、土石方工程</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（一）必须提供承包方、监理、项目管理部三方确认的实测原地面标高，对于大型土方工程应提供照片、录像资料，由各项目管理部负责存档备查。</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水下土石方工程必须由有水工测量资质的测量单位在开工之前对原泥面（或原土面、石面）标高进行水工测量，工程竣工后对竣工标高进行水工测量，根据测量结果计算水下土石方工程量，并出具测量报告书，会同监理、项目管理部签认作为水下土石方工程量的计算依据。</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（三）大型土方施工前，施工单位会同监理、项目管理部共同对原地面标高按测量规程采用方格网等方法进行测量，并列出土方计算书，经监理、项目管理部审核后，</w:t>
      </w:r>
      <w:r>
        <w:rPr>
          <w:rFonts w:hint="eastAsia" w:ascii="仿宋_GB2312" w:hAnsi="Arial" w:eastAsia="仿宋_GB2312"/>
          <w:color w:val="auto"/>
          <w:sz w:val="24"/>
          <w:highlight w:val="none"/>
        </w:rPr>
        <w:t>如土方量与设计量相比变化超过10%的，应由项目管理部会同施工、监理、勘察（测）、设计单位现场核定并确认，并对现场土方变化量大的地段拍照后才能全面实施及计量</w:t>
      </w:r>
      <w:r>
        <w:rPr>
          <w:rFonts w:hint="eastAsia" w:ascii="仿宋_GB2312" w:eastAsia="仿宋_GB2312"/>
          <w:color w:val="auto"/>
          <w:sz w:val="24"/>
          <w:highlight w:val="none"/>
        </w:rPr>
        <w:t>，</w:t>
      </w:r>
      <w:r>
        <w:rPr>
          <w:rFonts w:hint="eastAsia" w:ascii="宋体" w:hAnsi="宋体" w:cs="宋体"/>
          <w:color w:val="auto"/>
          <w:sz w:val="24"/>
          <w:highlight w:val="none"/>
        </w:rPr>
        <w:t>并</w:t>
      </w:r>
      <w:r>
        <w:rPr>
          <w:rFonts w:hint="eastAsia" w:ascii="仿宋_GB2312" w:eastAsia="仿宋_GB2312"/>
          <w:color w:val="auto"/>
          <w:sz w:val="24"/>
          <w:highlight w:val="none"/>
        </w:rPr>
        <w:t>由各项目管理部负责存档备查</w:t>
      </w:r>
      <w:r>
        <w:rPr>
          <w:rFonts w:hint="eastAsia" w:ascii="仿宋_GB2312" w:hAnsi="Arial" w:eastAsia="仿宋_GB2312"/>
          <w:color w:val="auto"/>
          <w:sz w:val="24"/>
          <w:highlight w:val="none"/>
        </w:rPr>
        <w:t>。</w:t>
      </w:r>
      <w:r>
        <w:rPr>
          <w:rFonts w:hint="eastAsia" w:ascii="仿宋_GB2312" w:eastAsia="仿宋_GB2312"/>
          <w:color w:val="auto"/>
          <w:sz w:val="24"/>
          <w:highlight w:val="none"/>
        </w:rPr>
        <w:t>土石方平衡：必须考虑土石方场内平衡进行施工及计算，施工图有规定的按施工图执行，施工图无规定的，监理人根据地质土质情况编制详细的施工方案经监理及项目管理部审批后，按审批后的施工方案、测量资料及《建设工程清单计价规范（GB50500-2008）》中的工程量计算规则，《广东省建设工程计价通则（2010）》等有关规范计算土方平衡工程量进行签证及计量。</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土石方平衡的内容分为挖土石方、土石方场内运输、土石方场外运输、利用土填方、外购土填方，并列出土石方平衡计算表按上述规定进行计算。</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eastAsia="仿宋_GB2312"/>
          <w:color w:val="auto"/>
          <w:sz w:val="24"/>
          <w:highlight w:val="none"/>
        </w:rPr>
        <w:t>（四）</w:t>
      </w:r>
      <w:r>
        <w:rPr>
          <w:rFonts w:hint="eastAsia" w:ascii="仿宋_GB2312" w:hAnsi="Arial" w:eastAsia="仿宋_GB2312"/>
          <w:color w:val="auto"/>
          <w:sz w:val="24"/>
          <w:highlight w:val="none"/>
        </w:rPr>
        <w:t>管沟、基坑、路基回填土只有回填密实度符合设计及规范要求的才能计量。</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六、管道工程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（一）管材出厂合格证、管材检测试验报告（当月计量需提供）。</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（二）每个管段（指每两个相邻的检查井之间的管线）的</w:t>
      </w:r>
      <w:r>
        <w:rPr>
          <w:rFonts w:hint="eastAsia" w:ascii="仿宋_GB2312" w:hAnsi="Arial" w:eastAsia="仿宋_GB2312"/>
          <w:color w:val="auto"/>
          <w:sz w:val="24"/>
          <w:highlight w:val="none"/>
        </w:rPr>
        <w:t>闭水试验合格并提供闭水试验报</w:t>
      </w:r>
      <w:r>
        <w:rPr>
          <w:rFonts w:hint="eastAsia" w:ascii="仿宋_GB2312" w:hAnsi="宋体" w:eastAsia="仿宋_GB2312"/>
          <w:color w:val="auto"/>
          <w:sz w:val="24"/>
          <w:highlight w:val="none"/>
        </w:rPr>
        <w:t>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（三）</w:t>
      </w:r>
      <w:r>
        <w:rPr>
          <w:rFonts w:hint="eastAsia" w:ascii="仿宋_GB2312" w:hAnsi="宋体" w:eastAsia="仿宋_GB2312"/>
          <w:color w:val="auto"/>
          <w:spacing w:val="8"/>
          <w:sz w:val="24"/>
          <w:highlight w:val="none"/>
        </w:rPr>
        <w:t>每个压力管管段（指每两个</w:t>
      </w:r>
      <w:r>
        <w:rPr>
          <w:rFonts w:hint="eastAsia" w:ascii="仿宋_GB2312" w:hAnsi="Arial" w:eastAsia="仿宋_GB2312"/>
          <w:color w:val="auto"/>
          <w:spacing w:val="8"/>
          <w:sz w:val="24"/>
          <w:highlight w:val="none"/>
        </w:rPr>
        <w:t>相邻的检查井之间的管线）</w:t>
      </w:r>
      <w:r>
        <w:rPr>
          <w:rFonts w:hint="eastAsia" w:ascii="仿宋_GB2312" w:hAnsi="Arial" w:eastAsia="仿宋_GB2312"/>
          <w:color w:val="auto"/>
          <w:sz w:val="24"/>
          <w:highlight w:val="none"/>
        </w:rPr>
        <w:t>压力试验合格并提供压力试验报告。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（四）</w:t>
      </w:r>
      <w:r>
        <w:rPr>
          <w:rFonts w:hint="eastAsia" w:ascii="仿宋_GB2312" w:hAnsi="Arial" w:eastAsia="仿宋_GB2312"/>
          <w:color w:val="auto"/>
          <w:sz w:val="24"/>
          <w:highlight w:val="none"/>
        </w:rPr>
        <w:t>顶管或牵引管工程还需提供顶管或牵引管记录。</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七、桩基础、搅拌桩、旋喷桩工程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（一）桩长的确认</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根据设计桩长结合地质情况进行施工，需提供经监理确认的桩记录，结算总桩长由项目管理部确认。施工单桩长度超过设计单桩长度的需办理变更手续后方可实施及计量，对于厂区等大型桩基础施工的，如试桩后出现桩长变化超过10%，勘察、设计单位必须提供桩长变化的原因报告，并会同项目管理部、监理人员共同论证确认后才能全面实施及计量，同时项目管理部可根据需要有权对有怀疑的地质资料委托第三方进行复勘，并根据复勘资料进行处理。</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（二）桩检测合格并提供检测报告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八、砼工程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（一）砼配合比试验报告。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（二）砼抗压、抗折、抗渗（如需）等设计指标要求的强度试验报告。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九、砌筑工程</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除按第二点要求外，还需</w:t>
      </w:r>
      <w:r>
        <w:rPr>
          <w:rFonts w:hint="eastAsia" w:ascii="仿宋_GB2312" w:hAnsi="Arial" w:eastAsia="仿宋_GB2312"/>
          <w:color w:val="auto"/>
          <w:sz w:val="24"/>
          <w:highlight w:val="none"/>
        </w:rPr>
        <w:t>符合下列要求</w:t>
      </w:r>
      <w:r>
        <w:rPr>
          <w:rFonts w:hint="eastAsia" w:ascii="仿宋_GB2312" w:hAnsi="宋体" w:eastAsia="仿宋_GB2312"/>
          <w:color w:val="auto"/>
          <w:sz w:val="24"/>
          <w:highlight w:val="none"/>
        </w:rPr>
        <w:t>：</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w:t>
      </w:r>
      <w:r>
        <w:rPr>
          <w:rFonts w:hint="eastAsia" w:ascii="仿宋_GB2312" w:hAnsi="宋体" w:eastAsia="仿宋_GB2312"/>
          <w:color w:val="auto"/>
          <w:sz w:val="24"/>
          <w:highlight w:val="none"/>
        </w:rPr>
        <w:t>砌筑砖出厂合格证</w:t>
      </w:r>
      <w:r>
        <w:rPr>
          <w:rFonts w:hint="eastAsia" w:ascii="仿宋_GB2312" w:hAnsi="Arial" w:eastAsia="仿宋_GB2312"/>
          <w:color w:val="auto"/>
          <w:sz w:val="24"/>
          <w:highlight w:val="none"/>
        </w:rPr>
        <w:t>（当月计量需提供）。</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（二）</w:t>
      </w:r>
      <w:r>
        <w:rPr>
          <w:rFonts w:hint="eastAsia" w:ascii="仿宋_GB2312" w:hAnsi="宋体" w:eastAsia="仿宋_GB2312"/>
          <w:color w:val="auto"/>
          <w:sz w:val="24"/>
          <w:highlight w:val="none"/>
        </w:rPr>
        <w:t>砌筑砂浆配合比试验报告。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（三）</w:t>
      </w:r>
      <w:r>
        <w:rPr>
          <w:rFonts w:hint="eastAsia" w:ascii="仿宋_GB2312" w:hAnsi="宋体" w:eastAsia="仿宋_GB2312"/>
          <w:color w:val="auto"/>
          <w:sz w:val="24"/>
          <w:highlight w:val="none"/>
        </w:rPr>
        <w:t>砌筑砖抗压强度试验报告。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宋体" w:eastAsia="黑体"/>
          <w:color w:val="auto"/>
          <w:sz w:val="24"/>
          <w:highlight w:val="none"/>
        </w:rPr>
      </w:pPr>
      <w:r>
        <w:rPr>
          <w:rFonts w:hint="eastAsia" w:ascii="黑体" w:hAnsi="宋体" w:eastAsia="黑体"/>
          <w:color w:val="auto"/>
          <w:sz w:val="24"/>
          <w:highlight w:val="none"/>
        </w:rPr>
        <w:t>十、钢筋工程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w:t>
      </w:r>
      <w:r>
        <w:rPr>
          <w:rFonts w:hint="eastAsia" w:ascii="仿宋_GB2312" w:hAnsi="宋体" w:eastAsia="仿宋_GB2312"/>
          <w:color w:val="auto"/>
          <w:sz w:val="24"/>
          <w:highlight w:val="none"/>
        </w:rPr>
        <w:t>钢材出厂合格证明</w:t>
      </w:r>
      <w:r>
        <w:rPr>
          <w:rFonts w:hint="eastAsia" w:ascii="仿宋_GB2312" w:hAnsi="Arial" w:eastAsia="仿宋_GB2312"/>
          <w:color w:val="auto"/>
          <w:sz w:val="24"/>
          <w:highlight w:val="none"/>
        </w:rPr>
        <w:t>（当月计量需提供）。</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w:t>
      </w:r>
      <w:r>
        <w:rPr>
          <w:rFonts w:hint="eastAsia" w:ascii="仿宋_GB2312" w:hAnsi="宋体" w:eastAsia="仿宋_GB2312"/>
          <w:color w:val="auto"/>
          <w:sz w:val="24"/>
          <w:highlight w:val="none"/>
        </w:rPr>
        <w:t>钢筋</w:t>
      </w:r>
      <w:r>
        <w:rPr>
          <w:rFonts w:hint="eastAsia" w:ascii="仿宋_GB2312" w:hAnsi="Arial" w:eastAsia="仿宋_GB2312"/>
          <w:color w:val="auto"/>
          <w:sz w:val="24"/>
          <w:highlight w:val="none"/>
        </w:rPr>
        <w:t>力学性能试验报告。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（三）</w:t>
      </w:r>
      <w:r>
        <w:rPr>
          <w:rFonts w:hint="eastAsia" w:ascii="仿宋_GB2312" w:hAnsi="宋体" w:eastAsia="仿宋_GB2312"/>
          <w:color w:val="auto"/>
          <w:sz w:val="24"/>
          <w:highlight w:val="none"/>
        </w:rPr>
        <w:t>钢筋重量偏差检验等设计指标要求的强度试验报告。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各试验报告须于分项工程完成后1个月内提交项目管理部存档备查，否则停止后续计量支付。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十一、工程变更</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（一）对招投标文件管理</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招投标文件（含招标图纸）是变更工程量计量及结算的依据，项目管理部需完整保存。</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（二）施工现场地形地貌的影像资料</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施工前需对现场地形地貌及障碍物进行拍照或录像，如工程实施时因拆迁原因或地形地貌及障碍物与开标前比较发生变化而引起设计变更，计量及结算时需提供现场实物照片。</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（三）变更审批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按</w:t>
      </w:r>
      <w:r>
        <w:rPr>
          <w:rFonts w:hint="eastAsia" w:ascii="仿宋" w:hAnsi="仿宋" w:eastAsia="仿宋" w:cs="仿宋"/>
          <w:color w:val="auto"/>
          <w:sz w:val="28"/>
          <w:szCs w:val="28"/>
          <w:highlight w:val="none"/>
        </w:rPr>
        <w:t>《广州市水务建设工程设计变更管理办理》（穗水建管【2020】5号、《广州市水务投资有限公司水务建设工程设计变更审查管理办法（修订）》（穗水投[2021]29号、《广州净水公司关于引发工程设计变更管理办法的通知》穗净水【2021】208号</w:t>
      </w:r>
      <w:r>
        <w:rPr>
          <w:rFonts w:hint="eastAsia" w:ascii="仿宋_GB2312" w:hAnsi="Arial" w:eastAsia="仿宋_GB2312"/>
          <w:color w:val="auto"/>
          <w:sz w:val="24"/>
          <w:highlight w:val="none"/>
        </w:rPr>
        <w:t>办理变更审批手续。</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设计变更原则上必须按照“先审批、后实施”执行。</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十二、签证工程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根据2010年《广东省建设工程计价通则》，签证是合同双方当事人各指定人选就施工过程中涉及的责任事件所作的签认证明，是指招投标文件、招标图、施工图、工程量清单、合同文件未包括的新增工程以及招标文件和合同文件约定按实际发生工程量结算的拆除修复工程，管沟（基坑）支护、文明施工围栏等临时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（二）下列事项不得办理工程签证</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1.招标文件、招标图、施工图、工程量清单、合同文件已经包含的工作内容；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2.《建设工程工程量清单计价规范（</w:t>
      </w:r>
      <w:r>
        <w:rPr>
          <w:rFonts w:ascii="仿宋_GB2312" w:hAnsi="Arial" w:eastAsia="仿宋_GB2312"/>
          <w:color w:val="auto"/>
          <w:sz w:val="24"/>
          <w:highlight w:val="none"/>
        </w:rPr>
        <w:t>GB50500-2013</w:t>
      </w:r>
      <w:r>
        <w:rPr>
          <w:rFonts w:hint="eastAsia" w:ascii="仿宋_GB2312" w:hAnsi="Arial" w:eastAsia="仿宋_GB2312"/>
          <w:color w:val="auto"/>
          <w:sz w:val="24"/>
          <w:highlight w:val="none"/>
        </w:rPr>
        <w:t>）》附录中的工程内容；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3.广东省建设工程综合定额规定不能调整的内容；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4.非委托人指令的结果而超出施工合同范围的工程量；</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5.在其他工程变更中已包含的内容。</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十三、设备采购</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（一）计量时需提供经监理、业主确认的开箱记录或供货清单，结算时需提供调试验收合格证明和安装后设备的移交清单。</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（二）对于合同中约定的考察培训费用，应先报市净水公司人力资源部审核，待市财政局终审后根据实际发生量在结算款计量支付中支付。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十四、其他</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（一）对于单价包干的项目，必须全部完成招标文件中单价包含的工作内容才能给予计量及结算，如部分内容没有完成，则不予计量或扣除未完成内容的对应费用。</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（二）对于工期未能按合同约定完成的情况，如属项目管理部原因造成的，需办理工程延期报告，否则按合同条款规定扣除相应的工程价款。</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（三）对于因监理人单位违反合同条款发生的违约金处罚，在提交结算时同时提交处罚函，以便在结算中扣除违约金。</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十五、工程量清单差异计算</w:t>
      </w:r>
    </w:p>
    <w:p>
      <w:pPr>
        <w:topLinePunct/>
        <w:adjustRightInd w:val="0"/>
        <w:snapToGrid w:val="0"/>
        <w:ind w:firstLine="480" w:firstLineChars="200"/>
        <w:rPr>
          <w:rFonts w:ascii="仿宋_GB2312" w:hAnsi="Arial" w:eastAsia="仿宋_GB2312"/>
          <w:color w:val="auto"/>
          <w:highlight w:val="none"/>
        </w:rPr>
      </w:pPr>
      <w:r>
        <w:rPr>
          <w:rFonts w:hint="eastAsia" w:ascii="仿宋_GB2312" w:hAnsi="Arial" w:eastAsia="仿宋_GB2312"/>
          <w:color w:val="auto"/>
          <w:sz w:val="24"/>
          <w:highlight w:val="none"/>
        </w:rPr>
        <w:t>招标工程量清单是根据招标图进行计算的招标工程量，为招标暂定工程量，开工前需根据施工图对招标工程量清单重新复核计算，准确计算出施工图与招标图及工程量清单差异引</w:t>
      </w:r>
      <w:r>
        <w:rPr>
          <w:rFonts w:hint="eastAsia" w:ascii="仿宋_GB2312" w:hAnsi="Arial" w:eastAsia="仿宋_GB2312"/>
          <w:color w:val="auto"/>
          <w:highlight w:val="none"/>
        </w:rPr>
        <w:t>起的项目增减、工程量增减及造价增减（详见附件）。经重新复核计算的工程量清单作为计量支付及结算的依据。</w:t>
      </w: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rFonts w:hint="eastAsia"/>
          <w:color w:val="auto"/>
          <w:sz w:val="28"/>
          <w:szCs w:val="28"/>
          <w:highlight w:val="none"/>
        </w:rPr>
      </w:pPr>
    </w:p>
    <w:p>
      <w:pPr>
        <w:rPr>
          <w:color w:val="auto"/>
          <w:sz w:val="28"/>
          <w:szCs w:val="28"/>
          <w:highlight w:val="none"/>
        </w:rPr>
      </w:pPr>
      <w:r>
        <w:rPr>
          <w:rFonts w:hint="eastAsia"/>
          <w:color w:val="auto"/>
          <w:sz w:val="28"/>
          <w:szCs w:val="28"/>
          <w:highlight w:val="none"/>
        </w:rPr>
        <w:t>附件：</w:t>
      </w:r>
    </w:p>
    <w:p>
      <w:pPr>
        <w:jc w:val="center"/>
        <w:rPr>
          <w:b/>
          <w:color w:val="auto"/>
          <w:sz w:val="36"/>
          <w:szCs w:val="36"/>
          <w:highlight w:val="none"/>
        </w:rPr>
      </w:pPr>
      <w:r>
        <w:rPr>
          <w:rFonts w:hint="eastAsia"/>
          <w:b/>
          <w:color w:val="auto"/>
          <w:sz w:val="36"/>
          <w:szCs w:val="36"/>
          <w:highlight w:val="none"/>
        </w:rPr>
        <w:t>施工图（竣工图）与招标图差异引起的工程量清单增减明细表</w:t>
      </w:r>
    </w:p>
    <w:p>
      <w:pPr>
        <w:jc w:val="right"/>
        <w:rPr>
          <w:color w:val="auto"/>
          <w:sz w:val="28"/>
          <w:szCs w:val="28"/>
          <w:highlight w:val="none"/>
        </w:rPr>
      </w:pPr>
      <w:r>
        <w:rPr>
          <w:rFonts w:hint="eastAsia"/>
          <w:color w:val="auto"/>
          <w:sz w:val="28"/>
          <w:szCs w:val="28"/>
          <w:highlight w:val="none"/>
        </w:rPr>
        <w:t>金额单位：元</w:t>
      </w:r>
    </w:p>
    <w:tbl>
      <w:tblPr>
        <w:tblStyle w:val="85"/>
        <w:tblW w:w="84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1671"/>
        <w:gridCol w:w="1880"/>
        <w:gridCol w:w="835"/>
        <w:gridCol w:w="1044"/>
        <w:gridCol w:w="835"/>
        <w:gridCol w:w="8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9" w:hRule="atLeast"/>
        </w:trPr>
        <w:tc>
          <w:tcPr>
            <w:tcW w:w="480" w:type="dxa"/>
            <w:noWrap w:val="0"/>
            <w:vAlign w:val="center"/>
          </w:tcPr>
          <w:p>
            <w:pPr>
              <w:jc w:val="center"/>
              <w:rPr>
                <w:color w:val="auto"/>
                <w:sz w:val="24"/>
                <w:highlight w:val="none"/>
              </w:rPr>
            </w:pPr>
            <w:r>
              <w:rPr>
                <w:rFonts w:hint="eastAsia"/>
                <w:color w:val="auto"/>
                <w:sz w:val="24"/>
                <w:highlight w:val="none"/>
              </w:rPr>
              <w:t>序号</w:t>
            </w:r>
          </w:p>
        </w:tc>
        <w:tc>
          <w:tcPr>
            <w:tcW w:w="1671" w:type="dxa"/>
            <w:noWrap w:val="0"/>
            <w:vAlign w:val="center"/>
          </w:tcPr>
          <w:p>
            <w:pPr>
              <w:jc w:val="center"/>
              <w:rPr>
                <w:color w:val="auto"/>
                <w:sz w:val="24"/>
                <w:highlight w:val="none"/>
              </w:rPr>
            </w:pPr>
            <w:r>
              <w:rPr>
                <w:rFonts w:hint="eastAsia"/>
                <w:color w:val="auto"/>
                <w:sz w:val="24"/>
                <w:highlight w:val="none"/>
              </w:rPr>
              <w:t>项目名称</w:t>
            </w:r>
          </w:p>
        </w:tc>
        <w:tc>
          <w:tcPr>
            <w:tcW w:w="1880" w:type="dxa"/>
            <w:noWrap w:val="0"/>
            <w:vAlign w:val="center"/>
          </w:tcPr>
          <w:p>
            <w:pPr>
              <w:jc w:val="center"/>
              <w:rPr>
                <w:color w:val="auto"/>
                <w:sz w:val="24"/>
                <w:highlight w:val="none"/>
              </w:rPr>
            </w:pPr>
            <w:r>
              <w:rPr>
                <w:rFonts w:hint="eastAsia"/>
                <w:color w:val="auto"/>
                <w:sz w:val="24"/>
                <w:highlight w:val="none"/>
              </w:rPr>
              <w:t>单位</w:t>
            </w:r>
          </w:p>
        </w:tc>
        <w:tc>
          <w:tcPr>
            <w:tcW w:w="835" w:type="dxa"/>
            <w:noWrap w:val="0"/>
            <w:vAlign w:val="center"/>
          </w:tcPr>
          <w:p>
            <w:pPr>
              <w:jc w:val="center"/>
              <w:rPr>
                <w:color w:val="auto"/>
                <w:sz w:val="24"/>
                <w:highlight w:val="none"/>
              </w:rPr>
            </w:pPr>
            <w:r>
              <w:rPr>
                <w:rFonts w:hint="eastAsia"/>
                <w:color w:val="auto"/>
                <w:sz w:val="24"/>
                <w:highlight w:val="none"/>
              </w:rPr>
              <w:t>招标工程量</w:t>
            </w:r>
          </w:p>
        </w:tc>
        <w:tc>
          <w:tcPr>
            <w:tcW w:w="1044" w:type="dxa"/>
            <w:noWrap w:val="0"/>
            <w:vAlign w:val="center"/>
          </w:tcPr>
          <w:p>
            <w:pPr>
              <w:jc w:val="center"/>
              <w:rPr>
                <w:color w:val="auto"/>
                <w:sz w:val="24"/>
                <w:highlight w:val="none"/>
              </w:rPr>
            </w:pPr>
            <w:r>
              <w:rPr>
                <w:rFonts w:hint="eastAsia"/>
                <w:color w:val="auto"/>
                <w:sz w:val="24"/>
                <w:highlight w:val="none"/>
              </w:rPr>
              <w:t>施工图（竣工图）工程量</w:t>
            </w:r>
          </w:p>
        </w:tc>
        <w:tc>
          <w:tcPr>
            <w:tcW w:w="835" w:type="dxa"/>
            <w:noWrap w:val="0"/>
            <w:vAlign w:val="center"/>
          </w:tcPr>
          <w:p>
            <w:pPr>
              <w:jc w:val="center"/>
              <w:rPr>
                <w:color w:val="auto"/>
                <w:sz w:val="24"/>
                <w:highlight w:val="none"/>
              </w:rPr>
            </w:pPr>
            <w:r>
              <w:rPr>
                <w:rFonts w:hint="eastAsia"/>
                <w:color w:val="auto"/>
                <w:sz w:val="24"/>
                <w:highlight w:val="none"/>
              </w:rPr>
              <w:t>增减工程量</w:t>
            </w:r>
          </w:p>
        </w:tc>
        <w:tc>
          <w:tcPr>
            <w:tcW w:w="835" w:type="dxa"/>
            <w:noWrap w:val="0"/>
            <w:vAlign w:val="center"/>
          </w:tcPr>
          <w:p>
            <w:pPr>
              <w:jc w:val="center"/>
              <w:rPr>
                <w:color w:val="auto"/>
                <w:sz w:val="24"/>
                <w:highlight w:val="none"/>
              </w:rPr>
            </w:pPr>
            <w:r>
              <w:rPr>
                <w:rFonts w:hint="eastAsia"/>
                <w:color w:val="auto"/>
                <w:sz w:val="24"/>
                <w:highlight w:val="none"/>
              </w:rPr>
              <w:t>原合同单价</w:t>
            </w:r>
          </w:p>
        </w:tc>
        <w:tc>
          <w:tcPr>
            <w:tcW w:w="835" w:type="dxa"/>
            <w:noWrap w:val="0"/>
            <w:vAlign w:val="center"/>
          </w:tcPr>
          <w:p>
            <w:pPr>
              <w:jc w:val="center"/>
              <w:rPr>
                <w:color w:val="auto"/>
                <w:sz w:val="24"/>
                <w:highlight w:val="none"/>
              </w:rPr>
            </w:pPr>
            <w:r>
              <w:rPr>
                <w:rFonts w:hint="eastAsia"/>
                <w:color w:val="auto"/>
                <w:sz w:val="24"/>
                <w:highlight w:val="none"/>
              </w:rPr>
              <w:t>增减金额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bl>
    <w:p>
      <w:pPr>
        <w:adjustRightInd w:val="0"/>
        <w:snapToGrid w:val="0"/>
        <w:spacing w:line="360" w:lineRule="auto"/>
        <w:jc w:val="center"/>
        <w:rPr>
          <w:rFonts w:hint="eastAsia" w:ascii="仿宋_GB2312" w:hAnsi="仿宋_GB2312" w:eastAsia="仿宋_GB2312" w:cs="仿宋_GB2312"/>
          <w:color w:val="auto"/>
          <w:sz w:val="48"/>
          <w:szCs w:val="48"/>
          <w:highlight w:val="none"/>
        </w:rPr>
      </w:pPr>
    </w:p>
    <w:p>
      <w:pPr>
        <w:pStyle w:val="2"/>
        <w:rPr>
          <w:rFonts w:hint="eastAsia" w:ascii="仿宋_GB2312" w:hAnsi="仿宋_GB2312" w:eastAsia="仿宋_GB2312" w:cs="仿宋_GB2312"/>
          <w:color w:val="auto"/>
          <w:sz w:val="48"/>
          <w:szCs w:val="48"/>
          <w:highlight w:val="none"/>
        </w:rPr>
      </w:pPr>
    </w:p>
    <w:p>
      <w:pPr>
        <w:rPr>
          <w:rFonts w:hint="eastAsia"/>
          <w:color w:val="auto"/>
          <w:highlight w:val="none"/>
        </w:rPr>
      </w:pPr>
    </w:p>
    <w:p>
      <w:pPr>
        <w:pStyle w:val="73"/>
        <w:ind w:firstLine="540" w:firstLineChars="300"/>
        <w:rPr>
          <w:rFonts w:hint="eastAsia" w:cs="宋体"/>
          <w:color w:val="auto"/>
          <w:sz w:val="18"/>
          <w:highlight w:val="none"/>
        </w:rPr>
      </w:pPr>
    </w:p>
    <w:p>
      <w:pPr>
        <w:pStyle w:val="84"/>
        <w:ind w:firstLine="800"/>
        <w:rPr>
          <w:rFonts w:hint="default"/>
          <w:highlight w:val="none"/>
        </w:rPr>
      </w:pPr>
    </w:p>
    <w:p>
      <w:pPr>
        <w:pStyle w:val="84"/>
        <w:ind w:firstLine="800"/>
        <w:rPr>
          <w:rFonts w:hint="default"/>
          <w:highlight w:val="none"/>
        </w:rPr>
      </w:pPr>
    </w:p>
    <w:p>
      <w:pPr>
        <w:pStyle w:val="84"/>
        <w:ind w:firstLine="800"/>
        <w:rPr>
          <w:rFonts w:hint="default"/>
          <w:highlight w:val="none"/>
        </w:rPr>
      </w:pPr>
    </w:p>
    <w:p>
      <w:pPr>
        <w:pStyle w:val="84"/>
        <w:ind w:firstLine="800"/>
        <w:rPr>
          <w:rFonts w:hint="default"/>
          <w:highlight w:val="none"/>
        </w:rPr>
      </w:pPr>
      <w:r>
        <w:rPr>
          <w:rFonts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9504" behindDoc="0" locked="0" layoutInCell="1" allowOverlap="1">
                <wp:simplePos x="0" y="0"/>
                <wp:positionH relativeFrom="column">
                  <wp:posOffset>2344420</wp:posOffset>
                </wp:positionH>
                <wp:positionV relativeFrom="paragraph">
                  <wp:posOffset>240030</wp:posOffset>
                </wp:positionV>
                <wp:extent cx="958850" cy="0"/>
                <wp:effectExtent l="0" t="4445" r="0" b="5080"/>
                <wp:wrapNone/>
                <wp:docPr id="7" name="自选图形 1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5" o:spid="_x0000_s1026" o:spt="32" type="#_x0000_t32" style="position:absolute;left:0pt;margin-left:184.6pt;margin-top:18.9pt;height:0pt;width:75.5pt;z-index:251669504;mso-width-relative:page;mso-height-relative:page;" filled="f" stroked="t" coordsize="21600,21600" o:gfxdata="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qNTm1wAAAAkBAAAPAAAAAAAAAAEAIAAAACIAAABkcnMvZG93bnJldi54bWxQ&#10;SwECFAAUAAAACACHTuJAFUV6uvgBAADxAwAADgAAAAAAAAABACAAAAAmAQAAZHJzL2Uyb0RvYy54&#10;bWxQSwUGAAAAAAYABgBZAQAAkAUAAAAA&#10;">
                <v:fill on="f" focussize="0,0"/>
                <v:stroke color="#000000" joinstyle="round"/>
                <v:imagedata o:title=""/>
                <o:lock v:ext="edit" aspectratio="f"/>
              </v:shape>
            </w:pict>
          </mc:Fallback>
        </mc:AlternateContent>
      </w:r>
    </w:p>
    <w:p>
      <w:pPr>
        <w:pStyle w:val="2"/>
        <w:spacing w:line="720" w:lineRule="auto"/>
        <w:jc w:val="center"/>
        <w:rPr>
          <w:color w:val="auto"/>
          <w:highlight w:val="none"/>
        </w:rPr>
      </w:pPr>
      <w:bookmarkStart w:id="89" w:name="_Toc5129"/>
      <w:bookmarkStart w:id="90" w:name="_Toc23515"/>
      <w:bookmarkStart w:id="91" w:name="_Toc16552"/>
      <w:bookmarkStart w:id="92" w:name="_Toc6230"/>
      <w:bookmarkStart w:id="93" w:name="_Toc12169"/>
      <w:bookmarkStart w:id="94" w:name="_Toc28358"/>
      <w:bookmarkStart w:id="95" w:name="_Toc21847"/>
      <w:bookmarkStart w:id="96" w:name="_Toc30824"/>
      <w:bookmarkStart w:id="97" w:name="_Toc3723"/>
      <w:bookmarkStart w:id="98" w:name="_Toc1563"/>
      <w:bookmarkStart w:id="99" w:name="_Toc8147"/>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71552" behindDoc="0" locked="0" layoutInCell="1" allowOverlap="1">
                <wp:simplePos x="0" y="0"/>
                <wp:positionH relativeFrom="column">
                  <wp:posOffset>2350770</wp:posOffset>
                </wp:positionH>
                <wp:positionV relativeFrom="paragraph">
                  <wp:posOffset>447040</wp:posOffset>
                </wp:positionV>
                <wp:extent cx="958850" cy="0"/>
                <wp:effectExtent l="0" t="4445" r="0" b="5080"/>
                <wp:wrapNone/>
                <wp:docPr id="8" name="自选图形 1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4" o:spid="_x0000_s1026" o:spt="32" type="#_x0000_t32" style="position:absolute;left:0pt;margin-left:185.1pt;margin-top:35.2pt;height:0pt;width:75.5pt;z-index:251671552;mso-width-relative:page;mso-height-relative:page;" filled="f" stroked="t" coordsize="21600,21600" o:gfxdata="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eN4T1wAAAAkBAAAPAAAAAAAAAAEAIAAAACIAAABkcnMvZG93bnJldi54bWxQ&#10;SwECFAAUAAAACACHTuJALRf/3fgBAADxAwAADgAAAAAAAAABACAAAAAmAQAAZHJzL2Uyb0RvYy54&#10;bWxQSwUGAAAAAAYABgBZAQAAkA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color w:val="auto"/>
          <w:sz w:val="40"/>
          <w:szCs w:val="40"/>
          <w:highlight w:val="none"/>
        </w:rPr>
        <w:t>第七章</w:t>
      </w:r>
      <w:bookmarkEnd w:id="89"/>
      <w:bookmarkEnd w:id="90"/>
      <w:bookmarkEnd w:id="91"/>
      <w:bookmarkEnd w:id="92"/>
      <w:bookmarkEnd w:id="93"/>
      <w:bookmarkEnd w:id="94"/>
      <w:bookmarkEnd w:id="95"/>
      <w:bookmarkEnd w:id="96"/>
      <w:bookmarkEnd w:id="97"/>
      <w:bookmarkEnd w:id="98"/>
      <w:bookmarkEnd w:id="99"/>
    </w:p>
    <w:p>
      <w:pPr>
        <w:pStyle w:val="2"/>
        <w:ind w:left="0" w:firstLine="0"/>
        <w:jc w:val="center"/>
        <w:rPr>
          <w:rFonts w:hint="eastAsia"/>
          <w:color w:val="auto"/>
          <w:highlight w:val="none"/>
        </w:rPr>
      </w:pPr>
      <w:bookmarkStart w:id="100" w:name="_Toc31564"/>
      <w:bookmarkStart w:id="101" w:name="_Toc30157"/>
      <w:bookmarkStart w:id="102" w:name="_Toc24490"/>
      <w:bookmarkStart w:id="103" w:name="_Toc22764"/>
      <w:bookmarkStart w:id="104" w:name="_Toc12769"/>
      <w:bookmarkStart w:id="105" w:name="_Toc5342"/>
      <w:bookmarkStart w:id="106" w:name="_Toc12610"/>
      <w:bookmarkStart w:id="107" w:name="_Toc87616388"/>
      <w:bookmarkStart w:id="108" w:name="_Toc17119"/>
      <w:bookmarkStart w:id="109" w:name="_Toc21675"/>
      <w:bookmarkStart w:id="110" w:name="_Toc24815"/>
      <w:bookmarkStart w:id="111" w:name="_Toc88209951"/>
      <w:bookmarkStart w:id="112" w:name="_Toc10840"/>
      <w:r>
        <w:rPr>
          <w:rFonts w:hint="eastAsia"/>
          <w:color w:val="auto"/>
          <w:highlight w:val="none"/>
        </w:rPr>
        <w:t>响应文件格式要求</w:t>
      </w:r>
      <w:bookmarkEnd w:id="100"/>
      <w:bookmarkEnd w:id="101"/>
      <w:bookmarkEnd w:id="102"/>
      <w:bookmarkEnd w:id="103"/>
      <w:bookmarkEnd w:id="104"/>
      <w:bookmarkEnd w:id="105"/>
      <w:bookmarkEnd w:id="106"/>
      <w:bookmarkEnd w:id="107"/>
      <w:bookmarkEnd w:id="108"/>
      <w:bookmarkEnd w:id="109"/>
      <w:bookmarkEnd w:id="110"/>
      <w:bookmarkEnd w:id="111"/>
      <w:bookmarkEnd w:id="112"/>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ab/>
      </w: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both"/>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pStyle w:val="84"/>
        <w:ind w:firstLine="480"/>
        <w:rPr>
          <w:rFonts w:hint="default"/>
          <w:highlight w:val="none"/>
        </w:rPr>
      </w:pPr>
    </w:p>
    <w:p>
      <w:pPr>
        <w:pStyle w:val="84"/>
        <w:ind w:firstLine="480"/>
        <w:rPr>
          <w:rFonts w:hint="default"/>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20" w:beforeLines="50" w:after="120" w:afterLines="50" w:line="600" w:lineRule="exact"/>
        <w:jc w:val="center"/>
        <w:rPr>
          <w:rFonts w:ascii="仿宋_GB2312" w:eastAsia="仿宋_GB2312"/>
          <w:color w:val="auto"/>
          <w:sz w:val="30"/>
          <w:szCs w:val="30"/>
          <w:highlight w:val="none"/>
        </w:rPr>
      </w:pPr>
    </w:p>
    <w:p>
      <w:pPr>
        <w:adjustRightInd w:val="0"/>
        <w:snapToGrid w:val="0"/>
        <w:spacing w:before="120" w:beforeLines="50" w:after="12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pStyle w:val="50"/>
        <w:rPr>
          <w:rFonts w:ascii="方正小标宋简体" w:eastAsia="方正小标宋简体"/>
          <w:sz w:val="48"/>
          <w:szCs w:val="48"/>
          <w:highlight w:val="none"/>
        </w:rPr>
      </w:pPr>
    </w:p>
    <w:p>
      <w:pPr>
        <w:pStyle w:val="50"/>
        <w:rPr>
          <w:rFonts w:ascii="方正小标宋简体" w:eastAsia="方正小标宋简体"/>
          <w:sz w:val="48"/>
          <w:szCs w:val="48"/>
          <w:highlight w:val="none"/>
        </w:rPr>
      </w:pPr>
    </w:p>
    <w:p>
      <w:pPr>
        <w:pStyle w:val="50"/>
        <w:ind w:left="0"/>
        <w:rPr>
          <w:rFonts w:ascii="方正小标宋简体" w:eastAsia="方正小标宋简体"/>
          <w:sz w:val="48"/>
          <w:szCs w:val="48"/>
          <w:highlight w:val="none"/>
        </w:rPr>
      </w:pPr>
    </w:p>
    <w:p>
      <w:pPr>
        <w:adjustRightInd w:val="0"/>
        <w:snapToGrid w:val="0"/>
        <w:spacing w:line="600" w:lineRule="exact"/>
        <w:ind w:left="1" w:firstLine="709" w:firstLineChars="197"/>
        <w:jc w:val="center"/>
        <w:rPr>
          <w:rFonts w:hint="eastAsia" w:ascii="仿宋_GB2312" w:hAnsi="等线" w:eastAsia="仿宋_GB2312"/>
          <w:color w:val="auto"/>
          <w:sz w:val="36"/>
          <w:szCs w:val="36"/>
          <w:highlight w:val="none"/>
        </w:rPr>
      </w:pPr>
      <w:r>
        <w:rPr>
          <w:rFonts w:hint="eastAsia" w:ascii="仿宋_GB2312" w:hAnsi="等线" w:eastAsia="仿宋_GB2312"/>
          <w:color w:val="auto"/>
          <w:sz w:val="36"/>
          <w:szCs w:val="36"/>
          <w:highlight w:val="none"/>
        </w:rPr>
        <w:t>供应商：</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（单位公章）</w:t>
      </w:r>
    </w:p>
    <w:p>
      <w:pPr>
        <w:adjustRightInd w:val="0"/>
        <w:snapToGrid w:val="0"/>
        <w:spacing w:line="600" w:lineRule="exact"/>
        <w:ind w:left="1" w:right="560" w:firstLine="709" w:firstLineChars="197"/>
        <w:jc w:val="center"/>
        <w:rPr>
          <w:rFonts w:ascii="方正小标宋简体" w:eastAsia="方正小标宋简体"/>
          <w:color w:val="auto"/>
          <w:sz w:val="44"/>
          <w:szCs w:val="44"/>
          <w:highlight w:val="none"/>
        </w:rPr>
      </w:pP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年</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月</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日</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pStyle w:val="84"/>
        <w:ind w:firstLine="480"/>
        <w:rPr>
          <w:rFonts w:hint="default"/>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3" w:name="_Toc88209952"/>
      <w:bookmarkStart w:id="114" w:name="_Toc87616389"/>
      <w:r>
        <w:rPr>
          <w:rFonts w:hint="eastAsia" w:ascii="仿宋_GB2312" w:eastAsia="仿宋_GB2312"/>
          <w:color w:val="auto"/>
          <w:sz w:val="28"/>
          <w:szCs w:val="28"/>
          <w:highlight w:val="none"/>
        </w:rPr>
        <w:t>1.响应函</w:t>
      </w:r>
      <w:bookmarkEnd w:id="113"/>
      <w:bookmarkEnd w:id="114"/>
    </w:p>
    <w:p>
      <w:pPr>
        <w:spacing w:line="600" w:lineRule="exact"/>
        <w:rPr>
          <w:rFonts w:ascii="仿宋_GB2312" w:eastAsia="仿宋_GB2312"/>
          <w:color w:val="auto"/>
          <w:sz w:val="28"/>
          <w:szCs w:val="28"/>
          <w:highlight w:val="none"/>
        </w:rPr>
      </w:pPr>
      <w:bookmarkStart w:id="115" w:name="_Toc87616390"/>
      <w:bookmarkStart w:id="116" w:name="_Toc88209953"/>
      <w:r>
        <w:rPr>
          <w:rFonts w:hint="eastAsia" w:ascii="仿宋_GB2312" w:eastAsia="仿宋_GB2312"/>
          <w:color w:val="auto"/>
          <w:sz w:val="28"/>
          <w:szCs w:val="28"/>
          <w:highlight w:val="none"/>
        </w:rPr>
        <w:t>2.法定代表人证明或授权委托书</w:t>
      </w:r>
      <w:bookmarkEnd w:id="115"/>
      <w:bookmarkEnd w:id="116"/>
      <w:bookmarkStart w:id="117" w:name="_Toc88209956"/>
      <w:bookmarkStart w:id="118"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17"/>
      <w:bookmarkEnd w:id="118"/>
      <w:r>
        <w:rPr>
          <w:rFonts w:hint="eastAsia" w:ascii="仿宋_GB2312" w:eastAsia="仿宋_GB2312"/>
          <w:color w:val="auto"/>
          <w:sz w:val="28"/>
          <w:szCs w:val="28"/>
          <w:highlight w:val="none"/>
        </w:rPr>
        <w:cr/>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480"/>
        <w:rPr>
          <w:rFonts w:hint="default"/>
          <w:highlight w:val="none"/>
        </w:rPr>
      </w:pPr>
    </w:p>
    <w:p>
      <w:pPr>
        <w:pStyle w:val="50"/>
        <w:ind w:left="0"/>
        <w:rPr>
          <w:rFonts w:ascii="方正小标宋简体" w:eastAsia="方正小标宋简体"/>
          <w:sz w:val="44"/>
          <w:szCs w:val="44"/>
          <w:highlight w:val="none"/>
        </w:rPr>
      </w:pPr>
    </w:p>
    <w:p>
      <w:pPr>
        <w:pStyle w:val="19"/>
        <w:ind w:firstLine="0"/>
        <w:rPr>
          <w:highlight w:val="none"/>
        </w:rPr>
      </w:pPr>
    </w:p>
    <w:p>
      <w:pPr>
        <w:pStyle w:val="4"/>
        <w:ind w:left="0" w:firstLine="0"/>
        <w:rPr>
          <w:rFonts w:hint="eastAsia" w:ascii="等线" w:hAnsi="等线" w:eastAsia="等线"/>
          <w:color w:val="auto"/>
          <w:szCs w:val="28"/>
          <w:highlight w:val="none"/>
        </w:rPr>
      </w:pPr>
      <w:bookmarkStart w:id="119" w:name="_Toc88209957"/>
      <w:bookmarkStart w:id="120" w:name="_Toc6313"/>
      <w:bookmarkStart w:id="121" w:name="_Toc12665"/>
      <w:bookmarkStart w:id="122" w:name="_Toc28619645"/>
      <w:bookmarkStart w:id="123" w:name="_Toc87616394"/>
      <w:r>
        <w:rPr>
          <w:rFonts w:hint="eastAsia" w:ascii="等线" w:hAnsi="等线" w:eastAsia="等线"/>
          <w:color w:val="auto"/>
          <w:szCs w:val="28"/>
          <w:highlight w:val="none"/>
        </w:rPr>
        <w:t>1.响应函</w:t>
      </w:r>
      <w:bookmarkEnd w:id="119"/>
      <w:bookmarkEnd w:id="120"/>
      <w:bookmarkEnd w:id="121"/>
      <w:bookmarkEnd w:id="122"/>
      <w:bookmarkEnd w:id="123"/>
    </w:p>
    <w:p>
      <w:pPr>
        <w:spacing w:line="360" w:lineRule="auto"/>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hint="eastAsia"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（采购人名称）：</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 xml:space="preserve">工程 </w:t>
      </w:r>
      <w:r>
        <w:rPr>
          <w:rFonts w:hint="eastAsia" w:ascii="仿宋_GB2312" w:hAnsi="黑体" w:eastAsia="仿宋_GB2312"/>
          <w:color w:val="auto"/>
          <w:sz w:val="28"/>
          <w:szCs w:val="28"/>
          <w:highlight w:val="none"/>
        </w:rPr>
        <w:sym w:font="Wingdings 2" w:char="00A3"/>
      </w:r>
      <w:r>
        <w:rPr>
          <w:rFonts w:hint="eastAsia" w:ascii="仿宋_GB2312" w:hAnsi="黑体" w:eastAsia="仿宋_GB2312"/>
          <w:color w:val="auto"/>
          <w:sz w:val="28"/>
          <w:szCs w:val="28"/>
          <w:highlight w:val="none"/>
        </w:rPr>
        <w:t>货物</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left="559" w:leftChars="266"/>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我方完全理解采购文件中所有要求均为实质性响应条款，如有任何一条负偏离或者不满足将导致响应文件无效。由于我方提供资料不实或与需求书中所有条款不符而造成的责任和后果由我方承担。</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rPr>
        <w:t>若我方发生不履约行为情形的，我方愿意接受采购人按《广州市净水有限公司经营建设项目参建企业不履约评价管理办法（试行）》处理。具体处理标准详见合同草案附件。</w:t>
      </w:r>
    </w:p>
    <w:p>
      <w:pPr>
        <w:spacing w:line="360" w:lineRule="auto"/>
        <w:ind w:firstLine="560" w:firstLineChars="200"/>
        <w:rPr>
          <w:rFonts w:hint="eastAsia"/>
          <w:color w:val="auto"/>
          <w:highlight w:val="none"/>
        </w:rPr>
      </w:pP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rPr>
        <w:t>我方在参与采购前已仔细研究了采购文件和所有相关资料，我方完全明白并认为此采购文件没有倾向性，也没有存在排斥潜在供应商的内容，我方同意采购文件的相关条款，放弃对采购文件提出误解和异议的一切权利。</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84"/>
        <w:ind w:firstLine="560"/>
        <w:rPr>
          <w:rFonts w:hint="default" w:eastAsia="仿宋_GB2312"/>
          <w:highlight w:val="none"/>
        </w:rPr>
      </w:pPr>
      <w:r>
        <w:rPr>
          <w:rFonts w:hint="default" w:ascii="仿宋_GB2312" w:hAnsi="黑体" w:eastAsia="仿宋_GB2312" w:cs="Times New Roman"/>
          <w:sz w:val="28"/>
          <w:szCs w:val="28"/>
          <w:highlight w:val="none"/>
        </w:rPr>
        <w:t>（5）如放弃成交，我方依法</w:t>
      </w:r>
      <w:r>
        <w:rPr>
          <w:rFonts w:ascii="仿宋_GB2312" w:hAnsi="黑体" w:eastAsia="仿宋_GB2312"/>
          <w:sz w:val="28"/>
          <w:szCs w:val="28"/>
          <w:highlight w:val="none"/>
        </w:rPr>
        <w:t>承担相应的法律责任。</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.我方在此声明，所递交的响应文件及有关资料内容完整、真实和准确，且不存在采购公告（采购邀请书）中供应商不得存在的情形。</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0" w:firstLine="0" w:firstLineChars="0"/>
        <w:rPr>
          <w:rFonts w:hint="eastAsia" w:ascii="仿宋_GB2312" w:hAnsi="等线" w:eastAsia="仿宋_GB2312"/>
          <w:color w:val="auto"/>
          <w:sz w:val="28"/>
          <w:szCs w:val="28"/>
          <w:highlight w:val="none"/>
        </w:rPr>
      </w:pPr>
    </w:p>
    <w:p>
      <w:pPr>
        <w:adjustRightInd w:val="0"/>
        <w:snapToGrid w:val="0"/>
        <w:spacing w:line="360" w:lineRule="exact"/>
        <w:ind w:left="0"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供应商：</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（单位公章）</w:t>
      </w:r>
    </w:p>
    <w:p>
      <w:pPr>
        <w:adjustRightInd w:val="0"/>
        <w:snapToGrid w:val="0"/>
        <w:spacing w:line="360" w:lineRule="exact"/>
        <w:ind w:left="0"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法定代表人或委托代理人：</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（签字或签章）</w:t>
      </w:r>
    </w:p>
    <w:p>
      <w:pPr>
        <w:adjustRightInd w:val="0"/>
        <w:snapToGrid w:val="0"/>
        <w:spacing w:line="360" w:lineRule="exact"/>
        <w:ind w:left="0"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地址：</w:t>
      </w:r>
      <w:r>
        <w:rPr>
          <w:rFonts w:hint="eastAsia" w:ascii="仿宋_GB2312" w:hAnsi="等线" w:eastAsia="仿宋_GB2312"/>
          <w:color w:val="auto"/>
          <w:sz w:val="28"/>
          <w:szCs w:val="28"/>
          <w:highlight w:val="none"/>
          <w:u w:val="single"/>
        </w:rPr>
        <w:t xml:space="preserve">                              </w:t>
      </w:r>
    </w:p>
    <w:p>
      <w:pPr>
        <w:adjustRightInd w:val="0"/>
        <w:snapToGrid w:val="0"/>
        <w:spacing w:line="360" w:lineRule="exact"/>
        <w:ind w:left="0"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电子邮箱：</w:t>
      </w:r>
      <w:r>
        <w:rPr>
          <w:rFonts w:hint="eastAsia" w:ascii="仿宋_GB2312" w:hAnsi="等线" w:eastAsia="仿宋_GB2312"/>
          <w:color w:val="auto"/>
          <w:sz w:val="28"/>
          <w:szCs w:val="28"/>
          <w:highlight w:val="none"/>
          <w:u w:val="single"/>
        </w:rPr>
        <w:t xml:space="preserve">                          </w:t>
      </w:r>
    </w:p>
    <w:p>
      <w:pPr>
        <w:adjustRightInd w:val="0"/>
        <w:snapToGrid w:val="0"/>
        <w:spacing w:line="360" w:lineRule="exact"/>
        <w:ind w:left="0"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电话：</w:t>
      </w:r>
      <w:r>
        <w:rPr>
          <w:rFonts w:hint="eastAsia" w:ascii="仿宋_GB2312" w:hAnsi="等线" w:eastAsia="仿宋_GB2312"/>
          <w:color w:val="auto"/>
          <w:sz w:val="28"/>
          <w:szCs w:val="28"/>
          <w:highlight w:val="none"/>
          <w:u w:val="single"/>
        </w:rPr>
        <w:t xml:space="preserve">                              </w:t>
      </w:r>
    </w:p>
    <w:p>
      <w:pPr>
        <w:adjustRightInd w:val="0"/>
        <w:snapToGrid w:val="0"/>
        <w:spacing w:line="360" w:lineRule="exact"/>
        <w:ind w:left="0"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传真：</w:t>
      </w:r>
      <w:r>
        <w:rPr>
          <w:rFonts w:hint="eastAsia" w:ascii="仿宋_GB2312" w:hAnsi="等线" w:eastAsia="仿宋_GB2312"/>
          <w:color w:val="auto"/>
          <w:sz w:val="28"/>
          <w:szCs w:val="28"/>
          <w:highlight w:val="none"/>
          <w:u w:val="single"/>
        </w:rPr>
        <w:t xml:space="preserve">                              </w:t>
      </w:r>
    </w:p>
    <w:p>
      <w:pPr>
        <w:spacing w:line="360" w:lineRule="exact"/>
        <w:ind w:left="0"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年</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月</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日</w:t>
      </w:r>
      <w:bookmarkStart w:id="124" w:name="_Toc88209958"/>
      <w:bookmarkStart w:id="125" w:name="_Toc22527"/>
      <w:bookmarkStart w:id="126" w:name="_Toc29833"/>
      <w:bookmarkStart w:id="127" w:name="_Toc87616395"/>
    </w:p>
    <w:p>
      <w:pPr>
        <w:pStyle w:val="4"/>
        <w:ind w:left="0" w:firstLine="0"/>
        <w:rPr>
          <w:rFonts w:hint="eastAsia" w:ascii="等线" w:hAnsi="等线" w:eastAsia="等线"/>
          <w:color w:val="auto"/>
          <w:szCs w:val="28"/>
          <w:highlight w:val="none"/>
        </w:rPr>
      </w:pPr>
      <w:r>
        <w:rPr>
          <w:rFonts w:hint="eastAsia" w:ascii="等线" w:hAnsi="等线" w:eastAsia="等线"/>
          <w:color w:val="auto"/>
          <w:szCs w:val="28"/>
          <w:highlight w:val="none"/>
        </w:rPr>
        <w:t>2.法定代表人证明或授权委托书</w:t>
      </w:r>
      <w:bookmarkEnd w:id="124"/>
      <w:bookmarkEnd w:id="125"/>
      <w:bookmarkEnd w:id="126"/>
      <w:bookmarkEnd w:id="12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adjustRightInd w:val="0"/>
        <w:snapToGrid w:val="0"/>
        <w:spacing w:before="120" w:beforeLines="50" w:after="12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613"/>
        <w:snapToGrid w:val="0"/>
        <w:spacing w:after="0" w:line="600" w:lineRule="exact"/>
        <w:jc w:val="both"/>
        <w:rPr>
          <w:rFonts w:hint="eastAsia" w:ascii="仿宋_GB2312" w:hAnsi="宋体" w:eastAsia="仿宋_GB2312"/>
          <w:sz w:val="30"/>
          <w:szCs w:val="30"/>
          <w:highlight w:val="none"/>
          <w:u w:val="single"/>
        </w:rPr>
      </w:pPr>
      <w:r>
        <w:rPr>
          <w:rFonts w:hint="eastAsia" w:ascii="仿宋_GB2312" w:hAnsi="宋体" w:eastAsia="仿宋_GB2312"/>
          <w:sz w:val="32"/>
          <w:szCs w:val="32"/>
          <w:highlight w:val="none"/>
        </w:rPr>
        <w:t xml:space="preserve">     </w:t>
      </w:r>
      <w:r>
        <w:rPr>
          <w:rFonts w:hint="eastAsia" w:ascii="仿宋_GB2312" w:hAnsi="宋体" w:eastAsia="仿宋_GB2312"/>
          <w:sz w:val="30"/>
          <w:szCs w:val="30"/>
          <w:highlight w:val="none"/>
        </w:rPr>
        <w:t>供应商名称：</w:t>
      </w:r>
      <w:r>
        <w:rPr>
          <w:rFonts w:hint="eastAsia" w:ascii="仿宋_GB2312" w:hAnsi="宋体" w:eastAsia="仿宋_GB2312"/>
          <w:sz w:val="30"/>
          <w:szCs w:val="30"/>
          <w:highlight w:val="none"/>
          <w:u w:val="single"/>
        </w:rPr>
        <w:t xml:space="preserve">                          </w:t>
      </w:r>
    </w:p>
    <w:p>
      <w:pPr>
        <w:pStyle w:val="185"/>
        <w:snapToGrid w:val="0"/>
        <w:spacing w:line="600" w:lineRule="exact"/>
        <w:rPr>
          <w:rFonts w:hint="eastAsia" w:ascii="仿宋_GB2312" w:hAnsi="宋体" w:eastAsia="仿宋_GB2312"/>
          <w:color w:val="auto"/>
          <w:sz w:val="30"/>
          <w:szCs w:val="30"/>
          <w:highlight w:val="none"/>
          <w:u w:val="single"/>
        </w:rPr>
      </w:pPr>
      <w:r>
        <w:rPr>
          <w:rFonts w:hint="eastAsia" w:ascii="仿宋_GB2312" w:hAnsi="宋体" w:eastAsia="仿宋_GB2312"/>
          <w:color w:val="auto"/>
          <w:sz w:val="30"/>
          <w:szCs w:val="30"/>
          <w:highlight w:val="none"/>
        </w:rPr>
        <w:t xml:space="preserve">     单位性质：</w:t>
      </w:r>
      <w:r>
        <w:rPr>
          <w:rFonts w:hint="eastAsia" w:ascii="仿宋_GB2312" w:hAnsi="宋体" w:eastAsia="仿宋_GB2312"/>
          <w:color w:val="auto"/>
          <w:sz w:val="30"/>
          <w:szCs w:val="30"/>
          <w:highlight w:val="none"/>
          <w:u w:val="single"/>
        </w:rPr>
        <w:t xml:space="preserve">                            </w:t>
      </w:r>
    </w:p>
    <w:p>
      <w:pPr>
        <w:pStyle w:val="614"/>
        <w:snapToGrid w:val="0"/>
        <w:spacing w:after="0" w:line="600" w:lineRule="exact"/>
        <w:ind w:firstLine="750" w:firstLineChars="250"/>
        <w:rPr>
          <w:rFonts w:hint="eastAsia" w:ascii="仿宋_GB2312" w:hAnsi="宋体" w:eastAsia="仿宋_GB2312"/>
          <w:sz w:val="30"/>
          <w:szCs w:val="30"/>
          <w:highlight w:val="none"/>
          <w:u w:val="single"/>
        </w:rPr>
      </w:pPr>
      <w:r>
        <w:rPr>
          <w:rFonts w:hint="eastAsia" w:ascii="仿宋_GB2312" w:hAnsi="宋体" w:eastAsia="仿宋_GB2312"/>
          <w:sz w:val="30"/>
          <w:szCs w:val="30"/>
          <w:highlight w:val="none"/>
        </w:rPr>
        <w:t>地    址：</w:t>
      </w:r>
      <w:r>
        <w:rPr>
          <w:rFonts w:hint="eastAsia" w:ascii="仿宋_GB2312" w:hAnsi="宋体" w:eastAsia="仿宋_GB2312"/>
          <w:sz w:val="30"/>
          <w:szCs w:val="30"/>
          <w:highlight w:val="none"/>
          <w:u w:val="singl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成立时间：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经营期限：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姓名：</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性别：</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年龄：</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身份证号码：</w:t>
      </w:r>
      <w:r>
        <w:rPr>
          <w:rFonts w:hint="eastAsia" w:ascii="仿宋_GB2312" w:hAnsi="宋体" w:eastAsia="仿宋_GB2312"/>
          <w:color w:val="auto"/>
          <w:sz w:val="30"/>
          <w:szCs w:val="30"/>
          <w:highlight w:val="none"/>
          <w:u w:val="singl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职务：</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 xml:space="preserve"> 的法定代表人。</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特此证明。</w:t>
      </w:r>
    </w:p>
    <w:p>
      <w:pPr>
        <w:adjustRightInd w:val="0"/>
        <w:snapToGrid w:val="0"/>
        <w:spacing w:line="600" w:lineRule="exact"/>
        <w:ind w:firstLine="702" w:firstLineChars="234"/>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85"/>
        <w:snapToGrid w:val="0"/>
        <w:spacing w:line="600" w:lineRule="exact"/>
        <w:ind w:firstLine="3907" w:firstLineChars="1221"/>
        <w:rPr>
          <w:rFonts w:hint="eastAsia" w:ascii="仿宋_GB2312" w:hAnsi="宋体" w:eastAsia="仿宋_GB2312"/>
          <w:color w:val="auto"/>
          <w:sz w:val="32"/>
          <w:szCs w:val="32"/>
          <w:highlight w:val="none"/>
        </w:rPr>
      </w:pPr>
    </w:p>
    <w:p>
      <w:pPr>
        <w:pStyle w:val="185"/>
        <w:snapToGrid w:val="0"/>
        <w:spacing w:line="600" w:lineRule="exact"/>
        <w:ind w:firstLine="3663" w:firstLineChars="1221"/>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供应商：</w:t>
      </w:r>
      <w:r>
        <w:rPr>
          <w:rFonts w:hint="eastAsia" w:ascii="仿宋_GB2312" w:hAnsi="宋体" w:eastAsia="仿宋_GB2312"/>
          <w:color w:val="auto"/>
          <w:sz w:val="30"/>
          <w:szCs w:val="30"/>
          <w:highlight w:val="none"/>
          <w:u w:val="single"/>
        </w:rPr>
        <w:t xml:space="preserve">       (盖单位章)      </w:t>
      </w:r>
    </w:p>
    <w:p>
      <w:pPr>
        <w:adjustRightInd w:val="0"/>
        <w:snapToGrid w:val="0"/>
        <w:spacing w:line="600" w:lineRule="exact"/>
        <w:jc w:val="righ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adjustRightInd w:val="0"/>
        <w:snapToGrid w:val="0"/>
        <w:spacing w:line="600" w:lineRule="exact"/>
        <w:rPr>
          <w:rFonts w:hint="eastAsia"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257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257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20" w:beforeLines="50" w:after="12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pStyle w:val="582"/>
        <w:adjustRightInd w:val="0"/>
        <w:snapToGrid w:val="0"/>
        <w:spacing w:line="600" w:lineRule="exact"/>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附：1.委托代理人身份证(正反两面)复印件，提供授权委托代理人身份证原件备查。</w:t>
      </w:r>
    </w:p>
    <w:p>
      <w:pPr>
        <w:pStyle w:val="582"/>
        <w:numPr>
          <w:ilvl w:val="0"/>
          <w:numId w:val="0"/>
        </w:numPr>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2.提供授权委托人自公告发布当月起在本单位近三个月社保记录（以加盖社会保险基金管理中心印章的《缴费历史明细表》或《社会保险参保人员证明》为准），否则为无效代理人，响应文件无效。</w:t>
      </w:r>
    </w:p>
    <w:p>
      <w:pPr>
        <w:pStyle w:val="582"/>
        <w:numPr>
          <w:ilvl w:val="0"/>
          <w:numId w:val="0"/>
        </w:numPr>
        <w:rPr>
          <w:rFonts w:hint="eastAsia" w:ascii="仿宋_GB2312" w:hAnsi="宋体" w:eastAsia="仿宋_GB2312"/>
          <w:color w:val="auto"/>
          <w:sz w:val="30"/>
          <w:szCs w:val="30"/>
          <w:highlight w:val="none"/>
        </w:rPr>
      </w:pPr>
    </w:p>
    <w:p>
      <w:pPr>
        <w:pStyle w:val="185"/>
        <w:snapToGrid w:val="0"/>
        <w:spacing w:line="600" w:lineRule="exact"/>
        <w:ind w:firstLine="3618" w:firstLineChars="1005"/>
        <w:rPr>
          <w:rFonts w:hint="eastAsia" w:ascii="仿宋_GB2312" w:hAnsi="宋体" w:eastAsia="仿宋_GB2312"/>
          <w:color w:val="auto"/>
          <w:sz w:val="30"/>
          <w:szCs w:val="30"/>
          <w:highlight w:val="none"/>
        </w:rPr>
      </w:pPr>
      <w:r>
        <w:rPr>
          <w:rFonts w:hint="eastAsia" w:ascii="仿宋_GB2312" w:hAnsi="宋体" w:eastAsia="仿宋_GB2312"/>
          <w:color w:val="auto"/>
          <w:spacing w:val="30"/>
          <w:sz w:val="30"/>
          <w:szCs w:val="30"/>
          <w:highlight w:val="none"/>
        </w:rPr>
        <w:t>供应商</w:t>
      </w:r>
      <w:r>
        <w:rPr>
          <w:rFonts w:hint="eastAsia" w:ascii="仿宋_GB2312" w:hAnsi="宋体" w:eastAsia="仿宋_GB2312"/>
          <w:color w:val="auto"/>
          <w:sz w:val="30"/>
          <w:szCs w:val="30"/>
          <w:highlight w:val="none"/>
        </w:rPr>
        <w:t>：</w:t>
      </w:r>
      <w:r>
        <w:rPr>
          <w:rFonts w:hint="eastAsia" w:ascii="仿宋_GB2312" w:hAnsi="宋体" w:eastAsia="仿宋_GB2312"/>
          <w:color w:val="auto"/>
          <w:sz w:val="30"/>
          <w:szCs w:val="30"/>
          <w:highlight w:val="none"/>
          <w:u w:val="single"/>
        </w:rPr>
        <w:t xml:space="preserve">      (单位公章)         </w:t>
      </w:r>
    </w:p>
    <w:p>
      <w:pPr>
        <w:pStyle w:val="185"/>
        <w:snapToGrid w:val="0"/>
        <w:spacing w:line="600" w:lineRule="exact"/>
        <w:ind w:firstLine="3600" w:firstLineChars="1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法定代表人：</w:t>
      </w:r>
      <w:r>
        <w:rPr>
          <w:rFonts w:hint="eastAsia" w:ascii="仿宋_GB2312" w:hAnsi="宋体" w:eastAsia="仿宋_GB2312"/>
          <w:color w:val="auto"/>
          <w:sz w:val="30"/>
          <w:szCs w:val="30"/>
          <w:highlight w:val="none"/>
          <w:u w:val="single"/>
        </w:rPr>
        <w:t xml:space="preserve">  (签字或签章)            </w:t>
      </w:r>
    </w:p>
    <w:p>
      <w:pPr>
        <w:pStyle w:val="185"/>
        <w:snapToGrid w:val="0"/>
        <w:spacing w:line="600" w:lineRule="exact"/>
        <w:ind w:firstLine="3600" w:firstLineChars="1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委托代理人：</w:t>
      </w:r>
      <w:r>
        <w:rPr>
          <w:rFonts w:hint="eastAsia" w:ascii="仿宋_GB2312" w:hAnsi="宋体" w:eastAsia="仿宋_GB2312"/>
          <w:color w:val="auto"/>
          <w:sz w:val="30"/>
          <w:szCs w:val="30"/>
          <w:highlight w:val="none"/>
          <w:u w:val="single"/>
        </w:rPr>
        <w:t xml:space="preserve">       (签字或签章)            </w:t>
      </w:r>
    </w:p>
    <w:p>
      <w:pPr>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19"/>
        <w:spacing w:line="600" w:lineRule="exact"/>
        <w:rPr>
          <w:rFonts w:ascii="仿宋_GB2312" w:eastAsia="仿宋_GB2312"/>
          <w:highlight w:val="none"/>
        </w:rPr>
      </w:pPr>
      <w:r>
        <w:rPr>
          <w:rFonts w:ascii="仿宋_GB2312" w:eastAsia="仿宋_GB2312"/>
          <w:sz w:val="44"/>
          <w:szCs w:val="44"/>
          <w:highlight w:val="none"/>
          <w:u w:val="single"/>
        </w:rPr>
        <mc:AlternateContent>
          <mc:Choice Requires="wps">
            <w:drawing>
              <wp:anchor distT="0" distB="0" distL="114300" distR="114300" simplePos="0" relativeHeight="25167360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360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19"/>
        <w:spacing w:line="600" w:lineRule="exact"/>
        <w:rPr>
          <w:rFonts w:ascii="仿宋_GB2312" w:eastAsia="仿宋_GB2312"/>
          <w:highlight w:val="none"/>
        </w:rPr>
      </w:pPr>
    </w:p>
    <w:p>
      <w:pPr>
        <w:pStyle w:val="19"/>
        <w:spacing w:line="600" w:lineRule="exact"/>
        <w:rPr>
          <w:rFonts w:ascii="仿宋_GB2312" w:eastAsia="仿宋_GB2312"/>
          <w:highlight w:val="none"/>
        </w:rPr>
      </w:pPr>
    </w:p>
    <w:p>
      <w:pPr>
        <w:pStyle w:val="19"/>
        <w:spacing w:line="600" w:lineRule="exact"/>
        <w:ind w:firstLine="0"/>
        <w:rPr>
          <w:rFonts w:ascii="仿宋_GB2312" w:eastAsia="仿宋_GB2312"/>
          <w:highlight w:val="none"/>
        </w:rPr>
      </w:pPr>
    </w:p>
    <w:p>
      <w:pPr>
        <w:pStyle w:val="19"/>
        <w:spacing w:line="600" w:lineRule="exact"/>
        <w:rPr>
          <w:rFonts w:ascii="仿宋_GB2312" w:eastAsia="仿宋_GB2312"/>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注：法人（单位负责人）授权委托书亦可采用工商行政管理局统一制订的格式。</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widowControl w:val="0"/>
              <w:adjustRightInd w:val="0"/>
              <w:spacing w:line="360" w:lineRule="auto"/>
              <w:jc w:val="both"/>
              <w:textAlignment w:val="baseline"/>
              <w:rPr>
                <w:rFonts w:hint="eastAsia" w:ascii="宋体" w:hAnsi="宋体" w:cs="Times New Roman"/>
                <w:color w:val="auto"/>
                <w:sz w:val="24"/>
                <w:szCs w:val="24"/>
                <w:highlight w:val="none"/>
              </w:rPr>
            </w:pPr>
          </w:p>
          <w:p>
            <w:pPr>
              <w:widowControl w:val="0"/>
              <w:adjustRightInd w:val="0"/>
              <w:spacing w:line="360" w:lineRule="auto"/>
              <w:jc w:val="center"/>
              <w:textAlignment w:val="baseline"/>
              <w:rPr>
                <w:rFonts w:hint="eastAsia" w:ascii="宋体" w:hAnsi="宋体" w:cs="Times New Roman"/>
                <w:color w:val="auto"/>
                <w:sz w:val="24"/>
                <w:szCs w:val="24"/>
                <w:highlight w:val="none"/>
              </w:rPr>
            </w:pPr>
          </w:p>
          <w:p>
            <w:pPr>
              <w:widowControl w:val="0"/>
              <w:adjustRightInd w:val="0"/>
              <w:spacing w:line="360" w:lineRule="auto"/>
              <w:jc w:val="center"/>
              <w:textAlignment w:val="baseline"/>
              <w:rPr>
                <w:rFonts w:hint="eastAsia" w:ascii="宋体" w:hAnsi="宋体"/>
                <w:color w:val="auto"/>
                <w:sz w:val="24"/>
                <w:szCs w:val="24"/>
                <w:highlight w:val="none"/>
              </w:rPr>
            </w:pPr>
            <w:r>
              <w:rPr>
                <w:rFonts w:hint="eastAsia" w:ascii="宋体" w:hAnsi="宋体" w:cs="Times New Roman"/>
                <w:color w:val="auto"/>
                <w:sz w:val="24"/>
                <w:szCs w:val="24"/>
                <w:highlight w:val="none"/>
              </w:rPr>
              <w:t>授权代理人自公告发布当月起在本单位近三个月社保记录，（以加盖社会保险基金管理中心印章的《缴费历史明细表》或《社会保险参保人员证明》为准，加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widowControl w:val="0"/>
              <w:adjustRightInd w:val="0"/>
              <w:spacing w:line="360" w:lineRule="auto"/>
              <w:jc w:val="center"/>
              <w:textAlignment w:val="baseline"/>
              <w:rPr>
                <w:rFonts w:hint="eastAsia" w:ascii="宋体" w:hAnsi="宋体"/>
                <w:color w:val="auto"/>
                <w:sz w:val="24"/>
                <w:szCs w:val="24"/>
                <w:highlight w:val="none"/>
              </w:rPr>
            </w:pPr>
          </w:p>
          <w:p>
            <w:pPr>
              <w:widowControl w:val="0"/>
              <w:adjustRightInd w:val="0"/>
              <w:spacing w:line="360" w:lineRule="auto"/>
              <w:jc w:val="left"/>
              <w:textAlignment w:val="baseline"/>
              <w:rPr>
                <w:rFonts w:hint="eastAsia" w:ascii="宋体" w:hAnsi="宋体"/>
                <w:color w:val="auto"/>
                <w:sz w:val="24"/>
                <w:szCs w:val="24"/>
                <w:highlight w:val="none"/>
              </w:rPr>
            </w:pPr>
          </w:p>
          <w:p>
            <w:pPr>
              <w:widowControl w:val="0"/>
              <w:adjustRightInd w:val="0"/>
              <w:spacing w:line="360" w:lineRule="auto"/>
              <w:jc w:val="left"/>
              <w:textAlignment w:val="baseline"/>
              <w:rPr>
                <w:rFonts w:hint="eastAsia" w:ascii="宋体" w:hAnsi="宋体"/>
                <w:color w:val="auto"/>
                <w:sz w:val="24"/>
                <w:szCs w:val="24"/>
                <w:highlight w:val="none"/>
              </w:rPr>
            </w:pPr>
          </w:p>
        </w:tc>
      </w:tr>
    </w:tbl>
    <w:p>
      <w:pPr>
        <w:spacing w:line="440" w:lineRule="exact"/>
        <w:ind w:firstLine="859" w:firstLineChars="307"/>
        <w:rPr>
          <w:rFonts w:hint="eastAsia" w:ascii="仿宋" w:hAnsi="仿宋" w:eastAsia="仿宋" w:cs="仿宋_GB2312"/>
          <w:color w:val="auto"/>
          <w:sz w:val="28"/>
          <w:szCs w:val="28"/>
          <w:highlight w:val="none"/>
        </w:rPr>
      </w:pPr>
    </w:p>
    <w:p>
      <w:pPr>
        <w:spacing w:line="480" w:lineRule="exact"/>
        <w:ind w:firstLine="843" w:firstLineChars="300"/>
        <w:rPr>
          <w:rFonts w:hint="eastAsia" w:ascii="仿宋" w:hAnsi="仿宋" w:eastAsia="仿宋" w:cs="仿宋_GB2312"/>
          <w:b/>
          <w:color w:val="auto"/>
          <w:sz w:val="28"/>
          <w:szCs w:val="28"/>
          <w:highlight w:val="none"/>
        </w:rPr>
      </w:pPr>
    </w:p>
    <w:p>
      <w:pPr>
        <w:pStyle w:val="84"/>
        <w:ind w:firstLine="562"/>
        <w:rPr>
          <w:rFonts w:ascii="仿宋" w:hAnsi="仿宋" w:eastAsia="仿宋" w:cs="仿宋_GB2312"/>
          <w:b/>
          <w:sz w:val="28"/>
          <w:szCs w:val="28"/>
          <w:highlight w:val="none"/>
        </w:rPr>
      </w:pPr>
    </w:p>
    <w:p>
      <w:pPr>
        <w:pStyle w:val="84"/>
        <w:ind w:firstLine="562"/>
        <w:rPr>
          <w:rFonts w:ascii="仿宋" w:hAnsi="仿宋" w:eastAsia="仿宋" w:cs="仿宋_GB2312"/>
          <w:b/>
          <w:sz w:val="28"/>
          <w:szCs w:val="28"/>
          <w:highlight w:val="none"/>
        </w:rPr>
      </w:pPr>
    </w:p>
    <w:p>
      <w:pPr>
        <w:pStyle w:val="84"/>
        <w:ind w:firstLine="562"/>
        <w:rPr>
          <w:rFonts w:ascii="仿宋" w:hAnsi="仿宋" w:eastAsia="仿宋" w:cs="仿宋_GB2312"/>
          <w:b/>
          <w:sz w:val="28"/>
          <w:szCs w:val="28"/>
          <w:highlight w:val="none"/>
        </w:rPr>
      </w:pPr>
    </w:p>
    <w:p>
      <w:pPr>
        <w:pStyle w:val="84"/>
        <w:ind w:firstLine="480"/>
        <w:rPr>
          <w:rFonts w:hint="default"/>
          <w:highlight w:val="none"/>
        </w:rPr>
      </w:pPr>
    </w:p>
    <w:p>
      <w:pPr>
        <w:pStyle w:val="4"/>
        <w:rPr>
          <w:rFonts w:hint="eastAsia" w:ascii="等线" w:hAnsi="等线" w:eastAsia="等线"/>
          <w:color w:val="auto"/>
          <w:szCs w:val="28"/>
          <w:highlight w:val="none"/>
        </w:rPr>
      </w:pPr>
      <w:bookmarkStart w:id="128" w:name="_Toc88209963"/>
      <w:bookmarkStart w:id="129" w:name="_Toc8086"/>
      <w:bookmarkStart w:id="130" w:name="_Toc87616400"/>
      <w:bookmarkStart w:id="131" w:name="_Toc19830"/>
      <w:r>
        <w:rPr>
          <w:rFonts w:hint="eastAsia" w:ascii="仿宋_GB2312" w:hAnsi="等线" w:eastAsia="仿宋_GB2312"/>
          <w:color w:val="auto"/>
          <w:szCs w:val="28"/>
          <w:highlight w:val="none"/>
        </w:rPr>
        <w:t>3</w:t>
      </w:r>
      <w:r>
        <w:rPr>
          <w:rFonts w:hint="eastAsia" w:ascii="等线" w:hAnsi="等线" w:eastAsia="等线"/>
          <w:color w:val="auto"/>
          <w:szCs w:val="28"/>
          <w:highlight w:val="none"/>
        </w:rPr>
        <w:t>.资格审查资料</w:t>
      </w:r>
      <w:bookmarkEnd w:id="128"/>
      <w:bookmarkEnd w:id="129"/>
      <w:bookmarkEnd w:id="130"/>
      <w:bookmarkEnd w:id="131"/>
    </w:p>
    <w:p>
      <w:pPr>
        <w:spacing w:line="360" w:lineRule="auto"/>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86"/>
        <w:tblW w:w="9264"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供应商名称</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注册地址</w:t>
            </w:r>
          </w:p>
        </w:tc>
        <w:tc>
          <w:tcPr>
            <w:tcW w:w="3118" w:type="dxa"/>
            <w:gridSpan w:val="3"/>
            <w:noWrap w:val="0"/>
            <w:vAlign w:val="top"/>
          </w:tcPr>
          <w:p>
            <w:pPr>
              <w:pStyle w:val="399"/>
              <w:adjustRightInd w:val="0"/>
              <w:textAlignment w:val="baseline"/>
              <w:rPr>
                <w:rFonts w:hint="eastAsia"/>
                <w:color w:val="auto"/>
                <w:highlight w:val="none"/>
              </w:rPr>
            </w:pPr>
          </w:p>
        </w:tc>
        <w:tc>
          <w:tcPr>
            <w:tcW w:w="1570"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邮政编码</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vMerge w:val="restart"/>
            <w:noWrap w:val="0"/>
            <w:vAlign w:val="center"/>
          </w:tcPr>
          <w:p>
            <w:pPr>
              <w:pStyle w:val="399"/>
              <w:adjustRightInd w:val="0"/>
              <w:textAlignment w:val="baseline"/>
              <w:rPr>
                <w:rFonts w:hint="eastAsia"/>
                <w:color w:val="auto"/>
                <w:highlight w:val="none"/>
              </w:rPr>
            </w:pPr>
            <w:r>
              <w:rPr>
                <w:rFonts w:hint="eastAsia"/>
                <w:color w:val="auto"/>
                <w:highlight w:val="none"/>
              </w:rPr>
              <w:t>联系方式</w:t>
            </w:r>
          </w:p>
        </w:tc>
        <w:tc>
          <w:tcPr>
            <w:tcW w:w="1134" w:type="dxa"/>
            <w:noWrap w:val="0"/>
            <w:vAlign w:val="center"/>
          </w:tcPr>
          <w:p>
            <w:pPr>
              <w:pStyle w:val="399"/>
              <w:adjustRightInd w:val="0"/>
              <w:textAlignment w:val="baseline"/>
              <w:rPr>
                <w:rFonts w:hint="eastAsia"/>
                <w:color w:val="auto"/>
                <w:highlight w:val="none"/>
              </w:rPr>
            </w:pPr>
            <w:r>
              <w:rPr>
                <w:rFonts w:hint="eastAsia"/>
                <w:color w:val="auto"/>
                <w:highlight w:val="none"/>
              </w:rPr>
              <w:t>联系人</w:t>
            </w:r>
          </w:p>
        </w:tc>
        <w:tc>
          <w:tcPr>
            <w:tcW w:w="1984" w:type="dxa"/>
            <w:gridSpan w:val="2"/>
            <w:noWrap w:val="0"/>
            <w:vAlign w:val="center"/>
          </w:tcPr>
          <w:p>
            <w:pPr>
              <w:pStyle w:val="399"/>
              <w:adjustRightInd w:val="0"/>
              <w:textAlignment w:val="baseline"/>
              <w:rPr>
                <w:rFonts w:hint="eastAsia"/>
                <w:color w:val="auto"/>
                <w:highlight w:val="none"/>
              </w:rPr>
            </w:pPr>
          </w:p>
        </w:tc>
        <w:tc>
          <w:tcPr>
            <w:tcW w:w="1570" w:type="dxa"/>
            <w:gridSpan w:val="3"/>
            <w:noWrap w:val="0"/>
            <w:vAlign w:val="center"/>
          </w:tcPr>
          <w:p>
            <w:pPr>
              <w:pStyle w:val="399"/>
              <w:adjustRightInd w:val="0"/>
              <w:textAlignment w:val="baseline"/>
              <w:rPr>
                <w:rFonts w:hint="eastAsia"/>
                <w:color w:val="auto"/>
                <w:highlight w:val="none"/>
              </w:rPr>
            </w:pPr>
            <w:r>
              <w:rPr>
                <w:rFonts w:hint="eastAsia"/>
                <w:color w:val="auto"/>
                <w:highlight w:val="none"/>
              </w:rPr>
              <w:t>电话</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vMerge w:val="continue"/>
            <w:noWrap w:val="0"/>
            <w:vAlign w:val="center"/>
          </w:tcPr>
          <w:p>
            <w:pPr>
              <w:pStyle w:val="399"/>
              <w:adjustRightInd w:val="0"/>
              <w:textAlignment w:val="baseline"/>
              <w:rPr>
                <w:rFonts w:hint="eastAsia"/>
                <w:color w:val="auto"/>
                <w:highlight w:val="none"/>
              </w:rPr>
            </w:pPr>
          </w:p>
        </w:tc>
        <w:tc>
          <w:tcPr>
            <w:tcW w:w="1134" w:type="dxa"/>
            <w:noWrap w:val="0"/>
            <w:vAlign w:val="center"/>
          </w:tcPr>
          <w:p>
            <w:pPr>
              <w:pStyle w:val="399"/>
              <w:adjustRightInd w:val="0"/>
              <w:textAlignment w:val="baseline"/>
              <w:rPr>
                <w:rFonts w:hint="eastAsia"/>
                <w:color w:val="auto"/>
                <w:highlight w:val="none"/>
              </w:rPr>
            </w:pPr>
            <w:r>
              <w:rPr>
                <w:rFonts w:hint="eastAsia"/>
                <w:color w:val="auto"/>
                <w:highlight w:val="none"/>
              </w:rPr>
              <w:t>传真</w:t>
            </w:r>
          </w:p>
        </w:tc>
        <w:tc>
          <w:tcPr>
            <w:tcW w:w="1984" w:type="dxa"/>
            <w:gridSpan w:val="2"/>
            <w:noWrap w:val="0"/>
            <w:vAlign w:val="center"/>
          </w:tcPr>
          <w:p>
            <w:pPr>
              <w:pStyle w:val="399"/>
              <w:adjustRightInd w:val="0"/>
              <w:textAlignment w:val="baseline"/>
              <w:rPr>
                <w:rFonts w:hint="eastAsia"/>
                <w:color w:val="auto"/>
                <w:highlight w:val="none"/>
              </w:rPr>
            </w:pPr>
          </w:p>
        </w:tc>
        <w:tc>
          <w:tcPr>
            <w:tcW w:w="1570" w:type="dxa"/>
            <w:gridSpan w:val="3"/>
            <w:noWrap w:val="0"/>
            <w:vAlign w:val="center"/>
          </w:tcPr>
          <w:p>
            <w:pPr>
              <w:pStyle w:val="399"/>
              <w:adjustRightInd w:val="0"/>
              <w:textAlignment w:val="baseline"/>
              <w:rPr>
                <w:rFonts w:hint="eastAsia"/>
                <w:color w:val="auto"/>
                <w:highlight w:val="none"/>
              </w:rPr>
            </w:pPr>
            <w:r>
              <w:rPr>
                <w:rFonts w:hint="eastAsia"/>
                <w:color w:val="auto"/>
                <w:highlight w:val="none"/>
              </w:rPr>
              <w:t>网址</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组织结构</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法定代表人</w:t>
            </w:r>
          </w:p>
        </w:tc>
        <w:tc>
          <w:tcPr>
            <w:tcW w:w="1134" w:type="dxa"/>
            <w:noWrap w:val="0"/>
            <w:vAlign w:val="top"/>
          </w:tcPr>
          <w:p>
            <w:pPr>
              <w:pStyle w:val="399"/>
              <w:adjustRightInd w:val="0"/>
              <w:textAlignment w:val="baseline"/>
              <w:rPr>
                <w:rFonts w:hint="eastAsia"/>
                <w:color w:val="auto"/>
                <w:highlight w:val="none"/>
              </w:rPr>
            </w:pPr>
            <w:r>
              <w:rPr>
                <w:rFonts w:hint="eastAsia"/>
                <w:color w:val="auto"/>
                <w:highlight w:val="none"/>
              </w:rPr>
              <w:t>姓名</w:t>
            </w:r>
          </w:p>
        </w:tc>
        <w:tc>
          <w:tcPr>
            <w:tcW w:w="966" w:type="dxa"/>
            <w:noWrap w:val="0"/>
            <w:vAlign w:val="top"/>
          </w:tcPr>
          <w:p>
            <w:pPr>
              <w:pStyle w:val="399"/>
              <w:adjustRightInd w:val="0"/>
              <w:textAlignment w:val="baseline"/>
              <w:rPr>
                <w:rFonts w:hint="eastAsia"/>
                <w:color w:val="auto"/>
                <w:highlight w:val="none"/>
              </w:rPr>
            </w:pPr>
          </w:p>
        </w:tc>
        <w:tc>
          <w:tcPr>
            <w:tcW w:w="1443"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技术职称</w:t>
            </w:r>
          </w:p>
        </w:tc>
        <w:tc>
          <w:tcPr>
            <w:tcW w:w="1145" w:type="dxa"/>
            <w:noWrap w:val="0"/>
            <w:vAlign w:val="top"/>
          </w:tcPr>
          <w:p>
            <w:pPr>
              <w:pStyle w:val="399"/>
              <w:adjustRightInd w:val="0"/>
              <w:textAlignment w:val="baseline"/>
              <w:rPr>
                <w:rFonts w:hint="eastAsia"/>
                <w:color w:val="auto"/>
                <w:highlight w:val="none"/>
              </w:rPr>
            </w:pPr>
          </w:p>
        </w:tc>
        <w:tc>
          <w:tcPr>
            <w:tcW w:w="1295" w:type="dxa"/>
            <w:gridSpan w:val="2"/>
            <w:noWrap w:val="0"/>
            <w:vAlign w:val="top"/>
          </w:tcPr>
          <w:p>
            <w:pPr>
              <w:pStyle w:val="399"/>
              <w:adjustRightInd w:val="0"/>
              <w:textAlignment w:val="baseline"/>
              <w:rPr>
                <w:rFonts w:hint="eastAsia"/>
                <w:color w:val="auto"/>
                <w:highlight w:val="none"/>
              </w:rPr>
            </w:pPr>
            <w:r>
              <w:rPr>
                <w:rFonts w:hint="eastAsia"/>
                <w:color w:val="auto"/>
                <w:highlight w:val="none"/>
              </w:rPr>
              <w:t>电话</w:t>
            </w:r>
          </w:p>
        </w:tc>
        <w:tc>
          <w:tcPr>
            <w:tcW w:w="1295" w:type="dxa"/>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技术负责人</w:t>
            </w:r>
          </w:p>
        </w:tc>
        <w:tc>
          <w:tcPr>
            <w:tcW w:w="1134" w:type="dxa"/>
            <w:noWrap w:val="0"/>
            <w:vAlign w:val="top"/>
          </w:tcPr>
          <w:p>
            <w:pPr>
              <w:pStyle w:val="399"/>
              <w:adjustRightInd w:val="0"/>
              <w:textAlignment w:val="baseline"/>
              <w:rPr>
                <w:rFonts w:hint="eastAsia"/>
                <w:color w:val="auto"/>
                <w:highlight w:val="none"/>
              </w:rPr>
            </w:pPr>
            <w:r>
              <w:rPr>
                <w:rFonts w:hint="eastAsia"/>
                <w:color w:val="auto"/>
                <w:highlight w:val="none"/>
              </w:rPr>
              <w:t>姓名</w:t>
            </w:r>
          </w:p>
        </w:tc>
        <w:tc>
          <w:tcPr>
            <w:tcW w:w="966" w:type="dxa"/>
            <w:noWrap w:val="0"/>
            <w:vAlign w:val="top"/>
          </w:tcPr>
          <w:p>
            <w:pPr>
              <w:pStyle w:val="399"/>
              <w:adjustRightInd w:val="0"/>
              <w:textAlignment w:val="baseline"/>
              <w:rPr>
                <w:rFonts w:hint="eastAsia"/>
                <w:color w:val="auto"/>
                <w:highlight w:val="none"/>
              </w:rPr>
            </w:pPr>
          </w:p>
        </w:tc>
        <w:tc>
          <w:tcPr>
            <w:tcW w:w="1443"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技术职称</w:t>
            </w:r>
          </w:p>
        </w:tc>
        <w:tc>
          <w:tcPr>
            <w:tcW w:w="1145" w:type="dxa"/>
            <w:noWrap w:val="0"/>
            <w:vAlign w:val="top"/>
          </w:tcPr>
          <w:p>
            <w:pPr>
              <w:pStyle w:val="399"/>
              <w:adjustRightInd w:val="0"/>
              <w:textAlignment w:val="baseline"/>
              <w:rPr>
                <w:rFonts w:hint="eastAsia"/>
                <w:color w:val="auto"/>
                <w:highlight w:val="none"/>
              </w:rPr>
            </w:pPr>
          </w:p>
        </w:tc>
        <w:tc>
          <w:tcPr>
            <w:tcW w:w="1295" w:type="dxa"/>
            <w:gridSpan w:val="2"/>
            <w:noWrap w:val="0"/>
            <w:vAlign w:val="top"/>
          </w:tcPr>
          <w:p>
            <w:pPr>
              <w:pStyle w:val="399"/>
              <w:adjustRightInd w:val="0"/>
              <w:textAlignment w:val="baseline"/>
              <w:rPr>
                <w:rFonts w:hint="eastAsia"/>
                <w:color w:val="auto"/>
                <w:highlight w:val="none"/>
              </w:rPr>
            </w:pPr>
            <w:r>
              <w:rPr>
                <w:rFonts w:hint="eastAsia"/>
                <w:color w:val="auto"/>
                <w:highlight w:val="none"/>
              </w:rPr>
              <w:t>电话</w:t>
            </w:r>
          </w:p>
        </w:tc>
        <w:tc>
          <w:tcPr>
            <w:tcW w:w="1295" w:type="dxa"/>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成立时间</w:t>
            </w:r>
          </w:p>
        </w:tc>
        <w:tc>
          <w:tcPr>
            <w:tcW w:w="2100" w:type="dxa"/>
            <w:gridSpan w:val="2"/>
            <w:noWrap w:val="0"/>
            <w:vAlign w:val="top"/>
          </w:tcPr>
          <w:p>
            <w:pPr>
              <w:pStyle w:val="399"/>
              <w:adjustRightInd w:val="0"/>
              <w:textAlignment w:val="baseline"/>
              <w:rPr>
                <w:rFonts w:hint="eastAsia"/>
                <w:color w:val="auto"/>
                <w:highlight w:val="none"/>
              </w:rPr>
            </w:pPr>
          </w:p>
        </w:tc>
        <w:tc>
          <w:tcPr>
            <w:tcW w:w="5178" w:type="dxa"/>
            <w:gridSpan w:val="7"/>
            <w:noWrap w:val="0"/>
            <w:vAlign w:val="top"/>
          </w:tcPr>
          <w:p>
            <w:pPr>
              <w:pStyle w:val="399"/>
              <w:adjustRightInd w:val="0"/>
              <w:textAlignment w:val="baseline"/>
              <w:rPr>
                <w:rFonts w:hint="eastAsia"/>
                <w:color w:val="auto"/>
                <w:highlight w:val="none"/>
              </w:rPr>
            </w:pPr>
            <w:r>
              <w:rPr>
                <w:rFonts w:hint="eastAsia"/>
                <w:color w:val="auto"/>
                <w:highlight w:val="none"/>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企业资质等级</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restart"/>
            <w:noWrap w:val="0"/>
            <w:vAlign w:val="top"/>
          </w:tcPr>
          <w:p>
            <w:pPr>
              <w:pStyle w:val="399"/>
              <w:adjustRightInd w:val="0"/>
              <w:textAlignment w:val="baseline"/>
              <w:rPr>
                <w:rFonts w:hint="eastAsia"/>
                <w:color w:val="auto"/>
                <w:highlight w:val="none"/>
              </w:rPr>
            </w:pPr>
            <w:r>
              <w:rPr>
                <w:rFonts w:hint="eastAsia"/>
                <w:color w:val="auto"/>
                <w:highlight w:val="none"/>
              </w:rPr>
              <w:t>其中</w:t>
            </w: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项目负责人</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营业执照号</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□高级职称人员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注册资金</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□中级职称人员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开户银行</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□初级职称人员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账户</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□技工</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6" w:hRule="atLeast"/>
        </w:trPr>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经营范围</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trPr>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备注</w:t>
            </w:r>
          </w:p>
        </w:tc>
        <w:tc>
          <w:tcPr>
            <w:tcW w:w="7278" w:type="dxa"/>
            <w:gridSpan w:val="9"/>
            <w:noWrap w:val="0"/>
            <w:vAlign w:val="top"/>
          </w:tcPr>
          <w:p>
            <w:pPr>
              <w:pStyle w:val="399"/>
              <w:adjustRightInd w:val="0"/>
              <w:textAlignment w:val="baseline"/>
              <w:rPr>
                <w:rFonts w:hint="eastAsia"/>
                <w:color w:val="auto"/>
                <w:highlight w:val="none"/>
              </w:rPr>
            </w:pPr>
          </w:p>
        </w:tc>
      </w:tr>
    </w:tbl>
    <w:p>
      <w:pPr>
        <w:adjustRightInd w:val="0"/>
        <w:snapToGrid w:val="0"/>
        <w:ind w:firstLine="573"/>
        <w:rPr>
          <w:rFonts w:hint="eastAsia" w:ascii="等线" w:hAnsi="等线" w:eastAsia="等线" w:cs="Times New Roman"/>
          <w:b/>
          <w:bCs/>
          <w:color w:val="auto"/>
          <w:sz w:val="28"/>
          <w:szCs w:val="28"/>
          <w:highlight w:val="none"/>
        </w:rPr>
      </w:pPr>
      <w:r>
        <w:rPr>
          <w:rFonts w:ascii="仿宋_GB2312" w:hAnsi="等线" w:eastAsia="仿宋_GB2312"/>
          <w:color w:val="auto"/>
          <w:sz w:val="28"/>
          <w:szCs w:val="28"/>
          <w:highlight w:val="none"/>
        </w:rPr>
        <w:t>注</w:t>
      </w:r>
      <w:r>
        <w:rPr>
          <w:rFonts w:hint="eastAsia" w:ascii="仿宋_GB2312" w:hAnsi="等线" w:eastAsia="仿宋_GB2312"/>
          <w:color w:val="auto"/>
          <w:sz w:val="28"/>
          <w:szCs w:val="28"/>
          <w:highlight w:val="none"/>
        </w:rPr>
        <w:t>：</w:t>
      </w:r>
      <w:r>
        <w:rPr>
          <w:rFonts w:ascii="仿宋_GB2312" w:hAnsi="等线" w:eastAsia="仿宋_GB2312"/>
          <w:color w:val="auto"/>
          <w:sz w:val="28"/>
          <w:szCs w:val="28"/>
          <w:highlight w:val="none"/>
        </w:rPr>
        <w:t>供应商应按供应商须知的要求提供主体资格证明材料及相关资质证明材料</w:t>
      </w:r>
      <w:r>
        <w:rPr>
          <w:rFonts w:hint="eastAsia" w:ascii="仿宋_GB2312" w:hAnsi="等线" w:eastAsia="仿宋_GB2312"/>
          <w:color w:val="auto"/>
          <w:sz w:val="28"/>
          <w:szCs w:val="28"/>
          <w:highlight w:val="none"/>
        </w:rPr>
        <w:t>。</w:t>
      </w:r>
      <w:r>
        <w:rPr>
          <w:rFonts w:hint="eastAsia" w:ascii="等线" w:hAnsi="等线" w:eastAsia="等线" w:cs="Times New Roman"/>
          <w:b/>
          <w:bCs/>
          <w:color w:val="auto"/>
          <w:sz w:val="28"/>
          <w:szCs w:val="28"/>
          <w:highlight w:val="none"/>
        </w:rPr>
        <w:t>（相关证明文件附后）</w:t>
      </w:r>
    </w:p>
    <w:p>
      <w:pPr>
        <w:adjustRightInd w:val="0"/>
        <w:snapToGrid w:val="0"/>
        <w:spacing w:line="360" w:lineRule="auto"/>
        <w:jc w:val="right"/>
        <w:rPr>
          <w:rFonts w:hint="eastAsia" w:ascii="宋体" w:hAnsi="宋体" w:cs="宋体"/>
          <w:color w:val="auto"/>
          <w:sz w:val="24"/>
          <w:szCs w:val="24"/>
          <w:highlight w:val="none"/>
          <w:lang w:val="en-GB"/>
        </w:rPr>
      </w:pPr>
      <w:bookmarkStart w:id="132" w:name="_Hlk59025866"/>
      <w:r>
        <w:rPr>
          <w:rFonts w:hint="eastAsia" w:ascii="宋体" w:hAnsi="宋体" w:cs="宋体"/>
          <w:color w:val="auto"/>
          <w:sz w:val="24"/>
          <w:szCs w:val="24"/>
          <w:highlight w:val="none"/>
          <w:lang w:val="en-GB"/>
        </w:rPr>
        <w:t>供应商名称（加盖公章）：</w:t>
      </w: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rPr>
      </w:pPr>
    </w:p>
    <w:p>
      <w:pPr>
        <w:adjustRightInd w:val="0"/>
        <w:snapToGrid w:val="0"/>
        <w:spacing w:line="360" w:lineRule="auto"/>
        <w:rPr>
          <w:rFonts w:hint="eastAsia" w:ascii="宋体" w:hAnsi="宋体" w:cs="宋体"/>
          <w:color w:val="auto"/>
          <w:sz w:val="24"/>
          <w:szCs w:val="24"/>
          <w:highlight w:val="none"/>
          <w:lang w:val="en-GB"/>
        </w:rPr>
      </w:pPr>
      <w:r>
        <w:rPr>
          <w:rFonts w:hint="eastAsia" w:ascii="等线" w:hAnsi="等线" w:eastAsia="等线" w:cs="Times New Roman"/>
          <w:b/>
          <w:bCs/>
          <w:color w:val="auto"/>
          <w:sz w:val="28"/>
          <w:szCs w:val="28"/>
          <w:highlight w:val="none"/>
        </w:rPr>
        <w:t>3.2不得存在情形承诺函</w:t>
      </w:r>
      <w:bookmarkEnd w:id="132"/>
    </w:p>
    <w:p>
      <w:pPr>
        <w:adjustRightInd w:val="0"/>
        <w:snapToGrid w:val="0"/>
        <w:spacing w:line="360" w:lineRule="auto"/>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致：</w:t>
      </w:r>
      <w:r>
        <w:rPr>
          <w:rFonts w:hint="eastAsia" w:ascii="宋体" w:hAnsi="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宋体" w:hAnsi="宋体" w:cs="宋体"/>
          <w:color w:val="auto"/>
          <w:sz w:val="24"/>
          <w:szCs w:val="24"/>
          <w:highlight w:val="none"/>
          <w:u w:val="single"/>
          <w:lang w:val="en-GB"/>
        </w:rPr>
      </w:pPr>
      <w:r>
        <w:rPr>
          <w:rFonts w:hint="eastAsia" w:ascii="宋体" w:hAnsi="宋体" w:cs="宋体"/>
          <w:color w:val="auto"/>
          <w:sz w:val="24"/>
          <w:szCs w:val="24"/>
          <w:highlight w:val="none"/>
          <w:lang w:val="en-GB"/>
        </w:rPr>
        <w:t>我方郑重承诺，在参与</w:t>
      </w:r>
      <w:r>
        <w:rPr>
          <w:rFonts w:hint="eastAsia" w:ascii="宋体" w:hAnsi="宋体" w:cs="宋体"/>
          <w:color w:val="auto"/>
          <w:sz w:val="24"/>
          <w:szCs w:val="24"/>
          <w:highlight w:val="none"/>
          <w:u w:val="single"/>
          <w:lang w:val="en-GB" w:eastAsia="zh-CN"/>
        </w:rPr>
        <w:t>广州市净水有限公司化龙堆存污泥综合处理处置项目</w:t>
      </w:r>
    </w:p>
    <w:p>
      <w:pPr>
        <w:adjustRightInd w:val="0"/>
        <w:snapToGrid w:val="0"/>
        <w:spacing w:line="360" w:lineRule="auto"/>
        <w:ind w:firstLine="0" w:firstLineChars="0"/>
        <w:jc w:val="both"/>
        <w:rPr>
          <w:rFonts w:ascii="仿宋_GB2312" w:eastAsia="仿宋_GB2312"/>
          <w:color w:val="auto"/>
          <w:sz w:val="28"/>
          <w:szCs w:val="28"/>
          <w:highlight w:val="none"/>
        </w:rPr>
      </w:pPr>
      <w:r>
        <w:rPr>
          <w:rFonts w:hint="eastAsia" w:ascii="宋体" w:hAnsi="宋体" w:cs="宋体"/>
          <w:color w:val="auto"/>
          <w:sz w:val="24"/>
          <w:szCs w:val="24"/>
          <w:highlight w:val="none"/>
          <w:u w:val="single"/>
          <w:lang w:val="en-GB" w:eastAsia="zh-CN"/>
        </w:rPr>
        <w:t>废弃烟囱爆破拆除工程监理（第二次）</w:t>
      </w:r>
      <w:r>
        <w:rPr>
          <w:rFonts w:hint="eastAsia" w:ascii="宋体" w:hAnsi="宋体" w:cs="宋体"/>
          <w:color w:val="auto"/>
          <w:sz w:val="24"/>
          <w:szCs w:val="24"/>
          <w:highlight w:val="none"/>
          <w:u w:val="single"/>
          <w:lang w:val="en-GB"/>
        </w:rPr>
        <w:t>（项目编号：）</w:t>
      </w:r>
      <w:r>
        <w:rPr>
          <w:rFonts w:hint="eastAsia" w:ascii="宋体" w:hAnsi="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（7）在“信用中国”网站（www.creditchina.gov.cn）中被列入失信被执行人、安全生产领域严重失信惩戒名单、拖欠农民工工资失信联合惩戒对象名单。</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（8）在“信用中国”网站（www.creditchina.gov.cn）中被列入严重失信主体名单。</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（9）其他违法违纪行为，经审查认为不宜被邀请参加采购活动的。</w:t>
      </w:r>
    </w:p>
    <w:p>
      <w:pPr>
        <w:adjustRightInd w:val="0"/>
        <w:snapToGrid w:val="0"/>
        <w:spacing w:line="360" w:lineRule="auto"/>
        <w:ind w:firstLine="480" w:firstLineChars="200"/>
        <w:rPr>
          <w:rFonts w:hint="eastAsia" w:ascii="宋体" w:hAnsi="宋体" w:eastAsia="等线" w:cs="宋体"/>
          <w:color w:val="auto"/>
          <w:sz w:val="24"/>
          <w:szCs w:val="24"/>
          <w:highlight w:val="none"/>
          <w:lang w:val="en-GB" w:eastAsia="zh-CN"/>
        </w:rPr>
      </w:pPr>
      <w:r>
        <w:rPr>
          <w:rFonts w:hint="eastAsia" w:ascii="宋体" w:hAnsi="宋体" w:eastAsia="等线" w:cs="宋体"/>
          <w:color w:val="auto"/>
          <w:sz w:val="24"/>
          <w:szCs w:val="24"/>
          <w:highlight w:val="none"/>
          <w:lang w:val="en-GB"/>
        </w:rPr>
        <w:t>（10）其他禁止情形：被纳入参建企业不履约行为处理清单</w:t>
      </w:r>
      <w:r>
        <w:rPr>
          <w:rFonts w:hint="eastAsia" w:ascii="宋体" w:hAnsi="宋体" w:eastAsia="等线" w:cs="宋体"/>
          <w:color w:val="auto"/>
          <w:sz w:val="24"/>
          <w:szCs w:val="24"/>
          <w:highlight w:val="none"/>
          <w:lang w:val="en-GB" w:eastAsia="zh-CN"/>
        </w:rPr>
        <w:t>.</w:t>
      </w:r>
    </w:p>
    <w:p>
      <w:pPr>
        <w:adjustRightInd w:val="0"/>
        <w:snapToGrid w:val="0"/>
        <w:spacing w:line="360" w:lineRule="auto"/>
        <w:rPr>
          <w:rFonts w:hint="eastAsia" w:ascii="宋体" w:hAnsi="宋体" w:cs="宋体"/>
          <w:b/>
          <w:color w:val="auto"/>
          <w:szCs w:val="21"/>
          <w:highlight w:val="none"/>
        </w:rPr>
      </w:pPr>
    </w:p>
    <w:p>
      <w:pPr>
        <w:adjustRightInd w:val="0"/>
        <w:snapToGrid w:val="0"/>
        <w:spacing w:line="360" w:lineRule="auto"/>
        <w:jc w:val="right"/>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 xml:space="preserve">供应商名称（加盖公章）： </w:t>
      </w:r>
    </w:p>
    <w:p>
      <w:pPr>
        <w:jc w:val="right"/>
        <w:rPr>
          <w:rFonts w:hint="eastAsia" w:ascii="等线" w:hAnsi="等线" w:cs="Times New Roman"/>
          <w:b/>
          <w:bCs/>
          <w:color w:val="auto"/>
          <w:sz w:val="28"/>
          <w:szCs w:val="28"/>
          <w:highlight w:val="none"/>
        </w:rPr>
      </w:pPr>
      <w:r>
        <w:rPr>
          <w:rFonts w:hint="eastAsia" w:ascii="宋体" w:hAnsi="宋体" w:cs="宋体"/>
          <w:color w:val="auto"/>
          <w:sz w:val="24"/>
          <w:szCs w:val="24"/>
          <w:highlight w:val="none"/>
          <w:lang w:val="en-GB"/>
        </w:rPr>
        <w:t>年  月  日</w:t>
      </w:r>
    </w:p>
    <w:p>
      <w:pPr>
        <w:rPr>
          <w:rFonts w:hint="eastAsia" w:ascii="等线" w:hAnsi="等线" w:eastAsia="等线" w:cs="Times New Roman"/>
          <w:b/>
          <w:bCs/>
          <w:color w:val="auto"/>
          <w:sz w:val="28"/>
          <w:szCs w:val="28"/>
          <w:highlight w:val="none"/>
        </w:rPr>
      </w:pPr>
      <w:r>
        <w:rPr>
          <w:rFonts w:hint="eastAsia" w:ascii="等线" w:hAnsi="等线" w:cs="Times New Roman"/>
          <w:b/>
          <w:bCs/>
          <w:color w:val="auto"/>
          <w:sz w:val="28"/>
          <w:szCs w:val="28"/>
          <w:highlight w:val="none"/>
        </w:rPr>
        <w:t>4</w:t>
      </w:r>
      <w:r>
        <w:rPr>
          <w:rFonts w:hint="eastAsia" w:ascii="等线" w:hAnsi="等线" w:eastAsia="等线" w:cs="Times New Roman"/>
          <w:b/>
          <w:bCs/>
          <w:color w:val="auto"/>
          <w:sz w:val="28"/>
          <w:szCs w:val="28"/>
          <w:highlight w:val="none"/>
        </w:rPr>
        <w:t>.拟投入本项目的项目负责人情况表</w:t>
      </w:r>
    </w:p>
    <w:p>
      <w:pPr>
        <w:pStyle w:val="84"/>
        <w:ind w:firstLine="560"/>
        <w:rPr>
          <w:rFonts w:ascii="仿宋_GB2312" w:hAnsi="等线" w:eastAsia="仿宋_GB2312"/>
          <w:sz w:val="28"/>
          <w:szCs w:val="28"/>
          <w:highlight w:val="none"/>
        </w:rPr>
      </w:pPr>
    </w:p>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85"/>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24"/>
        <w:gridCol w:w="208"/>
        <w:gridCol w:w="797"/>
        <w:gridCol w:w="368"/>
        <w:gridCol w:w="487"/>
        <w:gridCol w:w="341"/>
        <w:gridCol w:w="785"/>
        <w:gridCol w:w="1208"/>
        <w:gridCol w:w="36"/>
        <w:gridCol w:w="93"/>
        <w:gridCol w:w="1864"/>
        <w:gridCol w:w="334"/>
        <w:gridCol w:w="282"/>
        <w:gridCol w:w="837"/>
        <w:gridCol w:w="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661" w:type="dxa"/>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4"/>
            <w:noWrap w:val="0"/>
            <w:vAlign w:val="top"/>
          </w:tcPr>
          <w:p>
            <w:pPr>
              <w:jc w:val="center"/>
              <w:rPr>
                <w:rFonts w:hint="eastAsia" w:ascii="仿宋" w:hAnsi="仿宋" w:eastAsia="仿宋" w:cs="仿宋_GB2312"/>
                <w:b/>
                <w:color w:val="auto"/>
                <w:sz w:val="28"/>
                <w:szCs w:val="28"/>
                <w:highlight w:val="none"/>
              </w:rPr>
            </w:pPr>
          </w:p>
        </w:tc>
        <w:tc>
          <w:tcPr>
            <w:tcW w:w="161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3"/>
            <w:noWrap w:val="0"/>
            <w:vAlign w:val="top"/>
          </w:tcPr>
          <w:p>
            <w:pPr>
              <w:jc w:val="center"/>
              <w:rPr>
                <w:rFonts w:hint="eastAsia" w:ascii="仿宋" w:hAnsi="仿宋" w:eastAsia="仿宋" w:cs="仿宋_GB2312"/>
                <w:b/>
                <w:color w:val="auto"/>
                <w:sz w:val="28"/>
                <w:szCs w:val="28"/>
                <w:highlight w:val="none"/>
              </w:rPr>
            </w:pPr>
          </w:p>
        </w:tc>
        <w:tc>
          <w:tcPr>
            <w:tcW w:w="2198"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gridSpan w:val="2"/>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661" w:type="dxa"/>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4"/>
            <w:noWrap w:val="0"/>
            <w:vAlign w:val="top"/>
          </w:tcPr>
          <w:p>
            <w:pPr>
              <w:spacing w:line="360" w:lineRule="exact"/>
              <w:jc w:val="center"/>
              <w:rPr>
                <w:rFonts w:hint="eastAsia" w:ascii="仿宋" w:hAnsi="仿宋" w:eastAsia="仿宋" w:cs="仿宋_GB2312"/>
                <w:b/>
                <w:color w:val="auto"/>
                <w:sz w:val="28"/>
                <w:szCs w:val="28"/>
                <w:highlight w:val="none"/>
              </w:rPr>
            </w:pPr>
          </w:p>
        </w:tc>
        <w:tc>
          <w:tcPr>
            <w:tcW w:w="1613" w:type="dxa"/>
            <w:gridSpan w:val="3"/>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3"/>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Height w:val="595" w:hRule="atLeast"/>
        </w:trPr>
        <w:tc>
          <w:tcPr>
            <w:tcW w:w="1661" w:type="dxa"/>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4"/>
            <w:noWrap w:val="0"/>
            <w:vAlign w:val="top"/>
          </w:tcPr>
          <w:p>
            <w:pPr>
              <w:spacing w:line="360" w:lineRule="exact"/>
              <w:jc w:val="center"/>
              <w:rPr>
                <w:rFonts w:hint="eastAsia" w:ascii="仿宋" w:hAnsi="仿宋" w:eastAsia="仿宋" w:cs="仿宋_GB2312"/>
                <w:b/>
                <w:color w:val="auto"/>
                <w:sz w:val="28"/>
                <w:szCs w:val="28"/>
                <w:highlight w:val="none"/>
              </w:rPr>
            </w:pPr>
          </w:p>
        </w:tc>
        <w:tc>
          <w:tcPr>
            <w:tcW w:w="1613" w:type="dxa"/>
            <w:gridSpan w:val="3"/>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3"/>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3158" w:type="dxa"/>
            <w:gridSpan w:val="5"/>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6"/>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3158" w:type="dxa"/>
            <w:gridSpan w:val="5"/>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6"/>
            <w:noWrap w:val="0"/>
            <w:vAlign w:val="top"/>
          </w:tcPr>
          <w:p>
            <w:pPr>
              <w:jc w:val="center"/>
              <w:rPr>
                <w:rFonts w:hint="eastAsia" w:ascii="仿宋" w:hAnsi="仿宋" w:eastAsia="仿宋" w:cs="仿宋_GB2312"/>
                <w:b/>
                <w:color w:val="auto"/>
                <w:sz w:val="28"/>
                <w:szCs w:val="28"/>
                <w:highlight w:val="none"/>
              </w:rPr>
            </w:pPr>
          </w:p>
        </w:tc>
        <w:tc>
          <w:tcPr>
            <w:tcW w:w="2198"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gridSpan w:val="2"/>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9425" w:type="dxa"/>
            <w:gridSpan w:val="15"/>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4"/>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岗位</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姓名</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性别</w:t>
            </w: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身份证号</w:t>
            </w: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执业或职业资格证明</w:t>
            </w: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总监理工程师</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专业监理工程师</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bl>
    <w:p>
      <w:pPr>
        <w:pStyle w:val="84"/>
        <w:ind w:firstLine="560"/>
        <w:rPr>
          <w:rFonts w:ascii="仿宋_GB2312" w:hAnsi="等线" w:eastAsia="仿宋_GB2312"/>
          <w:sz w:val="28"/>
          <w:szCs w:val="28"/>
          <w:highlight w:val="none"/>
        </w:rPr>
      </w:pPr>
    </w:p>
    <w:p>
      <w:pPr>
        <w:pStyle w:val="84"/>
        <w:ind w:firstLine="560"/>
        <w:rPr>
          <w:rFonts w:ascii="仿宋_GB2312" w:hAnsi="等线" w:eastAsia="仿宋_GB2312"/>
          <w:sz w:val="28"/>
          <w:szCs w:val="28"/>
          <w:highlight w:val="none"/>
        </w:rPr>
      </w:pPr>
    </w:p>
    <w:p>
      <w:pPr>
        <w:adjustRightInd w:val="0"/>
        <w:snapToGrid w:val="0"/>
        <w:spacing w:line="360" w:lineRule="auto"/>
        <w:jc w:val="right"/>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 xml:space="preserve">供应商名称（加盖公章）： </w:t>
      </w:r>
    </w:p>
    <w:p>
      <w:pPr>
        <w:adjustRightInd w:val="0"/>
        <w:snapToGrid w:val="0"/>
        <w:jc w:val="right"/>
        <w:rPr>
          <w:rFonts w:ascii="仿宋_GB2312" w:hAnsi="等线" w:eastAsia="仿宋_GB2312"/>
          <w:color w:val="auto"/>
          <w:sz w:val="28"/>
          <w:szCs w:val="28"/>
          <w:highlight w:val="none"/>
        </w:rPr>
      </w:pPr>
      <w:r>
        <w:rPr>
          <w:rFonts w:hint="eastAsia" w:ascii="宋体" w:hAnsi="宋体" w:cs="宋体"/>
          <w:color w:val="auto"/>
          <w:sz w:val="24"/>
          <w:szCs w:val="24"/>
          <w:highlight w:val="none"/>
          <w:lang w:val="en-GB"/>
        </w:rPr>
        <w:t>年  月  日</w:t>
      </w:r>
    </w:p>
    <w:p>
      <w:pPr>
        <w:pStyle w:val="84"/>
        <w:ind w:firstLine="0" w:firstLineChars="0"/>
        <w:rPr>
          <w:rFonts w:hint="eastAsia" w:ascii="等线" w:hAnsi="等线" w:eastAsia="等线" w:cs="Times New Roman"/>
          <w:b/>
          <w:bCs/>
          <w:sz w:val="28"/>
          <w:szCs w:val="28"/>
          <w:highlight w:val="none"/>
          <w:lang w:val="en-US" w:eastAsia="zh-CN"/>
        </w:rPr>
      </w:pPr>
      <w:r>
        <w:rPr>
          <w:rFonts w:hint="eastAsia" w:ascii="等线" w:hAnsi="等线" w:eastAsia="等线" w:cs="Times New Roman"/>
          <w:b/>
          <w:bCs/>
          <w:sz w:val="28"/>
          <w:szCs w:val="28"/>
          <w:highlight w:val="none"/>
          <w:lang w:val="en-US" w:eastAsia="zh-CN"/>
        </w:rPr>
        <w:t>5报价表</w:t>
      </w:r>
    </w:p>
    <w:tbl>
      <w:tblPr>
        <w:tblStyle w:val="623"/>
        <w:tblpPr w:leftFromText="180" w:rightFromText="180" w:vertAnchor="text" w:horzAnchor="page" w:tblpX="936" w:tblpY="570"/>
        <w:tblOverlap w:val="never"/>
        <w:tblW w:w="975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5"/>
        <w:gridCol w:w="1059"/>
        <w:gridCol w:w="592"/>
        <w:gridCol w:w="585"/>
        <w:gridCol w:w="1526"/>
        <w:gridCol w:w="1786"/>
        <w:gridCol w:w="1152"/>
        <w:gridCol w:w="1173"/>
        <w:gridCol w:w="12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79" w:hRule="atLeast"/>
        </w:trPr>
        <w:tc>
          <w:tcPr>
            <w:tcW w:w="585" w:type="dxa"/>
            <w:vAlign w:val="center"/>
          </w:tcPr>
          <w:p>
            <w:pPr>
              <w:pStyle w:val="446"/>
              <w:spacing w:before="12"/>
              <w:jc w:val="center"/>
              <w:rPr>
                <w:sz w:val="29"/>
                <w:highlight w:val="none"/>
                <w:lang w:eastAsia="zh-CN"/>
              </w:rPr>
            </w:pPr>
          </w:p>
          <w:p>
            <w:pPr>
              <w:pStyle w:val="446"/>
              <w:ind w:left="100" w:right="51"/>
              <w:jc w:val="center"/>
              <w:rPr>
                <w:highlight w:val="none"/>
              </w:rPr>
            </w:pPr>
            <w:r>
              <w:rPr>
                <w:color w:val="auto"/>
                <w:w w:val="110"/>
                <w:highlight w:val="none"/>
              </w:rPr>
              <w:t>序号</w:t>
            </w:r>
          </w:p>
        </w:tc>
        <w:tc>
          <w:tcPr>
            <w:tcW w:w="1059" w:type="dxa"/>
            <w:vAlign w:val="center"/>
          </w:tcPr>
          <w:p>
            <w:pPr>
              <w:pStyle w:val="446"/>
              <w:spacing w:line="271" w:lineRule="auto"/>
              <w:ind w:left="0" w:right="58" w:firstLine="0"/>
              <w:jc w:val="center"/>
              <w:rPr>
                <w:highlight w:val="none"/>
              </w:rPr>
            </w:pPr>
            <w:r>
              <w:rPr>
                <w:color w:val="auto"/>
                <w:w w:val="105"/>
                <w:highlight w:val="none"/>
              </w:rPr>
              <w:t>分部分项</w:t>
            </w:r>
            <w:r>
              <w:rPr>
                <w:color w:val="auto"/>
                <w:w w:val="110"/>
                <w:highlight w:val="none"/>
              </w:rPr>
              <w:t>工程名称</w:t>
            </w:r>
          </w:p>
        </w:tc>
        <w:tc>
          <w:tcPr>
            <w:tcW w:w="592" w:type="dxa"/>
            <w:vAlign w:val="center"/>
          </w:tcPr>
          <w:p>
            <w:pPr>
              <w:pStyle w:val="446"/>
              <w:jc w:val="center"/>
              <w:rPr>
                <w:highlight w:val="none"/>
              </w:rPr>
            </w:pPr>
          </w:p>
          <w:p>
            <w:pPr>
              <w:pStyle w:val="446"/>
              <w:spacing w:before="5"/>
              <w:jc w:val="center"/>
              <w:rPr>
                <w:sz w:val="16"/>
                <w:highlight w:val="none"/>
              </w:rPr>
            </w:pPr>
          </w:p>
          <w:p>
            <w:pPr>
              <w:pStyle w:val="446"/>
              <w:spacing w:before="1" w:line="264" w:lineRule="auto"/>
              <w:ind w:left="137" w:right="68" w:hanging="6"/>
              <w:jc w:val="center"/>
              <w:rPr>
                <w:highlight w:val="none"/>
              </w:rPr>
            </w:pPr>
            <w:r>
              <w:rPr>
                <w:color w:val="auto"/>
                <w:w w:val="110"/>
                <w:highlight w:val="none"/>
              </w:rPr>
              <w:t>计量</w:t>
            </w:r>
            <w:r>
              <w:rPr>
                <w:color w:val="auto"/>
                <w:w w:val="105"/>
                <w:highlight w:val="none"/>
              </w:rPr>
              <w:t>单位</w:t>
            </w:r>
          </w:p>
        </w:tc>
        <w:tc>
          <w:tcPr>
            <w:tcW w:w="585" w:type="dxa"/>
            <w:vAlign w:val="center"/>
          </w:tcPr>
          <w:p>
            <w:pPr>
              <w:pStyle w:val="446"/>
              <w:spacing w:before="11"/>
              <w:jc w:val="center"/>
              <w:rPr>
                <w:sz w:val="15"/>
                <w:highlight w:val="none"/>
              </w:rPr>
            </w:pPr>
          </w:p>
          <w:p>
            <w:pPr>
              <w:pStyle w:val="446"/>
              <w:spacing w:line="271" w:lineRule="auto"/>
              <w:ind w:left="247" w:right="63" w:hanging="118"/>
              <w:jc w:val="center"/>
              <w:rPr>
                <w:highlight w:val="none"/>
              </w:rPr>
            </w:pPr>
            <w:r>
              <w:rPr>
                <w:color w:val="auto"/>
                <w:w w:val="110"/>
                <w:highlight w:val="none"/>
              </w:rPr>
              <w:t>工程量</w:t>
            </w:r>
          </w:p>
        </w:tc>
        <w:tc>
          <w:tcPr>
            <w:tcW w:w="1526" w:type="dxa"/>
            <w:vAlign w:val="center"/>
          </w:tcPr>
          <w:p>
            <w:pPr>
              <w:pStyle w:val="446"/>
              <w:spacing w:before="2"/>
              <w:jc w:val="center"/>
              <w:rPr>
                <w:sz w:val="27"/>
                <w:highlight w:val="none"/>
              </w:rPr>
            </w:pPr>
          </w:p>
          <w:p>
            <w:pPr>
              <w:pStyle w:val="446"/>
              <w:ind w:left="454"/>
              <w:jc w:val="center"/>
              <w:rPr>
                <w:highlight w:val="none"/>
              </w:rPr>
            </w:pPr>
            <w:r>
              <w:rPr>
                <w:color w:val="auto"/>
                <w:w w:val="110"/>
                <w:highlight w:val="none"/>
              </w:rPr>
              <w:t>工程内容</w:t>
            </w:r>
          </w:p>
        </w:tc>
        <w:tc>
          <w:tcPr>
            <w:tcW w:w="1786" w:type="dxa"/>
            <w:vAlign w:val="center"/>
          </w:tcPr>
          <w:p>
            <w:pPr>
              <w:pStyle w:val="446"/>
              <w:jc w:val="center"/>
              <w:rPr>
                <w:highlight w:val="none"/>
              </w:rPr>
            </w:pPr>
          </w:p>
          <w:p>
            <w:pPr>
              <w:pStyle w:val="446"/>
              <w:ind w:left="0"/>
              <w:jc w:val="center"/>
              <w:rPr>
                <w:highlight w:val="none"/>
              </w:rPr>
            </w:pPr>
            <w:r>
              <w:rPr>
                <w:color w:val="auto"/>
                <w:w w:val="110"/>
                <w:highlight w:val="none"/>
              </w:rPr>
              <w:t>费用内容</w:t>
            </w:r>
          </w:p>
        </w:tc>
        <w:tc>
          <w:tcPr>
            <w:tcW w:w="1152" w:type="dxa"/>
            <w:vAlign w:val="center"/>
          </w:tcPr>
          <w:p>
            <w:pPr>
              <w:pStyle w:val="446"/>
              <w:jc w:val="center"/>
              <w:rPr>
                <w:highlight w:val="none"/>
                <w:lang w:eastAsia="zh-CN"/>
              </w:rPr>
            </w:pPr>
          </w:p>
          <w:p>
            <w:pPr>
              <w:pStyle w:val="446"/>
              <w:spacing w:before="146" w:line="271" w:lineRule="auto"/>
              <w:ind w:left="287" w:right="38" w:hanging="125"/>
              <w:jc w:val="center"/>
              <w:rPr>
                <w:highlight w:val="none"/>
              </w:rPr>
            </w:pPr>
            <w:r>
              <w:rPr>
                <w:color w:val="auto"/>
                <w:w w:val="110"/>
                <w:highlight w:val="none"/>
              </w:rPr>
              <w:t>增值税税率</w:t>
            </w:r>
          </w:p>
        </w:tc>
        <w:tc>
          <w:tcPr>
            <w:tcW w:w="1173" w:type="dxa"/>
            <w:vAlign w:val="center"/>
          </w:tcPr>
          <w:p>
            <w:pPr>
              <w:pStyle w:val="446"/>
              <w:spacing w:before="10"/>
              <w:jc w:val="center"/>
              <w:rPr>
                <w:sz w:val="32"/>
                <w:highlight w:val="none"/>
              </w:rPr>
            </w:pPr>
          </w:p>
          <w:p>
            <w:pPr>
              <w:pStyle w:val="446"/>
              <w:ind w:left="258"/>
              <w:jc w:val="center"/>
              <w:rPr>
                <w:highlight w:val="none"/>
              </w:rPr>
            </w:pPr>
            <w:r>
              <w:rPr>
                <w:color w:val="auto"/>
                <w:w w:val="105"/>
                <w:highlight w:val="none"/>
              </w:rPr>
              <w:t>含税单价</w:t>
            </w:r>
          </w:p>
          <w:p>
            <w:pPr>
              <w:pStyle w:val="446"/>
              <w:spacing w:before="11"/>
              <w:ind w:left="307"/>
              <w:jc w:val="center"/>
              <w:rPr>
                <w:sz w:val="23"/>
                <w:highlight w:val="none"/>
              </w:rPr>
            </w:pPr>
            <w:r>
              <w:rPr>
                <w:color w:val="auto"/>
                <w:w w:val="70"/>
                <w:sz w:val="23"/>
                <w:highlight w:val="none"/>
              </w:rPr>
              <w:t>（元／月）</w:t>
            </w:r>
          </w:p>
        </w:tc>
        <w:tc>
          <w:tcPr>
            <w:tcW w:w="1298" w:type="dxa"/>
            <w:tcBorders>
              <w:bottom w:val="single" w:color="000000" w:sz="4" w:space="0"/>
              <w:right w:val="single" w:color="000000" w:sz="4" w:space="0"/>
            </w:tcBorders>
            <w:vAlign w:val="center"/>
          </w:tcPr>
          <w:p>
            <w:pPr>
              <w:pStyle w:val="446"/>
              <w:spacing w:before="7"/>
              <w:jc w:val="center"/>
              <w:rPr>
                <w:sz w:val="30"/>
                <w:highlight w:val="none"/>
                <w:lang w:eastAsia="zh-CN"/>
              </w:rPr>
            </w:pPr>
          </w:p>
          <w:p>
            <w:pPr>
              <w:pStyle w:val="446"/>
              <w:ind w:left="307" w:right="228"/>
              <w:jc w:val="center"/>
              <w:rPr>
                <w:highlight w:val="none"/>
              </w:rPr>
            </w:pPr>
            <w:r>
              <w:rPr>
                <w:color w:val="auto"/>
                <w:w w:val="110"/>
                <w:highlight w:val="none"/>
              </w:rPr>
              <w:t>含税总价</w:t>
            </w:r>
          </w:p>
          <w:p>
            <w:pPr>
              <w:pStyle w:val="446"/>
              <w:spacing w:before="26"/>
              <w:ind w:left="307" w:right="225"/>
              <w:jc w:val="center"/>
              <w:rPr>
                <w:sz w:val="23"/>
                <w:highlight w:val="none"/>
              </w:rPr>
            </w:pPr>
            <w:r>
              <w:rPr>
                <w:color w:val="auto"/>
                <w:w w:val="80"/>
                <w:sz w:val="23"/>
                <w:highlight w:val="none"/>
              </w:rPr>
              <w:t>（元）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12" w:hRule="atLeast"/>
        </w:trPr>
        <w:tc>
          <w:tcPr>
            <w:tcW w:w="585" w:type="dxa"/>
          </w:tcPr>
          <w:p>
            <w:pPr>
              <w:pStyle w:val="446"/>
              <w:rPr>
                <w:sz w:val="26"/>
                <w:highlight w:val="none"/>
              </w:rPr>
            </w:pPr>
          </w:p>
          <w:p>
            <w:pPr>
              <w:pStyle w:val="446"/>
              <w:spacing w:before="9"/>
              <w:rPr>
                <w:sz w:val="30"/>
                <w:highlight w:val="none"/>
              </w:rPr>
            </w:pPr>
          </w:p>
          <w:p>
            <w:pPr>
              <w:pStyle w:val="446"/>
              <w:spacing w:before="1"/>
              <w:ind w:left="80"/>
              <w:jc w:val="center"/>
              <w:rPr>
                <w:rFonts w:ascii="Times New Roman"/>
                <w:sz w:val="24"/>
                <w:highlight w:val="none"/>
              </w:rPr>
            </w:pPr>
            <w:r>
              <w:rPr>
                <w:rFonts w:ascii="Times New Roman"/>
                <w:color w:val="auto"/>
                <w:w w:val="107"/>
                <w:sz w:val="24"/>
                <w:highlight w:val="none"/>
              </w:rPr>
              <w:t>1</w:t>
            </w:r>
          </w:p>
        </w:tc>
        <w:tc>
          <w:tcPr>
            <w:tcW w:w="1059" w:type="dxa"/>
          </w:tcPr>
          <w:p>
            <w:pPr>
              <w:pStyle w:val="446"/>
              <w:rPr>
                <w:highlight w:val="none"/>
              </w:rPr>
            </w:pPr>
          </w:p>
          <w:p>
            <w:pPr>
              <w:pStyle w:val="446"/>
              <w:spacing w:before="1"/>
              <w:rPr>
                <w:highlight w:val="none"/>
              </w:rPr>
            </w:pPr>
          </w:p>
          <w:p>
            <w:pPr>
              <w:pStyle w:val="446"/>
              <w:spacing w:line="276" w:lineRule="auto"/>
              <w:ind w:left="318" w:right="102" w:hanging="129"/>
              <w:rPr>
                <w:highlight w:val="none"/>
              </w:rPr>
            </w:pPr>
            <w:r>
              <w:rPr>
                <w:color w:val="auto"/>
                <w:w w:val="105"/>
                <w:highlight w:val="none"/>
              </w:rPr>
              <w:t>爆破安全</w:t>
            </w:r>
            <w:r>
              <w:rPr>
                <w:color w:val="auto"/>
                <w:w w:val="110"/>
                <w:highlight w:val="none"/>
              </w:rPr>
              <w:t>监理费</w:t>
            </w:r>
          </w:p>
        </w:tc>
        <w:tc>
          <w:tcPr>
            <w:tcW w:w="592" w:type="dxa"/>
          </w:tcPr>
          <w:p>
            <w:pPr>
              <w:pStyle w:val="446"/>
              <w:rPr>
                <w:highlight w:val="none"/>
              </w:rPr>
            </w:pPr>
          </w:p>
          <w:p>
            <w:pPr>
              <w:pStyle w:val="446"/>
              <w:rPr>
                <w:highlight w:val="none"/>
              </w:rPr>
            </w:pPr>
          </w:p>
          <w:p>
            <w:pPr>
              <w:pStyle w:val="446"/>
              <w:spacing w:before="153"/>
              <w:ind w:left="270"/>
              <w:rPr>
                <w:highlight w:val="none"/>
              </w:rPr>
            </w:pPr>
            <w:r>
              <w:rPr>
                <w:color w:val="auto"/>
                <w:w w:val="108"/>
                <w:highlight w:val="none"/>
              </w:rPr>
              <w:t>次</w:t>
            </w:r>
          </w:p>
        </w:tc>
        <w:tc>
          <w:tcPr>
            <w:tcW w:w="585" w:type="dxa"/>
          </w:tcPr>
          <w:p>
            <w:pPr>
              <w:pStyle w:val="446"/>
              <w:rPr>
                <w:sz w:val="26"/>
                <w:highlight w:val="none"/>
              </w:rPr>
            </w:pPr>
          </w:p>
          <w:p>
            <w:pPr>
              <w:pStyle w:val="446"/>
              <w:spacing w:before="1"/>
              <w:rPr>
                <w:sz w:val="29"/>
                <w:highlight w:val="none"/>
              </w:rPr>
            </w:pPr>
          </w:p>
          <w:p>
            <w:pPr>
              <w:pStyle w:val="446"/>
              <w:ind w:left="69"/>
              <w:jc w:val="center"/>
              <w:rPr>
                <w:rFonts w:ascii="Times New Roman"/>
                <w:sz w:val="24"/>
                <w:highlight w:val="none"/>
              </w:rPr>
            </w:pPr>
            <w:r>
              <w:rPr>
                <w:rFonts w:ascii="Times New Roman"/>
                <w:color w:val="auto"/>
                <w:w w:val="108"/>
                <w:sz w:val="24"/>
                <w:highlight w:val="none"/>
              </w:rPr>
              <w:t>1</w:t>
            </w:r>
          </w:p>
        </w:tc>
        <w:tc>
          <w:tcPr>
            <w:tcW w:w="1526" w:type="dxa"/>
          </w:tcPr>
          <w:p>
            <w:pPr>
              <w:pStyle w:val="446"/>
              <w:spacing w:before="75" w:line="266" w:lineRule="auto"/>
              <w:ind w:left="225" w:right="144" w:hanging="1"/>
              <w:jc w:val="both"/>
              <w:rPr>
                <w:highlight w:val="none"/>
                <w:lang w:eastAsia="zh-CN"/>
              </w:rPr>
            </w:pPr>
            <w:r>
              <w:rPr>
                <w:color w:val="auto"/>
                <w:w w:val="105"/>
                <w:highlight w:val="none"/>
                <w:lang w:eastAsia="zh-CN"/>
              </w:rPr>
              <w:t>按照国家和广州市相关法律法规规定开展爆破安全监理</w:t>
            </w:r>
          </w:p>
          <w:p>
            <w:pPr>
              <w:pStyle w:val="446"/>
              <w:spacing w:line="239" w:lineRule="exact"/>
              <w:ind w:left="691" w:right="591"/>
              <w:jc w:val="center"/>
              <w:rPr>
                <w:highlight w:val="none"/>
              </w:rPr>
            </w:pPr>
            <w:r>
              <w:rPr>
                <w:color w:val="auto"/>
                <w:w w:val="110"/>
                <w:highlight w:val="none"/>
              </w:rPr>
              <w:t>工作</w:t>
            </w:r>
          </w:p>
        </w:tc>
        <w:tc>
          <w:tcPr>
            <w:tcW w:w="1786" w:type="dxa"/>
          </w:tcPr>
          <w:p>
            <w:pPr>
              <w:pStyle w:val="446"/>
              <w:spacing w:before="4"/>
              <w:rPr>
                <w:sz w:val="28"/>
                <w:highlight w:val="none"/>
                <w:lang w:eastAsia="zh-CN"/>
              </w:rPr>
            </w:pPr>
          </w:p>
          <w:p>
            <w:pPr>
              <w:pStyle w:val="446"/>
              <w:spacing w:before="1" w:line="271" w:lineRule="auto"/>
              <w:ind w:left="138" w:right="-29" w:firstLine="2"/>
              <w:jc w:val="center"/>
              <w:rPr>
                <w:highlight w:val="none"/>
                <w:lang w:eastAsia="zh-CN"/>
              </w:rPr>
            </w:pPr>
            <w:r>
              <w:rPr>
                <w:color w:val="auto"/>
                <w:spacing w:val="1"/>
                <w:w w:val="105"/>
                <w:highlight w:val="none"/>
                <w:lang w:eastAsia="zh-CN"/>
              </w:rPr>
              <w:t>包含监理人员的</w:t>
            </w:r>
            <w:r>
              <w:rPr>
                <w:color w:val="auto"/>
                <w:spacing w:val="8"/>
                <w:w w:val="105"/>
                <w:highlight w:val="none"/>
                <w:lang w:eastAsia="zh-CN"/>
              </w:rPr>
              <w:t>报</w:t>
            </w:r>
            <w:r>
              <w:rPr>
                <w:color w:val="auto"/>
                <w:spacing w:val="-4"/>
                <w:w w:val="105"/>
                <w:highlight w:val="none"/>
                <w:lang w:eastAsia="zh-CN"/>
              </w:rPr>
              <w:t>酬</w:t>
            </w:r>
            <w:r>
              <w:rPr>
                <w:color w:val="auto"/>
                <w:w w:val="105"/>
                <w:highlight w:val="none"/>
                <w:lang w:eastAsia="zh-CN"/>
              </w:rPr>
              <w:t>、</w:t>
            </w:r>
            <w:r>
              <w:rPr>
                <w:color w:val="auto"/>
                <w:spacing w:val="3"/>
                <w:w w:val="110"/>
                <w:highlight w:val="none"/>
                <w:lang w:eastAsia="zh-CN"/>
              </w:rPr>
              <w:t>差旅费</w:t>
            </w:r>
            <w:r>
              <w:rPr>
                <w:color w:val="auto"/>
                <w:spacing w:val="-72"/>
                <w:w w:val="110"/>
                <w:highlight w:val="none"/>
                <w:lang w:eastAsia="zh-CN"/>
              </w:rPr>
              <w:t>、</w:t>
            </w:r>
            <w:r>
              <w:rPr>
                <w:color w:val="auto"/>
                <w:spacing w:val="-1"/>
                <w:w w:val="110"/>
                <w:highlight w:val="none"/>
                <w:lang w:eastAsia="zh-CN"/>
              </w:rPr>
              <w:t>业务费和税金</w:t>
            </w:r>
          </w:p>
          <w:p>
            <w:pPr>
              <w:pStyle w:val="446"/>
              <w:spacing w:line="272" w:lineRule="exact"/>
              <w:ind w:left="1033" w:right="1044"/>
              <w:jc w:val="center"/>
              <w:rPr>
                <w:highlight w:val="none"/>
              </w:rPr>
            </w:pPr>
            <w:r>
              <w:rPr>
                <w:color w:val="auto"/>
                <w:w w:val="90"/>
                <w:highlight w:val="none"/>
              </w:rPr>
              <w:t>等。</w:t>
            </w:r>
          </w:p>
        </w:tc>
        <w:tc>
          <w:tcPr>
            <w:tcW w:w="1152" w:type="dxa"/>
          </w:tcPr>
          <w:p>
            <w:pPr>
              <w:pStyle w:val="446"/>
              <w:spacing w:before="1"/>
              <w:ind w:left="422"/>
              <w:rPr>
                <w:rFonts w:ascii="Times New Roman"/>
                <w:sz w:val="23"/>
                <w:highlight w:val="none"/>
              </w:rPr>
            </w:pPr>
          </w:p>
        </w:tc>
        <w:tc>
          <w:tcPr>
            <w:tcW w:w="1173" w:type="dxa"/>
          </w:tcPr>
          <w:p>
            <w:pPr>
              <w:pStyle w:val="446"/>
              <w:ind w:left="264"/>
              <w:rPr>
                <w:rFonts w:ascii="Times New Roman"/>
                <w:sz w:val="23"/>
                <w:highlight w:val="none"/>
              </w:rPr>
            </w:pPr>
          </w:p>
        </w:tc>
        <w:tc>
          <w:tcPr>
            <w:tcW w:w="1298" w:type="dxa"/>
            <w:tcBorders>
              <w:top w:val="single" w:color="000000" w:sz="4" w:space="0"/>
            </w:tcBorders>
          </w:tcPr>
          <w:p>
            <w:pPr>
              <w:pStyle w:val="446"/>
              <w:ind w:left="344"/>
              <w:rPr>
                <w:rFonts w:ascii="Times New Roman"/>
                <w:sz w:val="23"/>
                <w:highlight w:val="none"/>
              </w:rPr>
            </w:pPr>
          </w:p>
        </w:tc>
      </w:tr>
    </w:tbl>
    <w:p>
      <w:pPr>
        <w:pStyle w:val="84"/>
        <w:ind w:firstLine="0" w:firstLineChars="0"/>
        <w:rPr>
          <w:rFonts w:hint="default" w:ascii="等线" w:hAnsi="等线" w:eastAsia="等线" w:cs="Times New Roman"/>
          <w:b/>
          <w:bCs/>
          <w:sz w:val="28"/>
          <w:szCs w:val="28"/>
          <w:highlight w:val="none"/>
          <w:lang w:val="en-US" w:eastAsia="zh-CN"/>
        </w:rPr>
      </w:pPr>
    </w:p>
    <w:p>
      <w:pPr>
        <w:pStyle w:val="50"/>
        <w:keepNext w:val="0"/>
        <w:keepLines w:val="0"/>
        <w:pageBreakBefore w:val="0"/>
        <w:widowControl/>
        <w:numPr>
          <w:ilvl w:val="-1"/>
          <w:numId w:val="0"/>
        </w:numPr>
        <w:kinsoku/>
        <w:wordWrap/>
        <w:overflowPunct/>
        <w:topLinePunct w:val="0"/>
        <w:autoSpaceDE/>
        <w:autoSpaceDN/>
        <w:bidi w:val="0"/>
        <w:adjustRightInd/>
        <w:snapToGrid/>
        <w:spacing w:after="0" w:line="360" w:lineRule="auto"/>
        <w:ind w:left="0" w:leftChars="0" w:firstLine="0" w:firstLineChars="0"/>
        <w:jc w:val="both"/>
        <w:textAlignment w:val="auto"/>
        <w:rPr>
          <w:rFonts w:hint="eastAsia" w:ascii="宋体" w:hAnsi="宋体" w:cs="宋体"/>
          <w:sz w:val="24"/>
          <w:szCs w:val="24"/>
          <w:highlight w:val="none"/>
          <w:lang w:eastAsia="zh-CN"/>
        </w:rPr>
      </w:pPr>
      <w:r>
        <w:rPr>
          <w:rFonts w:hint="eastAsia" w:ascii="宋体" w:hAnsi="Times New Roman" w:cs="宋体"/>
          <w:color w:val="auto"/>
          <w:sz w:val="24"/>
          <w:szCs w:val="24"/>
          <w:highlight w:val="none"/>
          <w:lang w:val="en-US" w:eastAsia="zh-CN"/>
        </w:rPr>
        <w:t>备注：</w:t>
      </w:r>
      <w:r>
        <w:rPr>
          <w:rFonts w:hint="eastAsia" w:ascii="宋体" w:hAnsi="Times New Roman" w:eastAsia="宋体" w:cs="宋体"/>
          <w:color w:val="auto"/>
          <w:sz w:val="24"/>
          <w:szCs w:val="24"/>
          <w:highlight w:val="none"/>
        </w:rPr>
        <w:t>供应商需按国家法定</w:t>
      </w:r>
      <w:r>
        <w:rPr>
          <w:rFonts w:hint="eastAsia" w:ascii="宋体" w:hAnsi="Times New Roman" w:eastAsia="宋体" w:cs="宋体"/>
          <w:color w:val="auto"/>
          <w:sz w:val="24"/>
          <w:szCs w:val="24"/>
          <w:highlight w:val="none"/>
          <w:lang w:val="en-US" w:eastAsia="zh-CN"/>
        </w:rPr>
        <w:t>适用本项</w:t>
      </w:r>
      <w:r>
        <w:rPr>
          <w:rFonts w:hint="eastAsia" w:ascii="宋体" w:hAnsi="宋体" w:eastAsia="宋体" w:cs="宋体"/>
          <w:sz w:val="24"/>
          <w:szCs w:val="24"/>
          <w:highlight w:val="none"/>
          <w:lang w:val="en-GB" w:eastAsia="zh-CN"/>
        </w:rPr>
        <w:t>目类型的</w:t>
      </w:r>
      <w:r>
        <w:rPr>
          <w:rFonts w:ascii="宋体" w:hAnsi="宋体" w:eastAsia="宋体" w:cs="宋体"/>
          <w:sz w:val="24"/>
          <w:szCs w:val="24"/>
          <w:highlight w:val="none"/>
        </w:rPr>
        <w:t>税率报价，报价包含实施本项目所包含的全部税费，本报价表税率仅限增值税</w:t>
      </w:r>
      <w:r>
        <w:rPr>
          <w:rFonts w:hint="eastAsia" w:ascii="宋体" w:hAnsi="宋体" w:cs="宋体"/>
          <w:sz w:val="24"/>
          <w:szCs w:val="24"/>
          <w:highlight w:val="none"/>
          <w:lang w:eastAsia="zh-CN"/>
        </w:rPr>
        <w:t>。</w:t>
      </w:r>
    </w:p>
    <w:p>
      <w:pPr>
        <w:pStyle w:val="84"/>
        <w:ind w:firstLine="0" w:firstLineChars="0"/>
        <w:rPr>
          <w:rFonts w:hint="eastAsia" w:ascii="等线" w:hAnsi="等线" w:eastAsia="等线" w:cs="Times New Roman"/>
          <w:b/>
          <w:bCs/>
          <w:sz w:val="28"/>
          <w:szCs w:val="28"/>
          <w:highlight w:val="none"/>
          <w:lang w:val="en-US" w:eastAsia="zh-CN"/>
        </w:rPr>
      </w:pPr>
    </w:p>
    <w:p>
      <w:pPr>
        <w:pStyle w:val="4"/>
        <w:rPr>
          <w:rFonts w:hint="eastAsia" w:ascii="等线" w:hAnsi="等线" w:eastAsia="等线" w:cs="Times New Roman"/>
          <w:b/>
          <w:bCs/>
          <w:color w:val="auto"/>
          <w:szCs w:val="28"/>
          <w:highlight w:val="none"/>
        </w:rPr>
      </w:pPr>
      <w:r>
        <w:rPr>
          <w:rFonts w:hint="eastAsia" w:ascii="等线" w:hAnsi="等线" w:eastAsia="等线" w:cs="Times New Roman"/>
          <w:b/>
          <w:bCs/>
          <w:color w:val="auto"/>
          <w:szCs w:val="28"/>
          <w:highlight w:val="none"/>
          <w:lang w:val="en-US" w:eastAsia="zh-CN"/>
        </w:rPr>
        <w:t>6</w:t>
      </w:r>
      <w:r>
        <w:rPr>
          <w:rFonts w:hint="eastAsia" w:ascii="等线" w:hAnsi="等线" w:eastAsia="等线" w:cs="Times New Roman"/>
          <w:b/>
          <w:bCs/>
          <w:color w:val="auto"/>
          <w:szCs w:val="28"/>
          <w:highlight w:val="none"/>
        </w:rPr>
        <w:t>.其他资料</w:t>
      </w:r>
    </w:p>
    <w:p>
      <w:pPr>
        <w:adjustRightInd w:val="0"/>
        <w:snapToGrid w:val="0"/>
        <w:spacing w:line="600" w:lineRule="exact"/>
        <w:ind w:firstLine="570"/>
        <w:rPr>
          <w:rFonts w:hint="eastAsia" w:ascii="仿宋_GB2312" w:hAnsi="等线" w:eastAsia="仿宋_GB2312"/>
          <w:color w:val="auto"/>
          <w:sz w:val="28"/>
          <w:szCs w:val="28"/>
          <w:highlight w:val="none"/>
        </w:rPr>
      </w:pPr>
      <w:r>
        <w:rPr>
          <w:rFonts w:ascii="仿宋_GB2312" w:hAnsi="等线" w:eastAsia="仿宋_GB2312"/>
          <w:color w:val="auto"/>
          <w:sz w:val="28"/>
          <w:szCs w:val="28"/>
          <w:highlight w:val="none"/>
        </w:rPr>
        <w:t>供应商须提交的其他资料</w:t>
      </w:r>
      <w:r>
        <w:rPr>
          <w:rFonts w:hint="eastAsia" w:ascii="仿宋_GB2312" w:hAnsi="等线" w:eastAsia="仿宋_GB2312"/>
          <w:color w:val="auto"/>
          <w:sz w:val="28"/>
          <w:szCs w:val="28"/>
          <w:highlight w:val="none"/>
        </w:rPr>
        <w:t>。</w:t>
      </w:r>
    </w:p>
    <w:p>
      <w:pPr>
        <w:pStyle w:val="84"/>
        <w:ind w:firstLine="480"/>
        <w:rPr>
          <w:rFonts w:hint="default"/>
          <w:highlight w:val="none"/>
        </w:rPr>
      </w:pPr>
    </w:p>
    <w:p>
      <w:pPr>
        <w:pStyle w:val="84"/>
        <w:ind w:firstLine="480"/>
        <w:rPr>
          <w:rFonts w:hAnsi="宋体" w:cs="宋体"/>
          <w:szCs w:val="24"/>
          <w:highlight w:val="none"/>
        </w:rPr>
      </w:pPr>
    </w:p>
    <w:p>
      <w:pPr>
        <w:spacing w:line="360" w:lineRule="auto"/>
        <w:jc w:val="center"/>
        <w:rPr>
          <w:rFonts w:hint="eastAsia" w:ascii="宋体" w:hAnsi="宋体" w:cs="宋体"/>
          <w:color w:val="auto"/>
          <w:sz w:val="24"/>
          <w:szCs w:val="24"/>
          <w:highlight w:val="none"/>
        </w:rPr>
      </w:pPr>
    </w:p>
    <w:sectPr>
      <w:headerReference r:id="rId8" w:type="default"/>
      <w:footerReference r:id="rId9" w:type="default"/>
      <w:pgSz w:w="11907" w:h="16839"/>
      <w:pgMar w:top="1588" w:right="1474" w:bottom="1134" w:left="1588" w:header="720"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9AC3EC7-23F8-4987-ADFD-3F96757870BE}"/>
  </w:font>
  <w:font w:name="黑体">
    <w:panose1 w:val="02010609060101010101"/>
    <w:charset w:val="86"/>
    <w:family w:val="auto"/>
    <w:pitch w:val="default"/>
    <w:sig w:usb0="800002BF" w:usb1="38CF7CFA" w:usb2="00000016" w:usb3="00000000" w:csb0="00040001" w:csb1="00000000"/>
    <w:embedRegular r:id="rId2" w:fontKey="{B18B7661-D8ED-428A-824D-328940FCB4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4F216AC-B934-40FA-B515-BC2A40737510}"/>
  </w:font>
  <w:font w:name="等线">
    <w:panose1 w:val="02010600030101010101"/>
    <w:charset w:val="86"/>
    <w:family w:val="auto"/>
    <w:pitch w:val="default"/>
    <w:sig w:usb0="A00002BF" w:usb1="38CF7CFA" w:usb2="00000016" w:usb3="00000000" w:csb0="0004000F" w:csb1="00000000"/>
    <w:embedRegular r:id="rId4" w:fontKey="{9A0AF00A-382D-4CA6-8F12-F85C69CB9FC0}"/>
  </w:font>
  <w:font w:name="仿宋_GB2312">
    <w:panose1 w:val="02010609030101010101"/>
    <w:charset w:val="86"/>
    <w:family w:val="modern"/>
    <w:pitch w:val="default"/>
    <w:sig w:usb0="00000001" w:usb1="080E0000" w:usb2="00000000" w:usb3="00000000" w:csb0="00040000" w:csb1="00000000"/>
    <w:embedRegular r:id="rId5" w:fontKey="{21100C7E-6F4A-4890-B8AA-C0D2614001FF}"/>
  </w:font>
  <w:font w:name="MS Sans Serif">
    <w:altName w:val="Courier New"/>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embedRegular r:id="rId6" w:fontKey="{F66F6E01-B9F2-4938-A6B7-BBA5858508D4}"/>
  </w:font>
  <w:font w:name="楷体_GB2312">
    <w:altName w:val="楷体"/>
    <w:panose1 w:val="02010609030101010101"/>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长城仿宋">
    <w:altName w:val="宋体"/>
    <w:panose1 w:val="00000000000000000000"/>
    <w:charset w:val="86"/>
    <w:family w:val="modern"/>
    <w:pitch w:val="default"/>
    <w:sig w:usb0="00000000" w:usb1="00000000" w:usb2="00000010" w:usb3="00000000" w:csb0="00040000" w:csb1="00000000"/>
  </w:font>
  <w:font w:name="New York">
    <w:altName w:val="DejaVu Math TeX Gyre"/>
    <w:panose1 w:val="02040503060506020304"/>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汉仪大宋简">
    <w:altName w:val="宋体"/>
    <w:panose1 w:val="00000000000000000000"/>
    <w:charset w:val="86"/>
    <w:family w:val="modern"/>
    <w:pitch w:val="default"/>
    <w:sig w:usb0="00000000" w:usb1="00000000" w:usb2="00000012" w:usb3="00000000" w:csb0="00040000" w:csb1="00000000"/>
  </w:font>
  <w:font w:name="方正书宋简体">
    <w:altName w:val="宋体"/>
    <w:panose1 w:val="02010601030101010101"/>
    <w:charset w:val="86"/>
    <w:family w:val="auto"/>
    <w:pitch w:val="default"/>
    <w:sig w:usb0="00000000" w:usb1="00000000" w:usb2="0000001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全真中明體">
    <w:altName w:val="MingLiU-ExtB"/>
    <w:panose1 w:val="00000000000000000000"/>
    <w:charset w:val="88"/>
    <w:family w:val="modern"/>
    <w:pitch w:val="default"/>
    <w:sig w:usb0="00000000" w:usb1="00000000" w:usb2="00000010" w:usb3="00000000" w:csb0="00100000" w:csb1="00000000"/>
  </w:font>
  <w:font w:name="等线 Light">
    <w:panose1 w:val="02010600030101010101"/>
    <w:charset w:val="86"/>
    <w:family w:val="auto"/>
    <w:pitch w:val="default"/>
    <w:sig w:usb0="A00002BF" w:usb1="38CF7CFA" w:usb2="00000016" w:usb3="00000000" w:csb0="0004000F" w:csb1="00000000"/>
    <w:embedRegular r:id="rId7" w:fontKey="{4D8686C3-11F4-44A8-A738-A808DB7DD961}"/>
  </w:font>
  <w:font w:name="方正小标宋简体">
    <w:panose1 w:val="03000509000000000000"/>
    <w:charset w:val="86"/>
    <w:family w:val="script"/>
    <w:pitch w:val="default"/>
    <w:sig w:usb0="00000001" w:usb1="080E0000" w:usb2="00000000" w:usb3="00000000" w:csb0="00040000" w:csb1="00000000"/>
    <w:embedRegular r:id="rId8" w:fontKey="{6324575E-BC2F-4FF8-9520-E06645A9DFDD}"/>
  </w:font>
  <w:font w:name="Wingdings 2">
    <w:panose1 w:val="05020102010507070707"/>
    <w:charset w:val="02"/>
    <w:family w:val="roman"/>
    <w:pitch w:val="default"/>
    <w:sig w:usb0="00000000" w:usb1="00000000" w:usb2="00000000" w:usb3="00000000" w:csb0="80000000" w:csb1="00000000"/>
    <w:embedRegular r:id="rId9" w:fontKey="{D827DDDE-46F9-455D-8A9C-B51D982ABC7B}"/>
  </w:font>
  <w:font w:name="仿宋">
    <w:panose1 w:val="02010609060101010101"/>
    <w:charset w:val="86"/>
    <w:family w:val="modern"/>
    <w:pitch w:val="default"/>
    <w:sig w:usb0="800002BF" w:usb1="38CF7CFA" w:usb2="00000016" w:usb3="00000000" w:csb0="00040001" w:csb1="00000000"/>
    <w:embedRegular r:id="rId10" w:fontKey="{A099A4D5-E5B8-45EC-888C-C337687FA384}"/>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DejaVu Math TeX Gyre">
    <w:panose1 w:val="02000503000000000000"/>
    <w:charset w:val="00"/>
    <w:family w:val="auto"/>
    <w:pitch w:val="default"/>
    <w:sig w:usb0="A10000EF" w:usb1="4201F9EE" w:usb2="02000000" w:usb3="00000000" w:csb0="60000193" w:csb1="0DD4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p>
  <w:p>
    <w:pPr>
      <w:spacing w:after="0"/>
      <w:ind w:lef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r>
      <w:fldChar w:fldCharType="begin"/>
    </w:r>
    <w:r>
      <w:instrText xml:space="preserve"> PAGE   \* MERGEFORMAT </w:instrText>
    </w:r>
    <w:r>
      <w:fldChar w:fldCharType="separate"/>
    </w:r>
    <w:r>
      <w:rPr>
        <w:sz w:val="18"/>
      </w:rPr>
      <w:t>1</w:t>
    </w:r>
    <w:r>
      <w:rPr>
        <w:sz w:val="18"/>
      </w:rPr>
      <w:fldChar w:fldCharType="end"/>
    </w:r>
  </w:p>
  <w:p>
    <w:pPr>
      <w:spacing w:after="0"/>
      <w:ind w:lef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r>
      <w:fldChar w:fldCharType="begin"/>
    </w:r>
    <w:r>
      <w:instrText xml:space="preserve"> PAGE   \* MERGEFORMAT </w:instrText>
    </w:r>
    <w:r>
      <w:fldChar w:fldCharType="separate"/>
    </w:r>
    <w:r>
      <w:rPr>
        <w:sz w:val="18"/>
      </w:rPr>
      <w:t>1</w:t>
    </w:r>
    <w:r>
      <w:rPr>
        <w:sz w:val="18"/>
      </w:rPr>
      <w:fldChar w:fldCharType="end"/>
    </w:r>
  </w:p>
  <w:p>
    <w:pPr>
      <w:spacing w:after="0"/>
      <w:ind w:lef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3"/>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53"/>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pPr>
      <w:spacing w:after="0"/>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52F7C"/>
    <w:multiLevelType w:val="singleLevel"/>
    <w:tmpl w:val="BFE52F7C"/>
    <w:lvl w:ilvl="0" w:tentative="0">
      <w:start w:val="4"/>
      <w:numFmt w:val="chineseCounting"/>
      <w:suff w:val="space"/>
      <w:lvlText w:val="第%1节"/>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02A2C91"/>
    <w:multiLevelType w:val="singleLevel"/>
    <w:tmpl w:val="D02A2C91"/>
    <w:lvl w:ilvl="0" w:tentative="0">
      <w:start w:val="1"/>
      <w:numFmt w:val="decimal"/>
      <w:suff w:val="nothing"/>
      <w:lvlText w:val="%1．"/>
      <w:lvlJc w:val="left"/>
      <w:pPr>
        <w:ind w:left="0" w:firstLine="400"/>
      </w:pPr>
      <w:rPr>
        <w:rFonts w:hint="default"/>
      </w:rPr>
    </w:lvl>
  </w:abstractNum>
  <w:abstractNum w:abstractNumId="3">
    <w:nsid w:val="D0A7FBD8"/>
    <w:multiLevelType w:val="singleLevel"/>
    <w:tmpl w:val="D0A7FBD8"/>
    <w:lvl w:ilvl="0" w:tentative="0">
      <w:start w:val="1"/>
      <w:numFmt w:val="chineseCounting"/>
      <w:suff w:val="nothing"/>
      <w:lvlText w:val="%1、"/>
      <w:lvlJc w:val="left"/>
      <w:rPr>
        <w:rFonts w:hint="eastAsia"/>
      </w:rPr>
    </w:lvl>
  </w:abstractNum>
  <w:abstractNum w:abstractNumId="4">
    <w:nsid w:val="00000013"/>
    <w:multiLevelType w:val="multilevel"/>
    <w:tmpl w:val="00000013"/>
    <w:lvl w:ilvl="0" w:tentative="0">
      <w:start w:val="1"/>
      <w:numFmt w:val="bullet"/>
      <w:pStyle w:val="281"/>
      <w:lvlText w:val=""/>
      <w:lvlJc w:val="left"/>
      <w:pPr>
        <w:tabs>
          <w:tab w:val="left" w:pos="2465"/>
        </w:tabs>
        <w:ind w:left="2465" w:hanging="567"/>
      </w:pPr>
      <w:rPr>
        <w:rFonts w:hint="default" w:ascii="Wingdings" w:hAnsi="Wingdings"/>
        <w:color w:val="auto"/>
      </w:rPr>
    </w:lvl>
    <w:lvl w:ilvl="1" w:tentative="0">
      <w:start w:val="1"/>
      <w:numFmt w:val="bullet"/>
      <w:lvlText w:val=""/>
      <w:lvlJc w:val="left"/>
      <w:pPr>
        <w:tabs>
          <w:tab w:val="left" w:pos="2367"/>
        </w:tabs>
        <w:ind w:left="2367" w:hanging="420"/>
      </w:pPr>
      <w:rPr>
        <w:rFonts w:hint="default" w:ascii="Wingdings" w:hAnsi="Wingdings"/>
      </w:rPr>
    </w:lvl>
    <w:lvl w:ilvl="2" w:tentative="0">
      <w:start w:val="1"/>
      <w:numFmt w:val="bullet"/>
      <w:lvlText w:val=""/>
      <w:lvlJc w:val="left"/>
      <w:pPr>
        <w:tabs>
          <w:tab w:val="left" w:pos="2787"/>
        </w:tabs>
        <w:ind w:left="2787" w:hanging="420"/>
      </w:pPr>
      <w:rPr>
        <w:rFonts w:hint="default" w:ascii="Wingdings" w:hAnsi="Wingdings"/>
      </w:rPr>
    </w:lvl>
    <w:lvl w:ilvl="3" w:tentative="0">
      <w:start w:val="1"/>
      <w:numFmt w:val="bullet"/>
      <w:lvlText w:val=""/>
      <w:lvlJc w:val="left"/>
      <w:pPr>
        <w:tabs>
          <w:tab w:val="left" w:pos="3207"/>
        </w:tabs>
        <w:ind w:left="3207" w:hanging="420"/>
      </w:pPr>
      <w:rPr>
        <w:rFonts w:hint="default" w:ascii="Wingdings" w:hAnsi="Wingdings"/>
      </w:rPr>
    </w:lvl>
    <w:lvl w:ilvl="4" w:tentative="0">
      <w:start w:val="1"/>
      <w:numFmt w:val="bullet"/>
      <w:lvlText w:val=""/>
      <w:lvlJc w:val="left"/>
      <w:pPr>
        <w:tabs>
          <w:tab w:val="left" w:pos="3627"/>
        </w:tabs>
        <w:ind w:left="3627" w:hanging="420"/>
      </w:pPr>
      <w:rPr>
        <w:rFonts w:hint="default" w:ascii="Wingdings" w:hAnsi="Wingdings"/>
      </w:rPr>
    </w:lvl>
    <w:lvl w:ilvl="5" w:tentative="0">
      <w:start w:val="1"/>
      <w:numFmt w:val="bullet"/>
      <w:lvlText w:val=""/>
      <w:lvlJc w:val="left"/>
      <w:pPr>
        <w:tabs>
          <w:tab w:val="left" w:pos="4047"/>
        </w:tabs>
        <w:ind w:left="4047" w:hanging="420"/>
      </w:pPr>
      <w:rPr>
        <w:rFonts w:hint="default" w:ascii="Wingdings" w:hAnsi="Wingdings"/>
      </w:rPr>
    </w:lvl>
    <w:lvl w:ilvl="6" w:tentative="0">
      <w:start w:val="1"/>
      <w:numFmt w:val="bullet"/>
      <w:lvlText w:val=""/>
      <w:lvlJc w:val="left"/>
      <w:pPr>
        <w:tabs>
          <w:tab w:val="left" w:pos="4467"/>
        </w:tabs>
        <w:ind w:left="4467" w:hanging="420"/>
      </w:pPr>
      <w:rPr>
        <w:rFonts w:hint="default" w:ascii="Wingdings" w:hAnsi="Wingdings"/>
      </w:rPr>
    </w:lvl>
    <w:lvl w:ilvl="7" w:tentative="0">
      <w:start w:val="1"/>
      <w:numFmt w:val="bullet"/>
      <w:lvlText w:val=""/>
      <w:lvlJc w:val="left"/>
      <w:pPr>
        <w:tabs>
          <w:tab w:val="left" w:pos="4887"/>
        </w:tabs>
        <w:ind w:left="4887" w:hanging="420"/>
      </w:pPr>
      <w:rPr>
        <w:rFonts w:hint="default" w:ascii="Wingdings" w:hAnsi="Wingdings"/>
      </w:rPr>
    </w:lvl>
    <w:lvl w:ilvl="8" w:tentative="0">
      <w:start w:val="1"/>
      <w:numFmt w:val="bullet"/>
      <w:lvlText w:val=""/>
      <w:lvlJc w:val="left"/>
      <w:pPr>
        <w:tabs>
          <w:tab w:val="left" w:pos="5307"/>
        </w:tabs>
        <w:ind w:left="5307" w:hanging="420"/>
      </w:pPr>
      <w:rPr>
        <w:rFonts w:hint="default" w:ascii="Wingdings" w:hAnsi="Wingdings"/>
      </w:rPr>
    </w:lvl>
  </w:abstractNum>
  <w:abstractNum w:abstractNumId="5">
    <w:nsid w:val="0000001C"/>
    <w:multiLevelType w:val="multilevel"/>
    <w:tmpl w:val="0000001C"/>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1E"/>
    <w:multiLevelType w:val="multilevel"/>
    <w:tmpl w:val="0000001E"/>
    <w:lvl w:ilvl="0" w:tentative="0">
      <w:start w:val="3"/>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1F"/>
    <w:multiLevelType w:val="multilevel"/>
    <w:tmpl w:val="0000001F"/>
    <w:lvl w:ilvl="0" w:tentative="0">
      <w:start w:val="4"/>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20"/>
    <w:multiLevelType w:val="multilevel"/>
    <w:tmpl w:val="00000020"/>
    <w:lvl w:ilvl="0" w:tentative="0">
      <w:start w:val="5"/>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21"/>
    <w:multiLevelType w:val="multilevel"/>
    <w:tmpl w:val="00000021"/>
    <w:lvl w:ilvl="0" w:tentative="0">
      <w:start w:val="6"/>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22"/>
    <w:multiLevelType w:val="multilevel"/>
    <w:tmpl w:val="00000022"/>
    <w:lvl w:ilvl="0" w:tentative="0">
      <w:start w:val="7"/>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23"/>
    <w:multiLevelType w:val="multilevel"/>
    <w:tmpl w:val="00000023"/>
    <w:lvl w:ilvl="0" w:tentative="0">
      <w:start w:val="8"/>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24"/>
    <w:multiLevelType w:val="multilevel"/>
    <w:tmpl w:val="00000024"/>
    <w:lvl w:ilvl="0" w:tentative="0">
      <w:start w:val="9"/>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25"/>
    <w:multiLevelType w:val="multilevel"/>
    <w:tmpl w:val="00000025"/>
    <w:lvl w:ilvl="0" w:tentative="0">
      <w:start w:val="10"/>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26"/>
    <w:multiLevelType w:val="multilevel"/>
    <w:tmpl w:val="00000026"/>
    <w:lvl w:ilvl="0" w:tentative="0">
      <w:start w:val="1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27"/>
    <w:multiLevelType w:val="multilevel"/>
    <w:tmpl w:val="00000027"/>
    <w:lvl w:ilvl="0" w:tentative="0">
      <w:start w:val="12"/>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00000028"/>
    <w:multiLevelType w:val="multilevel"/>
    <w:tmpl w:val="00000028"/>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55"/>
    <w:multiLevelType w:val="multilevel"/>
    <w:tmpl w:val="00000055"/>
    <w:lvl w:ilvl="0" w:tentative="0">
      <w:start w:val="1"/>
      <w:numFmt w:val="none"/>
      <w:suff w:val="nothing"/>
      <w:lvlText w:val="%1"/>
      <w:lvlJc w:val="left"/>
      <w:rPr>
        <w:rFonts w:hint="default" w:ascii="Times New Roman" w:hAnsi="Times New Roman" w:cs="Times New Roman"/>
        <w:b/>
        <w:bCs/>
        <w:i w:val="0"/>
        <w:iCs w:val="0"/>
        <w:sz w:val="21"/>
        <w:szCs w:val="21"/>
      </w:rPr>
    </w:lvl>
    <w:lvl w:ilvl="1" w:tentative="0">
      <w:start w:val="1"/>
      <w:numFmt w:val="decimal"/>
      <w:pStyle w:val="282"/>
      <w:suff w:val="nothing"/>
      <w:lvlText w:val="%1%2　"/>
      <w:lvlJc w:val="left"/>
      <w:rPr>
        <w:rFonts w:hint="eastAsia" w:ascii="黑体" w:hAnsi="Times New Roman" w:eastAsia="黑体"/>
        <w:b w:val="0"/>
        <w:bCs w:val="0"/>
        <w:i w:val="0"/>
        <w:iCs w:val="0"/>
        <w:sz w:val="21"/>
        <w:szCs w:val="21"/>
      </w:rPr>
    </w:lvl>
    <w:lvl w:ilvl="2" w:tentative="0">
      <w:start w:val="1"/>
      <w:numFmt w:val="decimal"/>
      <w:pStyle w:val="284"/>
      <w:suff w:val="nothing"/>
      <w:lvlText w:val="%1%2.%3　"/>
      <w:lvlJc w:val="left"/>
      <w:rPr>
        <w:rFonts w:hint="eastAsia" w:ascii="黑体" w:hAnsi="Times New Roman" w:eastAsia="黑体"/>
        <w:b w:val="0"/>
        <w:bCs w:val="0"/>
        <w:i w:val="0"/>
        <w:iCs w:val="0"/>
        <w:sz w:val="21"/>
        <w:szCs w:val="21"/>
      </w:rPr>
    </w:lvl>
    <w:lvl w:ilvl="3" w:tentative="0">
      <w:start w:val="1"/>
      <w:numFmt w:val="decimal"/>
      <w:pStyle w:val="283"/>
      <w:suff w:val="nothing"/>
      <w:lvlText w:val="%1%2.%3.%4　"/>
      <w:lvlJc w:val="left"/>
      <w:pPr>
        <w:ind w:left="630"/>
      </w:pPr>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
    <w:nsid w:val="00000060"/>
    <w:multiLevelType w:val="multilevel"/>
    <w:tmpl w:val="00000060"/>
    <w:lvl w:ilvl="0" w:tentative="0">
      <w:start w:val="1"/>
      <w:numFmt w:val="chineseCountingThousand"/>
      <w:pStyle w:val="253"/>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6E"/>
    <w:multiLevelType w:val="singleLevel"/>
    <w:tmpl w:val="0000006E"/>
    <w:lvl w:ilvl="0" w:tentative="0">
      <w:start w:val="1"/>
      <w:numFmt w:val="bullet"/>
      <w:pStyle w:val="269"/>
      <w:lvlText w:val=""/>
      <w:lvlJc w:val="left"/>
      <w:pPr>
        <w:tabs>
          <w:tab w:val="left" w:pos="1834"/>
        </w:tabs>
        <w:ind w:left="1758" w:hanging="284"/>
      </w:pPr>
      <w:rPr>
        <w:rFonts w:hint="default" w:ascii="Wingdings" w:hAnsi="Wingdings"/>
      </w:rPr>
    </w:lvl>
  </w:abstractNum>
  <w:abstractNum w:abstractNumId="20">
    <w:nsid w:val="00000078"/>
    <w:multiLevelType w:val="multilevel"/>
    <w:tmpl w:val="00000078"/>
    <w:lvl w:ilvl="0" w:tentative="0">
      <w:start w:val="1"/>
      <w:numFmt w:val="japaneseCounting"/>
      <w:pStyle w:val="228"/>
      <w:lvlText w:val="第%1章"/>
      <w:lvlJc w:val="left"/>
      <w:pPr>
        <w:tabs>
          <w:tab w:val="left" w:pos="1440"/>
        </w:tabs>
        <w:ind w:left="1440" w:hanging="1440"/>
      </w:pPr>
      <w:rPr>
        <w:rFonts w:hint="eastAsia"/>
      </w:rPr>
    </w:lvl>
    <w:lvl w:ilvl="1" w:tentative="0">
      <w:start w:val="7"/>
      <w:numFmt w:val="decimal"/>
      <w:lvlText w:val="%2．"/>
      <w:lvlJc w:val="left"/>
      <w:pPr>
        <w:tabs>
          <w:tab w:val="left" w:pos="780"/>
        </w:tabs>
        <w:ind w:left="780" w:hanging="360"/>
      </w:pPr>
      <w:rPr>
        <w:rFonts w:hint="eastAsia"/>
      </w:rPr>
    </w:lvl>
    <w:lvl w:ilvl="2" w:tentative="0">
      <w:start w:val="9"/>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88"/>
    <w:multiLevelType w:val="multilevel"/>
    <w:tmpl w:val="00000088"/>
    <w:lvl w:ilvl="0" w:tentative="0">
      <w:start w:val="1"/>
      <w:numFmt w:val="chineseCountingThousand"/>
      <w:pStyle w:val="273"/>
      <w:lvlText w:val="第%1章"/>
      <w:lvlJc w:val="center"/>
      <w:pPr>
        <w:tabs>
          <w:tab w:val="left" w:pos="0"/>
        </w:tabs>
        <w:ind w:left="0" w:firstLine="0"/>
      </w:pPr>
      <w:rPr>
        <w:rFonts w:hint="eastAsia" w:eastAsia="宋体"/>
        <w:b/>
        <w:i w:val="0"/>
        <w:sz w:val="30"/>
        <w:szCs w:val="30"/>
      </w:rPr>
    </w:lvl>
    <w:lvl w:ilvl="1" w:tentative="0">
      <w:start w:val="1"/>
      <w:numFmt w:val="upperLetter"/>
      <w:lvlText w:val="%2."/>
      <w:lvlJc w:val="left"/>
      <w:pPr>
        <w:tabs>
          <w:tab w:val="left" w:pos="567"/>
        </w:tabs>
        <w:ind w:left="567" w:hanging="567"/>
      </w:pPr>
      <w:rPr>
        <w:rFonts w:hint="eastAsia"/>
        <w:b/>
        <w:i w:val="0"/>
        <w:sz w:val="21"/>
        <w:szCs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205"/>
        </w:tabs>
        <w:ind w:left="2205" w:hanging="945"/>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7B121F"/>
    <w:multiLevelType w:val="multilevel"/>
    <w:tmpl w:val="007B121F"/>
    <w:lvl w:ilvl="0" w:tentative="0">
      <w:start w:val="1"/>
      <w:numFmt w:val="bullet"/>
      <w:pStyle w:val="36"/>
      <w:lvlText w:val=""/>
      <w:lvlJc w:val="left"/>
      <w:pPr>
        <w:tabs>
          <w:tab w:val="left" w:pos="540"/>
        </w:tabs>
        <w:ind w:left="540" w:hanging="360"/>
      </w:pPr>
      <w:rPr>
        <w:rFonts w:hint="default" w:ascii="Symbol" w:hAnsi="Symbol"/>
      </w:rPr>
    </w:lvl>
    <w:lvl w:ilvl="1" w:tentative="0">
      <w:start w:val="1"/>
      <w:numFmt w:val="bullet"/>
      <w:lvlText w:val="-"/>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0BCA73EE"/>
    <w:multiLevelType w:val="multilevel"/>
    <w:tmpl w:val="0BCA73EE"/>
    <w:lvl w:ilvl="0" w:tentative="0">
      <w:start w:val="1"/>
      <w:numFmt w:val="decimal"/>
      <w:pStyle w:val="18"/>
      <w:lvlText w:val="（%1）"/>
      <w:lvlJc w:val="left"/>
      <w:pPr>
        <w:ind w:left="718"/>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798"/>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518"/>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238"/>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958"/>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678"/>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398"/>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6118"/>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838"/>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4">
    <w:nsid w:val="111A3CFF"/>
    <w:multiLevelType w:val="multilevel"/>
    <w:tmpl w:val="111A3CFF"/>
    <w:lvl w:ilvl="0" w:tentative="0">
      <w:start w:val="1"/>
      <w:numFmt w:val="decimal"/>
      <w:pStyle w:val="560"/>
      <w:lvlText w:val="（%1）"/>
      <w:lvlJc w:val="left"/>
      <w:pPr>
        <w:ind w:left="42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5">
    <w:nsid w:val="112A2131"/>
    <w:multiLevelType w:val="multilevel"/>
    <w:tmpl w:val="112A2131"/>
    <w:lvl w:ilvl="0" w:tentative="0">
      <w:start w:val="1"/>
      <w:numFmt w:val="decimal"/>
      <w:pStyle w:val="45"/>
      <w:lvlText w:val="（%1）"/>
      <w:lvlJc w:val="left"/>
      <w:pPr>
        <w:ind w:left="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394"/>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14"/>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34"/>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54"/>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74"/>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994"/>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14"/>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34"/>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6">
    <w:nsid w:val="22973DB3"/>
    <w:multiLevelType w:val="multilevel"/>
    <w:tmpl w:val="22973DB3"/>
    <w:lvl w:ilvl="0" w:tentative="0">
      <w:start w:val="1"/>
      <w:numFmt w:val="decimal"/>
      <w:pStyle w:val="39"/>
      <w:lvlText w:val="%1."/>
      <w:lvlJc w:val="left"/>
      <w:pPr>
        <w:tabs>
          <w:tab w:val="left" w:pos="780"/>
        </w:tabs>
        <w:ind w:left="780" w:hanging="420"/>
      </w:pPr>
      <w:rPr>
        <w:rFonts w:hint="eastAsia" w:eastAsia="宋体"/>
      </w:rPr>
    </w:lvl>
    <w:lvl w:ilvl="1" w:tentative="0">
      <w:start w:val="1"/>
      <w:numFmt w:val="decimal"/>
      <w:lvlText w:val="%2．"/>
      <w:lvlJc w:val="left"/>
      <w:pPr>
        <w:tabs>
          <w:tab w:val="left" w:pos="1140"/>
        </w:tabs>
        <w:ind w:left="1140" w:hanging="360"/>
      </w:pPr>
      <w:rPr>
        <w:rFonts w:hint="eastAsia"/>
      </w:rPr>
    </w:lvl>
    <w:lvl w:ilvl="2" w:tentative="0">
      <w:start w:val="2"/>
      <w:numFmt w:val="decimal"/>
      <w:lvlText w:val="%3、"/>
      <w:lvlJc w:val="left"/>
      <w:pPr>
        <w:tabs>
          <w:tab w:val="left" w:pos="1560"/>
        </w:tabs>
        <w:ind w:left="1560" w:hanging="360"/>
      </w:pPr>
      <w:rPr>
        <w:rFonts w:hint="eastAsia"/>
      </w:rPr>
    </w:lvl>
    <w:lvl w:ilvl="3" w:tentative="0">
      <w:start w:val="7"/>
      <w:numFmt w:val="decimal"/>
      <w:lvlText w:val="(%4)"/>
      <w:lvlJc w:val="left"/>
      <w:pPr>
        <w:tabs>
          <w:tab w:val="left" w:pos="1980"/>
        </w:tabs>
        <w:ind w:left="1980" w:hanging="360"/>
      </w:pPr>
      <w:rPr>
        <w:rFonts w:hint="eastAsia"/>
      </w:rPr>
    </w:lvl>
    <w:lvl w:ilvl="4" w:tentative="0">
      <w:start w:val="5"/>
      <w:numFmt w:val="decimal"/>
      <w:lvlText w:val="第%5条"/>
      <w:lvlJc w:val="left"/>
      <w:pPr>
        <w:tabs>
          <w:tab w:val="left" w:pos="3165"/>
        </w:tabs>
        <w:ind w:left="3165" w:hanging="1125"/>
      </w:pPr>
      <w:rPr>
        <w:rFonts w:hint="eastAsia"/>
      </w:r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7">
    <w:nsid w:val="23BB6FB0"/>
    <w:multiLevelType w:val="multilevel"/>
    <w:tmpl w:val="23BB6FB0"/>
    <w:lvl w:ilvl="0" w:tentative="0">
      <w:start w:val="1"/>
      <w:numFmt w:val="bullet"/>
      <w:pStyle w:val="40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2A0545BB"/>
    <w:multiLevelType w:val="multilevel"/>
    <w:tmpl w:val="2A0545BB"/>
    <w:lvl w:ilvl="0" w:tentative="0">
      <w:start w:val="0"/>
      <w:numFmt w:val="none"/>
      <w:pStyle w:val="15"/>
      <w:lvlText w:val=""/>
      <w:lvlJc w:val="left"/>
      <w:pPr>
        <w:tabs>
          <w:tab w:val="left" w:pos="540"/>
        </w:tabs>
        <w:ind w:left="520" w:hanging="340"/>
      </w:pPr>
      <w:rPr>
        <w:rFonts w:hint="default" w:ascii="Symbol" w:hAnsi="Symbol" w:cs="Times New Roman"/>
      </w:rPr>
    </w:lvl>
    <w:lvl w:ilvl="1" w:tentative="0">
      <w:start w:val="0"/>
      <w:numFmt w:val="bullet"/>
      <w:lvlText w:val="-"/>
      <w:lvlJc w:val="left"/>
      <w:pPr>
        <w:tabs>
          <w:tab w:val="left" w:pos="1440"/>
        </w:tabs>
        <w:ind w:left="1440" w:hanging="360"/>
      </w:pPr>
      <w:rPr>
        <w:rFonts w:hint="default" w:ascii="Arial" w:hAnsi="Arial" w:eastAsia="Times New Roman"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2F493093"/>
    <w:multiLevelType w:val="multilevel"/>
    <w:tmpl w:val="2F493093"/>
    <w:lvl w:ilvl="0" w:tentative="0">
      <w:start w:val="1"/>
      <w:numFmt w:val="decimal"/>
      <w:pStyle w:val="46"/>
      <w:lvlText w:val="（%1）"/>
      <w:lvlJc w:val="left"/>
      <w:pPr>
        <w:ind w:left="1051"/>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0">
    <w:nsid w:val="380B0DB7"/>
    <w:multiLevelType w:val="singleLevel"/>
    <w:tmpl w:val="380B0DB7"/>
    <w:lvl w:ilvl="0" w:tentative="0">
      <w:start w:val="4"/>
      <w:numFmt w:val="decimal"/>
      <w:suff w:val="nothing"/>
      <w:lvlText w:val="%1、"/>
      <w:lvlJc w:val="left"/>
    </w:lvl>
  </w:abstractNum>
  <w:abstractNum w:abstractNumId="31">
    <w:nsid w:val="41436D45"/>
    <w:multiLevelType w:val="multilevel"/>
    <w:tmpl w:val="41436D45"/>
    <w:lvl w:ilvl="0" w:tentative="0">
      <w:start w:val="1"/>
      <w:numFmt w:val="decimal"/>
      <w:pStyle w:val="546"/>
      <w:lvlText w:val="（%1）"/>
      <w:lvlJc w:val="left"/>
      <w:pPr>
        <w:ind w:left="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2">
    <w:nsid w:val="461F4531"/>
    <w:multiLevelType w:val="singleLevel"/>
    <w:tmpl w:val="461F4531"/>
    <w:lvl w:ilvl="0" w:tentative="0">
      <w:start w:val="1"/>
      <w:numFmt w:val="decimal"/>
      <w:suff w:val="nothing"/>
      <w:lvlText w:val="%1．"/>
      <w:lvlJc w:val="left"/>
      <w:pPr>
        <w:ind w:left="0" w:firstLine="400"/>
      </w:pPr>
      <w:rPr>
        <w:rFonts w:hint="default"/>
      </w:rPr>
    </w:lvl>
  </w:abstractNum>
  <w:abstractNum w:abstractNumId="33">
    <w:nsid w:val="46B673B6"/>
    <w:multiLevelType w:val="multilevel"/>
    <w:tmpl w:val="46B673B6"/>
    <w:lvl w:ilvl="0" w:tentative="0">
      <w:start w:val="1"/>
      <w:numFmt w:val="decimal"/>
      <w:lvlText w:val="%1"/>
      <w:lvlJc w:val="left"/>
      <w:pPr>
        <w:tabs>
          <w:tab w:val="left" w:pos="432"/>
        </w:tabs>
        <w:ind w:left="432" w:hanging="432"/>
      </w:pPr>
      <w:rPr>
        <w:rFonts w:hint="default"/>
      </w:rPr>
    </w:lvl>
    <w:lvl w:ilvl="1" w:tentative="0">
      <w:start w:val="1"/>
      <w:numFmt w:val="decimal"/>
      <w:pStyle w:val="236"/>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34">
    <w:nsid w:val="4734DCE6"/>
    <w:multiLevelType w:val="singleLevel"/>
    <w:tmpl w:val="4734DCE6"/>
    <w:lvl w:ilvl="0" w:tentative="0">
      <w:start w:val="1"/>
      <w:numFmt w:val="decimal"/>
      <w:lvlText w:val="%1."/>
      <w:lvlJc w:val="left"/>
      <w:pPr>
        <w:tabs>
          <w:tab w:val="left" w:pos="312"/>
        </w:tabs>
      </w:pPr>
    </w:lvl>
  </w:abstractNum>
  <w:abstractNum w:abstractNumId="35">
    <w:nsid w:val="506459DB"/>
    <w:multiLevelType w:val="multilevel"/>
    <w:tmpl w:val="506459DB"/>
    <w:lvl w:ilvl="0" w:tentative="0">
      <w:start w:val="1"/>
      <w:numFmt w:val="decimal"/>
      <w:pStyle w:val="605"/>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6">
    <w:nsid w:val="558403FB"/>
    <w:multiLevelType w:val="multilevel"/>
    <w:tmpl w:val="558403FB"/>
    <w:lvl w:ilvl="0" w:tentative="0">
      <w:start w:val="1"/>
      <w:numFmt w:val="decimal"/>
      <w:pStyle w:val="31"/>
      <w:lvlText w:val="%1."/>
      <w:lvlJc w:val="left"/>
      <w:pPr>
        <w:tabs>
          <w:tab w:val="left" w:pos="840"/>
        </w:tabs>
        <w:ind w:left="840" w:hanging="420"/>
      </w:pPr>
      <w:rPr>
        <w:rFonts w:hint="eastAsia" w:eastAsia="宋体"/>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7">
    <w:nsid w:val="571931FB"/>
    <w:multiLevelType w:val="multilevel"/>
    <w:tmpl w:val="571931FB"/>
    <w:lvl w:ilvl="0" w:tentative="0">
      <w:start w:val="1"/>
      <w:numFmt w:val="decimal"/>
      <w:pStyle w:val="62"/>
      <w:lvlText w:val="（%1）"/>
      <w:lvlJc w:val="left"/>
      <w:pPr>
        <w:ind w:left="1051"/>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8">
    <w:nsid w:val="6A4931F5"/>
    <w:multiLevelType w:val="multilevel"/>
    <w:tmpl w:val="6A4931F5"/>
    <w:lvl w:ilvl="0" w:tentative="0">
      <w:start w:val="1"/>
      <w:numFmt w:val="decimal"/>
      <w:pStyle w:val="35"/>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9">
    <w:nsid w:val="705D32C3"/>
    <w:multiLevelType w:val="singleLevel"/>
    <w:tmpl w:val="705D32C3"/>
    <w:lvl w:ilvl="0" w:tentative="0">
      <w:start w:val="5"/>
      <w:numFmt w:val="decimal"/>
      <w:lvlText w:val="%1."/>
      <w:lvlJc w:val="left"/>
      <w:pPr>
        <w:tabs>
          <w:tab w:val="left" w:pos="312"/>
        </w:tabs>
      </w:pPr>
    </w:lvl>
  </w:abstractNum>
  <w:abstractNum w:abstractNumId="40">
    <w:nsid w:val="7AEC05DD"/>
    <w:multiLevelType w:val="multilevel"/>
    <w:tmpl w:val="7AEC05DD"/>
    <w:lvl w:ilvl="0" w:tentative="0">
      <w:start w:val="1"/>
      <w:numFmt w:val="decimal"/>
      <w:pStyle w:val="13"/>
      <w:lvlText w:val="（%1）"/>
      <w:lvlJc w:val="left"/>
      <w:pPr>
        <w:ind w:left="88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4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6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8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0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2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4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6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8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41">
    <w:nsid w:val="7FB22ECE"/>
    <w:multiLevelType w:val="multilevel"/>
    <w:tmpl w:val="7FB22ECE"/>
    <w:lvl w:ilvl="0" w:tentative="0">
      <w:start w:val="1"/>
      <w:numFmt w:val="decimal"/>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pStyle w:val="494"/>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num w:numId="1">
    <w:abstractNumId w:val="40"/>
  </w:num>
  <w:num w:numId="2">
    <w:abstractNumId w:val="28"/>
  </w:num>
  <w:num w:numId="3">
    <w:abstractNumId w:val="23"/>
  </w:num>
  <w:num w:numId="4">
    <w:abstractNumId w:val="36"/>
  </w:num>
  <w:num w:numId="5">
    <w:abstractNumId w:val="38"/>
  </w:num>
  <w:num w:numId="6">
    <w:abstractNumId w:val="22"/>
  </w:num>
  <w:num w:numId="7">
    <w:abstractNumId w:val="26"/>
  </w:num>
  <w:num w:numId="8">
    <w:abstractNumId w:val="25"/>
  </w:num>
  <w:num w:numId="9">
    <w:abstractNumId w:val="29"/>
  </w:num>
  <w:num w:numId="10">
    <w:abstractNumId w:val="37"/>
  </w:num>
  <w:num w:numId="11">
    <w:abstractNumId w:val="20"/>
  </w:num>
  <w:num w:numId="12">
    <w:abstractNumId w:val="33"/>
  </w:num>
  <w:num w:numId="13">
    <w:abstractNumId w:val="18"/>
  </w:num>
  <w:num w:numId="14">
    <w:abstractNumId w:val="19"/>
  </w:num>
  <w:num w:numId="15">
    <w:abstractNumId w:val="21"/>
  </w:num>
  <w:num w:numId="16">
    <w:abstractNumId w:val="4"/>
  </w:num>
  <w:num w:numId="17">
    <w:abstractNumId w:val="17"/>
  </w:num>
  <w:num w:numId="18">
    <w:abstractNumId w:val="27"/>
  </w:num>
  <w:num w:numId="19">
    <w:abstractNumId w:val="41"/>
  </w:num>
  <w:num w:numId="20">
    <w:abstractNumId w:val="31"/>
  </w:num>
  <w:num w:numId="21">
    <w:abstractNumId w:val="24"/>
  </w:num>
  <w:num w:numId="22">
    <w:abstractNumId w:val="35"/>
  </w:num>
  <w:num w:numId="23">
    <w:abstractNumId w:val="1"/>
  </w:num>
  <w:num w:numId="24">
    <w:abstractNumId w:val="39"/>
  </w:num>
  <w:num w:numId="25">
    <w:abstractNumId w:val="34"/>
  </w:num>
  <w:num w:numId="26">
    <w:abstractNumId w:val="3"/>
  </w:num>
  <w:num w:numId="27">
    <w:abstractNumId w:val="2"/>
  </w:num>
  <w:num w:numId="28">
    <w:abstractNumId w:val="32"/>
  </w:num>
  <w:num w:numId="29">
    <w:abstractNumId w:val="0"/>
  </w:num>
  <w:num w:numId="30">
    <w:abstractNumId w:val="16"/>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trackRevisions w:val="1"/>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 w:name="KSO_WPS_MARK_KEY" w:val="ce479347-2d25-44ed-97ad-8e280e1e8af0"/>
  </w:docVars>
  <w:rsids>
    <w:rsidRoot w:val="00172A27"/>
    <w:rsid w:val="00002D68"/>
    <w:rsid w:val="000159B9"/>
    <w:rsid w:val="00016E1B"/>
    <w:rsid w:val="00021961"/>
    <w:rsid w:val="00022501"/>
    <w:rsid w:val="0002263D"/>
    <w:rsid w:val="000234B3"/>
    <w:rsid w:val="000247E9"/>
    <w:rsid w:val="00025AFF"/>
    <w:rsid w:val="0002667A"/>
    <w:rsid w:val="00032F26"/>
    <w:rsid w:val="000348A2"/>
    <w:rsid w:val="0003496B"/>
    <w:rsid w:val="000351CB"/>
    <w:rsid w:val="00036D73"/>
    <w:rsid w:val="0004041F"/>
    <w:rsid w:val="00041815"/>
    <w:rsid w:val="00042A79"/>
    <w:rsid w:val="0004475F"/>
    <w:rsid w:val="000456A9"/>
    <w:rsid w:val="00047DB6"/>
    <w:rsid w:val="00051BD5"/>
    <w:rsid w:val="00051C03"/>
    <w:rsid w:val="000543B7"/>
    <w:rsid w:val="0005446E"/>
    <w:rsid w:val="0005454D"/>
    <w:rsid w:val="00055F4C"/>
    <w:rsid w:val="0005646B"/>
    <w:rsid w:val="00056A4C"/>
    <w:rsid w:val="0006036D"/>
    <w:rsid w:val="00062364"/>
    <w:rsid w:val="00062DF9"/>
    <w:rsid w:val="000630FD"/>
    <w:rsid w:val="0006313E"/>
    <w:rsid w:val="000716FA"/>
    <w:rsid w:val="000765B5"/>
    <w:rsid w:val="00077611"/>
    <w:rsid w:val="000818F8"/>
    <w:rsid w:val="00082E85"/>
    <w:rsid w:val="000870D2"/>
    <w:rsid w:val="0008720F"/>
    <w:rsid w:val="00091128"/>
    <w:rsid w:val="0009343F"/>
    <w:rsid w:val="0009389F"/>
    <w:rsid w:val="00094952"/>
    <w:rsid w:val="00095A21"/>
    <w:rsid w:val="00096EF8"/>
    <w:rsid w:val="000A2FE6"/>
    <w:rsid w:val="000A4147"/>
    <w:rsid w:val="000A591F"/>
    <w:rsid w:val="000A6A3C"/>
    <w:rsid w:val="000B1BAE"/>
    <w:rsid w:val="000B4A13"/>
    <w:rsid w:val="000B5352"/>
    <w:rsid w:val="000C1A0C"/>
    <w:rsid w:val="000C20CC"/>
    <w:rsid w:val="000C279B"/>
    <w:rsid w:val="000C2C06"/>
    <w:rsid w:val="000C3C93"/>
    <w:rsid w:val="000C6538"/>
    <w:rsid w:val="000C7318"/>
    <w:rsid w:val="000C74E4"/>
    <w:rsid w:val="000C7A7D"/>
    <w:rsid w:val="000D1414"/>
    <w:rsid w:val="000D2390"/>
    <w:rsid w:val="000D38FA"/>
    <w:rsid w:val="000D39C7"/>
    <w:rsid w:val="000D46AD"/>
    <w:rsid w:val="000D72DF"/>
    <w:rsid w:val="000D768E"/>
    <w:rsid w:val="000D7708"/>
    <w:rsid w:val="000E5302"/>
    <w:rsid w:val="000E6535"/>
    <w:rsid w:val="000E674F"/>
    <w:rsid w:val="000E6FB6"/>
    <w:rsid w:val="000F0683"/>
    <w:rsid w:val="000F101E"/>
    <w:rsid w:val="000F1737"/>
    <w:rsid w:val="000F18AD"/>
    <w:rsid w:val="000F3CD7"/>
    <w:rsid w:val="000F3D7F"/>
    <w:rsid w:val="000F4764"/>
    <w:rsid w:val="000F5A5B"/>
    <w:rsid w:val="00100E46"/>
    <w:rsid w:val="001021C9"/>
    <w:rsid w:val="00103FD4"/>
    <w:rsid w:val="00105C83"/>
    <w:rsid w:val="0010628F"/>
    <w:rsid w:val="00107386"/>
    <w:rsid w:val="0010788D"/>
    <w:rsid w:val="0011156C"/>
    <w:rsid w:val="001128D1"/>
    <w:rsid w:val="00115505"/>
    <w:rsid w:val="00122A57"/>
    <w:rsid w:val="001300A6"/>
    <w:rsid w:val="00130F54"/>
    <w:rsid w:val="00131CE2"/>
    <w:rsid w:val="001342EA"/>
    <w:rsid w:val="00135ECF"/>
    <w:rsid w:val="00136483"/>
    <w:rsid w:val="00137882"/>
    <w:rsid w:val="00140961"/>
    <w:rsid w:val="001410B6"/>
    <w:rsid w:val="001411E4"/>
    <w:rsid w:val="00141727"/>
    <w:rsid w:val="00144435"/>
    <w:rsid w:val="00152084"/>
    <w:rsid w:val="0015215E"/>
    <w:rsid w:val="00152F63"/>
    <w:rsid w:val="001541E5"/>
    <w:rsid w:val="00154965"/>
    <w:rsid w:val="001565B3"/>
    <w:rsid w:val="00157D6D"/>
    <w:rsid w:val="00161757"/>
    <w:rsid w:val="00161B78"/>
    <w:rsid w:val="00165DDC"/>
    <w:rsid w:val="00166815"/>
    <w:rsid w:val="001678B7"/>
    <w:rsid w:val="00167B19"/>
    <w:rsid w:val="00172A27"/>
    <w:rsid w:val="001732B4"/>
    <w:rsid w:val="00173BC8"/>
    <w:rsid w:val="001748CB"/>
    <w:rsid w:val="00174920"/>
    <w:rsid w:val="001759AE"/>
    <w:rsid w:val="00183C0B"/>
    <w:rsid w:val="00184031"/>
    <w:rsid w:val="00184D3D"/>
    <w:rsid w:val="00186331"/>
    <w:rsid w:val="00186AFF"/>
    <w:rsid w:val="00193F8E"/>
    <w:rsid w:val="0019416E"/>
    <w:rsid w:val="00195005"/>
    <w:rsid w:val="0019582E"/>
    <w:rsid w:val="00197DE8"/>
    <w:rsid w:val="001A0BFF"/>
    <w:rsid w:val="001A3600"/>
    <w:rsid w:val="001A6946"/>
    <w:rsid w:val="001A79D1"/>
    <w:rsid w:val="001B5045"/>
    <w:rsid w:val="001B5CD6"/>
    <w:rsid w:val="001B661F"/>
    <w:rsid w:val="001B662C"/>
    <w:rsid w:val="001B7FDA"/>
    <w:rsid w:val="001C1077"/>
    <w:rsid w:val="001C1329"/>
    <w:rsid w:val="001C5667"/>
    <w:rsid w:val="001C7002"/>
    <w:rsid w:val="001C71FA"/>
    <w:rsid w:val="001D0156"/>
    <w:rsid w:val="001D0E72"/>
    <w:rsid w:val="001D211C"/>
    <w:rsid w:val="001D27CC"/>
    <w:rsid w:val="001D2961"/>
    <w:rsid w:val="001D71F5"/>
    <w:rsid w:val="001E3EE7"/>
    <w:rsid w:val="001E4B7C"/>
    <w:rsid w:val="001E506B"/>
    <w:rsid w:val="001E5CD1"/>
    <w:rsid w:val="001E6AC8"/>
    <w:rsid w:val="001E7BA9"/>
    <w:rsid w:val="001F31E7"/>
    <w:rsid w:val="001F328A"/>
    <w:rsid w:val="001F37A3"/>
    <w:rsid w:val="001F43EB"/>
    <w:rsid w:val="001F5AC2"/>
    <w:rsid w:val="001F6E8F"/>
    <w:rsid w:val="002026F5"/>
    <w:rsid w:val="00203743"/>
    <w:rsid w:val="00203D25"/>
    <w:rsid w:val="00203E8E"/>
    <w:rsid w:val="0020510F"/>
    <w:rsid w:val="00205729"/>
    <w:rsid w:val="00206BA3"/>
    <w:rsid w:val="0021072D"/>
    <w:rsid w:val="00211EE6"/>
    <w:rsid w:val="00213C4C"/>
    <w:rsid w:val="0021609E"/>
    <w:rsid w:val="002210A9"/>
    <w:rsid w:val="00222943"/>
    <w:rsid w:val="00222CD8"/>
    <w:rsid w:val="00225F35"/>
    <w:rsid w:val="002304C7"/>
    <w:rsid w:val="00235FF2"/>
    <w:rsid w:val="0024147F"/>
    <w:rsid w:val="002430A6"/>
    <w:rsid w:val="0024507D"/>
    <w:rsid w:val="00245B71"/>
    <w:rsid w:val="00246EC9"/>
    <w:rsid w:val="002514F9"/>
    <w:rsid w:val="002534B8"/>
    <w:rsid w:val="002541C1"/>
    <w:rsid w:val="0025667D"/>
    <w:rsid w:val="00261296"/>
    <w:rsid w:val="002623A8"/>
    <w:rsid w:val="002630D9"/>
    <w:rsid w:val="00263535"/>
    <w:rsid w:val="0026409B"/>
    <w:rsid w:val="00266492"/>
    <w:rsid w:val="00266656"/>
    <w:rsid w:val="0027024A"/>
    <w:rsid w:val="00272FFF"/>
    <w:rsid w:val="00275BE2"/>
    <w:rsid w:val="00275C0F"/>
    <w:rsid w:val="00277162"/>
    <w:rsid w:val="00283735"/>
    <w:rsid w:val="00283884"/>
    <w:rsid w:val="002863C1"/>
    <w:rsid w:val="00292B21"/>
    <w:rsid w:val="0029391C"/>
    <w:rsid w:val="00294CE8"/>
    <w:rsid w:val="002A2C43"/>
    <w:rsid w:val="002A3099"/>
    <w:rsid w:val="002A371D"/>
    <w:rsid w:val="002A5DEB"/>
    <w:rsid w:val="002A610E"/>
    <w:rsid w:val="002A6710"/>
    <w:rsid w:val="002B0B4A"/>
    <w:rsid w:val="002B0D11"/>
    <w:rsid w:val="002B7200"/>
    <w:rsid w:val="002C2680"/>
    <w:rsid w:val="002C7498"/>
    <w:rsid w:val="002D1303"/>
    <w:rsid w:val="002D2301"/>
    <w:rsid w:val="002D3CBD"/>
    <w:rsid w:val="002D3E7E"/>
    <w:rsid w:val="002D4355"/>
    <w:rsid w:val="002E01C1"/>
    <w:rsid w:val="002E03F5"/>
    <w:rsid w:val="002E5559"/>
    <w:rsid w:val="002E7A3D"/>
    <w:rsid w:val="002F1E7B"/>
    <w:rsid w:val="002F3B40"/>
    <w:rsid w:val="002F6F1F"/>
    <w:rsid w:val="00301F2D"/>
    <w:rsid w:val="00302AF1"/>
    <w:rsid w:val="00303373"/>
    <w:rsid w:val="00305216"/>
    <w:rsid w:val="00305D63"/>
    <w:rsid w:val="003132EA"/>
    <w:rsid w:val="003143D1"/>
    <w:rsid w:val="003149AF"/>
    <w:rsid w:val="003157F2"/>
    <w:rsid w:val="00320445"/>
    <w:rsid w:val="00321A94"/>
    <w:rsid w:val="00322A3F"/>
    <w:rsid w:val="00324555"/>
    <w:rsid w:val="00331331"/>
    <w:rsid w:val="00331472"/>
    <w:rsid w:val="003348E1"/>
    <w:rsid w:val="003351FE"/>
    <w:rsid w:val="00335371"/>
    <w:rsid w:val="00335427"/>
    <w:rsid w:val="003357DB"/>
    <w:rsid w:val="00335851"/>
    <w:rsid w:val="00341C95"/>
    <w:rsid w:val="00347995"/>
    <w:rsid w:val="00347AD2"/>
    <w:rsid w:val="003511C3"/>
    <w:rsid w:val="0035197E"/>
    <w:rsid w:val="00352A75"/>
    <w:rsid w:val="00352D92"/>
    <w:rsid w:val="0035425F"/>
    <w:rsid w:val="00356B5D"/>
    <w:rsid w:val="0035735B"/>
    <w:rsid w:val="00360A07"/>
    <w:rsid w:val="00361B19"/>
    <w:rsid w:val="00365D91"/>
    <w:rsid w:val="0036612B"/>
    <w:rsid w:val="00366F99"/>
    <w:rsid w:val="00367979"/>
    <w:rsid w:val="00370155"/>
    <w:rsid w:val="00370D3C"/>
    <w:rsid w:val="0037400F"/>
    <w:rsid w:val="00375E3E"/>
    <w:rsid w:val="00383C87"/>
    <w:rsid w:val="0038423C"/>
    <w:rsid w:val="003851A3"/>
    <w:rsid w:val="003859E7"/>
    <w:rsid w:val="00392619"/>
    <w:rsid w:val="00395D5E"/>
    <w:rsid w:val="003A0CB5"/>
    <w:rsid w:val="003A19AD"/>
    <w:rsid w:val="003A1EA5"/>
    <w:rsid w:val="003A57CA"/>
    <w:rsid w:val="003A652A"/>
    <w:rsid w:val="003A7163"/>
    <w:rsid w:val="003A79F8"/>
    <w:rsid w:val="003A7E31"/>
    <w:rsid w:val="003B47B7"/>
    <w:rsid w:val="003B5822"/>
    <w:rsid w:val="003B6FCD"/>
    <w:rsid w:val="003C0543"/>
    <w:rsid w:val="003C1598"/>
    <w:rsid w:val="003C462C"/>
    <w:rsid w:val="003C4654"/>
    <w:rsid w:val="003C6E75"/>
    <w:rsid w:val="003C71F3"/>
    <w:rsid w:val="003C798B"/>
    <w:rsid w:val="003D2476"/>
    <w:rsid w:val="003D30A2"/>
    <w:rsid w:val="003D7160"/>
    <w:rsid w:val="003E0988"/>
    <w:rsid w:val="003E1D50"/>
    <w:rsid w:val="003E2122"/>
    <w:rsid w:val="003E2853"/>
    <w:rsid w:val="003E59E3"/>
    <w:rsid w:val="003F07E3"/>
    <w:rsid w:val="003F0B28"/>
    <w:rsid w:val="003F12C8"/>
    <w:rsid w:val="003F177E"/>
    <w:rsid w:val="003F18EE"/>
    <w:rsid w:val="003F2A1E"/>
    <w:rsid w:val="003F37ED"/>
    <w:rsid w:val="003F3A87"/>
    <w:rsid w:val="003F56D3"/>
    <w:rsid w:val="003F6488"/>
    <w:rsid w:val="003F6F8E"/>
    <w:rsid w:val="004002B5"/>
    <w:rsid w:val="00403CAD"/>
    <w:rsid w:val="0040541B"/>
    <w:rsid w:val="004055EC"/>
    <w:rsid w:val="00406963"/>
    <w:rsid w:val="0040780D"/>
    <w:rsid w:val="004104DE"/>
    <w:rsid w:val="00410742"/>
    <w:rsid w:val="00410CE1"/>
    <w:rsid w:val="00413264"/>
    <w:rsid w:val="00413BFE"/>
    <w:rsid w:val="00413D36"/>
    <w:rsid w:val="00417821"/>
    <w:rsid w:val="00421685"/>
    <w:rsid w:val="004231F4"/>
    <w:rsid w:val="00425077"/>
    <w:rsid w:val="004257D7"/>
    <w:rsid w:val="00425875"/>
    <w:rsid w:val="00430A48"/>
    <w:rsid w:val="004312E2"/>
    <w:rsid w:val="00431DFF"/>
    <w:rsid w:val="00433B10"/>
    <w:rsid w:val="0043636A"/>
    <w:rsid w:val="004369C3"/>
    <w:rsid w:val="00436A9C"/>
    <w:rsid w:val="0043739C"/>
    <w:rsid w:val="004402EB"/>
    <w:rsid w:val="00440ED2"/>
    <w:rsid w:val="004443C2"/>
    <w:rsid w:val="00445BA5"/>
    <w:rsid w:val="00445F8B"/>
    <w:rsid w:val="004465B1"/>
    <w:rsid w:val="0044664D"/>
    <w:rsid w:val="004470B6"/>
    <w:rsid w:val="00451B6F"/>
    <w:rsid w:val="00452F5F"/>
    <w:rsid w:val="0045418D"/>
    <w:rsid w:val="00462939"/>
    <w:rsid w:val="00462F8E"/>
    <w:rsid w:val="00464000"/>
    <w:rsid w:val="00465B4B"/>
    <w:rsid w:val="004723B1"/>
    <w:rsid w:val="00472F9E"/>
    <w:rsid w:val="0047467E"/>
    <w:rsid w:val="004750FE"/>
    <w:rsid w:val="00475B56"/>
    <w:rsid w:val="00477F68"/>
    <w:rsid w:val="004814E0"/>
    <w:rsid w:val="00483757"/>
    <w:rsid w:val="00483CEE"/>
    <w:rsid w:val="00485D8E"/>
    <w:rsid w:val="00486C76"/>
    <w:rsid w:val="004935A9"/>
    <w:rsid w:val="004941EF"/>
    <w:rsid w:val="004A257F"/>
    <w:rsid w:val="004A3F5F"/>
    <w:rsid w:val="004A4D04"/>
    <w:rsid w:val="004A5544"/>
    <w:rsid w:val="004A73FE"/>
    <w:rsid w:val="004A78DA"/>
    <w:rsid w:val="004A7A12"/>
    <w:rsid w:val="004B0453"/>
    <w:rsid w:val="004B06AD"/>
    <w:rsid w:val="004B1030"/>
    <w:rsid w:val="004B10FD"/>
    <w:rsid w:val="004B347B"/>
    <w:rsid w:val="004C2B25"/>
    <w:rsid w:val="004C39B6"/>
    <w:rsid w:val="004C3D50"/>
    <w:rsid w:val="004C4200"/>
    <w:rsid w:val="004C6214"/>
    <w:rsid w:val="004C6E13"/>
    <w:rsid w:val="004C79BE"/>
    <w:rsid w:val="004C7F95"/>
    <w:rsid w:val="004D1B76"/>
    <w:rsid w:val="004D4083"/>
    <w:rsid w:val="004D629E"/>
    <w:rsid w:val="004D6D23"/>
    <w:rsid w:val="004E068D"/>
    <w:rsid w:val="004E1992"/>
    <w:rsid w:val="004E256A"/>
    <w:rsid w:val="004E3F18"/>
    <w:rsid w:val="004E547B"/>
    <w:rsid w:val="004E656B"/>
    <w:rsid w:val="004E680E"/>
    <w:rsid w:val="004E7F8A"/>
    <w:rsid w:val="004F2898"/>
    <w:rsid w:val="004F54A1"/>
    <w:rsid w:val="005002EC"/>
    <w:rsid w:val="00500845"/>
    <w:rsid w:val="00500EB5"/>
    <w:rsid w:val="00500F90"/>
    <w:rsid w:val="005014BC"/>
    <w:rsid w:val="005021E7"/>
    <w:rsid w:val="005037F2"/>
    <w:rsid w:val="00503A87"/>
    <w:rsid w:val="0050536D"/>
    <w:rsid w:val="00506387"/>
    <w:rsid w:val="00506725"/>
    <w:rsid w:val="0050694C"/>
    <w:rsid w:val="005075AB"/>
    <w:rsid w:val="005144BC"/>
    <w:rsid w:val="00517F38"/>
    <w:rsid w:val="00517FC7"/>
    <w:rsid w:val="00523B18"/>
    <w:rsid w:val="0052532B"/>
    <w:rsid w:val="00525354"/>
    <w:rsid w:val="005276C9"/>
    <w:rsid w:val="00531825"/>
    <w:rsid w:val="00532619"/>
    <w:rsid w:val="00535B63"/>
    <w:rsid w:val="00535CF1"/>
    <w:rsid w:val="00546556"/>
    <w:rsid w:val="0055026A"/>
    <w:rsid w:val="005512C9"/>
    <w:rsid w:val="00552329"/>
    <w:rsid w:val="005532D1"/>
    <w:rsid w:val="00554969"/>
    <w:rsid w:val="00555409"/>
    <w:rsid w:val="0055722B"/>
    <w:rsid w:val="005606C4"/>
    <w:rsid w:val="005615F6"/>
    <w:rsid w:val="00561A0D"/>
    <w:rsid w:val="00565709"/>
    <w:rsid w:val="00565808"/>
    <w:rsid w:val="0056582D"/>
    <w:rsid w:val="00566605"/>
    <w:rsid w:val="00566CDC"/>
    <w:rsid w:val="005711D9"/>
    <w:rsid w:val="0057252D"/>
    <w:rsid w:val="005767B2"/>
    <w:rsid w:val="0058030F"/>
    <w:rsid w:val="00581421"/>
    <w:rsid w:val="005815C7"/>
    <w:rsid w:val="00584B84"/>
    <w:rsid w:val="0058771E"/>
    <w:rsid w:val="00587EC4"/>
    <w:rsid w:val="00592394"/>
    <w:rsid w:val="0059249F"/>
    <w:rsid w:val="00592E45"/>
    <w:rsid w:val="00593A31"/>
    <w:rsid w:val="005943E7"/>
    <w:rsid w:val="0059493B"/>
    <w:rsid w:val="00595A1D"/>
    <w:rsid w:val="00596EE4"/>
    <w:rsid w:val="00597FEF"/>
    <w:rsid w:val="005A0358"/>
    <w:rsid w:val="005A0F4D"/>
    <w:rsid w:val="005A2757"/>
    <w:rsid w:val="005A7177"/>
    <w:rsid w:val="005B1547"/>
    <w:rsid w:val="005B29E2"/>
    <w:rsid w:val="005B3962"/>
    <w:rsid w:val="005B4A2E"/>
    <w:rsid w:val="005B592B"/>
    <w:rsid w:val="005B7545"/>
    <w:rsid w:val="005C2559"/>
    <w:rsid w:val="005C4102"/>
    <w:rsid w:val="005D05CA"/>
    <w:rsid w:val="005D2EDF"/>
    <w:rsid w:val="005D3B88"/>
    <w:rsid w:val="005D3BC7"/>
    <w:rsid w:val="005D4404"/>
    <w:rsid w:val="005D5E9B"/>
    <w:rsid w:val="005E19E0"/>
    <w:rsid w:val="005E51DE"/>
    <w:rsid w:val="005E5C0B"/>
    <w:rsid w:val="005E6D20"/>
    <w:rsid w:val="005F0959"/>
    <w:rsid w:val="005F1A53"/>
    <w:rsid w:val="005F679F"/>
    <w:rsid w:val="005F7A03"/>
    <w:rsid w:val="00600542"/>
    <w:rsid w:val="00600632"/>
    <w:rsid w:val="006067B2"/>
    <w:rsid w:val="00611C03"/>
    <w:rsid w:val="0061300F"/>
    <w:rsid w:val="006142D3"/>
    <w:rsid w:val="00614A11"/>
    <w:rsid w:val="00615F73"/>
    <w:rsid w:val="006220F4"/>
    <w:rsid w:val="00625CD0"/>
    <w:rsid w:val="006279AE"/>
    <w:rsid w:val="00630815"/>
    <w:rsid w:val="00632F1A"/>
    <w:rsid w:val="00633C33"/>
    <w:rsid w:val="00640C36"/>
    <w:rsid w:val="00641F63"/>
    <w:rsid w:val="00642E4D"/>
    <w:rsid w:val="00644A15"/>
    <w:rsid w:val="006546A2"/>
    <w:rsid w:val="00654AAD"/>
    <w:rsid w:val="00663733"/>
    <w:rsid w:val="00665715"/>
    <w:rsid w:val="00666D5B"/>
    <w:rsid w:val="00667944"/>
    <w:rsid w:val="00667BD3"/>
    <w:rsid w:val="00670E64"/>
    <w:rsid w:val="0067171E"/>
    <w:rsid w:val="00671C33"/>
    <w:rsid w:val="006746BC"/>
    <w:rsid w:val="00674A2F"/>
    <w:rsid w:val="00675608"/>
    <w:rsid w:val="006774AD"/>
    <w:rsid w:val="00681805"/>
    <w:rsid w:val="00683000"/>
    <w:rsid w:val="00683A97"/>
    <w:rsid w:val="00684F55"/>
    <w:rsid w:val="00686F08"/>
    <w:rsid w:val="006933B3"/>
    <w:rsid w:val="0069347B"/>
    <w:rsid w:val="00694831"/>
    <w:rsid w:val="006974D2"/>
    <w:rsid w:val="00697ADB"/>
    <w:rsid w:val="006A1036"/>
    <w:rsid w:val="006A111F"/>
    <w:rsid w:val="006A1957"/>
    <w:rsid w:val="006A3379"/>
    <w:rsid w:val="006A37F8"/>
    <w:rsid w:val="006A3D59"/>
    <w:rsid w:val="006A43AA"/>
    <w:rsid w:val="006B0C12"/>
    <w:rsid w:val="006B2BDA"/>
    <w:rsid w:val="006B4B2C"/>
    <w:rsid w:val="006B5CCA"/>
    <w:rsid w:val="006C0B7E"/>
    <w:rsid w:val="006C226A"/>
    <w:rsid w:val="006C3686"/>
    <w:rsid w:val="006C3CFE"/>
    <w:rsid w:val="006C7AFD"/>
    <w:rsid w:val="006D1A74"/>
    <w:rsid w:val="006D1FAD"/>
    <w:rsid w:val="006D2333"/>
    <w:rsid w:val="006D3B31"/>
    <w:rsid w:val="006D5E1D"/>
    <w:rsid w:val="006D7AF2"/>
    <w:rsid w:val="006E04CA"/>
    <w:rsid w:val="006E6F33"/>
    <w:rsid w:val="006E73C0"/>
    <w:rsid w:val="006E7506"/>
    <w:rsid w:val="006F1700"/>
    <w:rsid w:val="006F1A8A"/>
    <w:rsid w:val="006F5974"/>
    <w:rsid w:val="006F6087"/>
    <w:rsid w:val="006F62CD"/>
    <w:rsid w:val="00700CB6"/>
    <w:rsid w:val="00700D9C"/>
    <w:rsid w:val="00701378"/>
    <w:rsid w:val="00705DD0"/>
    <w:rsid w:val="00706DD9"/>
    <w:rsid w:val="00710B03"/>
    <w:rsid w:val="0071426B"/>
    <w:rsid w:val="00714839"/>
    <w:rsid w:val="0071581E"/>
    <w:rsid w:val="00716290"/>
    <w:rsid w:val="00717D1D"/>
    <w:rsid w:val="00722352"/>
    <w:rsid w:val="00722809"/>
    <w:rsid w:val="00723AB3"/>
    <w:rsid w:val="00727CD3"/>
    <w:rsid w:val="00730AC6"/>
    <w:rsid w:val="007345EF"/>
    <w:rsid w:val="0073683D"/>
    <w:rsid w:val="00743D7B"/>
    <w:rsid w:val="00747FB9"/>
    <w:rsid w:val="00750B96"/>
    <w:rsid w:val="00754D98"/>
    <w:rsid w:val="00756713"/>
    <w:rsid w:val="00756AAC"/>
    <w:rsid w:val="007605FF"/>
    <w:rsid w:val="007616B3"/>
    <w:rsid w:val="00765D4C"/>
    <w:rsid w:val="0077325A"/>
    <w:rsid w:val="007769DE"/>
    <w:rsid w:val="00776F8A"/>
    <w:rsid w:val="00777142"/>
    <w:rsid w:val="00777BBF"/>
    <w:rsid w:val="007809C6"/>
    <w:rsid w:val="00780D55"/>
    <w:rsid w:val="00782752"/>
    <w:rsid w:val="00783DAC"/>
    <w:rsid w:val="0078424D"/>
    <w:rsid w:val="0078771D"/>
    <w:rsid w:val="007877B5"/>
    <w:rsid w:val="007917BD"/>
    <w:rsid w:val="0079326B"/>
    <w:rsid w:val="00793DA7"/>
    <w:rsid w:val="00797351"/>
    <w:rsid w:val="0079790C"/>
    <w:rsid w:val="007A0AE9"/>
    <w:rsid w:val="007A1E75"/>
    <w:rsid w:val="007A5B42"/>
    <w:rsid w:val="007A5BC2"/>
    <w:rsid w:val="007A6DE8"/>
    <w:rsid w:val="007A6FCB"/>
    <w:rsid w:val="007B0F45"/>
    <w:rsid w:val="007B4925"/>
    <w:rsid w:val="007B51AD"/>
    <w:rsid w:val="007B66EF"/>
    <w:rsid w:val="007B6B02"/>
    <w:rsid w:val="007C04FE"/>
    <w:rsid w:val="007C27AA"/>
    <w:rsid w:val="007C3198"/>
    <w:rsid w:val="007C5A6D"/>
    <w:rsid w:val="007C7558"/>
    <w:rsid w:val="007D01F6"/>
    <w:rsid w:val="007D079A"/>
    <w:rsid w:val="007D17FD"/>
    <w:rsid w:val="007D3BBE"/>
    <w:rsid w:val="007D4D58"/>
    <w:rsid w:val="007D7C0F"/>
    <w:rsid w:val="007E2427"/>
    <w:rsid w:val="007E2828"/>
    <w:rsid w:val="007E3366"/>
    <w:rsid w:val="007E4A4F"/>
    <w:rsid w:val="007F1395"/>
    <w:rsid w:val="007F5281"/>
    <w:rsid w:val="007F55B3"/>
    <w:rsid w:val="007F69B3"/>
    <w:rsid w:val="007F7295"/>
    <w:rsid w:val="007F7410"/>
    <w:rsid w:val="008000D3"/>
    <w:rsid w:val="00800E27"/>
    <w:rsid w:val="00801896"/>
    <w:rsid w:val="00803240"/>
    <w:rsid w:val="00804BED"/>
    <w:rsid w:val="008059E5"/>
    <w:rsid w:val="00805FA5"/>
    <w:rsid w:val="008060C8"/>
    <w:rsid w:val="00807152"/>
    <w:rsid w:val="00807D67"/>
    <w:rsid w:val="00812450"/>
    <w:rsid w:val="00813BA5"/>
    <w:rsid w:val="00814795"/>
    <w:rsid w:val="00814911"/>
    <w:rsid w:val="0081497C"/>
    <w:rsid w:val="00814F5C"/>
    <w:rsid w:val="00815921"/>
    <w:rsid w:val="008163C2"/>
    <w:rsid w:val="00816AF8"/>
    <w:rsid w:val="00817C4F"/>
    <w:rsid w:val="00821AB4"/>
    <w:rsid w:val="00823351"/>
    <w:rsid w:val="00824607"/>
    <w:rsid w:val="008256F2"/>
    <w:rsid w:val="008257ED"/>
    <w:rsid w:val="00826D8F"/>
    <w:rsid w:val="00830485"/>
    <w:rsid w:val="00830A05"/>
    <w:rsid w:val="008317CE"/>
    <w:rsid w:val="00833339"/>
    <w:rsid w:val="008338CC"/>
    <w:rsid w:val="0083505A"/>
    <w:rsid w:val="00835174"/>
    <w:rsid w:val="00837E3F"/>
    <w:rsid w:val="00845D70"/>
    <w:rsid w:val="008460B3"/>
    <w:rsid w:val="00852F43"/>
    <w:rsid w:val="00852FC8"/>
    <w:rsid w:val="008608C8"/>
    <w:rsid w:val="0086383B"/>
    <w:rsid w:val="0086389A"/>
    <w:rsid w:val="00863FDC"/>
    <w:rsid w:val="0086756A"/>
    <w:rsid w:val="00871A07"/>
    <w:rsid w:val="00871D33"/>
    <w:rsid w:val="00872B6D"/>
    <w:rsid w:val="00873F98"/>
    <w:rsid w:val="008745CF"/>
    <w:rsid w:val="00875995"/>
    <w:rsid w:val="008770D2"/>
    <w:rsid w:val="008770EF"/>
    <w:rsid w:val="008850A5"/>
    <w:rsid w:val="00892B55"/>
    <w:rsid w:val="00893256"/>
    <w:rsid w:val="00893F67"/>
    <w:rsid w:val="00894EBE"/>
    <w:rsid w:val="00896433"/>
    <w:rsid w:val="00897D48"/>
    <w:rsid w:val="008A1A5A"/>
    <w:rsid w:val="008A1E4C"/>
    <w:rsid w:val="008A3444"/>
    <w:rsid w:val="008A3BB1"/>
    <w:rsid w:val="008A3F3F"/>
    <w:rsid w:val="008A47C8"/>
    <w:rsid w:val="008B0417"/>
    <w:rsid w:val="008B0CB1"/>
    <w:rsid w:val="008B33F5"/>
    <w:rsid w:val="008C302B"/>
    <w:rsid w:val="008D0AC3"/>
    <w:rsid w:val="008D0E76"/>
    <w:rsid w:val="008E10D8"/>
    <w:rsid w:val="008E13DA"/>
    <w:rsid w:val="008E2F99"/>
    <w:rsid w:val="008E4144"/>
    <w:rsid w:val="008E4B06"/>
    <w:rsid w:val="008E52AD"/>
    <w:rsid w:val="008E6E57"/>
    <w:rsid w:val="008E71CF"/>
    <w:rsid w:val="008F47C6"/>
    <w:rsid w:val="008F6C2F"/>
    <w:rsid w:val="008F7EC7"/>
    <w:rsid w:val="009000A5"/>
    <w:rsid w:val="0090010D"/>
    <w:rsid w:val="00900646"/>
    <w:rsid w:val="0090312B"/>
    <w:rsid w:val="009044AC"/>
    <w:rsid w:val="00906995"/>
    <w:rsid w:val="00907338"/>
    <w:rsid w:val="00911AFD"/>
    <w:rsid w:val="00911E16"/>
    <w:rsid w:val="00912293"/>
    <w:rsid w:val="009128AE"/>
    <w:rsid w:val="00912DAE"/>
    <w:rsid w:val="00913491"/>
    <w:rsid w:val="009155A3"/>
    <w:rsid w:val="00915CF0"/>
    <w:rsid w:val="00916336"/>
    <w:rsid w:val="009168C2"/>
    <w:rsid w:val="0092186A"/>
    <w:rsid w:val="009229EB"/>
    <w:rsid w:val="00925C0B"/>
    <w:rsid w:val="009261BA"/>
    <w:rsid w:val="00926532"/>
    <w:rsid w:val="00930A52"/>
    <w:rsid w:val="00931225"/>
    <w:rsid w:val="00934019"/>
    <w:rsid w:val="009342EF"/>
    <w:rsid w:val="00935302"/>
    <w:rsid w:val="00941225"/>
    <w:rsid w:val="00943BCD"/>
    <w:rsid w:val="0094517D"/>
    <w:rsid w:val="00945439"/>
    <w:rsid w:val="0094552B"/>
    <w:rsid w:val="009462B2"/>
    <w:rsid w:val="009465CB"/>
    <w:rsid w:val="00951CB4"/>
    <w:rsid w:val="00952646"/>
    <w:rsid w:val="00952B80"/>
    <w:rsid w:val="00952C0B"/>
    <w:rsid w:val="009530E8"/>
    <w:rsid w:val="009533FF"/>
    <w:rsid w:val="00953D40"/>
    <w:rsid w:val="00954006"/>
    <w:rsid w:val="0095557C"/>
    <w:rsid w:val="00956224"/>
    <w:rsid w:val="00957087"/>
    <w:rsid w:val="009574CA"/>
    <w:rsid w:val="0096276E"/>
    <w:rsid w:val="00964BD2"/>
    <w:rsid w:val="009723E4"/>
    <w:rsid w:val="00973BA5"/>
    <w:rsid w:val="009741E1"/>
    <w:rsid w:val="00974ADF"/>
    <w:rsid w:val="00974F4F"/>
    <w:rsid w:val="00974F5B"/>
    <w:rsid w:val="00975848"/>
    <w:rsid w:val="00975F81"/>
    <w:rsid w:val="00976053"/>
    <w:rsid w:val="00976949"/>
    <w:rsid w:val="00976FC7"/>
    <w:rsid w:val="00981A72"/>
    <w:rsid w:val="00991095"/>
    <w:rsid w:val="00992DC8"/>
    <w:rsid w:val="00992EA9"/>
    <w:rsid w:val="009961BD"/>
    <w:rsid w:val="0099651F"/>
    <w:rsid w:val="00996D7C"/>
    <w:rsid w:val="009A08D6"/>
    <w:rsid w:val="009A2053"/>
    <w:rsid w:val="009A3F3D"/>
    <w:rsid w:val="009A4A9E"/>
    <w:rsid w:val="009B29AF"/>
    <w:rsid w:val="009B3F81"/>
    <w:rsid w:val="009B4148"/>
    <w:rsid w:val="009B4702"/>
    <w:rsid w:val="009C07C3"/>
    <w:rsid w:val="009C2F21"/>
    <w:rsid w:val="009D1B91"/>
    <w:rsid w:val="009D2CE2"/>
    <w:rsid w:val="009D59CD"/>
    <w:rsid w:val="009D5E89"/>
    <w:rsid w:val="009D712F"/>
    <w:rsid w:val="009D7BB0"/>
    <w:rsid w:val="009D7D46"/>
    <w:rsid w:val="009E25CC"/>
    <w:rsid w:val="009E66A0"/>
    <w:rsid w:val="009E776E"/>
    <w:rsid w:val="009F2643"/>
    <w:rsid w:val="009F2A1C"/>
    <w:rsid w:val="009F3A1E"/>
    <w:rsid w:val="009F41C9"/>
    <w:rsid w:val="009F5C49"/>
    <w:rsid w:val="009F77E6"/>
    <w:rsid w:val="00A003BE"/>
    <w:rsid w:val="00A01236"/>
    <w:rsid w:val="00A02122"/>
    <w:rsid w:val="00A0447C"/>
    <w:rsid w:val="00A04655"/>
    <w:rsid w:val="00A04EEC"/>
    <w:rsid w:val="00A13330"/>
    <w:rsid w:val="00A1342D"/>
    <w:rsid w:val="00A14128"/>
    <w:rsid w:val="00A17DF4"/>
    <w:rsid w:val="00A2088A"/>
    <w:rsid w:val="00A20DFC"/>
    <w:rsid w:val="00A21809"/>
    <w:rsid w:val="00A218A3"/>
    <w:rsid w:val="00A233F9"/>
    <w:rsid w:val="00A23BA8"/>
    <w:rsid w:val="00A245CD"/>
    <w:rsid w:val="00A27491"/>
    <w:rsid w:val="00A27C3E"/>
    <w:rsid w:val="00A30DC0"/>
    <w:rsid w:val="00A3529A"/>
    <w:rsid w:val="00A37194"/>
    <w:rsid w:val="00A37AAB"/>
    <w:rsid w:val="00A4152D"/>
    <w:rsid w:val="00A4178F"/>
    <w:rsid w:val="00A431A1"/>
    <w:rsid w:val="00A438B6"/>
    <w:rsid w:val="00A442DE"/>
    <w:rsid w:val="00A45A34"/>
    <w:rsid w:val="00A45CCA"/>
    <w:rsid w:val="00A46EF3"/>
    <w:rsid w:val="00A47713"/>
    <w:rsid w:val="00A54C4E"/>
    <w:rsid w:val="00A55019"/>
    <w:rsid w:val="00A62E70"/>
    <w:rsid w:val="00A649EE"/>
    <w:rsid w:val="00A80DF2"/>
    <w:rsid w:val="00A81A67"/>
    <w:rsid w:val="00A8281E"/>
    <w:rsid w:val="00A86E1C"/>
    <w:rsid w:val="00A87B35"/>
    <w:rsid w:val="00A944F9"/>
    <w:rsid w:val="00AA389D"/>
    <w:rsid w:val="00AA77D1"/>
    <w:rsid w:val="00AB3ADD"/>
    <w:rsid w:val="00AB5D9A"/>
    <w:rsid w:val="00AB740B"/>
    <w:rsid w:val="00AC0041"/>
    <w:rsid w:val="00AD0183"/>
    <w:rsid w:val="00AD01FC"/>
    <w:rsid w:val="00AD0AC8"/>
    <w:rsid w:val="00AD1B04"/>
    <w:rsid w:val="00AD3462"/>
    <w:rsid w:val="00AD47C5"/>
    <w:rsid w:val="00AD49FA"/>
    <w:rsid w:val="00AD5385"/>
    <w:rsid w:val="00AD5A6E"/>
    <w:rsid w:val="00AD64F0"/>
    <w:rsid w:val="00AD71C8"/>
    <w:rsid w:val="00AD79E3"/>
    <w:rsid w:val="00AE1491"/>
    <w:rsid w:val="00AE24E5"/>
    <w:rsid w:val="00AE25E3"/>
    <w:rsid w:val="00AE3CA4"/>
    <w:rsid w:val="00AE3E01"/>
    <w:rsid w:val="00AE5390"/>
    <w:rsid w:val="00AE635A"/>
    <w:rsid w:val="00AF6FA8"/>
    <w:rsid w:val="00AF7139"/>
    <w:rsid w:val="00AF7CA0"/>
    <w:rsid w:val="00B00A13"/>
    <w:rsid w:val="00B07C08"/>
    <w:rsid w:val="00B11C2B"/>
    <w:rsid w:val="00B13F51"/>
    <w:rsid w:val="00B14779"/>
    <w:rsid w:val="00B1492B"/>
    <w:rsid w:val="00B203CE"/>
    <w:rsid w:val="00B2086C"/>
    <w:rsid w:val="00B21169"/>
    <w:rsid w:val="00B21E8C"/>
    <w:rsid w:val="00B228C4"/>
    <w:rsid w:val="00B34514"/>
    <w:rsid w:val="00B351F2"/>
    <w:rsid w:val="00B36DA4"/>
    <w:rsid w:val="00B37226"/>
    <w:rsid w:val="00B40B5F"/>
    <w:rsid w:val="00B40F7F"/>
    <w:rsid w:val="00B462C2"/>
    <w:rsid w:val="00B46ED6"/>
    <w:rsid w:val="00B504F2"/>
    <w:rsid w:val="00B51EC9"/>
    <w:rsid w:val="00B52D7D"/>
    <w:rsid w:val="00B535BB"/>
    <w:rsid w:val="00B5471A"/>
    <w:rsid w:val="00B60136"/>
    <w:rsid w:val="00B60600"/>
    <w:rsid w:val="00B624BB"/>
    <w:rsid w:val="00B625C9"/>
    <w:rsid w:val="00B6334F"/>
    <w:rsid w:val="00B64FD6"/>
    <w:rsid w:val="00B66360"/>
    <w:rsid w:val="00B67E69"/>
    <w:rsid w:val="00B707E4"/>
    <w:rsid w:val="00B70893"/>
    <w:rsid w:val="00B71667"/>
    <w:rsid w:val="00B71FFA"/>
    <w:rsid w:val="00B733BB"/>
    <w:rsid w:val="00B74613"/>
    <w:rsid w:val="00B750E3"/>
    <w:rsid w:val="00B75FFC"/>
    <w:rsid w:val="00B7763B"/>
    <w:rsid w:val="00B80DDB"/>
    <w:rsid w:val="00B81D0B"/>
    <w:rsid w:val="00B82BEC"/>
    <w:rsid w:val="00B8597F"/>
    <w:rsid w:val="00B87DA3"/>
    <w:rsid w:val="00B912B5"/>
    <w:rsid w:val="00B93C5D"/>
    <w:rsid w:val="00B95D8E"/>
    <w:rsid w:val="00B962C8"/>
    <w:rsid w:val="00BA1B04"/>
    <w:rsid w:val="00BA2A8C"/>
    <w:rsid w:val="00BA4BED"/>
    <w:rsid w:val="00BA509D"/>
    <w:rsid w:val="00BA5603"/>
    <w:rsid w:val="00BA6840"/>
    <w:rsid w:val="00BA7A1D"/>
    <w:rsid w:val="00BB0F7B"/>
    <w:rsid w:val="00BB1FC2"/>
    <w:rsid w:val="00BB2E80"/>
    <w:rsid w:val="00BB5331"/>
    <w:rsid w:val="00BC2157"/>
    <w:rsid w:val="00BC30F3"/>
    <w:rsid w:val="00BC3843"/>
    <w:rsid w:val="00BC5D51"/>
    <w:rsid w:val="00BD2747"/>
    <w:rsid w:val="00BD4E31"/>
    <w:rsid w:val="00BD5E45"/>
    <w:rsid w:val="00BD6876"/>
    <w:rsid w:val="00BE07F1"/>
    <w:rsid w:val="00BE0D37"/>
    <w:rsid w:val="00BE11F0"/>
    <w:rsid w:val="00BE6AB6"/>
    <w:rsid w:val="00BF5AC3"/>
    <w:rsid w:val="00BF74D3"/>
    <w:rsid w:val="00C00E07"/>
    <w:rsid w:val="00C051FB"/>
    <w:rsid w:val="00C0740A"/>
    <w:rsid w:val="00C10FD0"/>
    <w:rsid w:val="00C11780"/>
    <w:rsid w:val="00C14101"/>
    <w:rsid w:val="00C16964"/>
    <w:rsid w:val="00C21228"/>
    <w:rsid w:val="00C21E9D"/>
    <w:rsid w:val="00C2230C"/>
    <w:rsid w:val="00C229C0"/>
    <w:rsid w:val="00C25B69"/>
    <w:rsid w:val="00C30381"/>
    <w:rsid w:val="00C3175F"/>
    <w:rsid w:val="00C3295F"/>
    <w:rsid w:val="00C33502"/>
    <w:rsid w:val="00C34730"/>
    <w:rsid w:val="00C347FC"/>
    <w:rsid w:val="00C360C1"/>
    <w:rsid w:val="00C37266"/>
    <w:rsid w:val="00C407E7"/>
    <w:rsid w:val="00C40C66"/>
    <w:rsid w:val="00C43751"/>
    <w:rsid w:val="00C44D55"/>
    <w:rsid w:val="00C45D30"/>
    <w:rsid w:val="00C4612C"/>
    <w:rsid w:val="00C47D22"/>
    <w:rsid w:val="00C5085B"/>
    <w:rsid w:val="00C543F1"/>
    <w:rsid w:val="00C562A2"/>
    <w:rsid w:val="00C56644"/>
    <w:rsid w:val="00C57821"/>
    <w:rsid w:val="00C60645"/>
    <w:rsid w:val="00C62C2F"/>
    <w:rsid w:val="00C6697D"/>
    <w:rsid w:val="00C713E8"/>
    <w:rsid w:val="00C723A5"/>
    <w:rsid w:val="00C72F0A"/>
    <w:rsid w:val="00C7618D"/>
    <w:rsid w:val="00C80707"/>
    <w:rsid w:val="00C83062"/>
    <w:rsid w:val="00C85805"/>
    <w:rsid w:val="00C86322"/>
    <w:rsid w:val="00C93097"/>
    <w:rsid w:val="00C93250"/>
    <w:rsid w:val="00C96F1B"/>
    <w:rsid w:val="00CA46A6"/>
    <w:rsid w:val="00CA4B9E"/>
    <w:rsid w:val="00CA679F"/>
    <w:rsid w:val="00CA6EF9"/>
    <w:rsid w:val="00CA704C"/>
    <w:rsid w:val="00CB4032"/>
    <w:rsid w:val="00CB449B"/>
    <w:rsid w:val="00CB4909"/>
    <w:rsid w:val="00CB4A6A"/>
    <w:rsid w:val="00CB78AE"/>
    <w:rsid w:val="00CC13BA"/>
    <w:rsid w:val="00CC25D4"/>
    <w:rsid w:val="00CC3E3C"/>
    <w:rsid w:val="00CC6DC3"/>
    <w:rsid w:val="00CD11BE"/>
    <w:rsid w:val="00CD2DA4"/>
    <w:rsid w:val="00CD3864"/>
    <w:rsid w:val="00CD574A"/>
    <w:rsid w:val="00CD6410"/>
    <w:rsid w:val="00CE1347"/>
    <w:rsid w:val="00CE15E1"/>
    <w:rsid w:val="00CE4D27"/>
    <w:rsid w:val="00CE7ABC"/>
    <w:rsid w:val="00CF000D"/>
    <w:rsid w:val="00CF0110"/>
    <w:rsid w:val="00D0152D"/>
    <w:rsid w:val="00D02513"/>
    <w:rsid w:val="00D03107"/>
    <w:rsid w:val="00D067F8"/>
    <w:rsid w:val="00D07575"/>
    <w:rsid w:val="00D0780B"/>
    <w:rsid w:val="00D10504"/>
    <w:rsid w:val="00D13E1A"/>
    <w:rsid w:val="00D14505"/>
    <w:rsid w:val="00D14CCC"/>
    <w:rsid w:val="00D159B9"/>
    <w:rsid w:val="00D15AFF"/>
    <w:rsid w:val="00D2085F"/>
    <w:rsid w:val="00D243CE"/>
    <w:rsid w:val="00D308CE"/>
    <w:rsid w:val="00D3201A"/>
    <w:rsid w:val="00D3358C"/>
    <w:rsid w:val="00D337FE"/>
    <w:rsid w:val="00D345EB"/>
    <w:rsid w:val="00D36B7C"/>
    <w:rsid w:val="00D41A5C"/>
    <w:rsid w:val="00D4516B"/>
    <w:rsid w:val="00D46D2E"/>
    <w:rsid w:val="00D4712F"/>
    <w:rsid w:val="00D4721A"/>
    <w:rsid w:val="00D47F64"/>
    <w:rsid w:val="00D50A68"/>
    <w:rsid w:val="00D5120D"/>
    <w:rsid w:val="00D515E2"/>
    <w:rsid w:val="00D53686"/>
    <w:rsid w:val="00D53978"/>
    <w:rsid w:val="00D55A4D"/>
    <w:rsid w:val="00D61771"/>
    <w:rsid w:val="00D63A63"/>
    <w:rsid w:val="00D6508B"/>
    <w:rsid w:val="00D71095"/>
    <w:rsid w:val="00D7209E"/>
    <w:rsid w:val="00D721C9"/>
    <w:rsid w:val="00D72C00"/>
    <w:rsid w:val="00D732B1"/>
    <w:rsid w:val="00D74D8F"/>
    <w:rsid w:val="00D76AE0"/>
    <w:rsid w:val="00D80229"/>
    <w:rsid w:val="00D80F95"/>
    <w:rsid w:val="00D82330"/>
    <w:rsid w:val="00D83F65"/>
    <w:rsid w:val="00D848FE"/>
    <w:rsid w:val="00D85796"/>
    <w:rsid w:val="00D86007"/>
    <w:rsid w:val="00D87A5A"/>
    <w:rsid w:val="00D87B4A"/>
    <w:rsid w:val="00D90299"/>
    <w:rsid w:val="00D907F2"/>
    <w:rsid w:val="00D90970"/>
    <w:rsid w:val="00D91F75"/>
    <w:rsid w:val="00D93D25"/>
    <w:rsid w:val="00D945AE"/>
    <w:rsid w:val="00D958BF"/>
    <w:rsid w:val="00DA08CA"/>
    <w:rsid w:val="00DA20EF"/>
    <w:rsid w:val="00DA322A"/>
    <w:rsid w:val="00DA34C3"/>
    <w:rsid w:val="00DA3892"/>
    <w:rsid w:val="00DA6257"/>
    <w:rsid w:val="00DA6871"/>
    <w:rsid w:val="00DA6F30"/>
    <w:rsid w:val="00DB2193"/>
    <w:rsid w:val="00DB2FC2"/>
    <w:rsid w:val="00DB3130"/>
    <w:rsid w:val="00DB56C9"/>
    <w:rsid w:val="00DB7D24"/>
    <w:rsid w:val="00DC10FF"/>
    <w:rsid w:val="00DC3352"/>
    <w:rsid w:val="00DC44D1"/>
    <w:rsid w:val="00DC5445"/>
    <w:rsid w:val="00DC58E8"/>
    <w:rsid w:val="00DD1544"/>
    <w:rsid w:val="00DD26B7"/>
    <w:rsid w:val="00DD3ED2"/>
    <w:rsid w:val="00DD5420"/>
    <w:rsid w:val="00DD7B69"/>
    <w:rsid w:val="00DE2D8C"/>
    <w:rsid w:val="00DE3047"/>
    <w:rsid w:val="00DE6923"/>
    <w:rsid w:val="00DF11E7"/>
    <w:rsid w:val="00DF4BE1"/>
    <w:rsid w:val="00DF5C3A"/>
    <w:rsid w:val="00DF7B79"/>
    <w:rsid w:val="00DF7BFF"/>
    <w:rsid w:val="00E035AA"/>
    <w:rsid w:val="00E105AB"/>
    <w:rsid w:val="00E10F6B"/>
    <w:rsid w:val="00E11697"/>
    <w:rsid w:val="00E12220"/>
    <w:rsid w:val="00E1290C"/>
    <w:rsid w:val="00E1557E"/>
    <w:rsid w:val="00E15A55"/>
    <w:rsid w:val="00E15F3F"/>
    <w:rsid w:val="00E161D3"/>
    <w:rsid w:val="00E2364D"/>
    <w:rsid w:val="00E25A25"/>
    <w:rsid w:val="00E25A75"/>
    <w:rsid w:val="00E26225"/>
    <w:rsid w:val="00E26BB8"/>
    <w:rsid w:val="00E308B7"/>
    <w:rsid w:val="00E31BBC"/>
    <w:rsid w:val="00E32318"/>
    <w:rsid w:val="00E3326E"/>
    <w:rsid w:val="00E34C48"/>
    <w:rsid w:val="00E409ED"/>
    <w:rsid w:val="00E40F8C"/>
    <w:rsid w:val="00E43395"/>
    <w:rsid w:val="00E4595A"/>
    <w:rsid w:val="00E460C8"/>
    <w:rsid w:val="00E4681C"/>
    <w:rsid w:val="00E46F15"/>
    <w:rsid w:val="00E47523"/>
    <w:rsid w:val="00E507D2"/>
    <w:rsid w:val="00E52373"/>
    <w:rsid w:val="00E53F8F"/>
    <w:rsid w:val="00E54C81"/>
    <w:rsid w:val="00E5607A"/>
    <w:rsid w:val="00E64585"/>
    <w:rsid w:val="00E65D1F"/>
    <w:rsid w:val="00E66608"/>
    <w:rsid w:val="00E676A1"/>
    <w:rsid w:val="00E7740E"/>
    <w:rsid w:val="00E8462B"/>
    <w:rsid w:val="00E85F16"/>
    <w:rsid w:val="00E929DF"/>
    <w:rsid w:val="00E93489"/>
    <w:rsid w:val="00E93CAA"/>
    <w:rsid w:val="00E93DE0"/>
    <w:rsid w:val="00E94E1E"/>
    <w:rsid w:val="00E97540"/>
    <w:rsid w:val="00E97E78"/>
    <w:rsid w:val="00EA2F97"/>
    <w:rsid w:val="00EA3948"/>
    <w:rsid w:val="00EA5F78"/>
    <w:rsid w:val="00EB1798"/>
    <w:rsid w:val="00EB2776"/>
    <w:rsid w:val="00EB3404"/>
    <w:rsid w:val="00EB3D2A"/>
    <w:rsid w:val="00EB42C5"/>
    <w:rsid w:val="00EB4B18"/>
    <w:rsid w:val="00EB590B"/>
    <w:rsid w:val="00EB5CD0"/>
    <w:rsid w:val="00EC1788"/>
    <w:rsid w:val="00EC1A2A"/>
    <w:rsid w:val="00EC638B"/>
    <w:rsid w:val="00EC7937"/>
    <w:rsid w:val="00ED4285"/>
    <w:rsid w:val="00ED669D"/>
    <w:rsid w:val="00ED6FFF"/>
    <w:rsid w:val="00EE36EF"/>
    <w:rsid w:val="00EE55E8"/>
    <w:rsid w:val="00EF1134"/>
    <w:rsid w:val="00EF2B32"/>
    <w:rsid w:val="00EF6825"/>
    <w:rsid w:val="00EF72B8"/>
    <w:rsid w:val="00F03E10"/>
    <w:rsid w:val="00F06311"/>
    <w:rsid w:val="00F065C5"/>
    <w:rsid w:val="00F06B27"/>
    <w:rsid w:val="00F10BA4"/>
    <w:rsid w:val="00F11D1B"/>
    <w:rsid w:val="00F12F37"/>
    <w:rsid w:val="00F1489A"/>
    <w:rsid w:val="00F17C07"/>
    <w:rsid w:val="00F17F83"/>
    <w:rsid w:val="00F20AB2"/>
    <w:rsid w:val="00F20FE7"/>
    <w:rsid w:val="00F23769"/>
    <w:rsid w:val="00F239A6"/>
    <w:rsid w:val="00F26040"/>
    <w:rsid w:val="00F2789D"/>
    <w:rsid w:val="00F3253F"/>
    <w:rsid w:val="00F328CD"/>
    <w:rsid w:val="00F342CF"/>
    <w:rsid w:val="00F40770"/>
    <w:rsid w:val="00F42A8E"/>
    <w:rsid w:val="00F437E4"/>
    <w:rsid w:val="00F46091"/>
    <w:rsid w:val="00F462EE"/>
    <w:rsid w:val="00F466A8"/>
    <w:rsid w:val="00F47BBE"/>
    <w:rsid w:val="00F510D0"/>
    <w:rsid w:val="00F53B2A"/>
    <w:rsid w:val="00F53CB0"/>
    <w:rsid w:val="00F57042"/>
    <w:rsid w:val="00F606F0"/>
    <w:rsid w:val="00F60EE0"/>
    <w:rsid w:val="00F678FB"/>
    <w:rsid w:val="00F715E5"/>
    <w:rsid w:val="00F71866"/>
    <w:rsid w:val="00F8305E"/>
    <w:rsid w:val="00F8417A"/>
    <w:rsid w:val="00F9142F"/>
    <w:rsid w:val="00F92392"/>
    <w:rsid w:val="00F94ABF"/>
    <w:rsid w:val="00F95933"/>
    <w:rsid w:val="00F95E18"/>
    <w:rsid w:val="00F96021"/>
    <w:rsid w:val="00F96382"/>
    <w:rsid w:val="00F96FE2"/>
    <w:rsid w:val="00FA4A57"/>
    <w:rsid w:val="00FA55E6"/>
    <w:rsid w:val="00FA6E29"/>
    <w:rsid w:val="00FB23C0"/>
    <w:rsid w:val="00FB37A5"/>
    <w:rsid w:val="00FB3A61"/>
    <w:rsid w:val="00FB4E21"/>
    <w:rsid w:val="00FB66E5"/>
    <w:rsid w:val="00FB6B0B"/>
    <w:rsid w:val="00FB7EAE"/>
    <w:rsid w:val="00FC4980"/>
    <w:rsid w:val="00FC723E"/>
    <w:rsid w:val="00FE0894"/>
    <w:rsid w:val="00FE2495"/>
    <w:rsid w:val="00FE67D9"/>
    <w:rsid w:val="00FF09B7"/>
    <w:rsid w:val="00FF2EE7"/>
    <w:rsid w:val="00FF307B"/>
    <w:rsid w:val="00FF4B83"/>
    <w:rsid w:val="01227AF5"/>
    <w:rsid w:val="012D57E2"/>
    <w:rsid w:val="013E648E"/>
    <w:rsid w:val="019273B6"/>
    <w:rsid w:val="01A07BBA"/>
    <w:rsid w:val="01DA7789"/>
    <w:rsid w:val="02D84414"/>
    <w:rsid w:val="030543A7"/>
    <w:rsid w:val="03393D20"/>
    <w:rsid w:val="0359140E"/>
    <w:rsid w:val="03965F6F"/>
    <w:rsid w:val="039D18E6"/>
    <w:rsid w:val="05060833"/>
    <w:rsid w:val="051536FE"/>
    <w:rsid w:val="05176DE6"/>
    <w:rsid w:val="051C0CE2"/>
    <w:rsid w:val="05EF03F3"/>
    <w:rsid w:val="05F064E3"/>
    <w:rsid w:val="06413050"/>
    <w:rsid w:val="068D34CF"/>
    <w:rsid w:val="06C867AC"/>
    <w:rsid w:val="073E518E"/>
    <w:rsid w:val="07520A7F"/>
    <w:rsid w:val="0764271A"/>
    <w:rsid w:val="07701CB5"/>
    <w:rsid w:val="079A3409"/>
    <w:rsid w:val="07C4574A"/>
    <w:rsid w:val="083E7B03"/>
    <w:rsid w:val="084602A2"/>
    <w:rsid w:val="08501C88"/>
    <w:rsid w:val="089761D3"/>
    <w:rsid w:val="08AA03A3"/>
    <w:rsid w:val="08DE0647"/>
    <w:rsid w:val="08E0389B"/>
    <w:rsid w:val="08EA34D4"/>
    <w:rsid w:val="090960A0"/>
    <w:rsid w:val="09223B32"/>
    <w:rsid w:val="094758C6"/>
    <w:rsid w:val="096C0084"/>
    <w:rsid w:val="0976369F"/>
    <w:rsid w:val="09EB63D4"/>
    <w:rsid w:val="0A0003AB"/>
    <w:rsid w:val="0A915D2D"/>
    <w:rsid w:val="0AA572D2"/>
    <w:rsid w:val="0ABE63AC"/>
    <w:rsid w:val="0AE71698"/>
    <w:rsid w:val="0B297EB5"/>
    <w:rsid w:val="0B332F59"/>
    <w:rsid w:val="0B5E62B6"/>
    <w:rsid w:val="0B8F3E51"/>
    <w:rsid w:val="0BA75CF2"/>
    <w:rsid w:val="0BBA6759"/>
    <w:rsid w:val="0BFC0B72"/>
    <w:rsid w:val="0C4B7126"/>
    <w:rsid w:val="0CB37910"/>
    <w:rsid w:val="0CCC2EED"/>
    <w:rsid w:val="0CDF4A36"/>
    <w:rsid w:val="0D134683"/>
    <w:rsid w:val="0D6F3FAC"/>
    <w:rsid w:val="0D717891"/>
    <w:rsid w:val="0D925E5E"/>
    <w:rsid w:val="0D9A4851"/>
    <w:rsid w:val="0DB759A5"/>
    <w:rsid w:val="0DD3343C"/>
    <w:rsid w:val="0E0D73F0"/>
    <w:rsid w:val="0E4D7882"/>
    <w:rsid w:val="0E5105C9"/>
    <w:rsid w:val="0E5152D0"/>
    <w:rsid w:val="0E8A76E7"/>
    <w:rsid w:val="0EA1730C"/>
    <w:rsid w:val="0EEA0A05"/>
    <w:rsid w:val="0F2B2E6E"/>
    <w:rsid w:val="0F2C2BCE"/>
    <w:rsid w:val="0F3934F8"/>
    <w:rsid w:val="0F85709C"/>
    <w:rsid w:val="0FE4268B"/>
    <w:rsid w:val="0FF33436"/>
    <w:rsid w:val="0FFA31F7"/>
    <w:rsid w:val="10460CC2"/>
    <w:rsid w:val="104E02CD"/>
    <w:rsid w:val="10632919"/>
    <w:rsid w:val="111B419D"/>
    <w:rsid w:val="112230C5"/>
    <w:rsid w:val="1124702B"/>
    <w:rsid w:val="117A68A7"/>
    <w:rsid w:val="119B31DD"/>
    <w:rsid w:val="11C540EA"/>
    <w:rsid w:val="120E6E2B"/>
    <w:rsid w:val="12145A3A"/>
    <w:rsid w:val="12360E39"/>
    <w:rsid w:val="12CD5E69"/>
    <w:rsid w:val="12F41825"/>
    <w:rsid w:val="13481EAF"/>
    <w:rsid w:val="13542B43"/>
    <w:rsid w:val="137358B9"/>
    <w:rsid w:val="13C03ED5"/>
    <w:rsid w:val="13CC1D73"/>
    <w:rsid w:val="14551234"/>
    <w:rsid w:val="149A53D9"/>
    <w:rsid w:val="14FB555F"/>
    <w:rsid w:val="14FB7062"/>
    <w:rsid w:val="14FC3F92"/>
    <w:rsid w:val="150478A2"/>
    <w:rsid w:val="157F67FF"/>
    <w:rsid w:val="15B84CA8"/>
    <w:rsid w:val="15C31CD5"/>
    <w:rsid w:val="15D85F15"/>
    <w:rsid w:val="160F7CA3"/>
    <w:rsid w:val="167B26BB"/>
    <w:rsid w:val="167B3370"/>
    <w:rsid w:val="168C39D5"/>
    <w:rsid w:val="16CD78F7"/>
    <w:rsid w:val="16CE42AA"/>
    <w:rsid w:val="171D4858"/>
    <w:rsid w:val="174E114A"/>
    <w:rsid w:val="1772096B"/>
    <w:rsid w:val="182A1DB2"/>
    <w:rsid w:val="18E018E0"/>
    <w:rsid w:val="18EA5BC0"/>
    <w:rsid w:val="1911333B"/>
    <w:rsid w:val="19133633"/>
    <w:rsid w:val="19452E9F"/>
    <w:rsid w:val="195924A3"/>
    <w:rsid w:val="195A6D12"/>
    <w:rsid w:val="19B03ED7"/>
    <w:rsid w:val="1A0F47AB"/>
    <w:rsid w:val="1A2D39D7"/>
    <w:rsid w:val="1AD302C2"/>
    <w:rsid w:val="1AD62C95"/>
    <w:rsid w:val="1AE26EF8"/>
    <w:rsid w:val="1AED4AA9"/>
    <w:rsid w:val="1AF60A17"/>
    <w:rsid w:val="1B2E2467"/>
    <w:rsid w:val="1B3968A3"/>
    <w:rsid w:val="1B560F8D"/>
    <w:rsid w:val="1B6D3826"/>
    <w:rsid w:val="1B986C00"/>
    <w:rsid w:val="1BE62AD2"/>
    <w:rsid w:val="1C0E6215"/>
    <w:rsid w:val="1C3B0CB3"/>
    <w:rsid w:val="1C491B88"/>
    <w:rsid w:val="1C715113"/>
    <w:rsid w:val="1C9343E4"/>
    <w:rsid w:val="1CBC4662"/>
    <w:rsid w:val="1CFA7117"/>
    <w:rsid w:val="1D0C6137"/>
    <w:rsid w:val="1D9B2E45"/>
    <w:rsid w:val="1DAD243E"/>
    <w:rsid w:val="1DC874C6"/>
    <w:rsid w:val="1DCB5584"/>
    <w:rsid w:val="1E0E0968"/>
    <w:rsid w:val="1E250257"/>
    <w:rsid w:val="1E393EA3"/>
    <w:rsid w:val="1E707F7D"/>
    <w:rsid w:val="1F161646"/>
    <w:rsid w:val="1F610E5A"/>
    <w:rsid w:val="1F6465D4"/>
    <w:rsid w:val="1F973235"/>
    <w:rsid w:val="1FC719FB"/>
    <w:rsid w:val="20924E0D"/>
    <w:rsid w:val="2099170C"/>
    <w:rsid w:val="20FD2F21"/>
    <w:rsid w:val="21470912"/>
    <w:rsid w:val="214B11D0"/>
    <w:rsid w:val="21552A47"/>
    <w:rsid w:val="2162523A"/>
    <w:rsid w:val="21A842C7"/>
    <w:rsid w:val="21EF251F"/>
    <w:rsid w:val="2217457B"/>
    <w:rsid w:val="223C7F9D"/>
    <w:rsid w:val="22BE600E"/>
    <w:rsid w:val="230474F0"/>
    <w:rsid w:val="23050980"/>
    <w:rsid w:val="23536501"/>
    <w:rsid w:val="23D90D3E"/>
    <w:rsid w:val="23DF55EE"/>
    <w:rsid w:val="23E85F1D"/>
    <w:rsid w:val="240C252B"/>
    <w:rsid w:val="248B4057"/>
    <w:rsid w:val="2491699B"/>
    <w:rsid w:val="249C6C10"/>
    <w:rsid w:val="24C641C1"/>
    <w:rsid w:val="24E53415"/>
    <w:rsid w:val="25215429"/>
    <w:rsid w:val="254A443E"/>
    <w:rsid w:val="255B68D6"/>
    <w:rsid w:val="25D074A1"/>
    <w:rsid w:val="260C39AE"/>
    <w:rsid w:val="261A5A10"/>
    <w:rsid w:val="26715643"/>
    <w:rsid w:val="26814131"/>
    <w:rsid w:val="26BB1EFF"/>
    <w:rsid w:val="273264DD"/>
    <w:rsid w:val="277133AB"/>
    <w:rsid w:val="2771446F"/>
    <w:rsid w:val="277F0B0A"/>
    <w:rsid w:val="27882941"/>
    <w:rsid w:val="27C154DE"/>
    <w:rsid w:val="27DD49FB"/>
    <w:rsid w:val="280B2A12"/>
    <w:rsid w:val="286A598B"/>
    <w:rsid w:val="286D29E1"/>
    <w:rsid w:val="28E107A2"/>
    <w:rsid w:val="28FF54A0"/>
    <w:rsid w:val="29424F5D"/>
    <w:rsid w:val="29436B92"/>
    <w:rsid w:val="295D0A84"/>
    <w:rsid w:val="295D5C75"/>
    <w:rsid w:val="29825C36"/>
    <w:rsid w:val="298E1CA7"/>
    <w:rsid w:val="2A0D6C0A"/>
    <w:rsid w:val="2A190627"/>
    <w:rsid w:val="2A4C44DC"/>
    <w:rsid w:val="2A7B2AC1"/>
    <w:rsid w:val="2AAC548F"/>
    <w:rsid w:val="2AF0321F"/>
    <w:rsid w:val="2B5C3942"/>
    <w:rsid w:val="2BD200F8"/>
    <w:rsid w:val="2BF9180D"/>
    <w:rsid w:val="2BFC7810"/>
    <w:rsid w:val="2C5A7B6E"/>
    <w:rsid w:val="2D32613C"/>
    <w:rsid w:val="2D4F33A1"/>
    <w:rsid w:val="2DAB037A"/>
    <w:rsid w:val="2DAE12FF"/>
    <w:rsid w:val="2DB00085"/>
    <w:rsid w:val="2DB0566B"/>
    <w:rsid w:val="2DB53ADC"/>
    <w:rsid w:val="2DD83397"/>
    <w:rsid w:val="2E233A99"/>
    <w:rsid w:val="2F5926C2"/>
    <w:rsid w:val="2F8A6913"/>
    <w:rsid w:val="2F9423AE"/>
    <w:rsid w:val="2FBE6AE0"/>
    <w:rsid w:val="2FCF72C5"/>
    <w:rsid w:val="2FEA140B"/>
    <w:rsid w:val="304C7B53"/>
    <w:rsid w:val="305502D9"/>
    <w:rsid w:val="308E16EB"/>
    <w:rsid w:val="30B060A1"/>
    <w:rsid w:val="30CE471F"/>
    <w:rsid w:val="30EE77F1"/>
    <w:rsid w:val="31534978"/>
    <w:rsid w:val="315464B1"/>
    <w:rsid w:val="31560EAE"/>
    <w:rsid w:val="319461C2"/>
    <w:rsid w:val="31A22367"/>
    <w:rsid w:val="31A50EFF"/>
    <w:rsid w:val="31B86123"/>
    <w:rsid w:val="31CB6C28"/>
    <w:rsid w:val="320220AC"/>
    <w:rsid w:val="323548B8"/>
    <w:rsid w:val="323C78AD"/>
    <w:rsid w:val="327D5882"/>
    <w:rsid w:val="32A90D93"/>
    <w:rsid w:val="333F30EA"/>
    <w:rsid w:val="33631954"/>
    <w:rsid w:val="33E425A5"/>
    <w:rsid w:val="34410FEA"/>
    <w:rsid w:val="34616693"/>
    <w:rsid w:val="34763909"/>
    <w:rsid w:val="347F1AEB"/>
    <w:rsid w:val="34A475C6"/>
    <w:rsid w:val="34B7500A"/>
    <w:rsid w:val="352A2D27"/>
    <w:rsid w:val="3549591D"/>
    <w:rsid w:val="35AF0E81"/>
    <w:rsid w:val="35CE7777"/>
    <w:rsid w:val="36044F09"/>
    <w:rsid w:val="365651A1"/>
    <w:rsid w:val="36847C8D"/>
    <w:rsid w:val="36E13395"/>
    <w:rsid w:val="36F75E7F"/>
    <w:rsid w:val="36FA7505"/>
    <w:rsid w:val="3725312B"/>
    <w:rsid w:val="37253E8A"/>
    <w:rsid w:val="373E372F"/>
    <w:rsid w:val="3746562F"/>
    <w:rsid w:val="37922724"/>
    <w:rsid w:val="379F6CD3"/>
    <w:rsid w:val="37A159D2"/>
    <w:rsid w:val="37AC0875"/>
    <w:rsid w:val="37BA75AB"/>
    <w:rsid w:val="37C83693"/>
    <w:rsid w:val="37FD2665"/>
    <w:rsid w:val="38111509"/>
    <w:rsid w:val="383D21E1"/>
    <w:rsid w:val="384D7CCF"/>
    <w:rsid w:val="388326A7"/>
    <w:rsid w:val="388A3751"/>
    <w:rsid w:val="388D02D1"/>
    <w:rsid w:val="38BC19A2"/>
    <w:rsid w:val="38C2712E"/>
    <w:rsid w:val="38D2533D"/>
    <w:rsid w:val="38E077F8"/>
    <w:rsid w:val="38E534EE"/>
    <w:rsid w:val="394C12F6"/>
    <w:rsid w:val="399D5494"/>
    <w:rsid w:val="39AE3DE2"/>
    <w:rsid w:val="39B366B6"/>
    <w:rsid w:val="39C077D6"/>
    <w:rsid w:val="39C513E3"/>
    <w:rsid w:val="3A1A2F95"/>
    <w:rsid w:val="3A3E6C77"/>
    <w:rsid w:val="3A8A2E97"/>
    <w:rsid w:val="3B0708C8"/>
    <w:rsid w:val="3B4F1FF4"/>
    <w:rsid w:val="3B714E2B"/>
    <w:rsid w:val="3BC0190D"/>
    <w:rsid w:val="3BCB7E0F"/>
    <w:rsid w:val="3BD2005B"/>
    <w:rsid w:val="3C13152F"/>
    <w:rsid w:val="3C3E2F5F"/>
    <w:rsid w:val="3C464D4A"/>
    <w:rsid w:val="3C4E7FAF"/>
    <w:rsid w:val="3C830972"/>
    <w:rsid w:val="3C954311"/>
    <w:rsid w:val="3CA00003"/>
    <w:rsid w:val="3CA51DE8"/>
    <w:rsid w:val="3CBE1236"/>
    <w:rsid w:val="3CDC01E8"/>
    <w:rsid w:val="3D037D04"/>
    <w:rsid w:val="3D583BAC"/>
    <w:rsid w:val="3D894892"/>
    <w:rsid w:val="3DAE000B"/>
    <w:rsid w:val="3DEA6CAD"/>
    <w:rsid w:val="3E025A4C"/>
    <w:rsid w:val="3E29379B"/>
    <w:rsid w:val="3E3C762D"/>
    <w:rsid w:val="3E7336B7"/>
    <w:rsid w:val="3EC80C8D"/>
    <w:rsid w:val="3EE2143A"/>
    <w:rsid w:val="3EE62FDE"/>
    <w:rsid w:val="3F520BF1"/>
    <w:rsid w:val="3FCA4DEA"/>
    <w:rsid w:val="3FD9515F"/>
    <w:rsid w:val="3FFC5807"/>
    <w:rsid w:val="4000420D"/>
    <w:rsid w:val="400B3092"/>
    <w:rsid w:val="400E0FF1"/>
    <w:rsid w:val="40183AC7"/>
    <w:rsid w:val="406A16BE"/>
    <w:rsid w:val="40CB196D"/>
    <w:rsid w:val="40E12601"/>
    <w:rsid w:val="40EC52C5"/>
    <w:rsid w:val="41477705"/>
    <w:rsid w:val="4154383A"/>
    <w:rsid w:val="41A0352A"/>
    <w:rsid w:val="41AA4248"/>
    <w:rsid w:val="41E975B0"/>
    <w:rsid w:val="4218487C"/>
    <w:rsid w:val="423179A5"/>
    <w:rsid w:val="42537038"/>
    <w:rsid w:val="426A0E03"/>
    <w:rsid w:val="426E780A"/>
    <w:rsid w:val="43AB37AA"/>
    <w:rsid w:val="43B20495"/>
    <w:rsid w:val="4413593C"/>
    <w:rsid w:val="448A5148"/>
    <w:rsid w:val="44F04025"/>
    <w:rsid w:val="452B6409"/>
    <w:rsid w:val="45332246"/>
    <w:rsid w:val="468A220B"/>
    <w:rsid w:val="46C42CA7"/>
    <w:rsid w:val="46C779F3"/>
    <w:rsid w:val="479D2A95"/>
    <w:rsid w:val="47D31F53"/>
    <w:rsid w:val="47ED5751"/>
    <w:rsid w:val="485B1AC3"/>
    <w:rsid w:val="48623E97"/>
    <w:rsid w:val="48C76BF4"/>
    <w:rsid w:val="48C9597A"/>
    <w:rsid w:val="48DD35B1"/>
    <w:rsid w:val="491C574D"/>
    <w:rsid w:val="493417A6"/>
    <w:rsid w:val="49364CAA"/>
    <w:rsid w:val="49912EE1"/>
    <w:rsid w:val="49B9122A"/>
    <w:rsid w:val="49E15AE0"/>
    <w:rsid w:val="49E91B06"/>
    <w:rsid w:val="4A2F2CC3"/>
    <w:rsid w:val="4A9A0DD0"/>
    <w:rsid w:val="4B2C55D8"/>
    <w:rsid w:val="4BBF17A0"/>
    <w:rsid w:val="4BF161A7"/>
    <w:rsid w:val="4BF51130"/>
    <w:rsid w:val="4C184477"/>
    <w:rsid w:val="4C6373E0"/>
    <w:rsid w:val="4C6870EB"/>
    <w:rsid w:val="4C6F31F2"/>
    <w:rsid w:val="4C7E2F03"/>
    <w:rsid w:val="4CC35313"/>
    <w:rsid w:val="4CE0002E"/>
    <w:rsid w:val="4D5F2277"/>
    <w:rsid w:val="4D661D48"/>
    <w:rsid w:val="4D682A44"/>
    <w:rsid w:val="4DBD6015"/>
    <w:rsid w:val="4E326C70"/>
    <w:rsid w:val="4E707833"/>
    <w:rsid w:val="4EBA2DB7"/>
    <w:rsid w:val="4ECB4089"/>
    <w:rsid w:val="4ECE6766"/>
    <w:rsid w:val="4EF10EED"/>
    <w:rsid w:val="4F14546E"/>
    <w:rsid w:val="4F22298A"/>
    <w:rsid w:val="4F374AF6"/>
    <w:rsid w:val="4F391107"/>
    <w:rsid w:val="4F78249E"/>
    <w:rsid w:val="4F951E7B"/>
    <w:rsid w:val="4FBE5E67"/>
    <w:rsid w:val="4FC50CEB"/>
    <w:rsid w:val="4FC96F09"/>
    <w:rsid w:val="505B24E3"/>
    <w:rsid w:val="505C355C"/>
    <w:rsid w:val="50795316"/>
    <w:rsid w:val="50F129D7"/>
    <w:rsid w:val="51D5726D"/>
    <w:rsid w:val="51DF5EE2"/>
    <w:rsid w:val="521A11BF"/>
    <w:rsid w:val="526B091D"/>
    <w:rsid w:val="527706FC"/>
    <w:rsid w:val="52D22821"/>
    <w:rsid w:val="532652B1"/>
    <w:rsid w:val="53CE4770"/>
    <w:rsid w:val="542B31EF"/>
    <w:rsid w:val="547C15AD"/>
    <w:rsid w:val="54AC5365"/>
    <w:rsid w:val="54AF247D"/>
    <w:rsid w:val="54E746D5"/>
    <w:rsid w:val="54FB51A6"/>
    <w:rsid w:val="55886BA1"/>
    <w:rsid w:val="55A86665"/>
    <w:rsid w:val="55E27875"/>
    <w:rsid w:val="55F66C61"/>
    <w:rsid w:val="561A6383"/>
    <w:rsid w:val="565A5D3C"/>
    <w:rsid w:val="566C3E09"/>
    <w:rsid w:val="568C1D69"/>
    <w:rsid w:val="568F1894"/>
    <w:rsid w:val="5691096B"/>
    <w:rsid w:val="56B64DD1"/>
    <w:rsid w:val="56F25975"/>
    <w:rsid w:val="570E2D73"/>
    <w:rsid w:val="57771B20"/>
    <w:rsid w:val="57781F8B"/>
    <w:rsid w:val="579C6348"/>
    <w:rsid w:val="57AF6667"/>
    <w:rsid w:val="57C20A7D"/>
    <w:rsid w:val="581F1CB8"/>
    <w:rsid w:val="583F0D0C"/>
    <w:rsid w:val="58550217"/>
    <w:rsid w:val="58626D3F"/>
    <w:rsid w:val="588A274D"/>
    <w:rsid w:val="58A00321"/>
    <w:rsid w:val="58C22C80"/>
    <w:rsid w:val="59216E2A"/>
    <w:rsid w:val="59493C12"/>
    <w:rsid w:val="59573A43"/>
    <w:rsid w:val="597132A4"/>
    <w:rsid w:val="598E24D0"/>
    <w:rsid w:val="59E8398F"/>
    <w:rsid w:val="59FA7322"/>
    <w:rsid w:val="5A0B52CC"/>
    <w:rsid w:val="5A3E1685"/>
    <w:rsid w:val="5A650D5A"/>
    <w:rsid w:val="5A6C6166"/>
    <w:rsid w:val="5A716062"/>
    <w:rsid w:val="5A841ECF"/>
    <w:rsid w:val="5A8470EA"/>
    <w:rsid w:val="5A8A37E2"/>
    <w:rsid w:val="5A9A1599"/>
    <w:rsid w:val="5AA70DCF"/>
    <w:rsid w:val="5AAC27D3"/>
    <w:rsid w:val="5ACD39D4"/>
    <w:rsid w:val="5AD44891"/>
    <w:rsid w:val="5B7C6858"/>
    <w:rsid w:val="5B9B11CA"/>
    <w:rsid w:val="5C250EB2"/>
    <w:rsid w:val="5C454112"/>
    <w:rsid w:val="5C86202D"/>
    <w:rsid w:val="5C9D73D6"/>
    <w:rsid w:val="5D371BCD"/>
    <w:rsid w:val="5D385380"/>
    <w:rsid w:val="5D3A2E77"/>
    <w:rsid w:val="5D633707"/>
    <w:rsid w:val="5D861DC7"/>
    <w:rsid w:val="5D9D5DF9"/>
    <w:rsid w:val="5DB76275"/>
    <w:rsid w:val="5DBA1D08"/>
    <w:rsid w:val="5DEB2C25"/>
    <w:rsid w:val="5DF5717E"/>
    <w:rsid w:val="5E1F5FB4"/>
    <w:rsid w:val="5E226FB2"/>
    <w:rsid w:val="5EAF5741"/>
    <w:rsid w:val="5ED602A4"/>
    <w:rsid w:val="5F432E56"/>
    <w:rsid w:val="5F63266F"/>
    <w:rsid w:val="5F964E5F"/>
    <w:rsid w:val="5FE625F7"/>
    <w:rsid w:val="612E65B7"/>
    <w:rsid w:val="61875D7D"/>
    <w:rsid w:val="61E76726"/>
    <w:rsid w:val="62381ECF"/>
    <w:rsid w:val="62436329"/>
    <w:rsid w:val="62454317"/>
    <w:rsid w:val="626207F5"/>
    <w:rsid w:val="629A41D2"/>
    <w:rsid w:val="62D068AA"/>
    <w:rsid w:val="62E60BEB"/>
    <w:rsid w:val="62F44EBC"/>
    <w:rsid w:val="63205730"/>
    <w:rsid w:val="634426F3"/>
    <w:rsid w:val="63D00091"/>
    <w:rsid w:val="63D7745D"/>
    <w:rsid w:val="63D8165B"/>
    <w:rsid w:val="64067A9C"/>
    <w:rsid w:val="640D628A"/>
    <w:rsid w:val="64341D07"/>
    <w:rsid w:val="64375D5E"/>
    <w:rsid w:val="644335AF"/>
    <w:rsid w:val="644B199A"/>
    <w:rsid w:val="645E502C"/>
    <w:rsid w:val="64F45B6C"/>
    <w:rsid w:val="656D4F75"/>
    <w:rsid w:val="656E29F6"/>
    <w:rsid w:val="65B23EF2"/>
    <w:rsid w:val="6604096B"/>
    <w:rsid w:val="66C5682B"/>
    <w:rsid w:val="66DF396D"/>
    <w:rsid w:val="67107BA4"/>
    <w:rsid w:val="677862CF"/>
    <w:rsid w:val="67843E57"/>
    <w:rsid w:val="67855EB7"/>
    <w:rsid w:val="67D50CBD"/>
    <w:rsid w:val="68076E37"/>
    <w:rsid w:val="68354C4A"/>
    <w:rsid w:val="683E7FC4"/>
    <w:rsid w:val="68546F36"/>
    <w:rsid w:val="686D205F"/>
    <w:rsid w:val="68B14EF2"/>
    <w:rsid w:val="68F123F5"/>
    <w:rsid w:val="69043BC8"/>
    <w:rsid w:val="698B76F1"/>
    <w:rsid w:val="69DE1E34"/>
    <w:rsid w:val="69E84DCE"/>
    <w:rsid w:val="6A017EF7"/>
    <w:rsid w:val="6A054BBD"/>
    <w:rsid w:val="6A0F1865"/>
    <w:rsid w:val="6A2F775A"/>
    <w:rsid w:val="6A6C53A8"/>
    <w:rsid w:val="6BB47318"/>
    <w:rsid w:val="6BDB3000"/>
    <w:rsid w:val="6C123BA6"/>
    <w:rsid w:val="6C444C2E"/>
    <w:rsid w:val="6C5703CB"/>
    <w:rsid w:val="6C5F3394"/>
    <w:rsid w:val="6CB32CE3"/>
    <w:rsid w:val="6CB63C68"/>
    <w:rsid w:val="6CB82ACD"/>
    <w:rsid w:val="6D170809"/>
    <w:rsid w:val="6D370D3E"/>
    <w:rsid w:val="6D3B74FF"/>
    <w:rsid w:val="6DAB327B"/>
    <w:rsid w:val="6DC05100"/>
    <w:rsid w:val="6DD07C38"/>
    <w:rsid w:val="6E297E13"/>
    <w:rsid w:val="6E460EFB"/>
    <w:rsid w:val="6E5D7F5D"/>
    <w:rsid w:val="6EC72840"/>
    <w:rsid w:val="6EF23743"/>
    <w:rsid w:val="6F563B40"/>
    <w:rsid w:val="6F933DA5"/>
    <w:rsid w:val="6F9B2726"/>
    <w:rsid w:val="6FCE52AB"/>
    <w:rsid w:val="6FDB3510"/>
    <w:rsid w:val="6FE12E9B"/>
    <w:rsid w:val="703D498E"/>
    <w:rsid w:val="70AB0365"/>
    <w:rsid w:val="70AD3868"/>
    <w:rsid w:val="70AF5330"/>
    <w:rsid w:val="71212781"/>
    <w:rsid w:val="71275730"/>
    <w:rsid w:val="71342736"/>
    <w:rsid w:val="719018DC"/>
    <w:rsid w:val="7192487D"/>
    <w:rsid w:val="71DA6F6A"/>
    <w:rsid w:val="72294059"/>
    <w:rsid w:val="728F7281"/>
    <w:rsid w:val="72907369"/>
    <w:rsid w:val="72C40E7A"/>
    <w:rsid w:val="731F13EC"/>
    <w:rsid w:val="7329179A"/>
    <w:rsid w:val="733C129F"/>
    <w:rsid w:val="73621ACA"/>
    <w:rsid w:val="73B9228F"/>
    <w:rsid w:val="73BB46A3"/>
    <w:rsid w:val="73D92D6F"/>
    <w:rsid w:val="74292932"/>
    <w:rsid w:val="749555DD"/>
    <w:rsid w:val="74D516B9"/>
    <w:rsid w:val="74E143AF"/>
    <w:rsid w:val="74F13B1D"/>
    <w:rsid w:val="74F702A6"/>
    <w:rsid w:val="751C1EBD"/>
    <w:rsid w:val="755B2C17"/>
    <w:rsid w:val="75B4178C"/>
    <w:rsid w:val="75CC031E"/>
    <w:rsid w:val="75CE76D3"/>
    <w:rsid w:val="75E82B1D"/>
    <w:rsid w:val="75EB1CDA"/>
    <w:rsid w:val="75ED5466"/>
    <w:rsid w:val="76615D81"/>
    <w:rsid w:val="7746164E"/>
    <w:rsid w:val="7762556B"/>
    <w:rsid w:val="776E137D"/>
    <w:rsid w:val="777B0693"/>
    <w:rsid w:val="77B937B7"/>
    <w:rsid w:val="77C2468B"/>
    <w:rsid w:val="77F80A37"/>
    <w:rsid w:val="784A7716"/>
    <w:rsid w:val="788D5DC7"/>
    <w:rsid w:val="78AC4F06"/>
    <w:rsid w:val="79263F52"/>
    <w:rsid w:val="797F7E64"/>
    <w:rsid w:val="79986D30"/>
    <w:rsid w:val="79A42E2C"/>
    <w:rsid w:val="79DA711C"/>
    <w:rsid w:val="79F27E98"/>
    <w:rsid w:val="7A296423"/>
    <w:rsid w:val="7A9D6FB6"/>
    <w:rsid w:val="7AAA0AC5"/>
    <w:rsid w:val="7AB80010"/>
    <w:rsid w:val="7B0F3A72"/>
    <w:rsid w:val="7B2745E3"/>
    <w:rsid w:val="7C210437"/>
    <w:rsid w:val="7C496EA8"/>
    <w:rsid w:val="7C8A1CBB"/>
    <w:rsid w:val="7C952974"/>
    <w:rsid w:val="7C9F3284"/>
    <w:rsid w:val="7CEF1130"/>
    <w:rsid w:val="7CF910E4"/>
    <w:rsid w:val="7D4C2895"/>
    <w:rsid w:val="7DE11312"/>
    <w:rsid w:val="7DF0783D"/>
    <w:rsid w:val="7E37429F"/>
    <w:rsid w:val="7E3C3FAA"/>
    <w:rsid w:val="7E695D73"/>
    <w:rsid w:val="7E6E1D39"/>
    <w:rsid w:val="7E722019"/>
    <w:rsid w:val="7E8C3322"/>
    <w:rsid w:val="7E920A49"/>
    <w:rsid w:val="7E967B3C"/>
    <w:rsid w:val="7EED4EB4"/>
    <w:rsid w:val="7F2B57E1"/>
    <w:rsid w:val="7F5F2E08"/>
    <w:rsid w:val="7F684736"/>
    <w:rsid w:val="7F8C4300"/>
    <w:rsid w:val="7FCD56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iPriority="0" w:semiHidden="0" w:name="line number"/>
    <w:lsdException w:qFormat="1" w:unhideWhenUsed="0" w:uiPriority="0" w:semiHidden="0" w:name="page number"/>
    <w:lsdException w:qFormat="1" w:unhideWhenUsed="0" w:uiPriority="0"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宋体" w:cs="Calibri"/>
      <w:color w:val="000000"/>
      <w:kern w:val="2"/>
      <w:sz w:val="21"/>
      <w:szCs w:val="22"/>
      <w:lang w:val="en-US" w:eastAsia="zh-CN" w:bidi="ar-SA"/>
    </w:rPr>
  </w:style>
  <w:style w:type="paragraph" w:styleId="2">
    <w:name w:val="heading 1"/>
    <w:basedOn w:val="1"/>
    <w:next w:val="3"/>
    <w:link w:val="148"/>
    <w:unhideWhenUsed/>
    <w:qFormat/>
    <w:uiPriority w:val="0"/>
    <w:pPr>
      <w:keepNext/>
      <w:keepLines/>
      <w:spacing w:after="550" w:line="265" w:lineRule="auto"/>
      <w:ind w:left="10" w:right="56" w:hanging="10"/>
      <w:jc w:val="center"/>
      <w:outlineLvl w:val="0"/>
    </w:pPr>
    <w:rPr>
      <w:rFonts w:ascii="黑体" w:hAnsi="黑体" w:eastAsia="黑体" w:cs="黑体"/>
      <w:sz w:val="32"/>
    </w:rPr>
  </w:style>
  <w:style w:type="paragraph" w:styleId="3">
    <w:name w:val="heading 2"/>
    <w:basedOn w:val="1"/>
    <w:next w:val="1"/>
    <w:link w:val="149"/>
    <w:unhideWhenUsed/>
    <w:qFormat/>
    <w:uiPriority w:val="0"/>
    <w:pPr>
      <w:keepNext/>
      <w:keepLines/>
      <w:spacing w:after="503" w:line="265" w:lineRule="auto"/>
      <w:ind w:left="10" w:right="56" w:hanging="10"/>
      <w:outlineLvl w:val="1"/>
    </w:pPr>
    <w:rPr>
      <w:rFonts w:ascii="黑体" w:hAnsi="黑体" w:cs="黑体"/>
      <w:sz w:val="32"/>
    </w:rPr>
  </w:style>
  <w:style w:type="paragraph" w:styleId="4">
    <w:name w:val="heading 3"/>
    <w:basedOn w:val="1"/>
    <w:next w:val="1"/>
    <w:link w:val="150"/>
    <w:unhideWhenUsed/>
    <w:qFormat/>
    <w:uiPriority w:val="9"/>
    <w:pPr>
      <w:keepNext/>
      <w:keepLines/>
      <w:spacing w:after="281" w:line="265" w:lineRule="auto"/>
      <w:ind w:left="10" w:right="53" w:hanging="10"/>
      <w:outlineLvl w:val="2"/>
    </w:pPr>
    <w:rPr>
      <w:rFonts w:ascii="黑体" w:hAnsi="黑体" w:cs="黑体"/>
      <w:sz w:val="28"/>
    </w:rPr>
  </w:style>
  <w:style w:type="paragraph" w:styleId="5">
    <w:name w:val="heading 4"/>
    <w:next w:val="1"/>
    <w:link w:val="151"/>
    <w:unhideWhenUsed/>
    <w:qFormat/>
    <w:uiPriority w:val="0"/>
    <w:pPr>
      <w:keepNext/>
      <w:keepLines/>
      <w:spacing w:after="281" w:line="265" w:lineRule="auto"/>
      <w:ind w:left="10" w:right="53" w:hanging="10"/>
      <w:outlineLvl w:val="3"/>
    </w:pPr>
    <w:rPr>
      <w:rFonts w:ascii="黑体" w:hAnsi="黑体" w:eastAsia="黑体" w:cs="黑体"/>
      <w:color w:val="000000"/>
      <w:kern w:val="2"/>
      <w:sz w:val="28"/>
      <w:szCs w:val="22"/>
      <w:lang w:val="en-US" w:eastAsia="zh-CN" w:bidi="ar-SA"/>
    </w:rPr>
  </w:style>
  <w:style w:type="paragraph" w:styleId="6">
    <w:name w:val="heading 5"/>
    <w:next w:val="1"/>
    <w:link w:val="152"/>
    <w:unhideWhenUsed/>
    <w:qFormat/>
    <w:uiPriority w:val="0"/>
    <w:pPr>
      <w:keepNext/>
      <w:keepLines/>
      <w:spacing w:after="281" w:line="265" w:lineRule="auto"/>
      <w:ind w:left="10" w:right="53" w:hanging="10"/>
      <w:outlineLvl w:val="4"/>
    </w:pPr>
    <w:rPr>
      <w:rFonts w:ascii="黑体" w:hAnsi="黑体" w:eastAsia="黑体" w:cs="黑体"/>
      <w:color w:val="000000"/>
      <w:kern w:val="2"/>
      <w:sz w:val="28"/>
      <w:szCs w:val="22"/>
      <w:lang w:val="en-US" w:eastAsia="zh-CN" w:bidi="ar-SA"/>
    </w:rPr>
  </w:style>
  <w:style w:type="paragraph" w:styleId="7">
    <w:name w:val="heading 6"/>
    <w:next w:val="1"/>
    <w:link w:val="153"/>
    <w:unhideWhenUsed/>
    <w:qFormat/>
    <w:uiPriority w:val="0"/>
    <w:pPr>
      <w:keepNext/>
      <w:keepLines/>
      <w:spacing w:after="281" w:line="265" w:lineRule="auto"/>
      <w:ind w:left="10" w:right="53" w:hanging="10"/>
      <w:outlineLvl w:val="5"/>
    </w:pPr>
    <w:rPr>
      <w:rFonts w:ascii="黑体" w:hAnsi="黑体" w:eastAsia="黑体" w:cs="黑体"/>
      <w:color w:val="000000"/>
      <w:kern w:val="2"/>
      <w:sz w:val="28"/>
      <w:szCs w:val="22"/>
      <w:lang w:val="en-US" w:eastAsia="zh-CN" w:bidi="ar-SA"/>
    </w:rPr>
  </w:style>
  <w:style w:type="paragraph" w:styleId="8">
    <w:name w:val="heading 7"/>
    <w:basedOn w:val="1"/>
    <w:next w:val="1"/>
    <w:link w:val="154"/>
    <w:qFormat/>
    <w:uiPriority w:val="0"/>
    <w:pPr>
      <w:keepNext/>
      <w:keepLines/>
      <w:widowControl w:val="0"/>
      <w:tabs>
        <w:tab w:val="left" w:pos="1296"/>
      </w:tabs>
      <w:adjustRightInd w:val="0"/>
      <w:spacing w:before="240" w:after="64" w:line="320" w:lineRule="atLeast"/>
      <w:ind w:left="1296" w:hanging="1296"/>
      <w:jc w:val="both"/>
      <w:textAlignment w:val="baseline"/>
      <w:outlineLvl w:val="6"/>
    </w:pPr>
    <w:rPr>
      <w:rFonts w:ascii="Times New Roman" w:hAnsi="Times New Roman" w:cs="Times New Roman"/>
      <w:b/>
      <w:bCs/>
      <w:color w:val="auto"/>
      <w:kern w:val="0"/>
      <w:sz w:val="24"/>
      <w:szCs w:val="24"/>
    </w:rPr>
  </w:style>
  <w:style w:type="paragraph" w:styleId="9">
    <w:name w:val="heading 8"/>
    <w:basedOn w:val="1"/>
    <w:next w:val="1"/>
    <w:link w:val="155"/>
    <w:qFormat/>
    <w:uiPriority w:val="0"/>
    <w:pPr>
      <w:keepNext/>
      <w:keepLines/>
      <w:widowControl w:val="0"/>
      <w:tabs>
        <w:tab w:val="left" w:pos="1440"/>
      </w:tabs>
      <w:adjustRightInd w:val="0"/>
      <w:spacing w:before="240" w:after="64" w:line="320" w:lineRule="atLeast"/>
      <w:ind w:left="1440" w:hanging="1440"/>
      <w:jc w:val="both"/>
      <w:textAlignment w:val="baseline"/>
      <w:outlineLvl w:val="7"/>
    </w:pPr>
    <w:rPr>
      <w:rFonts w:ascii="Arial" w:hAnsi="Arial" w:eastAsia="黑体" w:cs="Times New Roman"/>
      <w:color w:val="auto"/>
      <w:kern w:val="0"/>
      <w:sz w:val="24"/>
      <w:szCs w:val="24"/>
    </w:rPr>
  </w:style>
  <w:style w:type="paragraph" w:styleId="10">
    <w:name w:val="heading 9"/>
    <w:basedOn w:val="1"/>
    <w:next w:val="1"/>
    <w:link w:val="156"/>
    <w:qFormat/>
    <w:uiPriority w:val="0"/>
    <w:pPr>
      <w:keepNext/>
      <w:keepLines/>
      <w:widowControl w:val="0"/>
      <w:tabs>
        <w:tab w:val="left" w:pos="1584"/>
      </w:tabs>
      <w:adjustRightInd w:val="0"/>
      <w:spacing w:before="240" w:after="64" w:line="320" w:lineRule="atLeast"/>
      <w:ind w:left="1584" w:hanging="1584"/>
      <w:jc w:val="both"/>
      <w:textAlignment w:val="baseline"/>
      <w:outlineLvl w:val="8"/>
    </w:pPr>
    <w:rPr>
      <w:rFonts w:ascii="Arial" w:hAnsi="Arial" w:eastAsia="黑体" w:cs="Times New Roman"/>
      <w:color w:val="auto"/>
      <w:kern w:val="0"/>
      <w:szCs w:val="21"/>
    </w:rPr>
  </w:style>
  <w:style w:type="character" w:default="1" w:styleId="130">
    <w:name w:val="Default Paragraph Font"/>
    <w:unhideWhenUsed/>
    <w:qFormat/>
    <w:uiPriority w:val="1"/>
  </w:style>
  <w:style w:type="table" w:default="1" w:styleId="85">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val="0"/>
      <w:adjustRightInd w:val="0"/>
      <w:snapToGrid w:val="0"/>
      <w:spacing w:after="0" w:line="240" w:lineRule="auto"/>
      <w:ind w:left="1260" w:hanging="420"/>
      <w:jc w:val="both"/>
      <w:textAlignment w:val="baseline"/>
    </w:pPr>
    <w:rPr>
      <w:rFonts w:ascii="Times New Roman" w:hAnsi="Times New Roman" w:cs="Times New Roman"/>
      <w:color w:val="auto"/>
      <w:sz w:val="28"/>
      <w:szCs w:val="20"/>
    </w:rPr>
  </w:style>
  <w:style w:type="paragraph" w:styleId="12">
    <w:name w:val="toc 7"/>
    <w:basedOn w:val="1"/>
    <w:next w:val="1"/>
    <w:qFormat/>
    <w:uiPriority w:val="39"/>
    <w:pPr>
      <w:spacing w:after="0"/>
      <w:ind w:left="1260"/>
    </w:pPr>
    <w:rPr>
      <w:rFonts w:ascii="等线" w:eastAsia="等线"/>
      <w:sz w:val="18"/>
      <w:szCs w:val="18"/>
    </w:rPr>
  </w:style>
  <w:style w:type="paragraph" w:styleId="13">
    <w:name w:val="List Number 2"/>
    <w:basedOn w:val="1"/>
    <w:qFormat/>
    <w:uiPriority w:val="0"/>
    <w:pPr>
      <w:widowControl w:val="0"/>
      <w:numPr>
        <w:ilvl w:val="0"/>
        <w:numId w:val="1"/>
      </w:numPr>
      <w:spacing w:after="0" w:line="240" w:lineRule="auto"/>
      <w:jc w:val="both"/>
    </w:pPr>
    <w:rPr>
      <w:rFonts w:ascii="Times New Roman" w:hAnsi="Times New Roman" w:cs="Times New Roman"/>
      <w:color w:val="auto"/>
      <w:szCs w:val="24"/>
    </w:rPr>
  </w:style>
  <w:style w:type="paragraph" w:styleId="14">
    <w:name w:val="Note Heading"/>
    <w:basedOn w:val="1"/>
    <w:next w:val="1"/>
    <w:link w:val="157"/>
    <w:qFormat/>
    <w:uiPriority w:val="0"/>
    <w:pPr>
      <w:widowControl w:val="0"/>
      <w:spacing w:after="0" w:line="360" w:lineRule="auto"/>
      <w:jc w:val="center"/>
    </w:pPr>
    <w:rPr>
      <w:rFonts w:ascii="Arial" w:hAnsi="Arial" w:cs="Times New Roman"/>
      <w:color w:val="auto"/>
      <w:szCs w:val="24"/>
    </w:rPr>
  </w:style>
  <w:style w:type="paragraph" w:styleId="15">
    <w:name w:val="List Bullet 4"/>
    <w:basedOn w:val="1"/>
    <w:qFormat/>
    <w:uiPriority w:val="0"/>
    <w:pPr>
      <w:widowControl w:val="0"/>
      <w:numPr>
        <w:ilvl w:val="0"/>
        <w:numId w:val="2"/>
      </w:numPr>
      <w:spacing w:before="60" w:after="0" w:line="240" w:lineRule="auto"/>
      <w:ind w:right="170"/>
      <w:jc w:val="both"/>
    </w:pPr>
    <w:rPr>
      <w:rFonts w:ascii="Arial" w:hAnsi="Arial" w:cs="Arial"/>
      <w:kern w:val="0"/>
      <w:sz w:val="20"/>
      <w:szCs w:val="18"/>
      <w:lang w:val="en-GB" w:eastAsia="en-US"/>
    </w:rPr>
  </w:style>
  <w:style w:type="paragraph" w:styleId="16">
    <w:name w:val="index 8"/>
    <w:basedOn w:val="1"/>
    <w:next w:val="1"/>
    <w:qFormat/>
    <w:uiPriority w:val="0"/>
    <w:pPr>
      <w:widowControl w:val="0"/>
      <w:spacing w:after="0" w:line="360" w:lineRule="auto"/>
      <w:jc w:val="center"/>
    </w:pPr>
    <w:rPr>
      <w:rFonts w:ascii="Arial" w:hAnsi="Arial" w:cs="Times New Roman"/>
      <w:bCs/>
      <w:color w:val="auto"/>
      <w:kern w:val="0"/>
      <w:szCs w:val="21"/>
    </w:rPr>
  </w:style>
  <w:style w:type="paragraph" w:styleId="17">
    <w:name w:val="E-mail Signature"/>
    <w:basedOn w:val="1"/>
    <w:link w:val="158"/>
    <w:qFormat/>
    <w:uiPriority w:val="0"/>
    <w:pPr>
      <w:widowControl w:val="0"/>
      <w:spacing w:after="0" w:line="240" w:lineRule="auto"/>
      <w:jc w:val="both"/>
    </w:pPr>
    <w:rPr>
      <w:rFonts w:ascii="等线" w:hAnsi="等线" w:eastAsia="等线" w:cs="Times New Roman"/>
      <w:color w:val="auto"/>
      <w:szCs w:val="24"/>
    </w:rPr>
  </w:style>
  <w:style w:type="paragraph" w:styleId="18">
    <w:name w:val="List Number"/>
    <w:basedOn w:val="1"/>
    <w:qFormat/>
    <w:uiPriority w:val="0"/>
    <w:pPr>
      <w:widowControl w:val="0"/>
      <w:numPr>
        <w:ilvl w:val="0"/>
        <w:numId w:val="3"/>
      </w:numPr>
      <w:tabs>
        <w:tab w:val="left" w:pos="1620"/>
      </w:tabs>
      <w:spacing w:after="0" w:line="240" w:lineRule="auto"/>
      <w:jc w:val="both"/>
    </w:pPr>
    <w:rPr>
      <w:rFonts w:ascii="Times New Roman" w:hAnsi="Times New Roman" w:cs="Times New Roman"/>
      <w:color w:val="auto"/>
      <w:szCs w:val="24"/>
    </w:rPr>
  </w:style>
  <w:style w:type="paragraph" w:styleId="19">
    <w:name w:val="Normal Indent"/>
    <w:basedOn w:val="1"/>
    <w:next w:val="1"/>
    <w:link w:val="159"/>
    <w:qFormat/>
    <w:uiPriority w:val="0"/>
    <w:pPr>
      <w:widowControl w:val="0"/>
      <w:adjustRightInd w:val="0"/>
      <w:spacing w:after="0" w:line="312" w:lineRule="atLeast"/>
      <w:ind w:firstLine="420"/>
      <w:jc w:val="both"/>
      <w:textAlignment w:val="baseline"/>
    </w:pPr>
    <w:rPr>
      <w:rFonts w:ascii="Times New Roman" w:hAnsi="Times New Roman" w:cs="Times New Roman"/>
      <w:color w:val="auto"/>
      <w:kern w:val="0"/>
      <w:szCs w:val="20"/>
    </w:rPr>
  </w:style>
  <w:style w:type="paragraph" w:styleId="20">
    <w:name w:val="caption"/>
    <w:basedOn w:val="1"/>
    <w:next w:val="1"/>
    <w:qFormat/>
    <w:uiPriority w:val="0"/>
    <w:pPr>
      <w:widowControl w:val="0"/>
      <w:spacing w:after="0" w:line="240" w:lineRule="auto"/>
      <w:jc w:val="both"/>
    </w:pPr>
    <w:rPr>
      <w:rFonts w:ascii="Arial" w:hAnsi="Arial" w:eastAsia="黑体" w:cs="Times New Roman"/>
      <w:color w:val="auto"/>
      <w:szCs w:val="20"/>
    </w:rPr>
  </w:style>
  <w:style w:type="paragraph" w:styleId="21">
    <w:name w:val="index 5"/>
    <w:basedOn w:val="1"/>
    <w:next w:val="1"/>
    <w:qFormat/>
    <w:uiPriority w:val="0"/>
    <w:pPr>
      <w:widowControl w:val="0"/>
      <w:adjustRightInd w:val="0"/>
      <w:spacing w:after="0" w:line="312" w:lineRule="atLeast"/>
      <w:ind w:left="800" w:leftChars="800"/>
      <w:jc w:val="both"/>
      <w:textAlignment w:val="baseline"/>
    </w:pPr>
    <w:rPr>
      <w:rFonts w:ascii="Times New Roman" w:hAnsi="Times New Roman" w:cs="Times New Roman"/>
      <w:color w:val="auto"/>
      <w:kern w:val="0"/>
      <w:szCs w:val="20"/>
    </w:rPr>
  </w:style>
  <w:style w:type="paragraph" w:styleId="22">
    <w:name w:val="List Bullet"/>
    <w:basedOn w:val="1"/>
    <w:qFormat/>
    <w:uiPriority w:val="0"/>
    <w:pPr>
      <w:widowControl w:val="0"/>
      <w:tabs>
        <w:tab w:val="left" w:pos="540"/>
      </w:tabs>
      <w:adjustRightInd w:val="0"/>
      <w:spacing w:after="0" w:line="312" w:lineRule="atLeast"/>
      <w:ind w:left="540" w:hanging="360"/>
      <w:jc w:val="both"/>
      <w:textAlignment w:val="baseline"/>
    </w:pPr>
    <w:rPr>
      <w:rFonts w:ascii="Times New Roman" w:hAnsi="Times New Roman" w:cs="Times New Roman"/>
      <w:color w:val="auto"/>
      <w:kern w:val="0"/>
      <w:szCs w:val="20"/>
    </w:rPr>
  </w:style>
  <w:style w:type="paragraph" w:styleId="23">
    <w:name w:val="envelope address"/>
    <w:basedOn w:val="1"/>
    <w:qFormat/>
    <w:uiPriority w:val="0"/>
    <w:pPr>
      <w:framePr w:w="7920" w:h="1980" w:hRule="exact" w:hSpace="180" w:wrap="around" w:vAnchor="margin" w:hAnchor="page" w:xAlign="center" w:yAlign="bottom"/>
      <w:widowControl w:val="0"/>
      <w:snapToGrid w:val="0"/>
      <w:spacing w:after="0" w:line="240" w:lineRule="auto"/>
      <w:ind w:left="100" w:leftChars="1400"/>
      <w:jc w:val="both"/>
    </w:pPr>
    <w:rPr>
      <w:rFonts w:ascii="Arial" w:hAnsi="Arial" w:cs="Arial"/>
      <w:color w:val="auto"/>
      <w:sz w:val="24"/>
      <w:szCs w:val="24"/>
    </w:rPr>
  </w:style>
  <w:style w:type="paragraph" w:styleId="24">
    <w:name w:val="Document Map"/>
    <w:basedOn w:val="1"/>
    <w:link w:val="160"/>
    <w:qFormat/>
    <w:uiPriority w:val="0"/>
    <w:pPr>
      <w:widowControl w:val="0"/>
      <w:shd w:val="clear" w:color="auto" w:fill="000080"/>
      <w:adjustRightInd w:val="0"/>
      <w:spacing w:after="0" w:line="312" w:lineRule="atLeast"/>
      <w:jc w:val="both"/>
      <w:textAlignment w:val="baseline"/>
    </w:pPr>
    <w:rPr>
      <w:rFonts w:ascii="Times New Roman" w:hAnsi="Times New Roman" w:cs="Times New Roman"/>
      <w:color w:val="auto"/>
      <w:kern w:val="0"/>
      <w:szCs w:val="20"/>
    </w:rPr>
  </w:style>
  <w:style w:type="paragraph" w:styleId="25">
    <w:name w:val="toa heading"/>
    <w:basedOn w:val="1"/>
    <w:next w:val="1"/>
    <w:qFormat/>
    <w:uiPriority w:val="0"/>
    <w:pPr>
      <w:widowControl w:val="0"/>
      <w:spacing w:before="120" w:after="0" w:line="240" w:lineRule="auto"/>
      <w:jc w:val="both"/>
    </w:pPr>
    <w:rPr>
      <w:rFonts w:ascii="Arial" w:hAnsi="Arial" w:cs="Arial"/>
      <w:snapToGrid w:val="0"/>
      <w:color w:val="auto"/>
      <w:kern w:val="0"/>
      <w:sz w:val="24"/>
      <w:szCs w:val="24"/>
    </w:rPr>
  </w:style>
  <w:style w:type="paragraph" w:styleId="26">
    <w:name w:val="annotation text"/>
    <w:basedOn w:val="1"/>
    <w:link w:val="161"/>
    <w:qFormat/>
    <w:uiPriority w:val="0"/>
    <w:pPr>
      <w:widowControl w:val="0"/>
      <w:adjustRightInd w:val="0"/>
      <w:spacing w:after="0" w:line="312" w:lineRule="atLeast"/>
      <w:textAlignment w:val="baseline"/>
    </w:pPr>
    <w:rPr>
      <w:rFonts w:ascii="Times New Roman" w:hAnsi="Times New Roman" w:cs="Times New Roman"/>
      <w:color w:val="auto"/>
      <w:kern w:val="0"/>
      <w:szCs w:val="20"/>
    </w:rPr>
  </w:style>
  <w:style w:type="paragraph" w:styleId="27">
    <w:name w:val="index 6"/>
    <w:basedOn w:val="1"/>
    <w:next w:val="1"/>
    <w:qFormat/>
    <w:uiPriority w:val="0"/>
    <w:pPr>
      <w:widowControl w:val="0"/>
      <w:spacing w:after="0" w:line="240" w:lineRule="auto"/>
      <w:ind w:left="1000" w:leftChars="1000"/>
      <w:jc w:val="both"/>
    </w:pPr>
    <w:rPr>
      <w:rFonts w:ascii="Times New Roman" w:hAnsi="Times New Roman" w:eastAsia="仿宋_GB2312" w:cs="Times New Roman"/>
      <w:color w:val="auto"/>
      <w:sz w:val="28"/>
      <w:szCs w:val="24"/>
    </w:rPr>
  </w:style>
  <w:style w:type="paragraph" w:styleId="28">
    <w:name w:val="Salutation"/>
    <w:basedOn w:val="1"/>
    <w:next w:val="1"/>
    <w:link w:val="162"/>
    <w:qFormat/>
    <w:uiPriority w:val="0"/>
    <w:pPr>
      <w:widowControl w:val="0"/>
      <w:spacing w:after="0" w:line="240" w:lineRule="auto"/>
      <w:jc w:val="both"/>
    </w:pPr>
    <w:rPr>
      <w:rFonts w:ascii="等线" w:hAnsi="等线" w:eastAsia="等线" w:cs="Times New Roman"/>
      <w:color w:val="auto"/>
      <w:szCs w:val="24"/>
    </w:rPr>
  </w:style>
  <w:style w:type="paragraph" w:styleId="29">
    <w:name w:val="Body Text 3"/>
    <w:basedOn w:val="1"/>
    <w:link w:val="163"/>
    <w:qFormat/>
    <w:uiPriority w:val="0"/>
    <w:pPr>
      <w:widowControl w:val="0"/>
      <w:adjustRightInd w:val="0"/>
      <w:spacing w:after="0" w:line="360" w:lineRule="auto"/>
      <w:jc w:val="both"/>
      <w:textAlignment w:val="baseline"/>
    </w:pPr>
    <w:rPr>
      <w:rFonts w:ascii="Times New Roman" w:hAnsi="宋体" w:cs="Times New Roman"/>
      <w:kern w:val="0"/>
      <w:sz w:val="24"/>
      <w:szCs w:val="20"/>
    </w:rPr>
  </w:style>
  <w:style w:type="paragraph" w:styleId="30">
    <w:name w:val="Closing"/>
    <w:basedOn w:val="1"/>
    <w:link w:val="164"/>
    <w:qFormat/>
    <w:uiPriority w:val="0"/>
    <w:pPr>
      <w:widowControl w:val="0"/>
      <w:spacing w:after="0" w:line="240" w:lineRule="auto"/>
      <w:ind w:left="4320"/>
      <w:jc w:val="both"/>
    </w:pPr>
    <w:rPr>
      <w:rFonts w:ascii="等线" w:hAnsi="等线" w:eastAsia="等线" w:cs="Times New Roman"/>
      <w:color w:val="auto"/>
      <w:szCs w:val="24"/>
    </w:rPr>
  </w:style>
  <w:style w:type="paragraph" w:styleId="31">
    <w:name w:val="List Bullet 3"/>
    <w:basedOn w:val="1"/>
    <w:qFormat/>
    <w:uiPriority w:val="0"/>
    <w:pPr>
      <w:widowControl w:val="0"/>
      <w:numPr>
        <w:ilvl w:val="0"/>
        <w:numId w:val="4"/>
      </w:numPr>
      <w:adjustRightInd w:val="0"/>
      <w:spacing w:after="0" w:line="240" w:lineRule="auto"/>
      <w:textAlignment w:val="baseline"/>
    </w:pPr>
    <w:rPr>
      <w:rFonts w:ascii="MS Sans Serif" w:hAnsi="MS Sans Serif" w:eastAsia="Times New Roman" w:cs="Times New Roman"/>
      <w:color w:val="auto"/>
      <w:kern w:val="0"/>
      <w:sz w:val="24"/>
      <w:szCs w:val="20"/>
    </w:rPr>
  </w:style>
  <w:style w:type="paragraph" w:styleId="32">
    <w:name w:val="Body Text"/>
    <w:basedOn w:val="1"/>
    <w:link w:val="165"/>
    <w:qFormat/>
    <w:uiPriority w:val="0"/>
    <w:pPr>
      <w:widowControl w:val="0"/>
      <w:tabs>
        <w:tab w:val="left" w:pos="720"/>
      </w:tabs>
      <w:adjustRightInd w:val="0"/>
      <w:spacing w:after="0" w:line="360" w:lineRule="auto"/>
      <w:jc w:val="both"/>
      <w:textAlignment w:val="baseline"/>
    </w:pPr>
    <w:rPr>
      <w:rFonts w:ascii="宋体" w:hAnsi="Times New Roman" w:cs="Times New Roman"/>
      <w:color w:val="auto"/>
      <w:kern w:val="0"/>
      <w:sz w:val="28"/>
      <w:szCs w:val="20"/>
    </w:rPr>
  </w:style>
  <w:style w:type="paragraph" w:styleId="33">
    <w:name w:val="Body Text Indent"/>
    <w:basedOn w:val="1"/>
    <w:next w:val="34"/>
    <w:link w:val="166"/>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34">
    <w:name w:val="envelope return"/>
    <w:basedOn w:val="1"/>
    <w:qFormat/>
    <w:uiPriority w:val="0"/>
    <w:pPr>
      <w:widowControl w:val="0"/>
      <w:snapToGrid w:val="0"/>
      <w:spacing w:after="0" w:line="240" w:lineRule="auto"/>
      <w:jc w:val="both"/>
    </w:pPr>
    <w:rPr>
      <w:rFonts w:ascii="Arial" w:hAnsi="Arial" w:cs="Arial"/>
      <w:color w:val="auto"/>
      <w:szCs w:val="24"/>
    </w:rPr>
  </w:style>
  <w:style w:type="paragraph" w:styleId="35">
    <w:name w:val="List Number 3"/>
    <w:basedOn w:val="1"/>
    <w:qFormat/>
    <w:uiPriority w:val="0"/>
    <w:pPr>
      <w:widowControl w:val="0"/>
      <w:numPr>
        <w:ilvl w:val="0"/>
        <w:numId w:val="5"/>
      </w:numPr>
      <w:tabs>
        <w:tab w:val="left" w:pos="2040"/>
      </w:tabs>
      <w:spacing w:after="0" w:line="240" w:lineRule="auto"/>
      <w:jc w:val="both"/>
    </w:pPr>
    <w:rPr>
      <w:rFonts w:ascii="Times New Roman" w:hAnsi="Times New Roman" w:cs="Times New Roman"/>
      <w:color w:val="auto"/>
      <w:szCs w:val="24"/>
    </w:rPr>
  </w:style>
  <w:style w:type="paragraph" w:styleId="36">
    <w:name w:val="List 2"/>
    <w:basedOn w:val="1"/>
    <w:qFormat/>
    <w:uiPriority w:val="0"/>
    <w:pPr>
      <w:widowControl w:val="0"/>
      <w:numPr>
        <w:ilvl w:val="0"/>
        <w:numId w:val="6"/>
      </w:numPr>
      <w:tabs>
        <w:tab w:val="left" w:pos="288"/>
        <w:tab w:val="clear" w:pos="540"/>
      </w:tabs>
      <w:spacing w:before="60" w:after="0" w:line="240" w:lineRule="auto"/>
      <w:ind w:left="288" w:right="-189" w:hanging="288"/>
      <w:jc w:val="both"/>
    </w:pPr>
    <w:rPr>
      <w:rFonts w:ascii="Arial" w:hAnsi="Arial" w:cs="Arial"/>
      <w:color w:val="auto"/>
      <w:kern w:val="0"/>
      <w:sz w:val="20"/>
      <w:szCs w:val="27"/>
      <w:lang w:val="en-GB" w:eastAsia="en-US"/>
    </w:rPr>
  </w:style>
  <w:style w:type="paragraph" w:styleId="37">
    <w:name w:val="List Continue"/>
    <w:basedOn w:val="1"/>
    <w:qFormat/>
    <w:uiPriority w:val="0"/>
    <w:pPr>
      <w:widowControl w:val="0"/>
      <w:spacing w:after="120" w:line="240" w:lineRule="auto"/>
      <w:ind w:left="420"/>
      <w:jc w:val="both"/>
    </w:pPr>
    <w:rPr>
      <w:rFonts w:ascii="Times New Roman" w:hAnsi="Times New Roman" w:cs="Times New Roman"/>
      <w:color w:val="auto"/>
      <w:szCs w:val="24"/>
    </w:rPr>
  </w:style>
  <w:style w:type="paragraph" w:styleId="38">
    <w:name w:val="Block Text"/>
    <w:basedOn w:val="1"/>
    <w:qFormat/>
    <w:uiPriority w:val="0"/>
    <w:pPr>
      <w:widowControl w:val="0"/>
      <w:spacing w:before="120" w:after="120" w:line="360" w:lineRule="auto"/>
      <w:ind w:left="630" w:right="202"/>
      <w:jc w:val="both"/>
    </w:pPr>
    <w:rPr>
      <w:rFonts w:ascii="宋体" w:hAnsi="Times New Roman" w:cs="Times New Roman"/>
      <w:color w:val="auto"/>
      <w:sz w:val="24"/>
      <w:szCs w:val="20"/>
    </w:rPr>
  </w:style>
  <w:style w:type="paragraph" w:styleId="39">
    <w:name w:val="List Bullet 2"/>
    <w:basedOn w:val="1"/>
    <w:qFormat/>
    <w:uiPriority w:val="0"/>
    <w:pPr>
      <w:widowControl w:val="0"/>
      <w:numPr>
        <w:ilvl w:val="0"/>
        <w:numId w:val="7"/>
      </w:numPr>
      <w:adjustRightInd w:val="0"/>
      <w:spacing w:after="0" w:line="240" w:lineRule="auto"/>
      <w:textAlignment w:val="baseline"/>
    </w:pPr>
    <w:rPr>
      <w:rFonts w:ascii="MS Sans Serif" w:hAnsi="MS Sans Serif" w:eastAsia="Times New Roman" w:cs="Times New Roman"/>
      <w:color w:val="auto"/>
      <w:kern w:val="0"/>
      <w:sz w:val="24"/>
      <w:szCs w:val="20"/>
    </w:rPr>
  </w:style>
  <w:style w:type="paragraph" w:styleId="40">
    <w:name w:val="HTML Address"/>
    <w:basedOn w:val="1"/>
    <w:link w:val="167"/>
    <w:qFormat/>
    <w:uiPriority w:val="0"/>
    <w:pPr>
      <w:widowControl w:val="0"/>
      <w:spacing w:after="0" w:line="240" w:lineRule="auto"/>
      <w:jc w:val="both"/>
    </w:pPr>
    <w:rPr>
      <w:rFonts w:ascii="等线" w:hAnsi="等线" w:eastAsia="等线" w:cs="Times New Roman"/>
      <w:i/>
      <w:iCs/>
      <w:color w:val="auto"/>
      <w:szCs w:val="24"/>
    </w:rPr>
  </w:style>
  <w:style w:type="paragraph" w:styleId="41">
    <w:name w:val="index 4"/>
    <w:basedOn w:val="1"/>
    <w:next w:val="1"/>
    <w:qFormat/>
    <w:uiPriority w:val="0"/>
    <w:pPr>
      <w:widowControl w:val="0"/>
      <w:spacing w:after="0" w:line="240" w:lineRule="auto"/>
      <w:ind w:left="600" w:leftChars="600"/>
      <w:jc w:val="both"/>
    </w:pPr>
    <w:rPr>
      <w:rFonts w:ascii="Times New Roman" w:hAnsi="Times New Roman" w:eastAsia="仿宋_GB2312" w:cs="Times New Roman"/>
      <w:color w:val="auto"/>
      <w:sz w:val="28"/>
      <w:szCs w:val="24"/>
    </w:rPr>
  </w:style>
  <w:style w:type="paragraph" w:styleId="42">
    <w:name w:val="toc 5"/>
    <w:basedOn w:val="1"/>
    <w:next w:val="1"/>
    <w:qFormat/>
    <w:uiPriority w:val="39"/>
    <w:pPr>
      <w:spacing w:after="0"/>
      <w:ind w:left="840"/>
    </w:pPr>
    <w:rPr>
      <w:rFonts w:ascii="等线" w:eastAsia="等线"/>
      <w:sz w:val="18"/>
      <w:szCs w:val="18"/>
    </w:rPr>
  </w:style>
  <w:style w:type="paragraph" w:styleId="43">
    <w:name w:val="toc 3"/>
    <w:next w:val="1"/>
    <w:qFormat/>
    <w:uiPriority w:val="39"/>
    <w:pPr>
      <w:spacing w:line="259" w:lineRule="auto"/>
      <w:ind w:left="420"/>
    </w:pPr>
    <w:rPr>
      <w:rFonts w:ascii="等线" w:hAnsi="Calibri" w:eastAsia="等线" w:cs="Calibri"/>
      <w:i/>
      <w:iCs/>
      <w:color w:val="000000"/>
      <w:kern w:val="2"/>
      <w:lang w:val="en-US" w:eastAsia="zh-CN" w:bidi="ar-SA"/>
    </w:rPr>
  </w:style>
  <w:style w:type="paragraph" w:styleId="44">
    <w:name w:val="Plain Text"/>
    <w:basedOn w:val="1"/>
    <w:link w:val="168"/>
    <w:qFormat/>
    <w:uiPriority w:val="0"/>
    <w:pPr>
      <w:widowControl w:val="0"/>
      <w:spacing w:after="0" w:line="240" w:lineRule="auto"/>
      <w:jc w:val="both"/>
    </w:pPr>
    <w:rPr>
      <w:rFonts w:ascii="宋体" w:hAnsi="Courier New" w:cs="Times New Roman"/>
      <w:color w:val="auto"/>
      <w:sz w:val="24"/>
      <w:szCs w:val="20"/>
    </w:rPr>
  </w:style>
  <w:style w:type="paragraph" w:styleId="45">
    <w:name w:val="List Bullet 5"/>
    <w:basedOn w:val="1"/>
    <w:qFormat/>
    <w:uiPriority w:val="0"/>
    <w:pPr>
      <w:widowControl w:val="0"/>
      <w:numPr>
        <w:ilvl w:val="0"/>
        <w:numId w:val="8"/>
      </w:numPr>
      <w:spacing w:after="0" w:line="240" w:lineRule="auto"/>
      <w:jc w:val="both"/>
    </w:pPr>
    <w:rPr>
      <w:rFonts w:ascii="Times New Roman" w:hAnsi="Times New Roman" w:cs="Times New Roman"/>
      <w:color w:val="auto"/>
      <w:szCs w:val="24"/>
    </w:rPr>
  </w:style>
  <w:style w:type="paragraph" w:styleId="46">
    <w:name w:val="List Number 4"/>
    <w:basedOn w:val="1"/>
    <w:qFormat/>
    <w:uiPriority w:val="0"/>
    <w:pPr>
      <w:widowControl w:val="0"/>
      <w:numPr>
        <w:ilvl w:val="0"/>
        <w:numId w:val="9"/>
      </w:numPr>
      <w:tabs>
        <w:tab w:val="left" w:pos="360"/>
      </w:tabs>
      <w:spacing w:after="0" w:line="240" w:lineRule="auto"/>
      <w:jc w:val="both"/>
    </w:pPr>
    <w:rPr>
      <w:rFonts w:ascii="Times New Roman" w:hAnsi="Times New Roman" w:cs="Times New Roman"/>
      <w:color w:val="auto"/>
      <w:szCs w:val="24"/>
    </w:rPr>
  </w:style>
  <w:style w:type="paragraph" w:styleId="47">
    <w:name w:val="toc 8"/>
    <w:basedOn w:val="1"/>
    <w:next w:val="1"/>
    <w:qFormat/>
    <w:uiPriority w:val="39"/>
    <w:pPr>
      <w:spacing w:after="0"/>
      <w:ind w:left="1470"/>
    </w:pPr>
    <w:rPr>
      <w:rFonts w:ascii="等线" w:eastAsia="等线"/>
      <w:sz w:val="18"/>
      <w:szCs w:val="18"/>
    </w:rPr>
  </w:style>
  <w:style w:type="paragraph" w:styleId="48">
    <w:name w:val="index 3"/>
    <w:basedOn w:val="1"/>
    <w:next w:val="1"/>
    <w:qFormat/>
    <w:uiPriority w:val="0"/>
    <w:pPr>
      <w:widowControl w:val="0"/>
      <w:spacing w:after="0" w:line="240" w:lineRule="auto"/>
      <w:ind w:left="400" w:leftChars="400"/>
      <w:jc w:val="both"/>
    </w:pPr>
    <w:rPr>
      <w:rFonts w:ascii="Times New Roman" w:hAnsi="Times New Roman" w:eastAsia="仿宋_GB2312" w:cs="Times New Roman"/>
      <w:color w:val="auto"/>
      <w:sz w:val="28"/>
      <w:szCs w:val="24"/>
    </w:rPr>
  </w:style>
  <w:style w:type="paragraph" w:styleId="49">
    <w:name w:val="Date"/>
    <w:basedOn w:val="1"/>
    <w:next w:val="1"/>
    <w:link w:val="169"/>
    <w:qFormat/>
    <w:uiPriority w:val="0"/>
    <w:pPr>
      <w:widowControl w:val="0"/>
      <w:adjustRightInd w:val="0"/>
      <w:spacing w:after="0" w:line="312" w:lineRule="atLeast"/>
      <w:jc w:val="both"/>
      <w:textAlignment w:val="baseline"/>
    </w:pPr>
    <w:rPr>
      <w:rFonts w:ascii="Times New Roman" w:hAnsi="Times New Roman" w:cs="Times New Roman"/>
      <w:color w:val="auto"/>
      <w:kern w:val="0"/>
      <w:szCs w:val="20"/>
    </w:rPr>
  </w:style>
  <w:style w:type="paragraph" w:styleId="50">
    <w:name w:val="Body Text Indent 2"/>
    <w:basedOn w:val="1"/>
    <w:link w:val="170"/>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51">
    <w:name w:val="List Continue 5"/>
    <w:basedOn w:val="1"/>
    <w:qFormat/>
    <w:uiPriority w:val="0"/>
    <w:pPr>
      <w:widowControl w:val="0"/>
      <w:spacing w:after="120" w:line="240" w:lineRule="auto"/>
      <w:ind w:left="2100"/>
      <w:jc w:val="both"/>
    </w:pPr>
    <w:rPr>
      <w:rFonts w:ascii="Times New Roman" w:hAnsi="Times New Roman" w:cs="Times New Roman"/>
      <w:color w:val="auto"/>
      <w:szCs w:val="24"/>
    </w:rPr>
  </w:style>
  <w:style w:type="paragraph" w:styleId="52">
    <w:name w:val="Balloon Text"/>
    <w:basedOn w:val="1"/>
    <w:link w:val="171"/>
    <w:unhideWhenUsed/>
    <w:qFormat/>
    <w:uiPriority w:val="0"/>
    <w:pPr>
      <w:spacing w:after="0" w:line="240" w:lineRule="auto"/>
    </w:pPr>
    <w:rPr>
      <w:sz w:val="18"/>
      <w:szCs w:val="18"/>
    </w:rPr>
  </w:style>
  <w:style w:type="paragraph" w:styleId="53">
    <w:name w:val="footer"/>
    <w:basedOn w:val="1"/>
    <w:link w:val="172"/>
    <w:unhideWhenUsed/>
    <w:qFormat/>
    <w:uiPriority w:val="99"/>
    <w:pPr>
      <w:tabs>
        <w:tab w:val="center" w:pos="4153"/>
        <w:tab w:val="right" w:pos="8306"/>
      </w:tabs>
      <w:snapToGrid w:val="0"/>
      <w:spacing w:line="240" w:lineRule="auto"/>
    </w:pPr>
    <w:rPr>
      <w:sz w:val="18"/>
      <w:szCs w:val="18"/>
    </w:rPr>
  </w:style>
  <w:style w:type="paragraph" w:styleId="54">
    <w:name w:val="header"/>
    <w:basedOn w:val="1"/>
    <w:link w:val="17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5">
    <w:name w:val="Signature"/>
    <w:basedOn w:val="1"/>
    <w:link w:val="174"/>
    <w:qFormat/>
    <w:uiPriority w:val="0"/>
    <w:pPr>
      <w:widowControl w:val="0"/>
      <w:spacing w:after="0" w:line="240" w:lineRule="auto"/>
      <w:ind w:left="4320"/>
      <w:jc w:val="both"/>
    </w:pPr>
    <w:rPr>
      <w:rFonts w:ascii="等线" w:hAnsi="等线" w:eastAsia="等线" w:cs="Times New Roman"/>
      <w:color w:val="auto"/>
      <w:szCs w:val="24"/>
    </w:rPr>
  </w:style>
  <w:style w:type="paragraph" w:styleId="56">
    <w:name w:val="toc 1"/>
    <w:basedOn w:val="1"/>
    <w:next w:val="1"/>
    <w:qFormat/>
    <w:uiPriority w:val="39"/>
    <w:pPr>
      <w:spacing w:before="120" w:after="120"/>
    </w:pPr>
    <w:rPr>
      <w:rFonts w:ascii="等线" w:eastAsia="等线"/>
      <w:b/>
      <w:bCs/>
      <w:caps/>
    </w:rPr>
  </w:style>
  <w:style w:type="paragraph" w:styleId="57">
    <w:name w:val="List Continue 4"/>
    <w:basedOn w:val="1"/>
    <w:qFormat/>
    <w:uiPriority w:val="0"/>
    <w:pPr>
      <w:widowControl w:val="0"/>
      <w:adjustRightInd w:val="0"/>
      <w:spacing w:after="120" w:line="360" w:lineRule="atLeast"/>
      <w:ind w:left="1680"/>
      <w:textAlignment w:val="baseline"/>
    </w:pPr>
    <w:rPr>
      <w:rFonts w:ascii="宋体" w:hAnsi="Times New Roman" w:cs="Times New Roman"/>
      <w:color w:val="auto"/>
      <w:kern w:val="0"/>
      <w:sz w:val="24"/>
      <w:szCs w:val="20"/>
    </w:rPr>
  </w:style>
  <w:style w:type="paragraph" w:styleId="58">
    <w:name w:val="toc 4"/>
    <w:basedOn w:val="1"/>
    <w:next w:val="1"/>
    <w:qFormat/>
    <w:uiPriority w:val="39"/>
    <w:pPr>
      <w:spacing w:after="0"/>
      <w:ind w:left="630"/>
    </w:pPr>
    <w:rPr>
      <w:rFonts w:ascii="等线" w:eastAsia="等线"/>
      <w:sz w:val="18"/>
      <w:szCs w:val="18"/>
    </w:rPr>
  </w:style>
  <w:style w:type="paragraph" w:styleId="59">
    <w:name w:val="index heading"/>
    <w:basedOn w:val="1"/>
    <w:next w:val="60"/>
    <w:qFormat/>
    <w:uiPriority w:val="0"/>
    <w:pPr>
      <w:spacing w:after="0" w:line="240" w:lineRule="auto"/>
      <w:jc w:val="both"/>
    </w:pPr>
    <w:rPr>
      <w:rFonts w:ascii="Arial" w:hAnsi="Arial" w:cs="Times New Roman"/>
      <w:color w:val="auto"/>
      <w:kern w:val="0"/>
      <w:sz w:val="20"/>
      <w:szCs w:val="24"/>
      <w:lang w:eastAsia="en-US"/>
    </w:rPr>
  </w:style>
  <w:style w:type="paragraph" w:styleId="60">
    <w:name w:val="index 1"/>
    <w:basedOn w:val="1"/>
    <w:next w:val="1"/>
    <w:qFormat/>
    <w:uiPriority w:val="0"/>
    <w:pPr>
      <w:widowControl w:val="0"/>
      <w:spacing w:after="0" w:line="240" w:lineRule="auto"/>
      <w:jc w:val="both"/>
    </w:pPr>
    <w:rPr>
      <w:rFonts w:ascii="Times New Roman" w:hAnsi="Times New Roman" w:cs="Times New Roman"/>
      <w:color w:val="auto"/>
      <w:szCs w:val="20"/>
    </w:rPr>
  </w:style>
  <w:style w:type="paragraph" w:styleId="61">
    <w:name w:val="Subtitle"/>
    <w:basedOn w:val="1"/>
    <w:next w:val="1"/>
    <w:link w:val="175"/>
    <w:qFormat/>
    <w:uiPriority w:val="0"/>
    <w:pPr>
      <w:spacing w:after="60" w:line="240" w:lineRule="auto"/>
      <w:jc w:val="center"/>
      <w:outlineLvl w:val="1"/>
    </w:pPr>
    <w:rPr>
      <w:rFonts w:ascii="Cambria" w:hAnsi="Cambria" w:eastAsia="等线" w:cs="Times New Roman"/>
      <w:color w:val="auto"/>
      <w:sz w:val="24"/>
      <w:szCs w:val="24"/>
      <w:lang w:eastAsia="en-US" w:bidi="en-US"/>
    </w:rPr>
  </w:style>
  <w:style w:type="paragraph" w:styleId="62">
    <w:name w:val="List Number 5"/>
    <w:basedOn w:val="1"/>
    <w:qFormat/>
    <w:uiPriority w:val="0"/>
    <w:pPr>
      <w:widowControl w:val="0"/>
      <w:numPr>
        <w:ilvl w:val="0"/>
        <w:numId w:val="10"/>
      </w:numPr>
      <w:tabs>
        <w:tab w:val="left" w:pos="780"/>
      </w:tabs>
      <w:spacing w:after="0" w:line="240" w:lineRule="auto"/>
      <w:jc w:val="both"/>
    </w:pPr>
    <w:rPr>
      <w:rFonts w:ascii="Times New Roman" w:hAnsi="Times New Roman" w:cs="Times New Roman"/>
      <w:color w:val="auto"/>
      <w:szCs w:val="24"/>
    </w:rPr>
  </w:style>
  <w:style w:type="paragraph" w:styleId="63">
    <w:name w:val="List"/>
    <w:basedOn w:val="1"/>
    <w:next w:val="1"/>
    <w:qFormat/>
    <w:uiPriority w:val="0"/>
    <w:pPr>
      <w:widowControl w:val="0"/>
      <w:spacing w:after="0" w:line="240" w:lineRule="auto"/>
      <w:ind w:left="200" w:hanging="200" w:hangingChars="200"/>
      <w:jc w:val="both"/>
    </w:pPr>
    <w:rPr>
      <w:rFonts w:ascii="Times New Roman" w:hAnsi="Times New Roman" w:cs="Times New Roman"/>
      <w:color w:val="auto"/>
      <w:szCs w:val="20"/>
    </w:rPr>
  </w:style>
  <w:style w:type="paragraph" w:styleId="64">
    <w:name w:val="footnote text"/>
    <w:basedOn w:val="1"/>
    <w:link w:val="176"/>
    <w:qFormat/>
    <w:uiPriority w:val="0"/>
    <w:pPr>
      <w:widowControl w:val="0"/>
      <w:snapToGrid w:val="0"/>
      <w:spacing w:after="0" w:line="240" w:lineRule="auto"/>
    </w:pPr>
    <w:rPr>
      <w:rFonts w:ascii="宋体" w:hAnsi="Times New Roman" w:cs="Times New Roman"/>
      <w:color w:val="auto"/>
      <w:sz w:val="18"/>
      <w:szCs w:val="20"/>
    </w:rPr>
  </w:style>
  <w:style w:type="paragraph" w:styleId="65">
    <w:name w:val="toc 6"/>
    <w:basedOn w:val="1"/>
    <w:next w:val="1"/>
    <w:qFormat/>
    <w:uiPriority w:val="39"/>
    <w:pPr>
      <w:spacing w:after="0"/>
      <w:ind w:left="1050"/>
    </w:pPr>
    <w:rPr>
      <w:rFonts w:ascii="等线" w:eastAsia="等线"/>
      <w:sz w:val="18"/>
      <w:szCs w:val="18"/>
    </w:rPr>
  </w:style>
  <w:style w:type="paragraph" w:styleId="66">
    <w:name w:val="List 5"/>
    <w:basedOn w:val="1"/>
    <w:qFormat/>
    <w:uiPriority w:val="0"/>
    <w:pPr>
      <w:widowControl w:val="0"/>
      <w:spacing w:after="0" w:line="240" w:lineRule="auto"/>
      <w:ind w:left="2100" w:hanging="420"/>
      <w:jc w:val="both"/>
    </w:pPr>
    <w:rPr>
      <w:rFonts w:ascii="Times New Roman" w:hAnsi="Times New Roman" w:cs="Times New Roman"/>
      <w:color w:val="auto"/>
      <w:szCs w:val="24"/>
    </w:rPr>
  </w:style>
  <w:style w:type="paragraph" w:styleId="67">
    <w:name w:val="Body Text Indent 3"/>
    <w:basedOn w:val="1"/>
    <w:link w:val="177"/>
    <w:qFormat/>
    <w:uiPriority w:val="0"/>
    <w:pPr>
      <w:widowControl w:val="0"/>
      <w:adjustRightInd w:val="0"/>
      <w:spacing w:after="120" w:line="312" w:lineRule="atLeast"/>
      <w:ind w:left="420"/>
      <w:jc w:val="both"/>
      <w:textAlignment w:val="baseline"/>
    </w:pPr>
    <w:rPr>
      <w:rFonts w:ascii="Times New Roman" w:hAnsi="Times New Roman" w:cs="Times New Roman"/>
      <w:color w:val="auto"/>
      <w:kern w:val="0"/>
      <w:sz w:val="16"/>
      <w:szCs w:val="16"/>
    </w:rPr>
  </w:style>
  <w:style w:type="paragraph" w:styleId="68">
    <w:name w:val="index 7"/>
    <w:basedOn w:val="1"/>
    <w:next w:val="1"/>
    <w:qFormat/>
    <w:uiPriority w:val="0"/>
    <w:pPr>
      <w:widowControl w:val="0"/>
      <w:spacing w:after="0" w:line="240" w:lineRule="auto"/>
      <w:ind w:left="1200" w:leftChars="1200"/>
      <w:jc w:val="both"/>
    </w:pPr>
    <w:rPr>
      <w:rFonts w:ascii="Times New Roman" w:hAnsi="Times New Roman" w:eastAsia="仿宋_GB2312" w:cs="Times New Roman"/>
      <w:color w:val="auto"/>
      <w:sz w:val="28"/>
      <w:szCs w:val="24"/>
    </w:rPr>
  </w:style>
  <w:style w:type="paragraph" w:styleId="69">
    <w:name w:val="index 9"/>
    <w:basedOn w:val="1"/>
    <w:next w:val="1"/>
    <w:qFormat/>
    <w:uiPriority w:val="0"/>
    <w:pPr>
      <w:widowControl w:val="0"/>
      <w:spacing w:after="0" w:line="240" w:lineRule="auto"/>
      <w:ind w:left="1600" w:leftChars="1600"/>
      <w:jc w:val="both"/>
    </w:pPr>
    <w:rPr>
      <w:rFonts w:ascii="Times New Roman" w:hAnsi="Times New Roman" w:eastAsia="仿宋_GB2312" w:cs="Times New Roman"/>
      <w:color w:val="auto"/>
      <w:sz w:val="28"/>
      <w:szCs w:val="24"/>
    </w:rPr>
  </w:style>
  <w:style w:type="paragraph" w:styleId="70">
    <w:name w:val="table of figures"/>
    <w:basedOn w:val="1"/>
    <w:next w:val="1"/>
    <w:qFormat/>
    <w:uiPriority w:val="0"/>
    <w:pPr>
      <w:widowControl w:val="0"/>
      <w:adjustRightInd w:val="0"/>
      <w:snapToGrid w:val="0"/>
      <w:spacing w:after="0" w:line="600" w:lineRule="exact"/>
      <w:jc w:val="both"/>
      <w:textAlignment w:val="baseline"/>
    </w:pPr>
    <w:rPr>
      <w:rFonts w:ascii="Times New Roman" w:hAnsi="Times New Roman" w:cs="Times New Roman"/>
      <w:smallCaps/>
      <w:color w:val="auto"/>
      <w:kern w:val="0"/>
      <w:sz w:val="28"/>
      <w:szCs w:val="20"/>
    </w:rPr>
  </w:style>
  <w:style w:type="paragraph" w:styleId="71">
    <w:name w:val="toc 2"/>
    <w:next w:val="1"/>
    <w:qFormat/>
    <w:uiPriority w:val="39"/>
    <w:pPr>
      <w:spacing w:line="259" w:lineRule="auto"/>
      <w:ind w:left="210"/>
    </w:pPr>
    <w:rPr>
      <w:rFonts w:ascii="等线" w:hAnsi="Calibri" w:eastAsia="等线" w:cs="Calibri"/>
      <w:smallCaps/>
      <w:color w:val="000000"/>
      <w:kern w:val="2"/>
      <w:lang w:val="en-US" w:eastAsia="zh-CN" w:bidi="ar-SA"/>
    </w:rPr>
  </w:style>
  <w:style w:type="paragraph" w:styleId="72">
    <w:name w:val="toc 9"/>
    <w:basedOn w:val="1"/>
    <w:next w:val="1"/>
    <w:qFormat/>
    <w:uiPriority w:val="39"/>
    <w:pPr>
      <w:spacing w:after="0"/>
      <w:ind w:left="1680"/>
    </w:pPr>
    <w:rPr>
      <w:rFonts w:ascii="等线" w:eastAsia="等线"/>
      <w:sz w:val="18"/>
      <w:szCs w:val="18"/>
    </w:rPr>
  </w:style>
  <w:style w:type="paragraph" w:styleId="73">
    <w:name w:val="Body Text 2"/>
    <w:basedOn w:val="1"/>
    <w:link w:val="178"/>
    <w:qFormat/>
    <w:uiPriority w:val="0"/>
    <w:pPr>
      <w:widowControl w:val="0"/>
      <w:adjustRightInd w:val="0"/>
      <w:spacing w:after="0" w:line="360" w:lineRule="auto"/>
      <w:textAlignment w:val="baseline"/>
    </w:pPr>
    <w:rPr>
      <w:rFonts w:ascii="宋体" w:hAnsi="宋体" w:cs="Times New Roman"/>
      <w:color w:val="0000FF"/>
      <w:kern w:val="0"/>
      <w:sz w:val="28"/>
      <w:szCs w:val="20"/>
    </w:rPr>
  </w:style>
  <w:style w:type="paragraph" w:styleId="74">
    <w:name w:val="List 4"/>
    <w:basedOn w:val="1"/>
    <w:qFormat/>
    <w:uiPriority w:val="0"/>
    <w:pPr>
      <w:widowControl w:val="0"/>
      <w:spacing w:after="0" w:line="240" w:lineRule="auto"/>
      <w:ind w:left="1680" w:hanging="420"/>
      <w:jc w:val="both"/>
    </w:pPr>
    <w:rPr>
      <w:rFonts w:ascii="Times New Roman" w:hAnsi="Times New Roman" w:cs="Times New Roman"/>
      <w:color w:val="auto"/>
      <w:szCs w:val="24"/>
    </w:rPr>
  </w:style>
  <w:style w:type="paragraph" w:styleId="75">
    <w:name w:val="List Continue 2"/>
    <w:basedOn w:val="1"/>
    <w:qFormat/>
    <w:uiPriority w:val="0"/>
    <w:pPr>
      <w:widowControl w:val="0"/>
      <w:spacing w:after="120" w:line="240" w:lineRule="auto"/>
      <w:ind w:left="840"/>
      <w:jc w:val="both"/>
    </w:pPr>
    <w:rPr>
      <w:rFonts w:ascii="Times New Roman" w:hAnsi="Times New Roman" w:cs="Times New Roman"/>
      <w:color w:val="auto"/>
      <w:szCs w:val="24"/>
    </w:rPr>
  </w:style>
  <w:style w:type="paragraph" w:styleId="76">
    <w:name w:val="Message Header"/>
    <w:basedOn w:val="1"/>
    <w:link w:val="179"/>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napToGrid w:val="0"/>
      <w:spacing w:after="0" w:line="240" w:lineRule="auto"/>
      <w:ind w:left="1080" w:leftChars="500" w:hanging="1080" w:hangingChars="500"/>
      <w:jc w:val="both"/>
    </w:pPr>
    <w:rPr>
      <w:rFonts w:ascii="Arial" w:hAnsi="Arial" w:cs="Arial"/>
      <w:color w:val="auto"/>
      <w:sz w:val="24"/>
      <w:szCs w:val="24"/>
    </w:rPr>
  </w:style>
  <w:style w:type="paragraph" w:styleId="77">
    <w:name w:val="HTML Preformatted"/>
    <w:basedOn w:val="1"/>
    <w:link w:val="180"/>
    <w:qFormat/>
    <w:uiPriority w:val="0"/>
    <w:pPr>
      <w:widowControl w:val="0"/>
      <w:spacing w:after="0" w:line="240" w:lineRule="auto"/>
      <w:jc w:val="both"/>
    </w:pPr>
    <w:rPr>
      <w:rFonts w:ascii="Courier New" w:hAnsi="Courier New" w:cs="Courier New"/>
      <w:color w:val="auto"/>
      <w:sz w:val="20"/>
      <w:szCs w:val="20"/>
    </w:rPr>
  </w:style>
  <w:style w:type="paragraph" w:styleId="78">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paragraph" w:styleId="79">
    <w:name w:val="List Continue 3"/>
    <w:basedOn w:val="1"/>
    <w:qFormat/>
    <w:uiPriority w:val="0"/>
    <w:pPr>
      <w:widowControl w:val="0"/>
      <w:spacing w:after="120" w:line="240" w:lineRule="auto"/>
      <w:ind w:left="1260"/>
      <w:jc w:val="both"/>
    </w:pPr>
    <w:rPr>
      <w:rFonts w:ascii="Times New Roman" w:hAnsi="Times New Roman" w:cs="Times New Roman"/>
      <w:color w:val="auto"/>
      <w:szCs w:val="24"/>
    </w:rPr>
  </w:style>
  <w:style w:type="paragraph" w:styleId="80">
    <w:name w:val="index 2"/>
    <w:basedOn w:val="1"/>
    <w:next w:val="1"/>
    <w:qFormat/>
    <w:uiPriority w:val="0"/>
    <w:pPr>
      <w:widowControl w:val="0"/>
      <w:adjustRightInd w:val="0"/>
      <w:spacing w:after="0" w:line="460" w:lineRule="exact"/>
      <w:ind w:left="420"/>
      <w:textAlignment w:val="baseline"/>
    </w:pPr>
    <w:rPr>
      <w:rFonts w:ascii="Times New Roman" w:hAnsi="Times New Roman" w:cs="Times New Roman"/>
      <w:color w:val="auto"/>
      <w:kern w:val="0"/>
      <w:sz w:val="24"/>
      <w:szCs w:val="20"/>
    </w:rPr>
  </w:style>
  <w:style w:type="paragraph" w:styleId="81">
    <w:name w:val="Title"/>
    <w:basedOn w:val="1"/>
    <w:next w:val="1"/>
    <w:link w:val="181"/>
    <w:qFormat/>
    <w:uiPriority w:val="0"/>
    <w:pPr>
      <w:widowControl w:val="0"/>
      <w:spacing w:before="240" w:after="60" w:line="240" w:lineRule="auto"/>
      <w:jc w:val="center"/>
      <w:outlineLvl w:val="0"/>
    </w:pPr>
    <w:rPr>
      <w:rFonts w:ascii="Arial" w:hAnsi="Arial" w:cs="Times New Roman"/>
      <w:b/>
      <w:color w:val="auto"/>
      <w:sz w:val="32"/>
      <w:szCs w:val="20"/>
    </w:rPr>
  </w:style>
  <w:style w:type="paragraph" w:styleId="82">
    <w:name w:val="annotation subject"/>
    <w:basedOn w:val="26"/>
    <w:next w:val="26"/>
    <w:link w:val="182"/>
    <w:qFormat/>
    <w:uiPriority w:val="0"/>
    <w:rPr>
      <w:b/>
      <w:bCs/>
    </w:rPr>
  </w:style>
  <w:style w:type="paragraph" w:styleId="83">
    <w:name w:val="Body Text First Indent"/>
    <w:basedOn w:val="32"/>
    <w:link w:val="183"/>
    <w:qFormat/>
    <w:uiPriority w:val="0"/>
    <w:pPr>
      <w:snapToGrid w:val="0"/>
      <w:spacing w:after="120" w:line="240" w:lineRule="auto"/>
      <w:ind w:firstLine="420"/>
      <w:textAlignment w:val="auto"/>
    </w:pPr>
    <w:rPr>
      <w:rFonts w:ascii="Times New Roman"/>
      <w:kern w:val="2"/>
      <w:sz w:val="24"/>
    </w:rPr>
  </w:style>
  <w:style w:type="paragraph" w:styleId="84">
    <w:name w:val="Body Text First Indent 2"/>
    <w:basedOn w:val="33"/>
    <w:link w:val="184"/>
    <w:qFormat/>
    <w:uiPriority w:val="0"/>
    <w:pPr>
      <w:adjustRightInd/>
      <w:snapToGrid/>
      <w:spacing w:line="360" w:lineRule="auto"/>
      <w:ind w:firstLine="471" w:firstLineChars="200"/>
      <w:textAlignment w:val="auto"/>
    </w:pPr>
    <w:rPr>
      <w:rFonts w:hint="eastAsia" w:hAnsi="Times New Roman"/>
      <w:kern w:val="2"/>
    </w:rPr>
  </w:style>
  <w:style w:type="table" w:styleId="86">
    <w:name w:val="Table Grid"/>
    <w:basedOn w:val="85"/>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7">
    <w:name w:val="Table Theme"/>
    <w:basedOn w:val="85"/>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8">
    <w:name w:val="Table Colorful 1"/>
    <w:basedOn w:val="85"/>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9">
    <w:name w:val="Table Colorful 2"/>
    <w:basedOn w:val="85"/>
    <w:semiHidden/>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0">
    <w:name w:val="Table Colorful 3"/>
    <w:basedOn w:val="85"/>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1">
    <w:name w:val="Table Elegant"/>
    <w:basedOn w:val="85"/>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Classic 1"/>
    <w:basedOn w:val="85"/>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Classic 2"/>
    <w:basedOn w:val="85"/>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4">
    <w:name w:val="Table Classic 3"/>
    <w:basedOn w:val="85"/>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5">
    <w:name w:val="Table Classic 4"/>
    <w:basedOn w:val="85"/>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Simple 1"/>
    <w:basedOn w:val="85"/>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7">
    <w:name w:val="Table Simple 2"/>
    <w:basedOn w:val="85"/>
    <w:semiHidden/>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Simple 3"/>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9">
    <w:name w:val="Table Subtle 1"/>
    <w:basedOn w:val="85"/>
    <w:semiHidden/>
    <w:qFormat/>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Subtle 2"/>
    <w:basedOn w:val="85"/>
    <w:semiHidden/>
    <w:qFormat/>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3D effects 1"/>
    <w:basedOn w:val="85"/>
    <w:semiHidden/>
    <w:qFormat/>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2">
    <w:name w:val="Table 3D effects 2"/>
    <w:basedOn w:val="85"/>
    <w:semiHidden/>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3D effects 3"/>
    <w:basedOn w:val="85"/>
    <w:semiHidden/>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5"/>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5"/>
    <w:semiHidden/>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5"/>
    <w:semiHidden/>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8">
    <w:name w:val="Table List 5"/>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5"/>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5"/>
    <w:semiHidden/>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5"/>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5"/>
    <w:semiHidden/>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5"/>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5"/>
    <w:semiHidden/>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5"/>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2"/>
    <w:basedOn w:val="85"/>
    <w:semiHidden/>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5"/>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5"/>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5"/>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5"/>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5"/>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5"/>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5"/>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Professional"/>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1">
    <w:name w:val="Strong"/>
    <w:basedOn w:val="130"/>
    <w:qFormat/>
    <w:uiPriority w:val="22"/>
    <w:rPr>
      <w:b/>
      <w:bCs/>
    </w:rPr>
  </w:style>
  <w:style w:type="character" w:styleId="132">
    <w:name w:val="endnote reference"/>
    <w:semiHidden/>
    <w:qFormat/>
    <w:uiPriority w:val="0"/>
    <w:rPr>
      <w:rFonts w:cs="Times New Roman"/>
      <w:vertAlign w:val="superscript"/>
    </w:rPr>
  </w:style>
  <w:style w:type="character" w:styleId="133">
    <w:name w:val="page number"/>
    <w:basedOn w:val="130"/>
    <w:qFormat/>
    <w:uiPriority w:val="0"/>
  </w:style>
  <w:style w:type="character" w:styleId="134">
    <w:name w:val="FollowedHyperlink"/>
    <w:basedOn w:val="130"/>
    <w:qFormat/>
    <w:uiPriority w:val="0"/>
    <w:rPr>
      <w:color w:val="800080"/>
      <w:u w:val="single"/>
    </w:rPr>
  </w:style>
  <w:style w:type="character" w:styleId="135">
    <w:name w:val="Emphasis"/>
    <w:basedOn w:val="130"/>
    <w:qFormat/>
    <w:uiPriority w:val="0"/>
    <w:rPr>
      <w:color w:val="CC0033"/>
    </w:rPr>
  </w:style>
  <w:style w:type="character" w:styleId="136">
    <w:name w:val="line number"/>
    <w:basedOn w:val="130"/>
    <w:unhideWhenUsed/>
    <w:qFormat/>
    <w:uiPriority w:val="0"/>
  </w:style>
  <w:style w:type="character" w:styleId="137">
    <w:name w:val="HTML Definition"/>
    <w:qFormat/>
    <w:uiPriority w:val="0"/>
    <w:rPr>
      <w:i/>
      <w:iCs/>
    </w:rPr>
  </w:style>
  <w:style w:type="character" w:styleId="138">
    <w:name w:val="HTML Typewriter"/>
    <w:qFormat/>
    <w:uiPriority w:val="0"/>
    <w:rPr>
      <w:rFonts w:ascii="Courier New" w:hAnsi="Courier New" w:cs="Courier New"/>
      <w:sz w:val="20"/>
      <w:szCs w:val="20"/>
    </w:rPr>
  </w:style>
  <w:style w:type="character" w:styleId="139">
    <w:name w:val="HTML Acronym"/>
    <w:basedOn w:val="130"/>
    <w:qFormat/>
    <w:uiPriority w:val="0"/>
  </w:style>
  <w:style w:type="character" w:styleId="140">
    <w:name w:val="HTML Variable"/>
    <w:qFormat/>
    <w:uiPriority w:val="0"/>
    <w:rPr>
      <w:i/>
      <w:iCs/>
    </w:rPr>
  </w:style>
  <w:style w:type="character" w:styleId="141">
    <w:name w:val="Hyperlink"/>
    <w:basedOn w:val="130"/>
    <w:qFormat/>
    <w:uiPriority w:val="99"/>
    <w:rPr>
      <w:color w:val="0000FF"/>
      <w:u w:val="single"/>
    </w:rPr>
  </w:style>
  <w:style w:type="character" w:styleId="142">
    <w:name w:val="HTML Code"/>
    <w:qFormat/>
    <w:uiPriority w:val="0"/>
    <w:rPr>
      <w:rFonts w:ascii="Courier New" w:hAnsi="Courier New" w:cs="Courier New"/>
      <w:sz w:val="20"/>
      <w:szCs w:val="20"/>
    </w:rPr>
  </w:style>
  <w:style w:type="character" w:styleId="143">
    <w:name w:val="annotation reference"/>
    <w:basedOn w:val="130"/>
    <w:qFormat/>
    <w:uiPriority w:val="0"/>
    <w:rPr>
      <w:sz w:val="21"/>
      <w:szCs w:val="21"/>
    </w:rPr>
  </w:style>
  <w:style w:type="character" w:styleId="144">
    <w:name w:val="HTML Cite"/>
    <w:qFormat/>
    <w:uiPriority w:val="0"/>
    <w:rPr>
      <w:i/>
      <w:iCs/>
    </w:rPr>
  </w:style>
  <w:style w:type="character" w:styleId="145">
    <w:name w:val="footnote reference"/>
    <w:basedOn w:val="130"/>
    <w:qFormat/>
    <w:uiPriority w:val="0"/>
    <w:rPr>
      <w:vertAlign w:val="superscript"/>
    </w:rPr>
  </w:style>
  <w:style w:type="character" w:styleId="146">
    <w:name w:val="HTML Keyboard"/>
    <w:qFormat/>
    <w:uiPriority w:val="0"/>
    <w:rPr>
      <w:rFonts w:ascii="Courier New" w:hAnsi="Courier New" w:cs="Courier New"/>
      <w:sz w:val="20"/>
      <w:szCs w:val="20"/>
    </w:rPr>
  </w:style>
  <w:style w:type="character" w:styleId="147">
    <w:name w:val="HTML Sample"/>
    <w:qFormat/>
    <w:uiPriority w:val="0"/>
    <w:rPr>
      <w:rFonts w:ascii="Courier New" w:hAnsi="Courier New" w:cs="Courier New"/>
    </w:rPr>
  </w:style>
  <w:style w:type="character" w:customStyle="1" w:styleId="148">
    <w:name w:val="标题 1 字符"/>
    <w:link w:val="2"/>
    <w:qFormat/>
    <w:uiPriority w:val="0"/>
    <w:rPr>
      <w:rFonts w:ascii="黑体" w:hAnsi="黑体" w:eastAsia="黑体" w:cs="黑体"/>
      <w:color w:val="000000"/>
      <w:sz w:val="32"/>
    </w:rPr>
  </w:style>
  <w:style w:type="character" w:customStyle="1" w:styleId="149">
    <w:name w:val="标题 2 字符"/>
    <w:link w:val="3"/>
    <w:qFormat/>
    <w:uiPriority w:val="0"/>
    <w:rPr>
      <w:rFonts w:ascii="黑体" w:hAnsi="黑体" w:eastAsia="宋体" w:cs="黑体"/>
      <w:color w:val="000000"/>
      <w:sz w:val="32"/>
    </w:rPr>
  </w:style>
  <w:style w:type="character" w:customStyle="1" w:styleId="150">
    <w:name w:val="标题 3 字符"/>
    <w:link w:val="4"/>
    <w:qFormat/>
    <w:uiPriority w:val="9"/>
    <w:rPr>
      <w:rFonts w:ascii="黑体" w:hAnsi="黑体" w:eastAsia="宋体" w:cs="黑体"/>
      <w:color w:val="000000"/>
      <w:sz w:val="28"/>
    </w:rPr>
  </w:style>
  <w:style w:type="character" w:customStyle="1" w:styleId="151">
    <w:name w:val="标题 4 字符"/>
    <w:link w:val="5"/>
    <w:qFormat/>
    <w:uiPriority w:val="0"/>
    <w:rPr>
      <w:rFonts w:ascii="黑体" w:hAnsi="黑体" w:eastAsia="黑体" w:cs="黑体"/>
      <w:color w:val="000000"/>
      <w:sz w:val="28"/>
    </w:rPr>
  </w:style>
  <w:style w:type="character" w:customStyle="1" w:styleId="152">
    <w:name w:val="标题 5 字符"/>
    <w:link w:val="6"/>
    <w:qFormat/>
    <w:uiPriority w:val="0"/>
    <w:rPr>
      <w:rFonts w:ascii="黑体" w:hAnsi="黑体" w:eastAsia="黑体" w:cs="黑体"/>
      <w:color w:val="000000"/>
      <w:sz w:val="28"/>
    </w:rPr>
  </w:style>
  <w:style w:type="character" w:customStyle="1" w:styleId="153">
    <w:name w:val="标题 6 字符"/>
    <w:link w:val="7"/>
    <w:qFormat/>
    <w:uiPriority w:val="0"/>
    <w:rPr>
      <w:rFonts w:ascii="黑体" w:hAnsi="黑体" w:eastAsia="黑体" w:cs="黑体"/>
      <w:color w:val="000000"/>
      <w:sz w:val="28"/>
    </w:rPr>
  </w:style>
  <w:style w:type="character" w:customStyle="1" w:styleId="154">
    <w:name w:val="标题 7 字符"/>
    <w:basedOn w:val="130"/>
    <w:link w:val="8"/>
    <w:qFormat/>
    <w:uiPriority w:val="0"/>
    <w:rPr>
      <w:rFonts w:ascii="Times New Roman" w:hAnsi="Times New Roman" w:eastAsia="宋体" w:cs="Times New Roman"/>
      <w:b/>
      <w:bCs/>
      <w:kern w:val="0"/>
      <w:sz w:val="24"/>
      <w:szCs w:val="24"/>
    </w:rPr>
  </w:style>
  <w:style w:type="character" w:customStyle="1" w:styleId="155">
    <w:name w:val="标题 8 字符"/>
    <w:basedOn w:val="130"/>
    <w:link w:val="9"/>
    <w:qFormat/>
    <w:uiPriority w:val="0"/>
    <w:rPr>
      <w:rFonts w:ascii="Arial" w:hAnsi="Arial" w:eastAsia="黑体" w:cs="Times New Roman"/>
      <w:kern w:val="0"/>
      <w:sz w:val="24"/>
      <w:szCs w:val="24"/>
    </w:rPr>
  </w:style>
  <w:style w:type="character" w:customStyle="1" w:styleId="156">
    <w:name w:val="标题 9 字符"/>
    <w:basedOn w:val="130"/>
    <w:link w:val="10"/>
    <w:qFormat/>
    <w:uiPriority w:val="0"/>
    <w:rPr>
      <w:rFonts w:ascii="Arial" w:hAnsi="Arial" w:eastAsia="黑体" w:cs="Times New Roman"/>
      <w:kern w:val="0"/>
      <w:szCs w:val="21"/>
    </w:rPr>
  </w:style>
  <w:style w:type="character" w:customStyle="1" w:styleId="157">
    <w:name w:val="注释标题 字符"/>
    <w:basedOn w:val="130"/>
    <w:link w:val="14"/>
    <w:qFormat/>
    <w:uiPriority w:val="0"/>
    <w:rPr>
      <w:rFonts w:ascii="Arial" w:hAnsi="Arial" w:eastAsia="宋体" w:cs="Times New Roman"/>
      <w:szCs w:val="24"/>
    </w:rPr>
  </w:style>
  <w:style w:type="character" w:customStyle="1" w:styleId="158">
    <w:name w:val="电子邮件签名 字符"/>
    <w:basedOn w:val="130"/>
    <w:link w:val="17"/>
    <w:qFormat/>
    <w:uiPriority w:val="0"/>
    <w:rPr>
      <w:szCs w:val="24"/>
    </w:rPr>
  </w:style>
  <w:style w:type="character" w:customStyle="1" w:styleId="159">
    <w:name w:val="正文缩进 字符"/>
    <w:basedOn w:val="130"/>
    <w:link w:val="19"/>
    <w:qFormat/>
    <w:uiPriority w:val="0"/>
    <w:rPr>
      <w:rFonts w:ascii="Times New Roman" w:hAnsi="Times New Roman" w:eastAsia="宋体" w:cs="Times New Roman"/>
      <w:kern w:val="0"/>
      <w:szCs w:val="20"/>
    </w:rPr>
  </w:style>
  <w:style w:type="character" w:customStyle="1" w:styleId="160">
    <w:name w:val="文档结构图 字符"/>
    <w:basedOn w:val="130"/>
    <w:link w:val="24"/>
    <w:qFormat/>
    <w:uiPriority w:val="0"/>
    <w:rPr>
      <w:rFonts w:ascii="Times New Roman" w:hAnsi="Times New Roman" w:eastAsia="宋体" w:cs="Times New Roman"/>
      <w:kern w:val="0"/>
      <w:szCs w:val="20"/>
      <w:shd w:val="clear" w:color="auto" w:fill="000080"/>
    </w:rPr>
  </w:style>
  <w:style w:type="character" w:customStyle="1" w:styleId="161">
    <w:name w:val="批注文字 字符"/>
    <w:basedOn w:val="130"/>
    <w:link w:val="26"/>
    <w:qFormat/>
    <w:uiPriority w:val="0"/>
    <w:rPr>
      <w:rFonts w:ascii="Times New Roman" w:hAnsi="Times New Roman" w:eastAsia="宋体" w:cs="Times New Roman"/>
      <w:kern w:val="0"/>
      <w:szCs w:val="20"/>
    </w:rPr>
  </w:style>
  <w:style w:type="character" w:customStyle="1" w:styleId="162">
    <w:name w:val="称呼 字符"/>
    <w:basedOn w:val="130"/>
    <w:link w:val="28"/>
    <w:qFormat/>
    <w:uiPriority w:val="0"/>
    <w:rPr>
      <w:szCs w:val="24"/>
    </w:rPr>
  </w:style>
  <w:style w:type="character" w:customStyle="1" w:styleId="163">
    <w:name w:val="正文文本 3 字符"/>
    <w:basedOn w:val="130"/>
    <w:link w:val="29"/>
    <w:qFormat/>
    <w:uiPriority w:val="0"/>
    <w:rPr>
      <w:rFonts w:ascii="Times New Roman" w:hAnsi="宋体" w:eastAsia="宋体" w:cs="Times New Roman"/>
      <w:color w:val="000000"/>
      <w:kern w:val="0"/>
      <w:sz w:val="24"/>
      <w:szCs w:val="20"/>
    </w:rPr>
  </w:style>
  <w:style w:type="character" w:customStyle="1" w:styleId="164">
    <w:name w:val="结束语 字符"/>
    <w:basedOn w:val="130"/>
    <w:link w:val="30"/>
    <w:qFormat/>
    <w:uiPriority w:val="0"/>
    <w:rPr>
      <w:szCs w:val="24"/>
    </w:rPr>
  </w:style>
  <w:style w:type="character" w:customStyle="1" w:styleId="165">
    <w:name w:val="正文文本 字符"/>
    <w:basedOn w:val="130"/>
    <w:link w:val="32"/>
    <w:qFormat/>
    <w:uiPriority w:val="0"/>
    <w:rPr>
      <w:rFonts w:ascii="宋体" w:hAnsi="Times New Roman" w:eastAsia="宋体" w:cs="Times New Roman"/>
      <w:kern w:val="0"/>
      <w:sz w:val="28"/>
      <w:szCs w:val="20"/>
    </w:rPr>
  </w:style>
  <w:style w:type="character" w:customStyle="1" w:styleId="166">
    <w:name w:val="正文文本缩进 字符"/>
    <w:basedOn w:val="130"/>
    <w:link w:val="33"/>
    <w:qFormat/>
    <w:uiPriority w:val="0"/>
    <w:rPr>
      <w:rFonts w:ascii="宋体" w:hAnsi="宋体" w:eastAsia="宋体" w:cs="Times New Roman"/>
      <w:kern w:val="0"/>
      <w:sz w:val="24"/>
      <w:szCs w:val="20"/>
    </w:rPr>
  </w:style>
  <w:style w:type="character" w:customStyle="1" w:styleId="167">
    <w:name w:val="HTML 地址 字符"/>
    <w:basedOn w:val="130"/>
    <w:link w:val="40"/>
    <w:qFormat/>
    <w:uiPriority w:val="0"/>
    <w:rPr>
      <w:i/>
      <w:iCs/>
      <w:szCs w:val="24"/>
    </w:rPr>
  </w:style>
  <w:style w:type="character" w:customStyle="1" w:styleId="168">
    <w:name w:val="纯文本 字符"/>
    <w:basedOn w:val="130"/>
    <w:link w:val="44"/>
    <w:qFormat/>
    <w:uiPriority w:val="0"/>
    <w:rPr>
      <w:rFonts w:ascii="宋体" w:hAnsi="Courier New" w:eastAsia="宋体" w:cs="Times New Roman"/>
      <w:sz w:val="24"/>
      <w:szCs w:val="20"/>
    </w:rPr>
  </w:style>
  <w:style w:type="character" w:customStyle="1" w:styleId="169">
    <w:name w:val="日期 字符"/>
    <w:basedOn w:val="130"/>
    <w:link w:val="49"/>
    <w:qFormat/>
    <w:uiPriority w:val="0"/>
    <w:rPr>
      <w:rFonts w:ascii="Times New Roman" w:hAnsi="Times New Roman" w:eastAsia="宋体" w:cs="Times New Roman"/>
      <w:kern w:val="0"/>
      <w:szCs w:val="20"/>
    </w:rPr>
  </w:style>
  <w:style w:type="character" w:customStyle="1" w:styleId="170">
    <w:name w:val="正文文本缩进 2 字符"/>
    <w:basedOn w:val="130"/>
    <w:link w:val="50"/>
    <w:qFormat/>
    <w:uiPriority w:val="0"/>
    <w:rPr>
      <w:rFonts w:ascii="Times New Roman" w:hAnsi="Times New Roman" w:eastAsia="宋体" w:cs="Times New Roman"/>
      <w:kern w:val="0"/>
      <w:szCs w:val="20"/>
    </w:rPr>
  </w:style>
  <w:style w:type="character" w:customStyle="1" w:styleId="171">
    <w:name w:val="批注框文本 字符"/>
    <w:basedOn w:val="130"/>
    <w:link w:val="52"/>
    <w:qFormat/>
    <w:uiPriority w:val="0"/>
    <w:rPr>
      <w:rFonts w:ascii="Calibri" w:hAnsi="Calibri" w:eastAsia="Calibri" w:cs="Calibri"/>
      <w:color w:val="000000"/>
      <w:sz w:val="18"/>
      <w:szCs w:val="18"/>
    </w:rPr>
  </w:style>
  <w:style w:type="character" w:customStyle="1" w:styleId="172">
    <w:name w:val="页脚 字符"/>
    <w:basedOn w:val="130"/>
    <w:link w:val="53"/>
    <w:qFormat/>
    <w:uiPriority w:val="99"/>
    <w:rPr>
      <w:rFonts w:ascii="Calibri" w:hAnsi="Calibri" w:eastAsia="Calibri" w:cs="Calibri"/>
      <w:color w:val="000000"/>
      <w:sz w:val="18"/>
      <w:szCs w:val="18"/>
    </w:rPr>
  </w:style>
  <w:style w:type="character" w:customStyle="1" w:styleId="173">
    <w:name w:val="页眉 字符"/>
    <w:basedOn w:val="130"/>
    <w:link w:val="54"/>
    <w:qFormat/>
    <w:uiPriority w:val="99"/>
    <w:rPr>
      <w:rFonts w:ascii="Calibri" w:hAnsi="Calibri" w:eastAsia="Calibri" w:cs="Calibri"/>
      <w:color w:val="000000"/>
      <w:sz w:val="18"/>
      <w:szCs w:val="18"/>
    </w:rPr>
  </w:style>
  <w:style w:type="character" w:customStyle="1" w:styleId="174">
    <w:name w:val="签名 字符"/>
    <w:basedOn w:val="130"/>
    <w:link w:val="55"/>
    <w:qFormat/>
    <w:uiPriority w:val="0"/>
    <w:rPr>
      <w:szCs w:val="24"/>
    </w:rPr>
  </w:style>
  <w:style w:type="character" w:customStyle="1" w:styleId="175">
    <w:name w:val="副标题 字符"/>
    <w:basedOn w:val="130"/>
    <w:link w:val="61"/>
    <w:qFormat/>
    <w:uiPriority w:val="0"/>
    <w:rPr>
      <w:rFonts w:ascii="Cambria" w:hAnsi="Cambria"/>
      <w:sz w:val="24"/>
      <w:szCs w:val="24"/>
      <w:lang w:eastAsia="en-US" w:bidi="en-US"/>
    </w:rPr>
  </w:style>
  <w:style w:type="character" w:customStyle="1" w:styleId="176">
    <w:name w:val="脚注文本 字符"/>
    <w:basedOn w:val="130"/>
    <w:link w:val="64"/>
    <w:qFormat/>
    <w:uiPriority w:val="0"/>
    <w:rPr>
      <w:rFonts w:ascii="宋体" w:hAnsi="Times New Roman" w:eastAsia="宋体" w:cs="Times New Roman"/>
      <w:sz w:val="18"/>
      <w:szCs w:val="20"/>
    </w:rPr>
  </w:style>
  <w:style w:type="character" w:customStyle="1" w:styleId="177">
    <w:name w:val="正文文本缩进 3 字符"/>
    <w:basedOn w:val="130"/>
    <w:link w:val="67"/>
    <w:qFormat/>
    <w:uiPriority w:val="0"/>
    <w:rPr>
      <w:rFonts w:ascii="Times New Roman" w:hAnsi="Times New Roman" w:eastAsia="宋体" w:cs="Times New Roman"/>
      <w:kern w:val="0"/>
      <w:sz w:val="16"/>
      <w:szCs w:val="16"/>
    </w:rPr>
  </w:style>
  <w:style w:type="character" w:customStyle="1" w:styleId="178">
    <w:name w:val="正文文本 2 字符"/>
    <w:basedOn w:val="130"/>
    <w:link w:val="73"/>
    <w:qFormat/>
    <w:uiPriority w:val="0"/>
    <w:rPr>
      <w:rFonts w:ascii="宋体" w:hAnsi="宋体" w:eastAsia="宋体" w:cs="Times New Roman"/>
      <w:color w:val="0000FF"/>
      <w:kern w:val="0"/>
      <w:sz w:val="28"/>
      <w:szCs w:val="20"/>
    </w:rPr>
  </w:style>
  <w:style w:type="character" w:customStyle="1" w:styleId="179">
    <w:name w:val="信息标题 字符"/>
    <w:basedOn w:val="130"/>
    <w:link w:val="76"/>
    <w:qFormat/>
    <w:uiPriority w:val="0"/>
    <w:rPr>
      <w:rFonts w:ascii="Arial" w:hAnsi="Arial" w:eastAsia="宋体" w:cs="Arial"/>
      <w:sz w:val="24"/>
      <w:szCs w:val="24"/>
      <w:shd w:val="pct20" w:color="auto" w:fill="auto"/>
    </w:rPr>
  </w:style>
  <w:style w:type="character" w:customStyle="1" w:styleId="180">
    <w:name w:val="HTML 预设格式 字符"/>
    <w:basedOn w:val="130"/>
    <w:link w:val="77"/>
    <w:qFormat/>
    <w:uiPriority w:val="0"/>
    <w:rPr>
      <w:rFonts w:ascii="Courier New" w:hAnsi="Courier New" w:eastAsia="宋体" w:cs="Courier New"/>
      <w:sz w:val="20"/>
      <w:szCs w:val="20"/>
    </w:rPr>
  </w:style>
  <w:style w:type="character" w:customStyle="1" w:styleId="181">
    <w:name w:val="标题 字符"/>
    <w:basedOn w:val="130"/>
    <w:link w:val="81"/>
    <w:qFormat/>
    <w:uiPriority w:val="0"/>
    <w:rPr>
      <w:rFonts w:ascii="Arial" w:hAnsi="Arial" w:eastAsia="宋体" w:cs="Times New Roman"/>
      <w:b/>
      <w:sz w:val="32"/>
      <w:szCs w:val="20"/>
    </w:rPr>
  </w:style>
  <w:style w:type="character" w:customStyle="1" w:styleId="182">
    <w:name w:val="批注主题 字符"/>
    <w:basedOn w:val="161"/>
    <w:link w:val="82"/>
    <w:qFormat/>
    <w:uiPriority w:val="0"/>
    <w:rPr>
      <w:rFonts w:ascii="Times New Roman" w:hAnsi="Times New Roman" w:eastAsia="宋体" w:cs="Times New Roman"/>
      <w:b/>
      <w:bCs/>
      <w:kern w:val="0"/>
      <w:szCs w:val="20"/>
    </w:rPr>
  </w:style>
  <w:style w:type="character" w:customStyle="1" w:styleId="183">
    <w:name w:val="正文文本首行缩进 字符"/>
    <w:basedOn w:val="165"/>
    <w:link w:val="83"/>
    <w:qFormat/>
    <w:uiPriority w:val="0"/>
    <w:rPr>
      <w:rFonts w:ascii="Times New Roman" w:hAnsi="Times New Roman" w:eastAsia="宋体" w:cs="Times New Roman"/>
      <w:kern w:val="0"/>
      <w:sz w:val="24"/>
      <w:szCs w:val="20"/>
    </w:rPr>
  </w:style>
  <w:style w:type="character" w:customStyle="1" w:styleId="184">
    <w:name w:val="正文文本首行缩进 2 字符"/>
    <w:basedOn w:val="166"/>
    <w:link w:val="84"/>
    <w:qFormat/>
    <w:uiPriority w:val="0"/>
    <w:rPr>
      <w:rFonts w:ascii="宋体" w:hAnsi="Times New Roman" w:eastAsia="宋体" w:cs="Times New Roman"/>
      <w:kern w:val="0"/>
      <w:sz w:val="24"/>
      <w:szCs w:val="20"/>
    </w:rPr>
  </w:style>
  <w:style w:type="paragraph" w:customStyle="1" w:styleId="185">
    <w:name w:val="Default"/>
    <w:next w:val="6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86">
    <w:name w:val="Normal Indent1"/>
    <w:basedOn w:val="187"/>
    <w:qFormat/>
    <w:uiPriority w:val="0"/>
    <w:pPr>
      <w:ind w:firstLine="420" w:firstLineChars="200"/>
    </w:pPr>
    <w:rPr>
      <w:rFonts w:ascii="Times New Roman" w:hAnsi="Times New Roman" w:cs="Times New Roman"/>
    </w:rPr>
  </w:style>
  <w:style w:type="paragraph" w:customStyle="1" w:styleId="187">
    <w:name w:val="正文 New New New New New New New New New New New New"/>
    <w:next w:val="186"/>
    <w:qFormat/>
    <w:uiPriority w:val="0"/>
    <w:pPr>
      <w:widowControl w:val="0"/>
      <w:jc w:val="both"/>
    </w:pPr>
    <w:rPr>
      <w:rFonts w:ascii="Calibri" w:hAnsi="Calibri" w:eastAsia="宋体" w:cs="Calibri"/>
      <w:kern w:val="2"/>
      <w:sz w:val="32"/>
      <w:szCs w:val="21"/>
      <w:lang w:val="en-US" w:eastAsia="zh-CN" w:bidi="ar-SA"/>
    </w:rPr>
  </w:style>
  <w:style w:type="table" w:customStyle="1" w:styleId="188">
    <w:name w:val="TableGrid"/>
    <w:qFormat/>
    <w:uiPriority w:val="0"/>
    <w:tblPr>
      <w:tblCellMar>
        <w:top w:w="0" w:type="dxa"/>
        <w:left w:w="0" w:type="dxa"/>
        <w:bottom w:w="0" w:type="dxa"/>
        <w:right w:w="0" w:type="dxa"/>
      </w:tblCellMar>
    </w:tblPr>
  </w:style>
  <w:style w:type="paragraph" w:styleId="189">
    <w:name w:val="List Paragraph"/>
    <w:basedOn w:val="1"/>
    <w:qFormat/>
    <w:uiPriority w:val="99"/>
    <w:pPr>
      <w:widowControl w:val="0"/>
      <w:spacing w:after="0" w:line="240" w:lineRule="auto"/>
      <w:ind w:firstLine="420" w:firstLineChars="200"/>
      <w:jc w:val="both"/>
    </w:pPr>
    <w:rPr>
      <w:rFonts w:cs="Times New Roman"/>
      <w:color w:val="auto"/>
    </w:rPr>
  </w:style>
  <w:style w:type="character" w:customStyle="1" w:styleId="190">
    <w:name w:val="纯文本 Char"/>
    <w:basedOn w:val="130"/>
    <w:qFormat/>
    <w:uiPriority w:val="0"/>
    <w:rPr>
      <w:rFonts w:ascii="宋体" w:hAnsi="Courier New" w:eastAsia="宋体" w:cs="Courier New"/>
      <w:color w:val="000000"/>
      <w:szCs w:val="21"/>
    </w:rPr>
  </w:style>
  <w:style w:type="paragraph" w:customStyle="1" w:styleId="191">
    <w:name w:val="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192">
    <w:name w:val="标题 7 Char"/>
    <w:basedOn w:val="130"/>
    <w:semiHidden/>
    <w:qFormat/>
    <w:uiPriority w:val="9"/>
    <w:rPr>
      <w:rFonts w:ascii="Calibri" w:hAnsi="Calibri" w:eastAsia="Calibri" w:cs="Calibri"/>
      <w:b/>
      <w:bCs/>
      <w:color w:val="000000"/>
      <w:sz w:val="24"/>
      <w:szCs w:val="24"/>
    </w:rPr>
  </w:style>
  <w:style w:type="character" w:customStyle="1" w:styleId="193">
    <w:name w:val="标题 1 Char1"/>
    <w:basedOn w:val="130"/>
    <w:qFormat/>
    <w:uiPriority w:val="0"/>
    <w:rPr>
      <w:rFonts w:ascii="Times New Roman" w:hAnsi="Times New Roman" w:eastAsia="宋体" w:cs="Times New Roman"/>
      <w:kern w:val="44"/>
      <w:sz w:val="30"/>
      <w:szCs w:val="20"/>
    </w:rPr>
  </w:style>
  <w:style w:type="paragraph" w:customStyle="1" w:styleId="194">
    <w:name w:val="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195">
    <w:name w:val="正文1"/>
    <w:basedOn w:val="1"/>
    <w:qFormat/>
    <w:uiPriority w:val="0"/>
    <w:pPr>
      <w:widowControl w:val="0"/>
      <w:adjustRightInd w:val="0"/>
      <w:spacing w:after="0" w:line="360" w:lineRule="atLeast"/>
      <w:textAlignment w:val="baseline"/>
    </w:pPr>
    <w:rPr>
      <w:rFonts w:ascii="宋体" w:hAnsi="Times New Roman" w:cs="Times New Roman"/>
      <w:color w:val="auto"/>
      <w:kern w:val="0"/>
      <w:sz w:val="24"/>
      <w:szCs w:val="20"/>
    </w:rPr>
  </w:style>
  <w:style w:type="paragraph" w:customStyle="1" w:styleId="196">
    <w:name w:val="样式2"/>
    <w:basedOn w:val="1"/>
    <w:link w:val="197"/>
    <w:qFormat/>
    <w:uiPriority w:val="0"/>
    <w:pPr>
      <w:widowControl w:val="0"/>
      <w:adjustRightInd w:val="0"/>
      <w:spacing w:after="0" w:line="410" w:lineRule="atLeast"/>
      <w:textAlignment w:val="baseline"/>
    </w:pPr>
    <w:rPr>
      <w:rFonts w:ascii="Times New Roman" w:hAnsi="Times New Roman" w:cs="Times New Roman"/>
      <w:color w:val="auto"/>
      <w:kern w:val="0"/>
      <w:sz w:val="24"/>
      <w:szCs w:val="20"/>
    </w:rPr>
  </w:style>
  <w:style w:type="character" w:customStyle="1" w:styleId="197">
    <w:name w:val="样式2 Char"/>
    <w:basedOn w:val="130"/>
    <w:link w:val="196"/>
    <w:qFormat/>
    <w:uiPriority w:val="0"/>
    <w:rPr>
      <w:rFonts w:ascii="Times New Roman" w:hAnsi="Times New Roman" w:eastAsia="宋体" w:cs="Times New Roman"/>
      <w:kern w:val="0"/>
      <w:sz w:val="24"/>
      <w:szCs w:val="20"/>
    </w:rPr>
  </w:style>
  <w:style w:type="paragraph" w:customStyle="1" w:styleId="198">
    <w:name w:val="标题1 Char Char Char"/>
    <w:basedOn w:val="2"/>
    <w:qFormat/>
    <w:uiPriority w:val="0"/>
    <w:pPr>
      <w:widowControl w:val="0"/>
      <w:adjustRightInd w:val="0"/>
      <w:snapToGrid w:val="0"/>
      <w:spacing w:afterLines="50" w:line="360" w:lineRule="auto"/>
      <w:ind w:left="0" w:right="0" w:firstLine="0"/>
      <w:textAlignment w:val="baseline"/>
      <w:outlineLvl w:val="9"/>
    </w:pPr>
    <w:rPr>
      <w:rFonts w:ascii="Times New Roman" w:hAnsi="宋体" w:eastAsia="宋体" w:cs="Times New Roman"/>
      <w:b/>
      <w:color w:val="auto"/>
      <w:kern w:val="44"/>
      <w:sz w:val="21"/>
      <w:szCs w:val="21"/>
    </w:rPr>
  </w:style>
  <w:style w:type="character" w:customStyle="1" w:styleId="199">
    <w:name w:val="标题1 Char Char Char Char"/>
    <w:basedOn w:val="148"/>
    <w:qFormat/>
    <w:uiPriority w:val="0"/>
    <w:rPr>
      <w:rFonts w:ascii="Times New Roman" w:hAnsi="Times New Roman" w:eastAsia="宋体" w:cs="Times New Roman"/>
      <w:b/>
      <w:bCs/>
      <w:color w:val="000000"/>
      <w:kern w:val="44"/>
      <w:sz w:val="28"/>
      <w:szCs w:val="44"/>
      <w:lang w:val="en-US" w:eastAsia="zh-CN" w:bidi="ar-SA"/>
    </w:rPr>
  </w:style>
  <w:style w:type="paragraph" w:customStyle="1" w:styleId="200">
    <w:name w:val="样式1"/>
    <w:basedOn w:val="1"/>
    <w:qFormat/>
    <w:uiPriority w:val="0"/>
    <w:pPr>
      <w:widowControl w:val="0"/>
      <w:adjustRightInd w:val="0"/>
      <w:spacing w:after="0" w:line="420" w:lineRule="auto"/>
      <w:jc w:val="center"/>
      <w:textAlignment w:val="baseline"/>
    </w:pPr>
    <w:rPr>
      <w:rFonts w:ascii="宋体" w:hAnsi="Times New Roman" w:cs="Times New Roman"/>
      <w:color w:val="auto"/>
      <w:kern w:val="0"/>
      <w:sz w:val="24"/>
      <w:szCs w:val="20"/>
    </w:rPr>
  </w:style>
  <w:style w:type="character" w:customStyle="1" w:styleId="201">
    <w:name w:val="标题 2李洪 Char"/>
    <w:basedOn w:val="130"/>
    <w:qFormat/>
    <w:uiPriority w:val="0"/>
    <w:rPr>
      <w:rFonts w:eastAsia="宋体"/>
      <w:kern w:val="2"/>
      <w:sz w:val="21"/>
      <w:szCs w:val="24"/>
      <w:lang w:val="en-US" w:eastAsia="zh-CN" w:bidi="ar-SA"/>
    </w:rPr>
  </w:style>
  <w:style w:type="paragraph" w:customStyle="1" w:styleId="202">
    <w:name w:val="标题1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3">
    <w:name w:val="标题 2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4">
    <w:name w:val="标题 3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5">
    <w:name w:val="标题 4李洪"/>
    <w:basedOn w:val="1"/>
    <w:qFormat/>
    <w:uiPriority w:val="0"/>
    <w:pPr>
      <w:widowControl w:val="0"/>
      <w:tabs>
        <w:tab w:val="left" w:pos="567"/>
      </w:tabs>
      <w:spacing w:after="0" w:line="240" w:lineRule="auto"/>
      <w:ind w:left="567"/>
      <w:jc w:val="both"/>
    </w:pPr>
    <w:rPr>
      <w:rFonts w:ascii="Times New Roman" w:hAnsi="Times New Roman" w:cs="Times New Roman"/>
      <w:color w:val="auto"/>
      <w:szCs w:val="24"/>
    </w:rPr>
  </w:style>
  <w:style w:type="paragraph" w:customStyle="1" w:styleId="206">
    <w:name w:val="标题 5李洪"/>
    <w:basedOn w:val="1"/>
    <w:qFormat/>
    <w:uiPriority w:val="0"/>
    <w:pPr>
      <w:widowControl w:val="0"/>
      <w:tabs>
        <w:tab w:val="left" w:pos="567"/>
      </w:tabs>
      <w:spacing w:after="0" w:line="240" w:lineRule="auto"/>
      <w:ind w:left="567"/>
      <w:jc w:val="both"/>
    </w:pPr>
    <w:rPr>
      <w:rFonts w:ascii="Times New Roman" w:hAnsi="Times New Roman" w:cs="Times New Roman"/>
      <w:color w:val="auto"/>
      <w:szCs w:val="24"/>
    </w:rPr>
  </w:style>
  <w:style w:type="paragraph" w:customStyle="1" w:styleId="207">
    <w:name w:val="附件标题1李洪"/>
    <w:basedOn w:val="1"/>
    <w:qFormat/>
    <w:uiPriority w:val="0"/>
    <w:pPr>
      <w:widowControl w:val="0"/>
      <w:tabs>
        <w:tab w:val="left" w:pos="0"/>
      </w:tabs>
      <w:spacing w:after="0" w:line="240" w:lineRule="auto"/>
      <w:jc w:val="both"/>
    </w:pPr>
    <w:rPr>
      <w:rFonts w:ascii="Times New Roman" w:hAnsi="Times New Roman" w:cs="Times New Roman"/>
      <w:color w:val="auto"/>
      <w:szCs w:val="24"/>
    </w:rPr>
  </w:style>
  <w:style w:type="paragraph" w:customStyle="1" w:styleId="208">
    <w:name w:val="附件标题2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9">
    <w:name w:val="日期1"/>
    <w:basedOn w:val="1"/>
    <w:next w:val="1"/>
    <w:qFormat/>
    <w:uiPriority w:val="0"/>
    <w:pPr>
      <w:widowControl w:val="0"/>
      <w:adjustRightInd w:val="0"/>
      <w:spacing w:after="0" w:line="240" w:lineRule="auto"/>
      <w:jc w:val="both"/>
      <w:textAlignment w:val="baseline"/>
    </w:pPr>
    <w:rPr>
      <w:rFonts w:ascii="Times New Roman" w:hAnsi="Times New Roman" w:cs="Times New Roman"/>
      <w:color w:val="auto"/>
      <w:sz w:val="28"/>
      <w:szCs w:val="20"/>
    </w:rPr>
  </w:style>
  <w:style w:type="paragraph" w:customStyle="1" w:styleId="210">
    <w:name w:val="biao"/>
    <w:basedOn w:val="1"/>
    <w:qFormat/>
    <w:uiPriority w:val="0"/>
    <w:pPr>
      <w:widowControl w:val="0"/>
      <w:tabs>
        <w:tab w:val="left" w:pos="2340"/>
      </w:tabs>
      <w:autoSpaceDE w:val="0"/>
      <w:autoSpaceDN w:val="0"/>
      <w:adjustRightInd w:val="0"/>
      <w:spacing w:after="0" w:line="240" w:lineRule="atLeast"/>
      <w:jc w:val="center"/>
    </w:pPr>
    <w:rPr>
      <w:rFonts w:hint="eastAsia" w:ascii="黑体" w:hAnsi="Tms Rmn" w:eastAsia="黑体" w:cs="Times New Roman"/>
      <w:color w:val="auto"/>
      <w:kern w:val="0"/>
      <w:sz w:val="30"/>
      <w:szCs w:val="20"/>
    </w:rPr>
  </w:style>
  <w:style w:type="paragraph" w:customStyle="1" w:styleId="211">
    <w:name w:val="Char1 Char Char Char"/>
    <w:basedOn w:val="1"/>
    <w:qFormat/>
    <w:uiPriority w:val="0"/>
    <w:pPr>
      <w:widowControl w:val="0"/>
      <w:spacing w:after="0" w:line="240" w:lineRule="auto"/>
      <w:jc w:val="both"/>
    </w:pPr>
    <w:rPr>
      <w:rFonts w:ascii="Times New Roman" w:hAnsi="Times New Roman" w:cs="Times New Roman"/>
      <w:color w:val="auto"/>
      <w:szCs w:val="20"/>
    </w:rPr>
  </w:style>
  <w:style w:type="paragraph" w:customStyle="1" w:styleId="212">
    <w:name w:val="中机"/>
    <w:basedOn w:val="1"/>
    <w:qFormat/>
    <w:uiPriority w:val="0"/>
    <w:pPr>
      <w:widowControl w:val="0"/>
      <w:spacing w:after="0" w:line="240" w:lineRule="auto"/>
      <w:jc w:val="both"/>
    </w:pPr>
    <w:rPr>
      <w:rFonts w:ascii="Times New Roman" w:hAnsi="Times New Roman" w:eastAsia="黑体" w:cs="Times New Roman"/>
      <w:color w:val="auto"/>
      <w:sz w:val="28"/>
      <w:szCs w:val="20"/>
    </w:rPr>
  </w:style>
  <w:style w:type="paragraph" w:customStyle="1" w:styleId="213">
    <w:name w:val="默认段落字体 Para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14">
    <w:name w:val="Char Char Char Char Char Char Char Char Char"/>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215">
    <w:name w:val="默认段落字体 Para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16">
    <w:name w:val="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17">
    <w:name w:val="Char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18">
    <w:name w:val="Char Char Char1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19">
    <w:name w:val="标题2"/>
    <w:basedOn w:val="3"/>
    <w:qFormat/>
    <w:uiPriority w:val="0"/>
    <w:pPr>
      <w:widowControl w:val="0"/>
      <w:tabs>
        <w:tab w:val="left" w:pos="567"/>
      </w:tabs>
      <w:adjustRightInd w:val="0"/>
      <w:spacing w:after="0" w:line="360" w:lineRule="auto"/>
      <w:ind w:left="0" w:right="0" w:firstLine="0"/>
      <w:jc w:val="both"/>
      <w:textAlignment w:val="baseline"/>
    </w:pPr>
    <w:rPr>
      <w:rFonts w:ascii="Times New Roman" w:hAnsi="Times New Roman" w:cs="Times New Roman"/>
      <w:color w:val="auto"/>
      <w:kern w:val="0"/>
      <w:sz w:val="24"/>
      <w:szCs w:val="20"/>
    </w:rPr>
  </w:style>
  <w:style w:type="paragraph" w:customStyle="1" w:styleId="220">
    <w:name w:val="标题3李洪"/>
    <w:basedOn w:val="1"/>
    <w:qFormat/>
    <w:uiPriority w:val="0"/>
    <w:pPr>
      <w:spacing w:after="0" w:line="240" w:lineRule="auto"/>
    </w:pPr>
    <w:rPr>
      <w:rFonts w:ascii="Times New Roman" w:hAnsi="Times New Roman" w:cs="Times New Roman"/>
      <w:color w:val="auto"/>
      <w:kern w:val="0"/>
      <w:sz w:val="20"/>
      <w:szCs w:val="20"/>
    </w:rPr>
  </w:style>
  <w:style w:type="paragraph" w:customStyle="1" w:styleId="221">
    <w:name w:val="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22">
    <w:name w:val="修订1"/>
    <w:qFormat/>
    <w:uiPriority w:val="0"/>
    <w:rPr>
      <w:rFonts w:ascii="Times New Roman" w:hAnsi="Times New Roman" w:eastAsia="宋体" w:cs="Times New Roman"/>
      <w:sz w:val="21"/>
      <w:lang w:val="en-US" w:eastAsia="zh-CN" w:bidi="ar-SA"/>
    </w:rPr>
  </w:style>
  <w:style w:type="paragraph" w:customStyle="1" w:styleId="223">
    <w:name w:val="Char2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24">
    <w:name w:val="正文宋体"/>
    <w:basedOn w:val="1"/>
    <w:qFormat/>
    <w:uiPriority w:val="0"/>
    <w:pPr>
      <w:widowControl w:val="0"/>
      <w:autoSpaceDE w:val="0"/>
      <w:autoSpaceDN w:val="0"/>
      <w:adjustRightInd w:val="0"/>
      <w:spacing w:after="0" w:line="360" w:lineRule="auto"/>
      <w:ind w:left="300" w:leftChars="300"/>
      <w:jc w:val="both"/>
    </w:pPr>
    <w:rPr>
      <w:rFonts w:ascii="Times New Roman" w:hAnsi="Times New Roman" w:cs="Times New Roman"/>
      <w:color w:val="auto"/>
      <w:sz w:val="24"/>
      <w:szCs w:val="24"/>
    </w:rPr>
  </w:style>
  <w:style w:type="paragraph" w:customStyle="1" w:styleId="225">
    <w:name w:val="表格"/>
    <w:basedOn w:val="1"/>
    <w:link w:val="226"/>
    <w:qFormat/>
    <w:uiPriority w:val="0"/>
    <w:pPr>
      <w:widowControl w:val="0"/>
      <w:autoSpaceDE w:val="0"/>
      <w:autoSpaceDN w:val="0"/>
      <w:adjustRightInd w:val="0"/>
      <w:spacing w:after="0" w:line="360" w:lineRule="auto"/>
    </w:pPr>
    <w:rPr>
      <w:rFonts w:ascii="楷体_GB2312" w:hAnsi="宋体" w:cs="Arial"/>
      <w:bCs/>
      <w:color w:val="auto"/>
      <w:sz w:val="24"/>
      <w:szCs w:val="52"/>
    </w:rPr>
  </w:style>
  <w:style w:type="character" w:customStyle="1" w:styleId="226">
    <w:name w:val="表格 Char"/>
    <w:basedOn w:val="130"/>
    <w:link w:val="225"/>
    <w:qFormat/>
    <w:uiPriority w:val="0"/>
    <w:rPr>
      <w:rFonts w:ascii="楷体_GB2312" w:hAnsi="宋体" w:eastAsia="宋体" w:cs="Arial"/>
      <w:bCs/>
      <w:sz w:val="24"/>
      <w:szCs w:val="52"/>
    </w:rPr>
  </w:style>
  <w:style w:type="paragraph" w:customStyle="1" w:styleId="227">
    <w:name w:val="默认段落字体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28">
    <w:name w:val="正文2"/>
    <w:qFormat/>
    <w:uiPriority w:val="0"/>
    <w:pPr>
      <w:widowControl w:val="0"/>
      <w:numPr>
        <w:ilvl w:val="0"/>
        <w:numId w:val="11"/>
      </w:numPr>
      <w:tabs>
        <w:tab w:val="clear" w:pos="1440"/>
      </w:tabs>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229">
    <w:name w:val="标题4"/>
    <w:basedOn w:val="5"/>
    <w:link w:val="230"/>
    <w:qFormat/>
    <w:uiPriority w:val="99"/>
    <w:pPr>
      <w:keepLines w:val="0"/>
      <w:widowControl w:val="0"/>
      <w:tabs>
        <w:tab w:val="left" w:pos="420"/>
        <w:tab w:val="left" w:pos="480"/>
        <w:tab w:val="left" w:pos="1140"/>
      </w:tabs>
      <w:adjustRightInd w:val="0"/>
      <w:snapToGrid w:val="0"/>
      <w:spacing w:before="120" w:after="0" w:line="360" w:lineRule="auto"/>
      <w:ind w:left="1140" w:right="0" w:hanging="1140"/>
      <w:jc w:val="both"/>
      <w:textAlignment w:val="baseline"/>
    </w:pPr>
    <w:rPr>
      <w:rFonts w:ascii="Arial" w:hAnsi="Arial" w:eastAsia="宋体" w:cs="Times New Roman"/>
      <w:b/>
      <w:color w:val="auto"/>
      <w:kern w:val="0"/>
      <w:sz w:val="24"/>
      <w:szCs w:val="20"/>
    </w:rPr>
  </w:style>
  <w:style w:type="character" w:customStyle="1" w:styleId="230">
    <w:name w:val="标题4 Char"/>
    <w:link w:val="229"/>
    <w:qFormat/>
    <w:locked/>
    <w:uiPriority w:val="99"/>
    <w:rPr>
      <w:rFonts w:ascii="Arial" w:hAnsi="Arial" w:eastAsia="宋体" w:cs="Times New Roman"/>
      <w:b/>
      <w:kern w:val="0"/>
      <w:sz w:val="24"/>
      <w:szCs w:val="20"/>
    </w:rPr>
  </w:style>
  <w:style w:type="paragraph" w:customStyle="1" w:styleId="231">
    <w:name w:val="表题"/>
    <w:basedOn w:val="19"/>
    <w:qFormat/>
    <w:uiPriority w:val="0"/>
    <w:pPr>
      <w:adjustRightInd/>
      <w:spacing w:line="100" w:lineRule="atLeast"/>
      <w:ind w:firstLine="0"/>
      <w:jc w:val="center"/>
      <w:textAlignment w:val="auto"/>
    </w:pPr>
    <w:rPr>
      <w:kern w:val="2"/>
      <w:sz w:val="24"/>
    </w:rPr>
  </w:style>
  <w:style w:type="paragraph" w:customStyle="1" w:styleId="232">
    <w:name w:val="(1)"/>
    <w:basedOn w:val="1"/>
    <w:qFormat/>
    <w:uiPriority w:val="0"/>
    <w:pPr>
      <w:widowControl w:val="0"/>
      <w:tabs>
        <w:tab w:val="left" w:pos="573"/>
      </w:tabs>
      <w:adjustRightInd w:val="0"/>
      <w:snapToGrid w:val="0"/>
      <w:spacing w:before="80" w:after="100" w:line="240" w:lineRule="atLeast"/>
      <w:jc w:val="both"/>
      <w:textAlignment w:val="baseline"/>
    </w:pPr>
    <w:rPr>
      <w:rFonts w:ascii="Arial" w:hAnsi="Arial" w:cs="Times New Roman"/>
      <w:color w:val="auto"/>
      <w:kern w:val="44"/>
      <w:sz w:val="24"/>
      <w:szCs w:val="24"/>
    </w:rPr>
  </w:style>
  <w:style w:type="paragraph" w:customStyle="1" w:styleId="233">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szCs w:val="24"/>
      <w:lang w:val="en-US" w:eastAsia="zh-CN" w:bidi="ar-SA"/>
    </w:rPr>
  </w:style>
  <w:style w:type="paragraph" w:customStyle="1" w:styleId="234">
    <w:name w:val="??1"/>
    <w:basedOn w:val="1"/>
    <w:qFormat/>
    <w:uiPriority w:val="0"/>
    <w:pPr>
      <w:framePr w:hSpace="181" w:wrap="around" w:vAnchor="text" w:hAnchor="margin" w:y="1"/>
      <w:widowControl w:val="0"/>
      <w:autoSpaceDE w:val="0"/>
      <w:autoSpaceDN w:val="0"/>
      <w:adjustRightInd w:val="0"/>
      <w:spacing w:after="0" w:line="360" w:lineRule="atLeast"/>
      <w:textAlignment w:val="baseline"/>
    </w:pPr>
    <w:rPr>
      <w:rFonts w:ascii="宋体" w:hAnsi="Tms Rmn" w:cs="Times New Roman"/>
      <w:color w:val="auto"/>
      <w:kern w:val="0"/>
      <w:sz w:val="28"/>
      <w:szCs w:val="20"/>
    </w:rPr>
  </w:style>
  <w:style w:type="paragraph" w:customStyle="1" w:styleId="235">
    <w:name w:val="Style1"/>
    <w:basedOn w:val="1"/>
    <w:qFormat/>
    <w:uiPriority w:val="0"/>
    <w:pPr>
      <w:tabs>
        <w:tab w:val="left" w:pos="-720"/>
      </w:tabs>
      <w:spacing w:after="120" w:line="240" w:lineRule="auto"/>
      <w:jc w:val="both"/>
    </w:pPr>
    <w:rPr>
      <w:rFonts w:ascii="Times New Roman" w:hAnsi="Times New Roman" w:cs="Times New Roman"/>
      <w:color w:val="auto"/>
      <w:spacing w:val="-3"/>
      <w:kern w:val="0"/>
      <w:sz w:val="24"/>
      <w:szCs w:val="20"/>
      <w:lang w:val="en-AU" w:eastAsia="en-US"/>
    </w:rPr>
  </w:style>
  <w:style w:type="paragraph" w:customStyle="1" w:styleId="236">
    <w:name w:val="§1.1"/>
    <w:next w:val="1"/>
    <w:qFormat/>
    <w:uiPriority w:val="0"/>
    <w:pPr>
      <w:numPr>
        <w:ilvl w:val="1"/>
        <w:numId w:val="12"/>
      </w:numPr>
      <w:spacing w:before="120" w:after="120"/>
      <w:jc w:val="both"/>
      <w:outlineLvl w:val="1"/>
    </w:pPr>
    <w:rPr>
      <w:rFonts w:ascii="Arial" w:hAnsi="Arial" w:eastAsia="宋体" w:cs="Arial"/>
      <w:b/>
      <w:smallCaps/>
      <w:lang w:val="en-US" w:eastAsia="en-US" w:bidi="ar-SA"/>
    </w:rPr>
  </w:style>
  <w:style w:type="paragraph" w:customStyle="1" w:styleId="237">
    <w:name w:val="附件"/>
    <w:basedOn w:val="1"/>
    <w:qFormat/>
    <w:uiPriority w:val="0"/>
    <w:pPr>
      <w:widowControl w:val="0"/>
      <w:adjustRightInd w:val="0"/>
      <w:spacing w:before="120" w:after="60" w:line="240" w:lineRule="auto"/>
      <w:jc w:val="center"/>
      <w:textAlignment w:val="center"/>
    </w:pPr>
    <w:rPr>
      <w:rFonts w:ascii="黑体" w:hAnsi="Times New Roman" w:eastAsia="黑体" w:cs="Times New Roman"/>
      <w:b/>
      <w:color w:val="auto"/>
      <w:kern w:val="0"/>
      <w:sz w:val="32"/>
      <w:szCs w:val="20"/>
    </w:rPr>
  </w:style>
  <w:style w:type="paragraph" w:customStyle="1" w:styleId="238">
    <w:name w:val="默认段落字体 Para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39">
    <w:name w:val="Char Char2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40">
    <w:name w:val="A"/>
    <w:basedOn w:val="1"/>
    <w:qFormat/>
    <w:uiPriority w:val="0"/>
    <w:pPr>
      <w:widowControl w:val="0"/>
      <w:adjustRightInd w:val="0"/>
      <w:spacing w:after="0" w:line="480" w:lineRule="atLeast"/>
      <w:jc w:val="center"/>
      <w:textAlignment w:val="baseline"/>
    </w:pPr>
    <w:rPr>
      <w:rFonts w:ascii="宋体" w:hAnsi="Times New Roman" w:cs="Times New Roman"/>
      <w:color w:val="auto"/>
      <w:kern w:val="0"/>
      <w:sz w:val="32"/>
      <w:szCs w:val="20"/>
    </w:rPr>
  </w:style>
  <w:style w:type="paragraph" w:customStyle="1" w:styleId="241">
    <w:name w:val="不缩进"/>
    <w:basedOn w:val="1"/>
    <w:qFormat/>
    <w:uiPriority w:val="0"/>
    <w:pPr>
      <w:widowControl w:val="0"/>
      <w:snapToGrid w:val="0"/>
      <w:spacing w:beforeLines="50" w:after="0" w:line="240" w:lineRule="auto"/>
      <w:jc w:val="center"/>
    </w:pPr>
    <w:rPr>
      <w:rFonts w:ascii="Times New Roman" w:hAnsi="Times New Roman" w:cs="Times New Roman"/>
      <w:bCs/>
      <w:sz w:val="24"/>
      <w:szCs w:val="20"/>
    </w:rPr>
  </w:style>
  <w:style w:type="character" w:customStyle="1" w:styleId="242">
    <w:name w:val="标题 2 Char1"/>
    <w:basedOn w:val="130"/>
    <w:qFormat/>
    <w:uiPriority w:val="0"/>
    <w:rPr>
      <w:rFonts w:ascii="Arial" w:hAnsi="Arial" w:eastAsia="黑体" w:cs="Times New Roman"/>
      <w:b/>
      <w:kern w:val="0"/>
      <w:sz w:val="32"/>
      <w:szCs w:val="20"/>
    </w:rPr>
  </w:style>
  <w:style w:type="character" w:customStyle="1" w:styleId="243">
    <w:name w:val="标题 3 Char1"/>
    <w:basedOn w:val="130"/>
    <w:qFormat/>
    <w:uiPriority w:val="0"/>
    <w:rPr>
      <w:rFonts w:ascii="Times New Roman" w:hAnsi="Times New Roman" w:eastAsia="宋体" w:cs="Times New Roman"/>
      <w:b/>
      <w:kern w:val="0"/>
      <w:sz w:val="30"/>
      <w:szCs w:val="20"/>
    </w:rPr>
  </w:style>
  <w:style w:type="character" w:customStyle="1" w:styleId="244">
    <w:name w:val="标题 4 Char2"/>
    <w:basedOn w:val="130"/>
    <w:qFormat/>
    <w:uiPriority w:val="0"/>
    <w:rPr>
      <w:rFonts w:ascii="Arial" w:hAnsi="Arial" w:eastAsia="黑体" w:cs="Times New Roman"/>
      <w:b/>
      <w:bCs/>
      <w:kern w:val="0"/>
      <w:sz w:val="28"/>
      <w:szCs w:val="28"/>
    </w:rPr>
  </w:style>
  <w:style w:type="character" w:customStyle="1" w:styleId="245">
    <w:name w:val="标题 5 Char1"/>
    <w:basedOn w:val="130"/>
    <w:qFormat/>
    <w:uiPriority w:val="0"/>
    <w:rPr>
      <w:rFonts w:ascii="Times New Roman" w:hAnsi="Times New Roman" w:eastAsia="宋体" w:cs="Times New Roman"/>
      <w:b/>
      <w:bCs/>
      <w:kern w:val="0"/>
      <w:sz w:val="28"/>
      <w:szCs w:val="28"/>
    </w:rPr>
  </w:style>
  <w:style w:type="character" w:customStyle="1" w:styleId="246">
    <w:name w:val="标题 6 Char1"/>
    <w:basedOn w:val="130"/>
    <w:qFormat/>
    <w:uiPriority w:val="0"/>
    <w:rPr>
      <w:rFonts w:ascii="Arial" w:hAnsi="Arial" w:eastAsia="黑体" w:cs="Times New Roman"/>
      <w:b/>
      <w:bCs/>
      <w:kern w:val="0"/>
      <w:sz w:val="24"/>
      <w:szCs w:val="24"/>
    </w:rPr>
  </w:style>
  <w:style w:type="paragraph" w:customStyle="1" w:styleId="247">
    <w:name w:val="Char Char Char1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48">
    <w:name w:val="Char Char Char Char Char Char1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49">
    <w:name w:val="默认段落字体 Para Char Char Char Char Char"/>
    <w:basedOn w:val="1"/>
    <w:qFormat/>
    <w:uiPriority w:val="0"/>
    <w:pPr>
      <w:widowControl w:val="0"/>
      <w:spacing w:after="0" w:line="240" w:lineRule="auto"/>
      <w:jc w:val="both"/>
    </w:pPr>
    <w:rPr>
      <w:rFonts w:ascii="Times New Roman" w:hAnsi="Times New Roman" w:cs="Times New Roman"/>
      <w:color w:val="auto"/>
      <w:szCs w:val="20"/>
    </w:rPr>
  </w:style>
  <w:style w:type="paragraph" w:customStyle="1" w:styleId="250">
    <w:name w:val="Char Char3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51">
    <w:name w:val="样式 标题 3 + 黑色"/>
    <w:basedOn w:val="4"/>
    <w:qFormat/>
    <w:uiPriority w:val="0"/>
    <w:pPr>
      <w:keepNext w:val="0"/>
      <w:keepLines w:val="0"/>
      <w:widowControl w:val="0"/>
      <w:spacing w:after="0" w:line="240" w:lineRule="auto"/>
      <w:ind w:left="0" w:right="0" w:firstLine="0"/>
      <w:jc w:val="both"/>
      <w:outlineLvl w:val="9"/>
    </w:pPr>
    <w:rPr>
      <w:rFonts w:ascii="宋体" w:hAnsi="Times New Roman" w:eastAsia="仿宋_GB2312" w:cs="Times New Roman"/>
      <w:sz w:val="24"/>
      <w:szCs w:val="20"/>
    </w:rPr>
  </w:style>
  <w:style w:type="paragraph" w:customStyle="1" w:styleId="252">
    <w:name w:val="样式 标题 1合同标题卷标题H1章节标题b1 + 宋体 小三 段前: 0 磅 段后: 0 磅 行距: 单倍行距"/>
    <w:next w:val="21"/>
    <w:qFormat/>
    <w:uiPriority w:val="0"/>
    <w:pPr>
      <w:keepNext/>
      <w:keepLines/>
      <w:widowControl w:val="0"/>
      <w:tabs>
        <w:tab w:val="left" w:pos="360"/>
        <w:tab w:val="left" w:pos="425"/>
      </w:tabs>
      <w:jc w:val="both"/>
      <w:outlineLvl w:val="1"/>
    </w:pPr>
    <w:rPr>
      <w:rFonts w:ascii="宋体" w:hAnsi="宋体" w:eastAsia="黑体" w:cs="Times New Roman"/>
      <w:b/>
      <w:kern w:val="2"/>
      <w:sz w:val="30"/>
      <w:lang w:val="en-US" w:eastAsia="zh-CN" w:bidi="ar-SA"/>
    </w:rPr>
  </w:style>
  <w:style w:type="paragraph" w:customStyle="1" w:styleId="253">
    <w:name w:val="ST20-3"/>
    <w:basedOn w:val="1"/>
    <w:qFormat/>
    <w:uiPriority w:val="0"/>
    <w:pPr>
      <w:widowControl w:val="0"/>
      <w:numPr>
        <w:ilvl w:val="0"/>
        <w:numId w:val="13"/>
      </w:numPr>
      <w:tabs>
        <w:tab w:val="left" w:pos="680"/>
      </w:tabs>
      <w:adjustRightInd w:val="0"/>
      <w:snapToGrid w:val="0"/>
      <w:spacing w:line="300" w:lineRule="auto"/>
      <w:jc w:val="both"/>
    </w:pPr>
    <w:rPr>
      <w:rFonts w:ascii="Arial" w:hAnsi="Arial" w:cs="Times New Roman"/>
      <w:color w:val="auto"/>
      <w:sz w:val="24"/>
      <w:szCs w:val="20"/>
    </w:rPr>
  </w:style>
  <w:style w:type="character" w:customStyle="1" w:styleId="254">
    <w:name w:val="正文1 Char Char Char Char"/>
    <w:basedOn w:val="130"/>
    <w:qFormat/>
    <w:uiPriority w:val="0"/>
    <w:rPr>
      <w:rFonts w:eastAsia="宋体"/>
      <w:kern w:val="2"/>
      <w:sz w:val="24"/>
      <w:lang w:val="en-US" w:eastAsia="zh-CN" w:bidi="ar-SA"/>
    </w:rPr>
  </w:style>
  <w:style w:type="character" w:customStyle="1" w:styleId="255">
    <w:name w:val="条标题1.1.1 Char Char Char Char Char Char Char Char Char Char"/>
    <w:basedOn w:val="130"/>
    <w:qFormat/>
    <w:uiPriority w:val="0"/>
    <w:rPr>
      <w:rFonts w:ascii="宋体" w:hAnsi="宋体" w:eastAsia="宋体"/>
      <w:b/>
      <w:bCs/>
      <w:iCs/>
      <w:kern w:val="2"/>
      <w:sz w:val="24"/>
      <w:szCs w:val="24"/>
      <w:lang w:val="en-US" w:eastAsia="zh-CN" w:bidi="ar-SA"/>
    </w:rPr>
  </w:style>
  <w:style w:type="character" w:customStyle="1" w:styleId="256">
    <w:name w:val="标题 Char1"/>
    <w:basedOn w:val="130"/>
    <w:qFormat/>
    <w:uiPriority w:val="0"/>
    <w:rPr>
      <w:rFonts w:ascii="Arial" w:hAnsi="Arial" w:eastAsia="宋体"/>
      <w:b/>
      <w:kern w:val="2"/>
      <w:sz w:val="32"/>
      <w:lang w:val="en-US" w:eastAsia="zh-CN" w:bidi="ar-SA"/>
    </w:rPr>
  </w:style>
  <w:style w:type="character" w:customStyle="1" w:styleId="257">
    <w:name w:val="标题 2 Char2 Char"/>
    <w:basedOn w:val="130"/>
    <w:qFormat/>
    <w:uiPriority w:val="0"/>
    <w:rPr>
      <w:rFonts w:eastAsia="宋体"/>
      <w:b/>
      <w:kern w:val="2"/>
      <w:sz w:val="24"/>
      <w:lang w:val="en-US" w:eastAsia="zh-CN" w:bidi="ar-SA"/>
    </w:rPr>
  </w:style>
  <w:style w:type="character" w:customStyle="1" w:styleId="258">
    <w:name w:val="标题3 Char"/>
    <w:basedOn w:val="130"/>
    <w:qFormat/>
    <w:uiPriority w:val="0"/>
    <w:rPr>
      <w:rFonts w:ascii="Arial" w:hAnsi="Arial" w:eastAsia="宋体"/>
      <w:b/>
      <w:bCs/>
      <w:iCs/>
      <w:color w:val="FF0000"/>
      <w:kern w:val="2"/>
      <w:sz w:val="24"/>
      <w:szCs w:val="24"/>
      <w:lang w:val="en-US" w:eastAsia="zh-CN" w:bidi="ar-SA"/>
    </w:rPr>
  </w:style>
  <w:style w:type="character" w:customStyle="1" w:styleId="259">
    <w:name w:val="Char Char"/>
    <w:basedOn w:val="130"/>
    <w:qFormat/>
    <w:uiPriority w:val="0"/>
    <w:rPr>
      <w:rFonts w:ascii="Arial" w:hAnsi="Arial" w:eastAsia="宋体" w:cs="Arial"/>
      <w:kern w:val="2"/>
      <w:sz w:val="24"/>
      <w:szCs w:val="24"/>
      <w:lang w:val="en-US" w:eastAsia="zh-CN" w:bidi="ar-SA"/>
    </w:rPr>
  </w:style>
  <w:style w:type="character" w:customStyle="1" w:styleId="260">
    <w:name w:val="b1 Char Char"/>
    <w:basedOn w:val="259"/>
    <w:qFormat/>
    <w:uiPriority w:val="0"/>
    <w:rPr>
      <w:rFonts w:ascii="Arial" w:hAnsi="Arial" w:eastAsia="宋体" w:cs="Arial"/>
      <w:b/>
      <w:kern w:val="44"/>
      <w:sz w:val="24"/>
      <w:szCs w:val="24"/>
      <w:lang w:val="en-US" w:eastAsia="zh-CN" w:bidi="ar-SA"/>
    </w:rPr>
  </w:style>
  <w:style w:type="character" w:customStyle="1" w:styleId="261">
    <w:name w:val="不同e"/>
    <w:basedOn w:val="130"/>
    <w:qFormat/>
    <w:uiPriority w:val="0"/>
    <w:rPr>
      <w:rFonts w:ascii="宋体" w:hAnsi="宋体" w:eastAsia="宋体"/>
      <w:color w:val="FF0000"/>
      <w:kern w:val="22"/>
      <w:sz w:val="22"/>
    </w:rPr>
  </w:style>
  <w:style w:type="paragraph" w:customStyle="1" w:styleId="262">
    <w:name w:val="tiao"/>
    <w:basedOn w:val="1"/>
    <w:qFormat/>
    <w:uiPriority w:val="0"/>
    <w:pPr>
      <w:widowControl w:val="0"/>
      <w:autoSpaceDE w:val="0"/>
      <w:autoSpaceDN w:val="0"/>
      <w:adjustRightInd w:val="0"/>
      <w:spacing w:after="0" w:line="360" w:lineRule="atLeast"/>
      <w:ind w:left="964" w:hanging="964"/>
      <w:jc w:val="both"/>
    </w:pPr>
    <w:rPr>
      <w:rFonts w:hint="eastAsia" w:ascii="宋体" w:hAnsi="Tms Rmn" w:cs="Times New Roman"/>
      <w:color w:val="auto"/>
      <w:kern w:val="0"/>
      <w:sz w:val="24"/>
      <w:szCs w:val="20"/>
    </w:rPr>
  </w:style>
  <w:style w:type="paragraph" w:customStyle="1" w:styleId="263">
    <w:name w:val="mjd"/>
    <w:basedOn w:val="1"/>
    <w:qFormat/>
    <w:uiPriority w:val="0"/>
    <w:pPr>
      <w:widowControl w:val="0"/>
      <w:tabs>
        <w:tab w:val="left" w:pos="1080"/>
        <w:tab w:val="left" w:pos="6960"/>
      </w:tabs>
      <w:autoSpaceDE w:val="0"/>
      <w:autoSpaceDN w:val="0"/>
      <w:adjustRightInd w:val="0"/>
      <w:spacing w:after="0" w:line="312" w:lineRule="atLeast"/>
      <w:ind w:left="1080" w:hanging="1080"/>
    </w:pPr>
    <w:rPr>
      <w:rFonts w:hint="eastAsia" w:ascii="宋体" w:hAnsi="Tms Rmn" w:cs="Times New Roman"/>
      <w:color w:val="auto"/>
      <w:kern w:val="0"/>
      <w:szCs w:val="20"/>
    </w:rPr>
  </w:style>
  <w:style w:type="paragraph" w:customStyle="1" w:styleId="264">
    <w:name w:val="Plain Text1"/>
    <w:basedOn w:val="1"/>
    <w:qFormat/>
    <w:uiPriority w:val="0"/>
    <w:pPr>
      <w:widowControl w:val="0"/>
      <w:overflowPunct w:val="0"/>
      <w:autoSpaceDE w:val="0"/>
      <w:autoSpaceDN w:val="0"/>
      <w:adjustRightInd w:val="0"/>
      <w:snapToGrid w:val="0"/>
      <w:spacing w:after="0" w:line="240" w:lineRule="auto"/>
      <w:jc w:val="both"/>
      <w:textAlignment w:val="baseline"/>
    </w:pPr>
    <w:rPr>
      <w:rFonts w:ascii="宋体" w:hAnsi="Times New Roman" w:cs="Times New Roman"/>
      <w:color w:val="auto"/>
      <w:kern w:val="0"/>
      <w:sz w:val="28"/>
      <w:szCs w:val="20"/>
    </w:rPr>
  </w:style>
  <w:style w:type="paragraph" w:customStyle="1" w:styleId="265">
    <w:name w:val="正文1 Char Char Char"/>
    <w:basedOn w:val="1"/>
    <w:qFormat/>
    <w:uiPriority w:val="0"/>
    <w:pPr>
      <w:widowControl w:val="0"/>
      <w:adjustRightInd w:val="0"/>
      <w:snapToGrid w:val="0"/>
      <w:spacing w:after="0" w:line="240" w:lineRule="auto"/>
      <w:jc w:val="both"/>
    </w:pPr>
    <w:rPr>
      <w:rFonts w:ascii="Times New Roman" w:hAnsi="Times New Roman" w:cs="Times New Roman"/>
      <w:color w:val="auto"/>
      <w:sz w:val="24"/>
      <w:szCs w:val="20"/>
    </w:rPr>
  </w:style>
  <w:style w:type="paragraph" w:customStyle="1" w:styleId="266">
    <w:name w:val="表格1"/>
    <w:basedOn w:val="1"/>
    <w:qFormat/>
    <w:uiPriority w:val="0"/>
    <w:pPr>
      <w:widowControl w:val="0"/>
      <w:tabs>
        <w:tab w:val="left" w:pos="0"/>
      </w:tabs>
      <w:adjustRightInd w:val="0"/>
      <w:snapToGrid w:val="0"/>
      <w:spacing w:after="0" w:line="360" w:lineRule="atLeast"/>
      <w:jc w:val="center"/>
      <w:textAlignment w:val="baseline"/>
    </w:pPr>
    <w:rPr>
      <w:rFonts w:ascii="Times New Roman" w:hAnsi="Times New Roman" w:cs="Times New Roman"/>
      <w:color w:val="auto"/>
      <w:kern w:val="0"/>
      <w:szCs w:val="20"/>
    </w:rPr>
  </w:style>
  <w:style w:type="paragraph" w:customStyle="1" w:styleId="267">
    <w:name w:val="正文文本缩进 21"/>
    <w:basedOn w:val="1"/>
    <w:qFormat/>
    <w:uiPriority w:val="0"/>
    <w:pPr>
      <w:widowControl w:val="0"/>
      <w:autoSpaceDE w:val="0"/>
      <w:autoSpaceDN w:val="0"/>
      <w:adjustRightInd w:val="0"/>
      <w:snapToGrid w:val="0"/>
      <w:spacing w:before="60" w:after="60" w:line="240" w:lineRule="atLeast"/>
      <w:ind w:firstLine="567"/>
      <w:jc w:val="both"/>
      <w:textAlignment w:val="baseline"/>
    </w:pPr>
    <w:rPr>
      <w:rFonts w:ascii="Times New Roman" w:hAnsi="Times New Roman" w:cs="Times New Roman"/>
      <w:color w:val="auto"/>
      <w:kern w:val="0"/>
      <w:sz w:val="28"/>
      <w:szCs w:val="20"/>
    </w:rPr>
  </w:style>
  <w:style w:type="paragraph" w:customStyle="1" w:styleId="268">
    <w:name w:val="ST20_1"/>
    <w:basedOn w:val="1"/>
    <w:next w:val="1"/>
    <w:qFormat/>
    <w:uiPriority w:val="0"/>
    <w:pPr>
      <w:keepNext/>
      <w:keepLines/>
      <w:widowControl w:val="0"/>
      <w:tabs>
        <w:tab w:val="left" w:pos="720"/>
        <w:tab w:val="left" w:pos="907"/>
        <w:tab w:val="right" w:leader="dot" w:pos="8400"/>
      </w:tabs>
      <w:adjustRightInd w:val="0"/>
      <w:snapToGrid w:val="0"/>
      <w:spacing w:before="120" w:after="120" w:line="300" w:lineRule="auto"/>
      <w:ind w:left="907" w:hanging="510"/>
    </w:pPr>
    <w:rPr>
      <w:rFonts w:ascii="Arial" w:hAnsi="Arial" w:cs="Times New Roman"/>
      <w:color w:val="auto"/>
      <w:kern w:val="0"/>
      <w:sz w:val="24"/>
      <w:szCs w:val="20"/>
    </w:rPr>
  </w:style>
  <w:style w:type="paragraph" w:customStyle="1" w:styleId="269">
    <w:name w:val="正文1 Char Char"/>
    <w:basedOn w:val="1"/>
    <w:qFormat/>
    <w:uiPriority w:val="0"/>
    <w:pPr>
      <w:widowControl w:val="0"/>
      <w:numPr>
        <w:ilvl w:val="0"/>
        <w:numId w:val="14"/>
      </w:numPr>
      <w:tabs>
        <w:tab w:val="clear" w:pos="1834"/>
      </w:tabs>
      <w:adjustRightInd w:val="0"/>
      <w:snapToGrid w:val="0"/>
      <w:spacing w:after="0" w:line="240" w:lineRule="auto"/>
      <w:ind w:left="0" w:firstLine="0"/>
      <w:jc w:val="both"/>
    </w:pPr>
    <w:rPr>
      <w:rFonts w:ascii="Times New Roman" w:hAnsi="Times New Roman" w:cs="Times New Roman"/>
      <w:color w:val="auto"/>
      <w:sz w:val="24"/>
      <w:szCs w:val="20"/>
    </w:rPr>
  </w:style>
  <w:style w:type="paragraph" w:customStyle="1" w:styleId="270">
    <w:name w:val="标题1"/>
    <w:basedOn w:val="2"/>
    <w:qFormat/>
    <w:uiPriority w:val="0"/>
    <w:pPr>
      <w:widowControl w:val="0"/>
      <w:tabs>
        <w:tab w:val="left" w:pos="720"/>
      </w:tabs>
      <w:adjustRightInd w:val="0"/>
      <w:snapToGrid w:val="0"/>
      <w:spacing w:after="0" w:line="480" w:lineRule="atLeast"/>
      <w:ind w:left="0" w:right="0" w:firstLine="0"/>
      <w:jc w:val="both"/>
      <w:textAlignment w:val="baseline"/>
    </w:pPr>
    <w:rPr>
      <w:rFonts w:ascii="Times New Roman" w:hAnsi="Times New Roman" w:eastAsia="宋体" w:cs="Times New Roman"/>
      <w:b/>
      <w:kern w:val="44"/>
      <w:sz w:val="24"/>
      <w:szCs w:val="24"/>
    </w:rPr>
  </w:style>
  <w:style w:type="paragraph" w:customStyle="1" w:styleId="271">
    <w:name w:val="正文3"/>
    <w:qFormat/>
    <w:uiPriority w:val="0"/>
    <w:pPr>
      <w:tabs>
        <w:tab w:val="left" w:pos="1440"/>
      </w:tabs>
      <w:spacing w:line="360" w:lineRule="auto"/>
      <w:ind w:left="1440" w:hanging="1440"/>
    </w:pPr>
    <w:rPr>
      <w:rFonts w:ascii="Times New Roman" w:hAnsi="Times New Roman" w:eastAsia="宋体" w:cs="Times New Roman"/>
      <w:sz w:val="24"/>
      <w:lang w:val="en-US" w:eastAsia="zh-CN" w:bidi="ar-SA"/>
    </w:rPr>
  </w:style>
  <w:style w:type="paragraph" w:customStyle="1" w:styleId="272">
    <w:name w:val="ST20-2"/>
    <w:basedOn w:val="1"/>
    <w:qFormat/>
    <w:uiPriority w:val="0"/>
    <w:pPr>
      <w:widowControl w:val="0"/>
      <w:tabs>
        <w:tab w:val="left" w:pos="425"/>
        <w:tab w:val="left" w:pos="567"/>
        <w:tab w:val="left" w:pos="720"/>
      </w:tabs>
      <w:adjustRightInd w:val="0"/>
      <w:snapToGrid w:val="0"/>
      <w:spacing w:after="120" w:line="300" w:lineRule="auto"/>
      <w:ind w:left="1247" w:hanging="425"/>
      <w:jc w:val="both"/>
    </w:pPr>
    <w:rPr>
      <w:rFonts w:ascii="宋体" w:hAnsi="Arial" w:cs="Times New Roman"/>
      <w:color w:val="auto"/>
      <w:sz w:val="24"/>
      <w:szCs w:val="20"/>
    </w:rPr>
  </w:style>
  <w:style w:type="paragraph" w:customStyle="1" w:styleId="273">
    <w:name w:val="杠"/>
    <w:basedOn w:val="19"/>
    <w:qFormat/>
    <w:uiPriority w:val="0"/>
    <w:pPr>
      <w:numPr>
        <w:ilvl w:val="0"/>
        <w:numId w:val="15"/>
      </w:numPr>
      <w:tabs>
        <w:tab w:val="left" w:pos="425"/>
        <w:tab w:val="left" w:pos="1320"/>
      </w:tabs>
      <w:snapToGrid w:val="0"/>
      <w:spacing w:before="120" w:line="300" w:lineRule="auto"/>
      <w:ind w:left="1559" w:hanging="720"/>
    </w:pPr>
    <w:rPr>
      <w:rFonts w:ascii="Arial" w:hAnsi="Arial"/>
      <w:kern w:val="2"/>
      <w:sz w:val="24"/>
    </w:rPr>
  </w:style>
  <w:style w:type="paragraph" w:customStyle="1" w:styleId="274">
    <w:name w:val="Standard.bz"/>
    <w:qFormat/>
    <w:uiPriority w:val="0"/>
    <w:rPr>
      <w:rFonts w:ascii="Arial" w:hAnsi="Arial" w:eastAsia="PMingLiU" w:cs="Times New Roman"/>
      <w:sz w:val="22"/>
      <w:lang w:val="de-DE" w:eastAsia="de-DE" w:bidi="ar-SA"/>
    </w:rPr>
  </w:style>
  <w:style w:type="paragraph" w:customStyle="1" w:styleId="275">
    <w:name w:val="Formatvorlage1"/>
    <w:basedOn w:val="1"/>
    <w:qFormat/>
    <w:uiPriority w:val="0"/>
    <w:pPr>
      <w:spacing w:after="0" w:line="240" w:lineRule="auto"/>
    </w:pPr>
    <w:rPr>
      <w:rFonts w:ascii="Arial" w:hAnsi="Arial" w:eastAsia="PMingLiU" w:cs="Times New Roman"/>
      <w:color w:val="auto"/>
      <w:kern w:val="0"/>
      <w:szCs w:val="20"/>
      <w:lang w:eastAsia="de-DE"/>
    </w:rPr>
  </w:style>
  <w:style w:type="paragraph" w:customStyle="1" w:styleId="276">
    <w:name w:val="Simone"/>
    <w:basedOn w:val="1"/>
    <w:qFormat/>
    <w:uiPriority w:val="0"/>
    <w:pPr>
      <w:spacing w:after="0" w:line="240" w:lineRule="auto"/>
    </w:pPr>
    <w:rPr>
      <w:rFonts w:ascii="Arial" w:hAnsi="Arial" w:eastAsia="PMingLiU" w:cs="Times New Roman"/>
      <w:b/>
      <w:color w:val="auto"/>
      <w:kern w:val="0"/>
      <w:sz w:val="24"/>
      <w:szCs w:val="20"/>
      <w:u w:val="single"/>
      <w:lang w:eastAsia="de-DE"/>
    </w:rPr>
  </w:style>
  <w:style w:type="paragraph" w:customStyle="1" w:styleId="277">
    <w:name w:val="xl35"/>
    <w:basedOn w:val="1"/>
    <w:qFormat/>
    <w:uiPriority w:val="0"/>
    <w:pPr>
      <w:pBdr>
        <w:lef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278">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279">
    <w:name w:val="Char Char1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80">
    <w:name w:val="Char1 Char Char Char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81">
    <w:name w:val="••"/>
    <w:basedOn w:val="1"/>
    <w:qFormat/>
    <w:uiPriority w:val="0"/>
    <w:pPr>
      <w:widowControl w:val="0"/>
      <w:numPr>
        <w:ilvl w:val="0"/>
        <w:numId w:val="16"/>
      </w:numPr>
      <w:adjustRightInd w:val="0"/>
      <w:snapToGrid w:val="0"/>
      <w:spacing w:before="120" w:after="120" w:line="240" w:lineRule="auto"/>
      <w:jc w:val="both"/>
      <w:textAlignment w:val="baseline"/>
    </w:pPr>
    <w:rPr>
      <w:rFonts w:ascii="Times New Roman" w:hAnsi="Times New Roman" w:cs="Times New Roman"/>
      <w:snapToGrid w:val="0"/>
      <w:color w:val="auto"/>
      <w:kern w:val="0"/>
      <w:sz w:val="24"/>
      <w:szCs w:val="24"/>
    </w:rPr>
  </w:style>
  <w:style w:type="paragraph" w:customStyle="1" w:styleId="282">
    <w:name w:val="内容3"/>
    <w:basedOn w:val="1"/>
    <w:qFormat/>
    <w:uiPriority w:val="0"/>
    <w:pPr>
      <w:numPr>
        <w:ilvl w:val="1"/>
        <w:numId w:val="17"/>
      </w:numPr>
      <w:tabs>
        <w:tab w:val="left" w:pos="1287"/>
      </w:tabs>
      <w:spacing w:after="0" w:line="360" w:lineRule="auto"/>
      <w:ind w:left="1134" w:hanging="567"/>
      <w:jc w:val="both"/>
    </w:pPr>
    <w:rPr>
      <w:rFonts w:ascii="Times New Roman" w:hAnsi="Times New Roman" w:cs="Times New Roman"/>
      <w:color w:val="auto"/>
      <w:sz w:val="24"/>
      <w:szCs w:val="24"/>
    </w:rPr>
  </w:style>
  <w:style w:type="paragraph" w:customStyle="1" w:styleId="283">
    <w:name w:val="附录一级条标题"/>
    <w:basedOn w:val="1"/>
    <w:next w:val="4"/>
    <w:qFormat/>
    <w:uiPriority w:val="0"/>
    <w:pPr>
      <w:numPr>
        <w:ilvl w:val="3"/>
        <w:numId w:val="17"/>
      </w:numPr>
      <w:wordWrap w:val="0"/>
      <w:overflowPunct w:val="0"/>
      <w:autoSpaceDE w:val="0"/>
      <w:autoSpaceDN w:val="0"/>
      <w:spacing w:after="0" w:line="240" w:lineRule="auto"/>
      <w:ind w:left="0"/>
      <w:jc w:val="both"/>
      <w:textAlignment w:val="baseline"/>
      <w:outlineLvl w:val="2"/>
    </w:pPr>
    <w:rPr>
      <w:rFonts w:ascii="黑体" w:hAnsi="Times New Roman" w:eastAsia="黑体" w:cs="Times New Roman"/>
      <w:color w:val="auto"/>
      <w:kern w:val="21"/>
      <w:szCs w:val="21"/>
    </w:rPr>
  </w:style>
  <w:style w:type="paragraph" w:customStyle="1" w:styleId="284">
    <w:name w:val="封面标准文稿编辑信息"/>
    <w:qFormat/>
    <w:uiPriority w:val="0"/>
    <w:pPr>
      <w:numPr>
        <w:ilvl w:val="2"/>
        <w:numId w:val="17"/>
      </w:numPr>
      <w:spacing w:before="180" w:line="180" w:lineRule="exact"/>
      <w:jc w:val="center"/>
    </w:pPr>
    <w:rPr>
      <w:rFonts w:ascii="宋体" w:hAnsi="Times New Roman" w:eastAsia="宋体" w:cs="Times New Roman"/>
      <w:sz w:val="21"/>
      <w:szCs w:val="21"/>
      <w:lang w:val="en-US" w:eastAsia="zh-CN" w:bidi="ar-SA"/>
    </w:rPr>
  </w:style>
  <w:style w:type="paragraph" w:customStyle="1" w:styleId="285">
    <w:name w:val="文档正文"/>
    <w:basedOn w:val="1"/>
    <w:qFormat/>
    <w:uiPriority w:val="0"/>
    <w:pPr>
      <w:widowControl w:val="0"/>
      <w:adjustRightInd w:val="0"/>
      <w:spacing w:after="0" w:line="312" w:lineRule="atLeast"/>
      <w:ind w:firstLine="567"/>
      <w:jc w:val="both"/>
      <w:textAlignment w:val="baseline"/>
    </w:pPr>
    <w:rPr>
      <w:rFonts w:ascii="长城仿宋" w:hAnsi="Times New Roman" w:eastAsia="长城仿宋" w:cs="Times New Roman"/>
      <w:color w:val="auto"/>
      <w:kern w:val="0"/>
      <w:sz w:val="28"/>
      <w:szCs w:val="20"/>
    </w:rPr>
  </w:style>
  <w:style w:type="paragraph" w:customStyle="1" w:styleId="286">
    <w:name w:val="样式"/>
    <w:basedOn w:val="1"/>
    <w:qFormat/>
    <w:uiPriority w:val="0"/>
    <w:pPr>
      <w:widowControl w:val="0"/>
      <w:autoSpaceDE w:val="0"/>
      <w:autoSpaceDN w:val="0"/>
      <w:snapToGrid w:val="0"/>
      <w:spacing w:before="120" w:after="120" w:line="360" w:lineRule="auto"/>
      <w:jc w:val="both"/>
    </w:pPr>
    <w:rPr>
      <w:rFonts w:ascii="宋体" w:hAnsi="Times New Roman" w:cs="Times New Roman"/>
      <w:color w:val="auto"/>
      <w:sz w:val="24"/>
      <w:szCs w:val="20"/>
    </w:rPr>
  </w:style>
  <w:style w:type="paragraph" w:customStyle="1" w:styleId="287">
    <w:name w:val="Char Char Char Char1 Char Char Char Char Char Char"/>
    <w:basedOn w:val="24"/>
    <w:qFormat/>
    <w:uiPriority w:val="0"/>
  </w:style>
  <w:style w:type="paragraph" w:customStyle="1" w:styleId="288">
    <w:name w:val="默认段落字体 Para Char Char Char Char Char Char Char Char Char Char Char Char Char Char Char1 Char Char Char Char"/>
    <w:basedOn w:val="24"/>
    <w:qFormat/>
    <w:uiPriority w:val="0"/>
  </w:style>
  <w:style w:type="paragraph" w:customStyle="1" w:styleId="289">
    <w:name w:val="Char2"/>
    <w:basedOn w:val="1"/>
    <w:qFormat/>
    <w:uiPriority w:val="0"/>
    <w:pPr>
      <w:widowControl w:val="0"/>
      <w:spacing w:after="0" w:line="240" w:lineRule="auto"/>
      <w:jc w:val="both"/>
    </w:pPr>
    <w:rPr>
      <w:rFonts w:ascii="Tahoma" w:hAnsi="Tahoma" w:cs="Times New Roman"/>
      <w:color w:val="auto"/>
      <w:sz w:val="24"/>
      <w:szCs w:val="20"/>
    </w:rPr>
  </w:style>
  <w:style w:type="paragraph" w:customStyle="1" w:styleId="290">
    <w:name w:val="soustitre"/>
    <w:basedOn w:val="1"/>
    <w:qFormat/>
    <w:uiPriority w:val="0"/>
    <w:pPr>
      <w:tabs>
        <w:tab w:val="left" w:pos="525"/>
      </w:tabs>
      <w:overflowPunct w:val="0"/>
      <w:autoSpaceDE w:val="0"/>
      <w:autoSpaceDN w:val="0"/>
      <w:adjustRightInd w:val="0"/>
      <w:spacing w:after="0" w:line="400" w:lineRule="exact"/>
      <w:jc w:val="center"/>
      <w:textAlignment w:val="baseline"/>
    </w:pPr>
    <w:rPr>
      <w:rFonts w:ascii="New York" w:hAnsi="New York" w:eastAsia="楷体_GB2312" w:cs="Times New Roman"/>
      <w:color w:val="auto"/>
      <w:kern w:val="0"/>
      <w:position w:val="-6"/>
      <w:sz w:val="24"/>
      <w:szCs w:val="20"/>
      <w:lang w:val="fr-FR"/>
    </w:rPr>
  </w:style>
  <w:style w:type="paragraph" w:customStyle="1" w:styleId="291">
    <w:name w:val="普正文2"/>
    <w:basedOn w:val="1"/>
    <w:qFormat/>
    <w:uiPriority w:val="0"/>
    <w:pPr>
      <w:widowControl w:val="0"/>
      <w:adjustRightInd w:val="0"/>
      <w:spacing w:after="0" w:line="318" w:lineRule="atLeast"/>
      <w:ind w:left="964" w:hanging="907"/>
      <w:jc w:val="both"/>
      <w:textAlignment w:val="baseline"/>
    </w:pPr>
    <w:rPr>
      <w:rFonts w:ascii="宋体" w:hAnsi="Times New Roman" w:cs="Times New Roman"/>
      <w:color w:val="auto"/>
      <w:kern w:val="0"/>
      <w:sz w:val="28"/>
      <w:szCs w:val="20"/>
    </w:rPr>
  </w:style>
  <w:style w:type="paragraph" w:customStyle="1" w:styleId="292">
    <w:name w:val="样式 标题3 + 行距: 1.5 倍行距"/>
    <w:basedOn w:val="60"/>
    <w:qFormat/>
    <w:uiPriority w:val="0"/>
  </w:style>
  <w:style w:type="paragraph" w:customStyle="1" w:styleId="293">
    <w:name w:val="横表格"/>
    <w:basedOn w:val="1"/>
    <w:qFormat/>
    <w:uiPriority w:val="0"/>
    <w:pPr>
      <w:widowControl w:val="0"/>
      <w:tabs>
        <w:tab w:val="left" w:pos="1200"/>
      </w:tabs>
      <w:spacing w:after="0" w:line="360" w:lineRule="exact"/>
      <w:ind w:right="-41" w:rightChars="-41"/>
      <w:jc w:val="center"/>
    </w:pPr>
    <w:rPr>
      <w:rFonts w:ascii="宋体" w:hAnsi="Times New Roman" w:cs="Times New Roman"/>
      <w:color w:val="auto"/>
      <w:sz w:val="24"/>
      <w:szCs w:val="24"/>
    </w:rPr>
  </w:style>
  <w:style w:type="paragraph" w:customStyle="1" w:styleId="294">
    <w:name w:val="xl2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Arial Unicode MS" w:cs="Arial"/>
      <w:b/>
      <w:bCs/>
      <w:color w:val="auto"/>
      <w:kern w:val="0"/>
    </w:rPr>
  </w:style>
  <w:style w:type="paragraph" w:customStyle="1" w:styleId="295">
    <w:name w:val="列出段落1"/>
    <w:basedOn w:val="1"/>
    <w:link w:val="296"/>
    <w:qFormat/>
    <w:uiPriority w:val="0"/>
    <w:pPr>
      <w:widowControl w:val="0"/>
      <w:spacing w:after="0" w:line="240" w:lineRule="auto"/>
      <w:ind w:firstLine="420" w:firstLineChars="200"/>
      <w:jc w:val="both"/>
    </w:pPr>
    <w:rPr>
      <w:rFonts w:ascii="Times New Roman" w:hAnsi="Times New Roman" w:cs="Times New Roman"/>
      <w:color w:val="auto"/>
      <w:szCs w:val="24"/>
    </w:rPr>
  </w:style>
  <w:style w:type="character" w:customStyle="1" w:styleId="296">
    <w:name w:val="列出段落 Char"/>
    <w:link w:val="295"/>
    <w:qFormat/>
    <w:uiPriority w:val="0"/>
    <w:rPr>
      <w:rFonts w:ascii="Times New Roman" w:hAnsi="Times New Roman" w:eastAsia="宋体" w:cs="Times New Roman"/>
      <w:szCs w:val="24"/>
    </w:rPr>
  </w:style>
  <w:style w:type="paragraph" w:customStyle="1" w:styleId="297">
    <w:name w:val="p0"/>
    <w:basedOn w:val="1"/>
    <w:qFormat/>
    <w:uiPriority w:val="0"/>
    <w:pPr>
      <w:spacing w:after="0" w:line="240" w:lineRule="auto"/>
      <w:jc w:val="both"/>
    </w:pPr>
    <w:rPr>
      <w:rFonts w:ascii="Times New Roman" w:hAnsi="Times New Roman" w:cs="Times New Roman"/>
      <w:color w:val="auto"/>
      <w:kern w:val="0"/>
      <w:szCs w:val="21"/>
    </w:rPr>
  </w:style>
  <w:style w:type="character" w:customStyle="1" w:styleId="298">
    <w:name w:val="Char Char4"/>
    <w:basedOn w:val="130"/>
    <w:qFormat/>
    <w:uiPriority w:val="0"/>
    <w:rPr>
      <w:rFonts w:eastAsia="宋体"/>
      <w:kern w:val="44"/>
      <w:sz w:val="30"/>
      <w:szCs w:val="24"/>
      <w:lang w:val="en-US" w:eastAsia="zh-CN" w:bidi="ar-SA"/>
    </w:rPr>
  </w:style>
  <w:style w:type="paragraph" w:customStyle="1" w:styleId="299">
    <w:name w:val="Char Char Char1 Char"/>
    <w:basedOn w:val="1"/>
    <w:qFormat/>
    <w:uiPriority w:val="0"/>
    <w:pPr>
      <w:widowControl w:val="0"/>
      <w:spacing w:after="0" w:line="240" w:lineRule="auto"/>
      <w:jc w:val="both"/>
    </w:pPr>
    <w:rPr>
      <w:rFonts w:ascii="Tahoma" w:hAnsi="Tahoma" w:cs="Times New Roman"/>
      <w:color w:val="auto"/>
      <w:sz w:val="24"/>
      <w:szCs w:val="20"/>
    </w:rPr>
  </w:style>
  <w:style w:type="paragraph" w:customStyle="1" w:styleId="300">
    <w:name w:val="正文aa"/>
    <w:basedOn w:val="1"/>
    <w:link w:val="301"/>
    <w:qFormat/>
    <w:uiPriority w:val="0"/>
    <w:pPr>
      <w:widowControl w:val="0"/>
      <w:spacing w:after="0" w:line="360" w:lineRule="auto"/>
      <w:ind w:firstLine="200" w:firstLineChars="200"/>
      <w:jc w:val="both"/>
    </w:pPr>
    <w:rPr>
      <w:rFonts w:ascii="Times New Roman" w:hAnsi="Times New Roman" w:cs="Times New Roman"/>
      <w:color w:val="auto"/>
      <w:sz w:val="24"/>
      <w:szCs w:val="24"/>
    </w:rPr>
  </w:style>
  <w:style w:type="character" w:customStyle="1" w:styleId="301">
    <w:name w:val="正文aa Char"/>
    <w:basedOn w:val="130"/>
    <w:link w:val="300"/>
    <w:qFormat/>
    <w:uiPriority w:val="0"/>
    <w:rPr>
      <w:rFonts w:ascii="Times New Roman" w:hAnsi="Times New Roman" w:eastAsia="宋体" w:cs="Times New Roman"/>
      <w:sz w:val="24"/>
      <w:szCs w:val="24"/>
    </w:rPr>
  </w:style>
  <w:style w:type="paragraph" w:customStyle="1" w:styleId="302">
    <w:name w:val="faauto fs21lochaf15hicha"/>
    <w:qFormat/>
    <w:uiPriority w:val="0"/>
    <w:pPr>
      <w:widowControl w:val="0"/>
      <w:autoSpaceDE w:val="0"/>
      <w:autoSpaceDN w:val="0"/>
      <w:adjustRightInd w:val="0"/>
      <w:jc w:val="both"/>
    </w:pPr>
    <w:rPr>
      <w:rFonts w:ascii="宋体" w:hAnsi="Times New Roman" w:eastAsia="宋体" w:cs="Times New Roman"/>
      <w:lang w:val="en-US" w:eastAsia="zh-CN" w:bidi="ar-SA"/>
    </w:rPr>
  </w:style>
  <w:style w:type="paragraph" w:customStyle="1" w:styleId="303">
    <w:name w:val="正文文本 21"/>
    <w:basedOn w:val="1"/>
    <w:qFormat/>
    <w:uiPriority w:val="0"/>
    <w:pPr>
      <w:widowControl w:val="0"/>
      <w:adjustRightInd w:val="0"/>
      <w:spacing w:after="0" w:line="240" w:lineRule="auto"/>
      <w:ind w:left="425"/>
      <w:jc w:val="both"/>
      <w:textAlignment w:val="baseline"/>
    </w:pPr>
    <w:rPr>
      <w:rFonts w:ascii="宋体" w:hAnsi="Times New Roman" w:cs="Times New Roman"/>
      <w:color w:val="auto"/>
      <w:sz w:val="28"/>
      <w:szCs w:val="20"/>
    </w:rPr>
  </w:style>
  <w:style w:type="paragraph" w:customStyle="1" w:styleId="304">
    <w:name w:val="K01"/>
    <w:basedOn w:val="1"/>
    <w:qFormat/>
    <w:uiPriority w:val="0"/>
    <w:pPr>
      <w:widowControl w:val="0"/>
      <w:adjustRightInd w:val="0"/>
      <w:spacing w:after="120" w:line="360" w:lineRule="auto"/>
      <w:ind w:left="960" w:hanging="393"/>
      <w:textAlignment w:val="baseline"/>
    </w:pPr>
    <w:rPr>
      <w:rFonts w:ascii="宋体" w:hAnsi="Times New Roman" w:cs="Times New Roman"/>
      <w:color w:val="auto"/>
      <w:kern w:val="0"/>
      <w:sz w:val="24"/>
      <w:szCs w:val="20"/>
    </w:rPr>
  </w:style>
  <w:style w:type="paragraph" w:customStyle="1" w:styleId="305">
    <w:name w:val="font5"/>
    <w:basedOn w:val="1"/>
    <w:qFormat/>
    <w:uiPriority w:val="0"/>
    <w:pPr>
      <w:spacing w:beforeLines="50" w:beforeAutospacing="1" w:after="100" w:afterAutospacing="1" w:line="240" w:lineRule="auto"/>
    </w:pPr>
    <w:rPr>
      <w:rFonts w:hint="eastAsia" w:ascii="宋体" w:hAnsi="宋体" w:cs="Times New Roman"/>
      <w:color w:val="auto"/>
      <w:kern w:val="0"/>
      <w:sz w:val="24"/>
      <w:szCs w:val="24"/>
    </w:rPr>
  </w:style>
  <w:style w:type="paragraph" w:customStyle="1" w:styleId="306">
    <w:name w:val="font6"/>
    <w:basedOn w:val="1"/>
    <w:qFormat/>
    <w:uiPriority w:val="0"/>
    <w:pPr>
      <w:spacing w:beforeLines="50" w:beforeAutospacing="1" w:after="100" w:afterAutospacing="1" w:line="240" w:lineRule="auto"/>
    </w:pPr>
    <w:rPr>
      <w:rFonts w:hint="eastAsia" w:ascii="宋体" w:hAnsi="宋体" w:cs="Times New Roman"/>
      <w:color w:val="auto"/>
      <w:kern w:val="0"/>
      <w:sz w:val="18"/>
      <w:szCs w:val="18"/>
    </w:rPr>
  </w:style>
  <w:style w:type="paragraph" w:customStyle="1" w:styleId="307">
    <w:name w:val="font7"/>
    <w:basedOn w:val="1"/>
    <w:qFormat/>
    <w:uiPriority w:val="0"/>
    <w:pPr>
      <w:spacing w:beforeLines="50" w:beforeAutospacing="1" w:after="100" w:afterAutospacing="1" w:line="240" w:lineRule="auto"/>
    </w:pPr>
    <w:rPr>
      <w:rFonts w:ascii="Times New Roman" w:hAnsi="Times New Roman" w:cs="Times New Roman"/>
      <w:color w:val="auto"/>
      <w:kern w:val="0"/>
      <w:sz w:val="24"/>
      <w:szCs w:val="24"/>
    </w:rPr>
  </w:style>
  <w:style w:type="paragraph" w:customStyle="1" w:styleId="308">
    <w:name w:val="font8"/>
    <w:basedOn w:val="1"/>
    <w:qFormat/>
    <w:uiPriority w:val="0"/>
    <w:pPr>
      <w:spacing w:beforeLines="50" w:beforeAutospacing="1" w:after="100" w:afterAutospacing="1" w:line="240" w:lineRule="auto"/>
    </w:pPr>
    <w:rPr>
      <w:rFonts w:ascii="Times New Roman" w:hAnsi="Times New Roman" w:cs="Times New Roman"/>
      <w:color w:val="auto"/>
      <w:kern w:val="0"/>
      <w:sz w:val="24"/>
      <w:szCs w:val="24"/>
    </w:rPr>
  </w:style>
  <w:style w:type="paragraph" w:customStyle="1" w:styleId="309">
    <w:name w:val="font9"/>
    <w:basedOn w:val="1"/>
    <w:qFormat/>
    <w:uiPriority w:val="0"/>
    <w:pPr>
      <w:spacing w:beforeLines="50" w:beforeAutospacing="1" w:after="100" w:afterAutospacing="1" w:line="240" w:lineRule="auto"/>
    </w:pPr>
    <w:rPr>
      <w:rFonts w:ascii="Times New Roman" w:hAnsi="Times New Roman" w:cs="Times New Roman"/>
      <w:color w:val="auto"/>
      <w:kern w:val="0"/>
      <w:sz w:val="24"/>
      <w:szCs w:val="24"/>
      <w:u w:val="single"/>
    </w:rPr>
  </w:style>
  <w:style w:type="paragraph" w:customStyle="1" w:styleId="310">
    <w:name w:val="font10"/>
    <w:basedOn w:val="1"/>
    <w:qFormat/>
    <w:uiPriority w:val="0"/>
    <w:pPr>
      <w:spacing w:beforeLines="50" w:beforeAutospacing="1" w:after="100" w:afterAutospacing="1" w:line="240" w:lineRule="auto"/>
    </w:pPr>
    <w:rPr>
      <w:rFonts w:hint="eastAsia" w:ascii="宋体" w:hAnsi="宋体" w:cs="Times New Roman"/>
      <w:color w:val="auto"/>
      <w:kern w:val="0"/>
    </w:rPr>
  </w:style>
  <w:style w:type="paragraph" w:customStyle="1" w:styleId="311">
    <w:name w:val="font11"/>
    <w:basedOn w:val="1"/>
    <w:qFormat/>
    <w:uiPriority w:val="0"/>
    <w:pPr>
      <w:spacing w:beforeLines="50" w:beforeAutospacing="1" w:after="100" w:afterAutospacing="1" w:line="240" w:lineRule="auto"/>
    </w:pPr>
    <w:rPr>
      <w:rFonts w:hint="eastAsia" w:ascii="宋体" w:hAnsi="宋体" w:cs="Times New Roman"/>
      <w:color w:val="auto"/>
      <w:kern w:val="0"/>
    </w:rPr>
  </w:style>
  <w:style w:type="paragraph" w:customStyle="1" w:styleId="312">
    <w:name w:val="xl24"/>
    <w:basedOn w:val="1"/>
    <w:qFormat/>
    <w:uiPriority w:val="0"/>
    <w:pPr>
      <w:pBdr>
        <w:top w:val="single" w:color="auto" w:sz="4" w:space="0"/>
        <w:left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3">
    <w:name w:val="xl25"/>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sz w:val="24"/>
      <w:szCs w:val="24"/>
    </w:rPr>
  </w:style>
  <w:style w:type="paragraph" w:customStyle="1" w:styleId="314">
    <w:name w:val="xl26"/>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rPr>
  </w:style>
  <w:style w:type="paragraph" w:customStyle="1" w:styleId="315">
    <w:name w:val="xl27"/>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6">
    <w:name w:val="xl28"/>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sz w:val="24"/>
      <w:szCs w:val="24"/>
    </w:rPr>
  </w:style>
  <w:style w:type="paragraph" w:customStyle="1" w:styleId="317">
    <w:name w:val="xl30"/>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8">
    <w:name w:val="xl31"/>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319">
    <w:name w:val="xl32"/>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320">
    <w:name w:val="xl33"/>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0"/>
      <w:szCs w:val="20"/>
    </w:rPr>
  </w:style>
  <w:style w:type="paragraph" w:customStyle="1" w:styleId="321">
    <w:name w:val="xl34"/>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宋体" w:hAnsi="宋体" w:cs="Times New Roman"/>
      <w:color w:val="auto"/>
      <w:kern w:val="0"/>
      <w:sz w:val="24"/>
      <w:szCs w:val="24"/>
    </w:rPr>
  </w:style>
  <w:style w:type="paragraph" w:customStyle="1" w:styleId="322">
    <w:name w:val="xl36"/>
    <w:basedOn w:val="1"/>
    <w:qFormat/>
    <w:uiPriority w:val="0"/>
    <w:pPr>
      <w:pBdr>
        <w:top w:val="single" w:color="auto" w:sz="4" w:space="0"/>
        <w:bottom w:val="single" w:color="auto" w:sz="4" w:space="0"/>
      </w:pBdr>
      <w:spacing w:beforeLines="50" w:beforeAutospacing="1" w:after="100" w:afterAutospacing="1" w:line="240" w:lineRule="auto"/>
      <w:textAlignment w:val="center"/>
    </w:pPr>
    <w:rPr>
      <w:rFonts w:ascii="宋体" w:hAnsi="宋体" w:cs="Times New Roman"/>
      <w:color w:val="auto"/>
      <w:kern w:val="0"/>
      <w:sz w:val="24"/>
      <w:szCs w:val="24"/>
    </w:rPr>
  </w:style>
  <w:style w:type="paragraph" w:customStyle="1" w:styleId="323">
    <w:name w:val="xl37"/>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Times New Roman" w:hAnsi="Times New Roman" w:cs="Times New Roman"/>
      <w:color w:val="auto"/>
      <w:kern w:val="0"/>
    </w:rPr>
  </w:style>
  <w:style w:type="paragraph" w:customStyle="1" w:styleId="324">
    <w:name w:val="xl38"/>
    <w:basedOn w:val="1"/>
    <w:qFormat/>
    <w:uiPriority w:val="0"/>
    <w:pPr>
      <w:pBdr>
        <w:top w:val="single" w:color="auto" w:sz="4" w:space="0"/>
        <w:bottom w:val="single" w:color="auto" w:sz="4" w:space="0"/>
      </w:pBdr>
      <w:spacing w:beforeLines="50" w:beforeAutospacing="1" w:after="100" w:afterAutospacing="1" w:line="240" w:lineRule="auto"/>
      <w:textAlignment w:val="center"/>
    </w:pPr>
    <w:rPr>
      <w:rFonts w:ascii="Times New Roman" w:hAnsi="Times New Roman" w:cs="Times New Roman"/>
      <w:color w:val="auto"/>
      <w:kern w:val="0"/>
      <w:sz w:val="24"/>
      <w:szCs w:val="24"/>
    </w:rPr>
  </w:style>
  <w:style w:type="paragraph" w:customStyle="1" w:styleId="325">
    <w:name w:val="xl40"/>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ind w:firstLine="100" w:firstLineChars="100"/>
      <w:textAlignment w:val="center"/>
    </w:pPr>
    <w:rPr>
      <w:rFonts w:ascii="宋体" w:hAnsi="宋体" w:cs="Times New Roman"/>
      <w:color w:val="auto"/>
      <w:kern w:val="0"/>
      <w:sz w:val="24"/>
      <w:szCs w:val="24"/>
    </w:rPr>
  </w:style>
  <w:style w:type="paragraph" w:customStyle="1" w:styleId="326">
    <w:name w:val="xl41"/>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jc w:val="center"/>
    </w:pPr>
    <w:rPr>
      <w:rFonts w:ascii="宋体" w:hAnsi="宋体" w:cs="Times New Roman"/>
      <w:color w:val="auto"/>
      <w:kern w:val="0"/>
    </w:rPr>
  </w:style>
  <w:style w:type="paragraph" w:customStyle="1" w:styleId="327">
    <w:name w:val="xl42"/>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pPr>
    <w:rPr>
      <w:rFonts w:ascii="宋体" w:hAnsi="宋体" w:cs="Times New Roman"/>
      <w:color w:val="auto"/>
      <w:kern w:val="0"/>
    </w:rPr>
  </w:style>
  <w:style w:type="paragraph" w:customStyle="1" w:styleId="328">
    <w:name w:val="xl43"/>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宋体" w:hAnsi="宋体" w:cs="Times New Roman"/>
      <w:color w:val="auto"/>
      <w:kern w:val="0"/>
    </w:rPr>
  </w:style>
  <w:style w:type="paragraph" w:customStyle="1" w:styleId="329">
    <w:name w:val="xl44"/>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0">
    <w:name w:val="xl45"/>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1">
    <w:name w:val="xl46"/>
    <w:basedOn w:val="1"/>
    <w:qFormat/>
    <w:uiPriority w:val="0"/>
    <w:pPr>
      <w:pBdr>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2">
    <w:name w:val="xl47"/>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pPr>
    <w:rPr>
      <w:rFonts w:ascii="宋体" w:hAnsi="宋体" w:cs="Times New Roman"/>
      <w:color w:val="auto"/>
      <w:kern w:val="0"/>
      <w:sz w:val="28"/>
      <w:szCs w:val="28"/>
    </w:rPr>
  </w:style>
  <w:style w:type="paragraph" w:customStyle="1" w:styleId="333">
    <w:name w:val="xl48"/>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4">
    <w:name w:val="xl49"/>
    <w:basedOn w:val="1"/>
    <w:qFormat/>
    <w:uiPriority w:val="0"/>
    <w:pPr>
      <w:pBdr>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5">
    <w:name w:val="xl50"/>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pPr>
    <w:rPr>
      <w:rFonts w:ascii="宋体" w:hAnsi="宋体" w:cs="Times New Roman"/>
      <w:color w:val="auto"/>
      <w:kern w:val="0"/>
      <w:sz w:val="24"/>
      <w:szCs w:val="24"/>
    </w:rPr>
  </w:style>
  <w:style w:type="paragraph" w:customStyle="1" w:styleId="336">
    <w:name w:val="xl51"/>
    <w:basedOn w:val="1"/>
    <w:qFormat/>
    <w:uiPriority w:val="0"/>
    <w:pPr>
      <w:pBdr>
        <w:top w:val="single" w:color="auto" w:sz="4" w:space="0"/>
        <w:left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7">
    <w:name w:val="xl52"/>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8">
    <w:name w:val="xl53"/>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9">
    <w:name w:val="样式 正文1 + 四号 加粗 黑色 行距: 最小值 20 磅"/>
    <w:basedOn w:val="195"/>
    <w:qFormat/>
    <w:uiPriority w:val="0"/>
    <w:pPr>
      <w:spacing w:line="400" w:lineRule="atLeast"/>
      <w:textAlignment w:val="auto"/>
    </w:pPr>
    <w:rPr>
      <w:rFonts w:hint="eastAsia"/>
      <w:b/>
      <w:bCs/>
      <w:color w:val="000000"/>
      <w:sz w:val="28"/>
      <w:szCs w:val="28"/>
    </w:rPr>
  </w:style>
  <w:style w:type="paragraph" w:customStyle="1" w:styleId="340">
    <w:name w:val="&l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1">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2">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3">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4">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5">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6">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7">
    <w:name w:val="&l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8">
    <w:name w:val="&lt;=&g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9">
    <w:name w:val="==&g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50">
    <w:name w:val="Plain Text Char Char Char"/>
    <w:basedOn w:val="1"/>
    <w:qFormat/>
    <w:uiPriority w:val="0"/>
    <w:pPr>
      <w:widowControl w:val="0"/>
      <w:autoSpaceDE w:val="0"/>
      <w:autoSpaceDN w:val="0"/>
      <w:adjustRightInd w:val="0"/>
      <w:spacing w:after="0" w:line="240" w:lineRule="auto"/>
      <w:jc w:val="both"/>
    </w:pPr>
    <w:rPr>
      <w:rFonts w:ascii="宋体" w:hAnsi="Times New Roman" w:cs="Times New Roman"/>
      <w:color w:val="auto"/>
      <w:sz w:val="24"/>
      <w:szCs w:val="20"/>
    </w:rPr>
  </w:style>
  <w:style w:type="character" w:customStyle="1" w:styleId="351">
    <w:name w:val="标题 1 Char Char Char Char Char Char"/>
    <w:basedOn w:val="130"/>
    <w:qFormat/>
    <w:uiPriority w:val="0"/>
    <w:rPr>
      <w:rFonts w:ascii="宋体" w:eastAsia="宋体"/>
      <w:b/>
      <w:kern w:val="44"/>
      <w:sz w:val="44"/>
      <w:lang w:val="en-US" w:eastAsia="zh-CN" w:bidi="ar-SA"/>
    </w:rPr>
  </w:style>
  <w:style w:type="character" w:customStyle="1" w:styleId="352">
    <w:name w:val="样式2 Char1"/>
    <w:basedOn w:val="130"/>
    <w:qFormat/>
    <w:uiPriority w:val="0"/>
    <w:rPr>
      <w:rFonts w:eastAsia="宋体"/>
      <w:sz w:val="24"/>
      <w:lang w:val="en-US" w:eastAsia="zh-CN" w:bidi="ar-SA"/>
    </w:rPr>
  </w:style>
  <w:style w:type="paragraph" w:customStyle="1" w:styleId="353">
    <w:name w:val="Char Char Char1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54">
    <w:name w:val="正文文字 Char"/>
    <w:basedOn w:val="130"/>
    <w:qFormat/>
    <w:uiPriority w:val="0"/>
    <w:rPr>
      <w:rFonts w:ascii="宋体" w:eastAsia="宋体"/>
      <w:kern w:val="2"/>
      <w:sz w:val="28"/>
      <w:lang w:val="en-US" w:eastAsia="zh-CN" w:bidi="ar-SA"/>
    </w:rPr>
  </w:style>
  <w:style w:type="character" w:customStyle="1" w:styleId="355">
    <w:name w:val="style21"/>
    <w:basedOn w:val="130"/>
    <w:qFormat/>
    <w:uiPriority w:val="0"/>
    <w:rPr>
      <w:b/>
      <w:bCs/>
      <w:sz w:val="21"/>
      <w:szCs w:val="21"/>
    </w:rPr>
  </w:style>
  <w:style w:type="paragraph" w:customStyle="1" w:styleId="356">
    <w:name w:val="aa"/>
    <w:basedOn w:val="73"/>
    <w:qFormat/>
    <w:uiPriority w:val="0"/>
    <w:pPr>
      <w:snapToGrid w:val="0"/>
      <w:spacing w:line="500" w:lineRule="exact"/>
      <w:ind w:firstLine="200" w:firstLineChars="200"/>
    </w:pPr>
    <w:rPr>
      <w:rFonts w:ascii="Times New Roman" w:hAnsi="Times New Roman"/>
      <w:color w:val="auto"/>
      <w:sz w:val="24"/>
    </w:rPr>
  </w:style>
  <w:style w:type="paragraph" w:customStyle="1" w:styleId="357">
    <w:name w:val="1.1类"/>
    <w:basedOn w:val="3"/>
    <w:qFormat/>
    <w:uiPriority w:val="0"/>
    <w:pPr>
      <w:widowControl w:val="0"/>
      <w:adjustRightInd w:val="0"/>
      <w:snapToGrid w:val="0"/>
      <w:spacing w:after="0" w:line="500" w:lineRule="exact"/>
      <w:ind w:left="400" w:right="0" w:hanging="400"/>
      <w:textAlignment w:val="baseline"/>
    </w:pPr>
    <w:rPr>
      <w:rFonts w:ascii="Times New Roman" w:hAnsi="Times New Roman" w:cs="Times New Roman"/>
      <w:b/>
      <w:color w:val="auto"/>
      <w:kern w:val="0"/>
      <w:sz w:val="28"/>
      <w:szCs w:val="28"/>
    </w:rPr>
  </w:style>
  <w:style w:type="paragraph" w:customStyle="1" w:styleId="358">
    <w:name w:val="1类"/>
    <w:basedOn w:val="2"/>
    <w:qFormat/>
    <w:uiPriority w:val="0"/>
    <w:pPr>
      <w:widowControl w:val="0"/>
      <w:adjustRightInd w:val="0"/>
      <w:snapToGrid w:val="0"/>
      <w:spacing w:after="0" w:line="500" w:lineRule="exact"/>
      <w:ind w:left="0" w:right="0" w:firstLine="0"/>
      <w:jc w:val="left"/>
      <w:textAlignment w:val="baseline"/>
    </w:pPr>
    <w:rPr>
      <w:rFonts w:ascii="Times New Roman" w:hAnsi="Times New Roman" w:eastAsia="宋体" w:cs="Times New Roman"/>
      <w:b/>
      <w:bCs/>
      <w:color w:val="auto"/>
      <w:kern w:val="44"/>
      <w:sz w:val="28"/>
      <w:szCs w:val="44"/>
    </w:rPr>
  </w:style>
  <w:style w:type="paragraph" w:customStyle="1" w:styleId="359">
    <w:name w:val="正文-zgd"/>
    <w:basedOn w:val="1"/>
    <w:qFormat/>
    <w:uiPriority w:val="0"/>
    <w:pPr>
      <w:widowControl w:val="0"/>
      <w:adjustRightInd w:val="0"/>
      <w:snapToGrid w:val="0"/>
      <w:spacing w:after="0" w:line="500" w:lineRule="exact"/>
      <w:ind w:firstLine="200" w:firstLineChars="200"/>
      <w:textAlignment w:val="baseline"/>
    </w:pPr>
    <w:rPr>
      <w:rFonts w:ascii="Times New Roman" w:hAnsi="Times New Roman" w:cs="Times New Roman"/>
      <w:bCs/>
      <w:color w:val="auto"/>
      <w:kern w:val="0"/>
      <w:sz w:val="24"/>
      <w:szCs w:val="28"/>
    </w:rPr>
  </w:style>
  <w:style w:type="paragraph" w:customStyle="1" w:styleId="360">
    <w:name w:val="样式 正文-zgd + 首行缩进:  2 字符"/>
    <w:basedOn w:val="359"/>
    <w:qFormat/>
    <w:uiPriority w:val="0"/>
  </w:style>
  <w:style w:type="paragraph" w:customStyle="1" w:styleId="361">
    <w:name w:val="1"/>
    <w:basedOn w:val="2"/>
    <w:qFormat/>
    <w:uiPriority w:val="0"/>
    <w:pPr>
      <w:keepNext w:val="0"/>
      <w:keepLines w:val="0"/>
      <w:pageBreakBefore/>
      <w:widowControl w:val="0"/>
      <w:adjustRightInd w:val="0"/>
      <w:snapToGrid w:val="0"/>
      <w:spacing w:after="0" w:line="500" w:lineRule="exact"/>
      <w:ind w:right="0"/>
      <w:jc w:val="left"/>
      <w:textAlignment w:val="baseline"/>
    </w:pPr>
    <w:rPr>
      <w:rFonts w:ascii="Times New Roman" w:hAnsi="Times New Roman" w:eastAsia="宋体" w:cs="Times New Roman"/>
      <w:b/>
      <w:color w:val="auto"/>
      <w:spacing w:val="20"/>
      <w:kern w:val="0"/>
      <w:sz w:val="28"/>
      <w:szCs w:val="44"/>
    </w:rPr>
  </w:style>
  <w:style w:type="paragraph" w:customStyle="1" w:styleId="362">
    <w:name w:val="1.1"/>
    <w:basedOn w:val="3"/>
    <w:next w:val="32"/>
    <w:qFormat/>
    <w:uiPriority w:val="0"/>
    <w:pPr>
      <w:keepNext w:val="0"/>
      <w:keepLines w:val="0"/>
      <w:widowControl w:val="0"/>
      <w:tabs>
        <w:tab w:val="left" w:pos="480"/>
      </w:tabs>
      <w:adjustRightInd w:val="0"/>
      <w:snapToGrid w:val="0"/>
      <w:spacing w:after="0" w:line="500" w:lineRule="exact"/>
      <w:ind w:left="400" w:right="0" w:hanging="400"/>
      <w:textAlignment w:val="baseline"/>
    </w:pPr>
    <w:rPr>
      <w:rFonts w:ascii="Times New Roman" w:hAnsi="Times New Roman" w:cs="Times New Roman"/>
      <w:b/>
      <w:bCs/>
      <w:color w:val="auto"/>
      <w:kern w:val="0"/>
      <w:sz w:val="28"/>
      <w:szCs w:val="32"/>
    </w:rPr>
  </w:style>
  <w:style w:type="paragraph" w:customStyle="1" w:styleId="363">
    <w:name w:val="zgd"/>
    <w:basedOn w:val="73"/>
    <w:next w:val="1"/>
    <w:qFormat/>
    <w:uiPriority w:val="0"/>
    <w:pPr>
      <w:snapToGrid w:val="0"/>
      <w:spacing w:line="500" w:lineRule="exact"/>
      <w:ind w:firstLine="200" w:firstLineChars="200"/>
    </w:pPr>
    <w:rPr>
      <w:rFonts w:ascii="Times New Roman" w:hAnsi="Times New Roman"/>
      <w:color w:val="000000"/>
      <w:sz w:val="24"/>
    </w:rPr>
  </w:style>
  <w:style w:type="paragraph" w:customStyle="1" w:styleId="364">
    <w:name w:val="目录"/>
    <w:basedOn w:val="73"/>
    <w:next w:val="73"/>
    <w:qFormat/>
    <w:uiPriority w:val="0"/>
    <w:pPr>
      <w:snapToGrid w:val="0"/>
      <w:spacing w:line="500" w:lineRule="exact"/>
    </w:pPr>
    <w:rPr>
      <w:rFonts w:ascii="Times New Roman" w:hAnsi="Times New Roman"/>
      <w:color w:val="000000"/>
    </w:rPr>
  </w:style>
  <w:style w:type="paragraph" w:customStyle="1" w:styleId="365">
    <w:name w:val="前言"/>
    <w:basedOn w:val="359"/>
    <w:qFormat/>
    <w:uiPriority w:val="0"/>
  </w:style>
  <w:style w:type="paragraph" w:customStyle="1" w:styleId="366">
    <w:name w:val="目录11111"/>
    <w:basedOn w:val="360"/>
    <w:qFormat/>
    <w:uiPriority w:val="0"/>
    <w:pPr>
      <w:jc w:val="center"/>
    </w:pPr>
    <w:rPr>
      <w:b/>
      <w:bCs w:val="0"/>
      <w:sz w:val="28"/>
      <w:szCs w:val="20"/>
    </w:rPr>
  </w:style>
  <w:style w:type="paragraph" w:customStyle="1" w:styleId="367">
    <w:name w:val="表中文字"/>
    <w:basedOn w:val="1"/>
    <w:qFormat/>
    <w:uiPriority w:val="0"/>
    <w:pPr>
      <w:widowControl w:val="0"/>
      <w:adjustRightInd w:val="0"/>
      <w:spacing w:after="0" w:line="300" w:lineRule="auto"/>
      <w:jc w:val="both"/>
      <w:textAlignment w:val="baseline"/>
    </w:pPr>
    <w:rPr>
      <w:rFonts w:ascii="Times New Roman" w:hAnsi="Times New Roman" w:cs="Times New Roman"/>
      <w:color w:val="auto"/>
      <w:kern w:val="0"/>
      <w:szCs w:val="20"/>
    </w:rPr>
  </w:style>
  <w:style w:type="paragraph" w:customStyle="1" w:styleId="368">
    <w:name w:val="Char Char Char Char Char Char1 Char Char Char1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69">
    <w:name w:val="页眉cover Char"/>
    <w:basedOn w:val="130"/>
    <w:qFormat/>
    <w:uiPriority w:val="99"/>
    <w:rPr>
      <w:rFonts w:ascii="Times New Roman" w:hAnsi="Times New Roman" w:eastAsia="宋体" w:cs="Times New Roman"/>
      <w:kern w:val="0"/>
      <w:sz w:val="18"/>
      <w:szCs w:val="20"/>
    </w:rPr>
  </w:style>
  <w:style w:type="paragraph" w:customStyle="1" w:styleId="370">
    <w:name w:val="Char Char Char Char Char Char Char Char Char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71">
    <w:name w:val="Char Char1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2">
    <w:name w:val="Char Char2 Char Char Char Char Char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3">
    <w:name w:val="Char Char Char Char1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4">
    <w:name w:val="Char1 Char Char Char1"/>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375">
    <w:name w:val="Char Char2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376">
    <w:name w:val="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77">
    <w:name w:val="Char Char Char Char Char Char Char Char Char1 Char"/>
    <w:basedOn w:val="1"/>
    <w:qFormat/>
    <w:uiPriority w:val="0"/>
    <w:pPr>
      <w:widowControl w:val="0"/>
      <w:snapToGrid w:val="0"/>
      <w:spacing w:after="0" w:line="240" w:lineRule="auto"/>
      <w:jc w:val="both"/>
    </w:pPr>
    <w:rPr>
      <w:rFonts w:ascii="Arial" w:hAnsi="Arial" w:cs="Times New Roman"/>
      <w:color w:val="auto"/>
      <w:szCs w:val="21"/>
    </w:rPr>
  </w:style>
  <w:style w:type="paragraph" w:customStyle="1" w:styleId="378">
    <w:name w:val="正文报告"/>
    <w:basedOn w:val="1"/>
    <w:qFormat/>
    <w:uiPriority w:val="0"/>
    <w:pPr>
      <w:widowControl w:val="0"/>
      <w:tabs>
        <w:tab w:val="left" w:pos="510"/>
      </w:tabs>
      <w:adjustRightInd w:val="0"/>
      <w:spacing w:after="0" w:line="460" w:lineRule="exact"/>
      <w:ind w:firstLine="482"/>
      <w:jc w:val="both"/>
      <w:textAlignment w:val="baseline"/>
    </w:pPr>
    <w:rPr>
      <w:rFonts w:ascii="Times New Roman" w:hAnsi="Times New Roman" w:cs="Times New Roman"/>
      <w:color w:val="auto"/>
      <w:kern w:val="0"/>
      <w:sz w:val="24"/>
      <w:szCs w:val="20"/>
    </w:rPr>
  </w:style>
  <w:style w:type="paragraph" w:customStyle="1" w:styleId="379">
    <w:name w:val="Char1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380">
    <w:name w:val="样式 标题 2 + 华文中宋"/>
    <w:basedOn w:val="3"/>
    <w:qFormat/>
    <w:uiPriority w:val="0"/>
    <w:pPr>
      <w:widowControl w:val="0"/>
      <w:spacing w:before="260" w:after="260" w:line="416" w:lineRule="auto"/>
      <w:ind w:left="0" w:right="0" w:firstLine="0"/>
      <w:jc w:val="both"/>
    </w:pPr>
    <w:rPr>
      <w:rFonts w:ascii="华文中宋" w:hAnsi="华文中宋" w:eastAsia="华文中宋" w:cs="Times New Roman"/>
      <w:b/>
      <w:bCs/>
      <w:color w:val="auto"/>
      <w:sz w:val="36"/>
      <w:szCs w:val="32"/>
    </w:rPr>
  </w:style>
  <w:style w:type="character" w:customStyle="1" w:styleId="381">
    <w:name w:val="yxInternal"/>
    <w:basedOn w:val="130"/>
    <w:qFormat/>
    <w:uiPriority w:val="0"/>
    <w:rPr>
      <w:rFonts w:ascii="Courier New" w:hAnsi="Courier New"/>
      <w:color w:val="FF0000"/>
      <w:sz w:val="24"/>
      <w:szCs w:val="24"/>
    </w:rPr>
  </w:style>
  <w:style w:type="character" w:customStyle="1" w:styleId="382">
    <w:name w:val="yxMark"/>
    <w:basedOn w:val="130"/>
    <w:qFormat/>
    <w:uiPriority w:val="0"/>
    <w:rPr>
      <w:rFonts w:ascii="Courier New" w:hAnsi="Courier New"/>
      <w:vanish/>
      <w:color w:val="800000"/>
      <w:sz w:val="24"/>
      <w:szCs w:val="24"/>
      <w:vertAlign w:val="subscript"/>
    </w:rPr>
  </w:style>
  <w:style w:type="paragraph" w:customStyle="1" w:styleId="383">
    <w:name w:val="xl2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kern w:val="0"/>
    </w:rPr>
  </w:style>
  <w:style w:type="paragraph" w:customStyle="1" w:styleId="384">
    <w:name w:val="xl23"/>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kern w:val="0"/>
    </w:rPr>
  </w:style>
  <w:style w:type="paragraph" w:customStyle="1" w:styleId="385">
    <w:name w:val="??2"/>
    <w:basedOn w:val="1"/>
    <w:qFormat/>
    <w:uiPriority w:val="0"/>
    <w:pPr>
      <w:widowControl w:val="0"/>
      <w:autoSpaceDE w:val="0"/>
      <w:autoSpaceDN w:val="0"/>
      <w:adjustRightInd w:val="0"/>
      <w:spacing w:after="0" w:line="480" w:lineRule="atLeast"/>
      <w:textAlignment w:val="baseline"/>
    </w:pPr>
    <w:rPr>
      <w:rFonts w:ascii="宋体" w:hAnsi="Tms Rmn" w:cs="Times New Roman"/>
      <w:b/>
      <w:color w:val="auto"/>
      <w:spacing w:val="10"/>
      <w:kern w:val="0"/>
      <w:sz w:val="24"/>
      <w:szCs w:val="24"/>
    </w:rPr>
  </w:style>
  <w:style w:type="paragraph" w:customStyle="1" w:styleId="386">
    <w:name w:val="??4"/>
    <w:basedOn w:val="1"/>
    <w:qFormat/>
    <w:uiPriority w:val="0"/>
    <w:pPr>
      <w:widowControl w:val="0"/>
      <w:autoSpaceDE w:val="0"/>
      <w:autoSpaceDN w:val="0"/>
      <w:adjustRightInd w:val="0"/>
      <w:spacing w:after="0" w:line="480" w:lineRule="atLeast"/>
      <w:textAlignment w:val="baseline"/>
    </w:pPr>
    <w:rPr>
      <w:rFonts w:ascii="宋体" w:hAnsi="Tms Rmn" w:cs="Times New Roman"/>
      <w:color w:val="auto"/>
      <w:spacing w:val="10"/>
      <w:kern w:val="0"/>
      <w:sz w:val="48"/>
      <w:szCs w:val="24"/>
    </w:rPr>
  </w:style>
  <w:style w:type="paragraph" w:customStyle="1" w:styleId="387">
    <w:name w:val="表头 1"/>
    <w:basedOn w:val="2"/>
    <w:next w:val="1"/>
    <w:qFormat/>
    <w:uiPriority w:val="0"/>
    <w:pPr>
      <w:widowControl w:val="0"/>
      <w:tabs>
        <w:tab w:val="left" w:pos="3600"/>
      </w:tabs>
      <w:adjustRightInd w:val="0"/>
      <w:spacing w:after="0" w:line="240" w:lineRule="auto"/>
      <w:ind w:left="0" w:right="-108" w:firstLine="0"/>
      <w:jc w:val="both"/>
      <w:textAlignment w:val="baseline"/>
      <w:outlineLvl w:val="9"/>
    </w:pPr>
    <w:rPr>
      <w:rFonts w:ascii="Times New Roman" w:hAnsi="Times New Roman" w:eastAsia="长城仿宋" w:cs="Times New Roman"/>
      <w:color w:val="008080"/>
      <w:kern w:val="44"/>
      <w:sz w:val="28"/>
      <w:szCs w:val="20"/>
    </w:rPr>
  </w:style>
  <w:style w:type="paragraph" w:customStyle="1" w:styleId="388">
    <w:name w:val="用户正文1"/>
    <w:qFormat/>
    <w:uiPriority w:val="0"/>
    <w:pPr>
      <w:spacing w:line="360" w:lineRule="auto"/>
      <w:ind w:firstLine="573"/>
      <w:jc w:val="both"/>
      <w:textAlignment w:val="center"/>
    </w:pPr>
    <w:rPr>
      <w:rFonts w:ascii="Times New Roman" w:hAnsi="Times New Roman" w:eastAsia="宋体" w:cs="Times New Roman"/>
      <w:sz w:val="30"/>
      <w:lang w:val="en-US" w:eastAsia="zh-CN" w:bidi="ar-SA"/>
    </w:rPr>
  </w:style>
  <w:style w:type="paragraph" w:customStyle="1" w:styleId="389">
    <w:name w:val="样式 样式 样式 样式 标题 3条标题1.1.1 + Arial + 黑体 + 段前: 0.5 行 段后: 0.5 行 + 段前..."/>
    <w:basedOn w:val="1"/>
    <w:qFormat/>
    <w:uiPriority w:val="0"/>
    <w:pPr>
      <w:keepNext/>
      <w:keepLines/>
      <w:widowControl w:val="0"/>
      <w:adjustRightInd w:val="0"/>
      <w:spacing w:beforeLines="100" w:afterLines="100" w:line="360" w:lineRule="auto"/>
      <w:jc w:val="both"/>
      <w:textAlignment w:val="baseline"/>
      <w:outlineLvl w:val="2"/>
    </w:pPr>
    <w:rPr>
      <w:rFonts w:ascii="黑体" w:hAnsi="黑体" w:eastAsia="黑体" w:cs="宋体"/>
      <w:b/>
      <w:bCs/>
      <w:i/>
      <w:color w:val="auto"/>
      <w:kern w:val="0"/>
      <w:sz w:val="30"/>
      <w:szCs w:val="20"/>
    </w:rPr>
  </w:style>
  <w:style w:type="paragraph" w:customStyle="1" w:styleId="390">
    <w:name w:val="样式 标题 1章节标题b1 + 宋体"/>
    <w:basedOn w:val="2"/>
    <w:qFormat/>
    <w:uiPriority w:val="0"/>
    <w:pPr>
      <w:widowControl w:val="0"/>
      <w:spacing w:before="340" w:after="330" w:line="578" w:lineRule="auto"/>
      <w:ind w:left="0" w:right="0" w:firstLine="0"/>
      <w:jc w:val="both"/>
    </w:pPr>
    <w:rPr>
      <w:rFonts w:ascii="宋体" w:hAnsi="宋体" w:eastAsia="宋体" w:cs="Times New Roman"/>
      <w:b/>
      <w:bCs/>
      <w:color w:val="auto"/>
      <w:kern w:val="44"/>
      <w:sz w:val="44"/>
      <w:szCs w:val="44"/>
    </w:rPr>
  </w:style>
  <w:style w:type="paragraph" w:customStyle="1" w:styleId="391">
    <w:name w:val="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92">
    <w:name w:val="style11"/>
    <w:basedOn w:val="130"/>
    <w:qFormat/>
    <w:uiPriority w:val="0"/>
  </w:style>
  <w:style w:type="character" w:customStyle="1" w:styleId="393">
    <w:name w:val="Char Char13"/>
    <w:basedOn w:val="130"/>
    <w:qFormat/>
    <w:uiPriority w:val="0"/>
    <w:rPr>
      <w:rFonts w:eastAsia="宋体"/>
      <w:sz w:val="18"/>
      <w:szCs w:val="18"/>
      <w:lang w:val="en-US" w:eastAsia="zh-CN" w:bidi="ar-SA"/>
    </w:rPr>
  </w:style>
  <w:style w:type="character" w:customStyle="1" w:styleId="394">
    <w:name w:val="Char Char12"/>
    <w:basedOn w:val="130"/>
    <w:qFormat/>
    <w:uiPriority w:val="0"/>
    <w:rPr>
      <w:rFonts w:eastAsia="宋体"/>
      <w:sz w:val="18"/>
      <w:lang w:val="en-US" w:eastAsia="zh-CN" w:bidi="ar-SA"/>
    </w:rPr>
  </w:style>
  <w:style w:type="paragraph" w:customStyle="1" w:styleId="395">
    <w:name w:val="样式 五号 首行缩进:  2 字符"/>
    <w:basedOn w:val="1"/>
    <w:qFormat/>
    <w:uiPriority w:val="0"/>
    <w:pPr>
      <w:widowControl w:val="0"/>
      <w:spacing w:after="0" w:line="240" w:lineRule="auto"/>
      <w:ind w:firstLine="50" w:firstLineChars="50"/>
      <w:jc w:val="both"/>
    </w:pPr>
    <w:rPr>
      <w:rFonts w:ascii="Times New Roman" w:hAnsi="Times New Roman" w:cs="宋体"/>
      <w:color w:val="auto"/>
      <w:kern w:val="0"/>
      <w:szCs w:val="20"/>
    </w:rPr>
  </w:style>
  <w:style w:type="paragraph" w:customStyle="1" w:styleId="396">
    <w:name w:val="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97">
    <w:name w:val="样式 宋体 四号 行距: 1.5 倍行距"/>
    <w:basedOn w:val="1"/>
    <w:qFormat/>
    <w:uiPriority w:val="0"/>
    <w:pPr>
      <w:widowControl w:val="0"/>
      <w:tabs>
        <w:tab w:val="left" w:pos="567"/>
      </w:tabs>
      <w:adjustRightInd w:val="0"/>
      <w:snapToGrid w:val="0"/>
      <w:spacing w:after="0" w:line="440" w:lineRule="atLeast"/>
      <w:ind w:right="-1"/>
      <w:jc w:val="both"/>
    </w:pPr>
    <w:rPr>
      <w:rFonts w:hint="eastAsia" w:ascii="宋体" w:hAnsi="宋体" w:cs="Times New Roman"/>
      <w:b/>
      <w:sz w:val="24"/>
      <w:szCs w:val="20"/>
    </w:rPr>
  </w:style>
  <w:style w:type="paragraph" w:customStyle="1" w:styleId="398">
    <w:name w:val="正文1 Char"/>
    <w:basedOn w:val="1"/>
    <w:qFormat/>
    <w:uiPriority w:val="0"/>
    <w:pPr>
      <w:widowControl w:val="0"/>
      <w:adjustRightInd w:val="0"/>
      <w:spacing w:after="0" w:line="410" w:lineRule="atLeast"/>
      <w:textAlignment w:val="baseline"/>
    </w:pPr>
    <w:rPr>
      <w:rFonts w:ascii="Times New Roman" w:hAnsi="Times New Roman" w:cs="Times New Roman"/>
      <w:color w:val="auto"/>
      <w:kern w:val="0"/>
      <w:sz w:val="24"/>
      <w:szCs w:val="20"/>
    </w:rPr>
  </w:style>
  <w:style w:type="paragraph" w:customStyle="1" w:styleId="399">
    <w:name w:val="正文 + 宋体"/>
    <w:basedOn w:val="1"/>
    <w:qFormat/>
    <w:uiPriority w:val="0"/>
    <w:pPr>
      <w:widowControl w:val="0"/>
      <w:snapToGrid w:val="0"/>
      <w:spacing w:after="0" w:line="360" w:lineRule="auto"/>
      <w:jc w:val="both"/>
    </w:pPr>
    <w:rPr>
      <w:rFonts w:ascii="宋体" w:hAnsi="宋体" w:cs="Times New Roman"/>
      <w:sz w:val="24"/>
      <w:szCs w:val="24"/>
    </w:rPr>
  </w:style>
  <w:style w:type="paragraph" w:customStyle="1" w:styleId="400">
    <w:name w:val="ÕýÎÄ"/>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401">
    <w:name w:val="标准"/>
    <w:basedOn w:val="1"/>
    <w:qFormat/>
    <w:uiPriority w:val="0"/>
    <w:pPr>
      <w:widowControl w:val="0"/>
      <w:adjustRightInd w:val="0"/>
      <w:spacing w:after="0" w:line="240" w:lineRule="atLeast"/>
      <w:ind w:firstLine="360" w:firstLineChars="200"/>
      <w:jc w:val="center"/>
      <w:textAlignment w:val="baseline"/>
    </w:pPr>
    <w:rPr>
      <w:rFonts w:ascii="仿宋_GB2312" w:hAnsi="Times New Roman" w:eastAsia="仿宋_GB2312" w:cs="Times New Roman"/>
      <w:color w:val="auto"/>
      <w:kern w:val="0"/>
      <w:sz w:val="18"/>
      <w:szCs w:val="20"/>
    </w:rPr>
  </w:style>
  <w:style w:type="paragraph" w:customStyle="1" w:styleId="402">
    <w:name w:val="样式 首行缩进:  2 字符"/>
    <w:basedOn w:val="1"/>
    <w:qFormat/>
    <w:uiPriority w:val="0"/>
    <w:pPr>
      <w:spacing w:after="0" w:line="360" w:lineRule="auto"/>
      <w:ind w:firstLine="200" w:firstLineChars="200"/>
    </w:pPr>
    <w:rPr>
      <w:rFonts w:ascii="Times New Roman" w:hAnsi="Times New Roman" w:cs="宋体"/>
      <w:color w:val="auto"/>
      <w:kern w:val="0"/>
      <w:sz w:val="24"/>
      <w:szCs w:val="20"/>
    </w:rPr>
  </w:style>
  <w:style w:type="paragraph" w:customStyle="1" w:styleId="403">
    <w:name w:val="样式 标题 3 + 字距调整小四"/>
    <w:basedOn w:val="4"/>
    <w:qFormat/>
    <w:uiPriority w:val="0"/>
    <w:pPr>
      <w:keepNext w:val="0"/>
      <w:keepLines w:val="0"/>
      <w:widowControl w:val="0"/>
      <w:adjustRightInd w:val="0"/>
      <w:snapToGrid w:val="0"/>
      <w:spacing w:after="0" w:line="400" w:lineRule="exact"/>
      <w:ind w:left="0" w:right="0" w:firstLine="0"/>
      <w:jc w:val="both"/>
    </w:pPr>
    <w:rPr>
      <w:rFonts w:ascii="Times New Roman" w:hAnsi="Times New Roman" w:cs="Times New Roman"/>
      <w:color w:val="auto"/>
      <w:kern w:val="24"/>
      <w:sz w:val="24"/>
      <w:szCs w:val="20"/>
    </w:rPr>
  </w:style>
  <w:style w:type="character" w:customStyle="1" w:styleId="404">
    <w:name w:val="para"/>
    <w:basedOn w:val="130"/>
    <w:qFormat/>
    <w:uiPriority w:val="0"/>
  </w:style>
  <w:style w:type="paragraph" w:customStyle="1" w:styleId="405">
    <w:name w:val="BG"/>
    <w:basedOn w:val="1"/>
    <w:next w:val="1"/>
    <w:qFormat/>
    <w:uiPriority w:val="0"/>
    <w:pPr>
      <w:widowControl w:val="0"/>
      <w:tabs>
        <w:tab w:val="left" w:pos="1134"/>
      </w:tabs>
      <w:adjustRightInd w:val="0"/>
      <w:spacing w:after="0" w:line="360" w:lineRule="atLeast"/>
      <w:jc w:val="center"/>
      <w:textAlignment w:val="baseline"/>
    </w:pPr>
    <w:rPr>
      <w:rFonts w:ascii="Arial" w:hAnsi="Arial" w:cs="Times New Roman"/>
      <w:color w:val="auto"/>
      <w:kern w:val="0"/>
      <w:szCs w:val="20"/>
    </w:rPr>
  </w:style>
  <w:style w:type="paragraph" w:customStyle="1" w:styleId="406">
    <w:name w:val="正文文本缩进 31"/>
    <w:basedOn w:val="1"/>
    <w:qFormat/>
    <w:uiPriority w:val="0"/>
    <w:pPr>
      <w:widowControl w:val="0"/>
      <w:adjustRightInd w:val="0"/>
      <w:spacing w:before="60" w:after="60" w:line="240" w:lineRule="atLeast"/>
      <w:ind w:firstLine="567"/>
      <w:jc w:val="both"/>
      <w:textAlignment w:val="baseline"/>
    </w:pPr>
    <w:rPr>
      <w:rFonts w:ascii="Times New Roman" w:hAnsi="Times New Roman" w:cs="Times New Roman"/>
      <w:color w:val="FF0000"/>
      <w:kern w:val="0"/>
      <w:sz w:val="28"/>
      <w:szCs w:val="20"/>
    </w:rPr>
  </w:style>
  <w:style w:type="paragraph" w:customStyle="1" w:styleId="407">
    <w:name w:val="Style 特征三 + Left:  1.58 cm First line:  0 cm"/>
    <w:basedOn w:val="1"/>
    <w:qFormat/>
    <w:uiPriority w:val="0"/>
    <w:pPr>
      <w:widowControl w:val="0"/>
      <w:numPr>
        <w:ilvl w:val="0"/>
        <w:numId w:val="18"/>
      </w:numPr>
      <w:tabs>
        <w:tab w:val="clear" w:pos="840"/>
      </w:tabs>
      <w:adjustRightInd w:val="0"/>
      <w:spacing w:after="0" w:line="360" w:lineRule="auto"/>
      <w:ind w:left="0" w:right="210" w:rightChars="100" w:firstLine="898" w:firstLineChars="426"/>
      <w:jc w:val="both"/>
    </w:pPr>
    <w:rPr>
      <w:rFonts w:ascii="Times New Roman" w:hAnsi="Times New Roman" w:cs="宋体"/>
      <w:b/>
      <w:bCs/>
      <w:color w:val="auto"/>
      <w:szCs w:val="20"/>
      <w:lang w:val="zh-CN"/>
    </w:rPr>
  </w:style>
  <w:style w:type="character" w:customStyle="1" w:styleId="408">
    <w:name w:val="正文缩进3"/>
    <w:basedOn w:val="130"/>
    <w:qFormat/>
    <w:uiPriority w:val="0"/>
    <w:rPr>
      <w:rFonts w:eastAsia="宋体"/>
      <w:kern w:val="2"/>
      <w:sz w:val="21"/>
      <w:lang w:val="en-US" w:eastAsia="zh-CN" w:bidi="ar-SA"/>
    </w:rPr>
  </w:style>
  <w:style w:type="paragraph" w:customStyle="1" w:styleId="409">
    <w:name w:val="TOC 标题1"/>
    <w:basedOn w:val="2"/>
    <w:next w:val="1"/>
    <w:unhideWhenUsed/>
    <w:qFormat/>
    <w:uiPriority w:val="39"/>
    <w:pPr>
      <w:spacing w:before="340" w:after="330" w:line="578" w:lineRule="auto"/>
      <w:ind w:left="0" w:right="0" w:firstLine="0"/>
      <w:jc w:val="left"/>
      <w:outlineLvl w:val="9"/>
    </w:pPr>
    <w:rPr>
      <w:rFonts w:ascii="Calibri" w:hAnsi="Calibri" w:eastAsia="Calibri" w:cs="Calibri"/>
      <w:b/>
      <w:bCs/>
      <w:kern w:val="44"/>
      <w:sz w:val="44"/>
      <w:szCs w:val="44"/>
    </w:rPr>
  </w:style>
  <w:style w:type="character" w:customStyle="1" w:styleId="410">
    <w:name w:val="文档结构图 Char"/>
    <w:semiHidden/>
    <w:qFormat/>
    <w:uiPriority w:val="0"/>
    <w:rPr>
      <w:rFonts w:ascii="宋体" w:eastAsia="宋体"/>
      <w:sz w:val="18"/>
      <w:szCs w:val="18"/>
    </w:rPr>
  </w:style>
  <w:style w:type="character" w:customStyle="1" w:styleId="411">
    <w:name w:val="批注框文本 Char"/>
    <w:qFormat/>
    <w:uiPriority w:val="0"/>
    <w:rPr>
      <w:kern w:val="2"/>
      <w:sz w:val="18"/>
      <w:szCs w:val="18"/>
    </w:rPr>
  </w:style>
  <w:style w:type="character" w:customStyle="1" w:styleId="412">
    <w:name w:val="批注文字 Char"/>
    <w:qFormat/>
    <w:uiPriority w:val="0"/>
    <w:rPr>
      <w:kern w:val="2"/>
      <w:sz w:val="21"/>
      <w:szCs w:val="22"/>
    </w:rPr>
  </w:style>
  <w:style w:type="character" w:customStyle="1" w:styleId="413">
    <w:name w:val="批注主题 Char"/>
    <w:qFormat/>
    <w:uiPriority w:val="0"/>
    <w:rPr>
      <w:b/>
      <w:bCs/>
      <w:kern w:val="2"/>
      <w:sz w:val="21"/>
      <w:szCs w:val="22"/>
    </w:rPr>
  </w:style>
  <w:style w:type="character" w:customStyle="1" w:styleId="414">
    <w:name w:val="标题 1 Char"/>
    <w:qFormat/>
    <w:uiPriority w:val="0"/>
    <w:rPr>
      <w:b/>
      <w:bCs/>
      <w:kern w:val="44"/>
      <w:sz w:val="44"/>
      <w:szCs w:val="44"/>
    </w:rPr>
  </w:style>
  <w:style w:type="character" w:customStyle="1" w:styleId="415">
    <w:name w:val="纯文本 Char1"/>
    <w:qFormat/>
    <w:uiPriority w:val="0"/>
    <w:rPr>
      <w:rFonts w:ascii="宋体" w:hAnsi="Courier New" w:cs="Courier New"/>
      <w:kern w:val="2"/>
      <w:sz w:val="21"/>
      <w:szCs w:val="21"/>
    </w:rPr>
  </w:style>
  <w:style w:type="character" w:customStyle="1" w:styleId="416">
    <w:name w:val="页眉 Char"/>
    <w:qFormat/>
    <w:uiPriority w:val="99"/>
    <w:rPr>
      <w:kern w:val="2"/>
      <w:sz w:val="18"/>
      <w:szCs w:val="18"/>
    </w:rPr>
  </w:style>
  <w:style w:type="character" w:customStyle="1" w:styleId="417">
    <w:name w:val="页脚 Char"/>
    <w:qFormat/>
    <w:uiPriority w:val="99"/>
    <w:rPr>
      <w:rFonts w:ascii="Calibri" w:hAnsi="Calibri" w:eastAsia="宋体" w:cs="Times New Roman"/>
      <w:sz w:val="22"/>
      <w:szCs w:val="22"/>
    </w:rPr>
  </w:style>
  <w:style w:type="paragraph" w:customStyle="1" w:styleId="418">
    <w:name w:val="_Style 332"/>
    <w:basedOn w:val="1"/>
    <w:next w:val="189"/>
    <w:link w:val="419"/>
    <w:qFormat/>
    <w:uiPriority w:val="0"/>
    <w:pPr>
      <w:spacing w:after="0" w:line="240" w:lineRule="auto"/>
      <w:ind w:firstLine="420" w:firstLineChars="200"/>
    </w:pPr>
    <w:rPr>
      <w:rFonts w:ascii="等线" w:hAnsi="等线" w:eastAsia="等线" w:cs="Times New Roman"/>
      <w:color w:val="auto"/>
    </w:rPr>
  </w:style>
  <w:style w:type="character" w:customStyle="1" w:styleId="419">
    <w:name w:val="正文首行缩进 Char"/>
    <w:link w:val="418"/>
    <w:qFormat/>
    <w:locked/>
    <w:uiPriority w:val="0"/>
    <w:rPr>
      <w:rFonts w:cs="Times New Roman"/>
    </w:rPr>
  </w:style>
  <w:style w:type="character" w:customStyle="1" w:styleId="420">
    <w:name w:val="正文文本缩进 Char"/>
    <w:qFormat/>
    <w:locked/>
    <w:uiPriority w:val="0"/>
    <w:rPr>
      <w:rFonts w:cs="Times New Roman"/>
      <w:sz w:val="24"/>
      <w:szCs w:val="24"/>
    </w:rPr>
  </w:style>
  <w:style w:type="character" w:customStyle="1" w:styleId="421">
    <w:name w:val="正文文本 2 Char1"/>
    <w:basedOn w:val="130"/>
    <w:semiHidden/>
    <w:qFormat/>
    <w:uiPriority w:val="99"/>
  </w:style>
  <w:style w:type="character" w:customStyle="1" w:styleId="422">
    <w:name w:val="日期 Char"/>
    <w:semiHidden/>
    <w:qFormat/>
    <w:locked/>
    <w:uiPriority w:val="0"/>
    <w:rPr>
      <w:rFonts w:cs="Times New Roman"/>
      <w:sz w:val="24"/>
      <w:szCs w:val="24"/>
    </w:rPr>
  </w:style>
  <w:style w:type="character" w:customStyle="1" w:styleId="423">
    <w:name w:val="正文文本 Char1"/>
    <w:basedOn w:val="130"/>
    <w:qFormat/>
    <w:uiPriority w:val="99"/>
    <w:rPr>
      <w:rFonts w:ascii="Times New Roman" w:hAnsi="Times New Roman" w:cs="Times New Roman"/>
    </w:rPr>
  </w:style>
  <w:style w:type="character" w:customStyle="1" w:styleId="424">
    <w:name w:val="标题 3 Char"/>
    <w:basedOn w:val="130"/>
    <w:qFormat/>
    <w:uiPriority w:val="9"/>
    <w:rPr>
      <w:rFonts w:ascii="Times New Roman" w:hAnsi="Times New Roman" w:cs="Times New Roman"/>
      <w:b/>
      <w:bCs/>
      <w:sz w:val="32"/>
      <w:szCs w:val="32"/>
    </w:rPr>
  </w:style>
  <w:style w:type="character" w:customStyle="1" w:styleId="425">
    <w:name w:val="批注主题 Char1"/>
    <w:basedOn w:val="426"/>
    <w:semiHidden/>
    <w:qFormat/>
    <w:uiPriority w:val="99"/>
    <w:rPr>
      <w:b/>
      <w:bCs/>
    </w:rPr>
  </w:style>
  <w:style w:type="character" w:customStyle="1" w:styleId="426">
    <w:name w:val="批注文字 Char1"/>
    <w:basedOn w:val="130"/>
    <w:semiHidden/>
    <w:qFormat/>
    <w:uiPriority w:val="99"/>
  </w:style>
  <w:style w:type="character" w:customStyle="1" w:styleId="427">
    <w:name w:val="正文文本缩进 Char1"/>
    <w:basedOn w:val="130"/>
    <w:semiHidden/>
    <w:qFormat/>
    <w:uiPriority w:val="99"/>
  </w:style>
  <w:style w:type="character" w:customStyle="1" w:styleId="428">
    <w:name w:val="正文文本缩进 2 Char"/>
    <w:qFormat/>
    <w:locked/>
    <w:uiPriority w:val="0"/>
    <w:rPr>
      <w:rFonts w:cs="Times New Roman"/>
      <w:sz w:val="24"/>
      <w:szCs w:val="24"/>
    </w:rPr>
  </w:style>
  <w:style w:type="character" w:customStyle="1" w:styleId="429">
    <w:name w:val="日期 Char1"/>
    <w:basedOn w:val="130"/>
    <w:semiHidden/>
    <w:qFormat/>
    <w:uiPriority w:val="99"/>
  </w:style>
  <w:style w:type="character" w:customStyle="1" w:styleId="430">
    <w:name w:val="纯文本 Char2"/>
    <w:basedOn w:val="130"/>
    <w:qFormat/>
    <w:uiPriority w:val="0"/>
    <w:rPr>
      <w:rFonts w:ascii="宋体" w:hAnsi="Courier New" w:cs="Courier New"/>
      <w:sz w:val="21"/>
      <w:szCs w:val="21"/>
    </w:rPr>
  </w:style>
  <w:style w:type="character" w:customStyle="1" w:styleId="431">
    <w:name w:val="正文文本缩进 2 Char1"/>
    <w:basedOn w:val="130"/>
    <w:semiHidden/>
    <w:qFormat/>
    <w:uiPriority w:val="99"/>
  </w:style>
  <w:style w:type="character" w:customStyle="1" w:styleId="432">
    <w:name w:val="正文缩进 Char"/>
    <w:qFormat/>
    <w:locked/>
    <w:uiPriority w:val="0"/>
    <w:rPr>
      <w:rFonts w:cs="Times New Roman"/>
      <w:kern w:val="2"/>
      <w:sz w:val="24"/>
      <w:szCs w:val="24"/>
    </w:rPr>
  </w:style>
  <w:style w:type="character" w:customStyle="1" w:styleId="433">
    <w:name w:val="正文首行缩进 Char1"/>
    <w:basedOn w:val="423"/>
    <w:qFormat/>
    <w:uiPriority w:val="0"/>
    <w:rPr>
      <w:rFonts w:ascii="Times New Roman" w:hAnsi="Times New Roman" w:cs="Times New Roman"/>
    </w:rPr>
  </w:style>
  <w:style w:type="character" w:customStyle="1" w:styleId="434">
    <w:name w:val="Plain Text Char"/>
    <w:qFormat/>
    <w:locked/>
    <w:uiPriority w:val="0"/>
    <w:rPr>
      <w:rFonts w:ascii="宋体" w:hAnsi="Courier New" w:eastAsia="宋体"/>
      <w:kern w:val="2"/>
      <w:sz w:val="21"/>
      <w:lang w:val="en-US" w:eastAsia="zh-CN"/>
    </w:rPr>
  </w:style>
  <w:style w:type="character" w:customStyle="1" w:styleId="435">
    <w:name w:val="标题 9 Char"/>
    <w:basedOn w:val="130"/>
    <w:qFormat/>
    <w:uiPriority w:val="0"/>
    <w:rPr>
      <w:rFonts w:ascii="Cambria" w:hAnsi="Cambria" w:cs="Times New Roman"/>
      <w:sz w:val="21"/>
      <w:szCs w:val="21"/>
    </w:rPr>
  </w:style>
  <w:style w:type="character" w:customStyle="1" w:styleId="436">
    <w:name w:val="Comment Text Char"/>
    <w:qFormat/>
    <w:locked/>
    <w:uiPriority w:val="99"/>
    <w:rPr>
      <w:rFonts w:eastAsia="宋体"/>
      <w:kern w:val="2"/>
      <w:sz w:val="24"/>
      <w:lang w:val="en-US" w:eastAsia="zh-CN"/>
    </w:rPr>
  </w:style>
  <w:style w:type="character" w:customStyle="1" w:styleId="437">
    <w:name w:val="正文文本 Char"/>
    <w:semiHidden/>
    <w:qFormat/>
    <w:locked/>
    <w:uiPriority w:val="99"/>
    <w:rPr>
      <w:rFonts w:cs="Times New Roman"/>
      <w:sz w:val="24"/>
      <w:szCs w:val="24"/>
    </w:rPr>
  </w:style>
  <w:style w:type="character" w:customStyle="1" w:styleId="438">
    <w:name w:val="日期 Char2"/>
    <w:qFormat/>
    <w:locked/>
    <w:uiPriority w:val="0"/>
    <w:rPr>
      <w:rFonts w:cs="Times New Roman"/>
      <w:sz w:val="24"/>
      <w:szCs w:val="24"/>
    </w:rPr>
  </w:style>
  <w:style w:type="character" w:customStyle="1" w:styleId="439">
    <w:name w:val="标题 2 Char"/>
    <w:basedOn w:val="130"/>
    <w:semiHidden/>
    <w:qFormat/>
    <w:uiPriority w:val="0"/>
    <w:rPr>
      <w:rFonts w:ascii="Cambria" w:hAnsi="Cambria" w:eastAsia="宋体" w:cs="Times New Roman"/>
      <w:b/>
      <w:bCs/>
      <w:sz w:val="32"/>
      <w:szCs w:val="32"/>
    </w:rPr>
  </w:style>
  <w:style w:type="character" w:customStyle="1" w:styleId="440">
    <w:name w:val="纯文本 Char3"/>
    <w:qFormat/>
    <w:locked/>
    <w:uiPriority w:val="0"/>
    <w:rPr>
      <w:rFonts w:ascii="宋体" w:hAnsi="Courier New" w:cs="Courier New"/>
      <w:sz w:val="21"/>
      <w:szCs w:val="21"/>
    </w:rPr>
  </w:style>
  <w:style w:type="character" w:customStyle="1" w:styleId="441">
    <w:name w:val="Footer Char"/>
    <w:qFormat/>
    <w:locked/>
    <w:uiPriority w:val="99"/>
    <w:rPr>
      <w:rFonts w:eastAsia="长城仿宋"/>
      <w:sz w:val="18"/>
    </w:rPr>
  </w:style>
  <w:style w:type="character" w:customStyle="1" w:styleId="442">
    <w:name w:val="正文文本 2 Char"/>
    <w:qFormat/>
    <w:locked/>
    <w:uiPriority w:val="0"/>
    <w:rPr>
      <w:rFonts w:cs="Times New Roman"/>
      <w:sz w:val="24"/>
      <w:szCs w:val="24"/>
    </w:rPr>
  </w:style>
  <w:style w:type="paragraph" w:customStyle="1" w:styleId="443">
    <w:name w:val="表头"/>
    <w:basedOn w:val="1"/>
    <w:link w:val="444"/>
    <w:qFormat/>
    <w:uiPriority w:val="0"/>
    <w:pPr>
      <w:spacing w:after="0" w:line="360" w:lineRule="auto"/>
      <w:jc w:val="center"/>
    </w:pPr>
    <w:rPr>
      <w:rFonts w:ascii="黑体" w:hAnsi="Times New Roman" w:eastAsia="黑体" w:cs="Times New Roman"/>
      <w:color w:val="auto"/>
      <w:kern w:val="0"/>
      <w:sz w:val="24"/>
      <w:szCs w:val="20"/>
    </w:rPr>
  </w:style>
  <w:style w:type="character" w:customStyle="1" w:styleId="444">
    <w:name w:val="表头 Char"/>
    <w:link w:val="443"/>
    <w:qFormat/>
    <w:uiPriority w:val="0"/>
    <w:rPr>
      <w:rFonts w:ascii="黑体" w:hAnsi="Times New Roman" w:eastAsia="黑体" w:cs="Times New Roman"/>
      <w:kern w:val="0"/>
      <w:sz w:val="24"/>
      <w:szCs w:val="20"/>
    </w:rPr>
  </w:style>
  <w:style w:type="paragraph" w:customStyle="1" w:styleId="445">
    <w:name w:val="普通 (Web)"/>
    <w:basedOn w:val="1"/>
    <w:qFormat/>
    <w:uiPriority w:val="99"/>
    <w:pPr>
      <w:spacing w:before="100" w:after="100" w:line="240" w:lineRule="auto"/>
    </w:pPr>
    <w:rPr>
      <w:rFonts w:ascii="Arial Unicode MS" w:hAnsi="Arial Unicode MS" w:cs="Times New Roman"/>
      <w:color w:val="auto"/>
      <w:kern w:val="0"/>
      <w:sz w:val="24"/>
      <w:szCs w:val="20"/>
    </w:rPr>
  </w:style>
  <w:style w:type="paragraph" w:customStyle="1" w:styleId="446">
    <w:name w:val="Table Paragraph"/>
    <w:basedOn w:val="1"/>
    <w:qFormat/>
    <w:uiPriority w:val="0"/>
    <w:pPr>
      <w:widowControl w:val="0"/>
      <w:autoSpaceDE w:val="0"/>
      <w:autoSpaceDN w:val="0"/>
      <w:adjustRightInd w:val="0"/>
      <w:spacing w:after="0" w:line="240" w:lineRule="auto"/>
    </w:pPr>
    <w:rPr>
      <w:rFonts w:ascii="Times New Roman" w:hAnsi="Times New Roman" w:cs="Times New Roman"/>
      <w:color w:val="auto"/>
      <w:kern w:val="0"/>
      <w:sz w:val="24"/>
      <w:szCs w:val="24"/>
    </w:rPr>
  </w:style>
  <w:style w:type="paragraph" w:customStyle="1" w:styleId="447">
    <w:name w:val="文二"/>
    <w:basedOn w:val="1"/>
    <w:qFormat/>
    <w:uiPriority w:val="0"/>
    <w:pPr>
      <w:spacing w:after="0" w:line="240" w:lineRule="auto"/>
    </w:pPr>
    <w:rPr>
      <w:rFonts w:ascii="宋体" w:hAnsi="宋体" w:cs="Times New Roman"/>
      <w:color w:val="auto"/>
      <w:szCs w:val="21"/>
    </w:rPr>
  </w:style>
  <w:style w:type="paragraph" w:customStyle="1" w:styleId="448">
    <w:name w:val="文一"/>
    <w:basedOn w:val="1"/>
    <w:qFormat/>
    <w:uiPriority w:val="0"/>
    <w:pPr>
      <w:topLinePunct/>
      <w:adjustRightInd w:val="0"/>
      <w:snapToGrid w:val="0"/>
      <w:spacing w:after="0" w:line="360" w:lineRule="auto"/>
      <w:ind w:firstLine="200" w:firstLineChars="200"/>
    </w:pPr>
    <w:rPr>
      <w:rFonts w:ascii="Times New Roman" w:hAnsi="Times New Roman" w:cs="Times New Roman"/>
      <w:color w:val="auto"/>
      <w:spacing w:val="4"/>
      <w:kern w:val="0"/>
      <w:sz w:val="24"/>
      <w:szCs w:val="24"/>
    </w:rPr>
  </w:style>
  <w:style w:type="character" w:customStyle="1" w:styleId="449">
    <w:name w:val="批注框文本 Char1"/>
    <w:basedOn w:val="130"/>
    <w:qFormat/>
    <w:uiPriority w:val="0"/>
    <w:rPr>
      <w:kern w:val="2"/>
      <w:sz w:val="18"/>
      <w:szCs w:val="18"/>
    </w:rPr>
  </w:style>
  <w:style w:type="character" w:customStyle="1" w:styleId="450">
    <w:name w:val="正文文本缩进 Char2"/>
    <w:basedOn w:val="130"/>
    <w:qFormat/>
    <w:uiPriority w:val="0"/>
    <w:rPr>
      <w:kern w:val="2"/>
      <w:sz w:val="21"/>
      <w:szCs w:val="24"/>
    </w:rPr>
  </w:style>
  <w:style w:type="character" w:customStyle="1" w:styleId="451">
    <w:name w:val="apple-converted-space"/>
    <w:qFormat/>
    <w:uiPriority w:val="0"/>
  </w:style>
  <w:style w:type="character" w:customStyle="1" w:styleId="452">
    <w:name w:val="书籍标题1"/>
    <w:qFormat/>
    <w:uiPriority w:val="0"/>
    <w:rPr>
      <w:rFonts w:ascii="Cambria" w:hAnsi="Cambria" w:eastAsia="宋体"/>
      <w:b/>
      <w:i/>
      <w:sz w:val="24"/>
      <w:szCs w:val="24"/>
    </w:rPr>
  </w:style>
  <w:style w:type="character" w:customStyle="1" w:styleId="453">
    <w:name w:val="Char Char10"/>
    <w:qFormat/>
    <w:uiPriority w:val="0"/>
    <w:rPr>
      <w:rFonts w:ascii="Calibri" w:hAnsi="Calibri" w:eastAsia="宋体"/>
      <w:b/>
      <w:bCs/>
      <w:sz w:val="28"/>
      <w:szCs w:val="28"/>
      <w:lang w:val="en-US" w:eastAsia="en-US" w:bidi="en-US"/>
    </w:rPr>
  </w:style>
  <w:style w:type="character" w:customStyle="1" w:styleId="454">
    <w:name w:val="op-map-singlepoint-info-right1"/>
    <w:basedOn w:val="130"/>
    <w:qFormat/>
    <w:uiPriority w:val="0"/>
  </w:style>
  <w:style w:type="character" w:customStyle="1" w:styleId="455">
    <w:name w:val="标题 4 Char"/>
    <w:basedOn w:val="130"/>
    <w:qFormat/>
    <w:uiPriority w:val="0"/>
    <w:rPr>
      <w:rFonts w:ascii="Cambria" w:hAnsi="Cambria" w:eastAsia="宋体" w:cs="Times New Roman"/>
      <w:b/>
      <w:bCs/>
      <w:snapToGrid w:val="0"/>
      <w:sz w:val="28"/>
      <w:szCs w:val="28"/>
    </w:rPr>
  </w:style>
  <w:style w:type="character" w:customStyle="1" w:styleId="456">
    <w:name w:val="注释标题 Char"/>
    <w:basedOn w:val="130"/>
    <w:qFormat/>
    <w:uiPriority w:val="0"/>
    <w:rPr>
      <w:snapToGrid w:val="0"/>
      <w:sz w:val="24"/>
    </w:rPr>
  </w:style>
  <w:style w:type="character" w:customStyle="1" w:styleId="457">
    <w:name w:val="电子邮件签名 Char"/>
    <w:basedOn w:val="130"/>
    <w:qFormat/>
    <w:uiPriority w:val="0"/>
    <w:rPr>
      <w:snapToGrid w:val="0"/>
      <w:sz w:val="24"/>
    </w:rPr>
  </w:style>
  <w:style w:type="character" w:customStyle="1" w:styleId="458">
    <w:name w:val="称呼 Char"/>
    <w:basedOn w:val="130"/>
    <w:qFormat/>
    <w:uiPriority w:val="0"/>
    <w:rPr>
      <w:snapToGrid w:val="0"/>
      <w:sz w:val="24"/>
    </w:rPr>
  </w:style>
  <w:style w:type="character" w:customStyle="1" w:styleId="459">
    <w:name w:val="正文文本 3 Char"/>
    <w:basedOn w:val="130"/>
    <w:qFormat/>
    <w:uiPriority w:val="0"/>
    <w:rPr>
      <w:snapToGrid w:val="0"/>
      <w:sz w:val="16"/>
      <w:szCs w:val="16"/>
    </w:rPr>
  </w:style>
  <w:style w:type="character" w:customStyle="1" w:styleId="460">
    <w:name w:val="结束语 Char"/>
    <w:basedOn w:val="130"/>
    <w:qFormat/>
    <w:uiPriority w:val="0"/>
    <w:rPr>
      <w:snapToGrid w:val="0"/>
      <w:sz w:val="24"/>
    </w:rPr>
  </w:style>
  <w:style w:type="character" w:customStyle="1" w:styleId="461">
    <w:name w:val="HTML 预设格式 Char"/>
    <w:basedOn w:val="130"/>
    <w:qFormat/>
    <w:uiPriority w:val="0"/>
    <w:rPr>
      <w:rFonts w:ascii="Courier New" w:hAnsi="Courier New" w:cs="Courier New"/>
      <w:snapToGrid w:val="0"/>
    </w:rPr>
  </w:style>
  <w:style w:type="character" w:customStyle="1" w:styleId="462">
    <w:name w:val="HTML 地址 Char"/>
    <w:basedOn w:val="130"/>
    <w:qFormat/>
    <w:uiPriority w:val="0"/>
    <w:rPr>
      <w:i/>
      <w:iCs/>
      <w:snapToGrid w:val="0"/>
      <w:sz w:val="24"/>
    </w:rPr>
  </w:style>
  <w:style w:type="character" w:customStyle="1" w:styleId="463">
    <w:name w:val="正文首行缩进 2 Char"/>
    <w:basedOn w:val="166"/>
    <w:qFormat/>
    <w:uiPriority w:val="0"/>
    <w:rPr>
      <w:rFonts w:ascii="宋体" w:hAnsi="宋体" w:eastAsia="宋体" w:cs="Times New Roman"/>
      <w:snapToGrid w:val="0"/>
      <w:kern w:val="2"/>
      <w:sz w:val="28"/>
      <w:szCs w:val="20"/>
    </w:rPr>
  </w:style>
  <w:style w:type="character" w:customStyle="1" w:styleId="464">
    <w:name w:val="签名 Char"/>
    <w:basedOn w:val="130"/>
    <w:qFormat/>
    <w:uiPriority w:val="0"/>
    <w:rPr>
      <w:snapToGrid w:val="0"/>
      <w:sz w:val="24"/>
    </w:rPr>
  </w:style>
  <w:style w:type="character" w:customStyle="1" w:styleId="465">
    <w:name w:val="副标题 Char"/>
    <w:basedOn w:val="130"/>
    <w:qFormat/>
    <w:uiPriority w:val="0"/>
    <w:rPr>
      <w:rFonts w:ascii="Cambria" w:hAnsi="Cambria" w:cs="Times New Roman"/>
      <w:b/>
      <w:bCs/>
      <w:snapToGrid w:val="0"/>
      <w:kern w:val="28"/>
      <w:sz w:val="32"/>
      <w:szCs w:val="32"/>
    </w:rPr>
  </w:style>
  <w:style w:type="character" w:customStyle="1" w:styleId="466">
    <w:name w:val="正文文本缩进 3 Char"/>
    <w:basedOn w:val="130"/>
    <w:qFormat/>
    <w:uiPriority w:val="0"/>
    <w:rPr>
      <w:snapToGrid w:val="0"/>
      <w:sz w:val="16"/>
      <w:szCs w:val="16"/>
    </w:rPr>
  </w:style>
  <w:style w:type="character" w:customStyle="1" w:styleId="467">
    <w:name w:val="信息标题 Char"/>
    <w:basedOn w:val="130"/>
    <w:qFormat/>
    <w:uiPriority w:val="0"/>
    <w:rPr>
      <w:rFonts w:ascii="Cambria" w:hAnsi="Cambria" w:eastAsia="宋体" w:cs="Times New Roman"/>
      <w:snapToGrid w:val="0"/>
      <w:sz w:val="24"/>
      <w:szCs w:val="24"/>
      <w:shd w:val="pct20" w:color="auto" w:fill="auto"/>
    </w:rPr>
  </w:style>
  <w:style w:type="character" w:customStyle="1" w:styleId="468">
    <w:name w:val="标题 Char"/>
    <w:basedOn w:val="130"/>
    <w:qFormat/>
    <w:uiPriority w:val="0"/>
    <w:rPr>
      <w:rFonts w:ascii="Cambria" w:hAnsi="Cambria" w:cs="Times New Roman"/>
      <w:b/>
      <w:bCs/>
      <w:snapToGrid w:val="0"/>
      <w:sz w:val="32"/>
      <w:szCs w:val="32"/>
    </w:rPr>
  </w:style>
  <w:style w:type="character" w:customStyle="1" w:styleId="469">
    <w:name w:val="标题 1 字符1"/>
    <w:qFormat/>
    <w:uiPriority w:val="0"/>
    <w:rPr>
      <w:b/>
      <w:bCs/>
      <w:snapToGrid w:val="0"/>
      <w:kern w:val="44"/>
      <w:sz w:val="44"/>
      <w:szCs w:val="44"/>
    </w:rPr>
  </w:style>
  <w:style w:type="character" w:customStyle="1" w:styleId="470">
    <w:name w:val="Char Char8"/>
    <w:qFormat/>
    <w:locked/>
    <w:uiPriority w:val="0"/>
    <w:rPr>
      <w:rFonts w:ascii="宋体" w:hAnsi="宋体" w:eastAsia="宋体"/>
      <w:kern w:val="2"/>
      <w:sz w:val="18"/>
      <w:szCs w:val="18"/>
      <w:lang w:val="en-US" w:eastAsia="zh-CN" w:bidi="ar-SA"/>
    </w:rPr>
  </w:style>
  <w:style w:type="character" w:customStyle="1" w:styleId="471">
    <w:name w:val="表内居两端对齐 Char"/>
    <w:basedOn w:val="472"/>
    <w:link w:val="474"/>
    <w:qFormat/>
    <w:uiPriority w:val="0"/>
    <w:rPr>
      <w:rFonts w:cs="宋体"/>
      <w:sz w:val="18"/>
      <w:szCs w:val="18"/>
    </w:rPr>
  </w:style>
  <w:style w:type="character" w:customStyle="1" w:styleId="472">
    <w:name w:val="表内居中小五 Char"/>
    <w:link w:val="473"/>
    <w:qFormat/>
    <w:uiPriority w:val="0"/>
    <w:rPr>
      <w:rFonts w:cs="宋体"/>
      <w:sz w:val="18"/>
      <w:szCs w:val="18"/>
    </w:rPr>
  </w:style>
  <w:style w:type="paragraph" w:customStyle="1" w:styleId="473">
    <w:name w:val="表内居中小五"/>
    <w:basedOn w:val="1"/>
    <w:link w:val="472"/>
    <w:qFormat/>
    <w:uiPriority w:val="0"/>
    <w:pPr>
      <w:widowControl w:val="0"/>
      <w:spacing w:after="0" w:line="240" w:lineRule="auto"/>
      <w:jc w:val="center"/>
    </w:pPr>
    <w:rPr>
      <w:rFonts w:ascii="等线" w:hAnsi="等线" w:eastAsia="等线" w:cs="宋体"/>
      <w:color w:val="auto"/>
      <w:sz w:val="18"/>
      <w:szCs w:val="18"/>
    </w:rPr>
  </w:style>
  <w:style w:type="paragraph" w:customStyle="1" w:styleId="474">
    <w:name w:val="表内居两端对齐"/>
    <w:basedOn w:val="473"/>
    <w:link w:val="471"/>
    <w:qFormat/>
    <w:uiPriority w:val="0"/>
    <w:pPr>
      <w:jc w:val="both"/>
    </w:pPr>
  </w:style>
  <w:style w:type="character" w:customStyle="1" w:styleId="475">
    <w:name w:val="二级条标题 Char"/>
    <w:link w:val="476"/>
    <w:qFormat/>
    <w:uiPriority w:val="0"/>
    <w:rPr>
      <w:rFonts w:ascii="黑体" w:eastAsia="黑体"/>
      <w:b/>
    </w:rPr>
  </w:style>
  <w:style w:type="paragraph" w:customStyle="1" w:styleId="476">
    <w:name w:val="二级条标题"/>
    <w:basedOn w:val="1"/>
    <w:next w:val="1"/>
    <w:link w:val="475"/>
    <w:qFormat/>
    <w:uiPriority w:val="0"/>
    <w:pPr>
      <w:spacing w:after="0" w:line="240" w:lineRule="auto"/>
      <w:jc w:val="both"/>
      <w:outlineLvl w:val="3"/>
    </w:pPr>
    <w:rPr>
      <w:rFonts w:ascii="黑体" w:hAnsi="等线" w:eastAsia="黑体" w:cs="Times New Roman"/>
      <w:b/>
      <w:color w:val="auto"/>
    </w:rPr>
  </w:style>
  <w:style w:type="character" w:customStyle="1" w:styleId="477">
    <w:name w:val="jl 三级 Char Char"/>
    <w:link w:val="478"/>
    <w:semiHidden/>
    <w:qFormat/>
    <w:uiPriority w:val="0"/>
    <w:rPr>
      <w:rFonts w:ascii="宋体" w:hAnsi="宋体"/>
      <w:b/>
      <w:color w:val="000000"/>
      <w:sz w:val="24"/>
      <w:szCs w:val="24"/>
    </w:rPr>
  </w:style>
  <w:style w:type="paragraph" w:customStyle="1" w:styleId="478">
    <w:name w:val="jl 三级 Char"/>
    <w:basedOn w:val="1"/>
    <w:link w:val="477"/>
    <w:semiHidden/>
    <w:qFormat/>
    <w:uiPriority w:val="0"/>
    <w:pPr>
      <w:widowControl w:val="0"/>
      <w:autoSpaceDE w:val="0"/>
      <w:autoSpaceDN w:val="0"/>
      <w:adjustRightInd w:val="0"/>
      <w:spacing w:beforeLines="50" w:afterLines="50" w:line="240" w:lineRule="auto"/>
      <w:ind w:firstLine="480" w:firstLineChars="200"/>
      <w:textAlignment w:val="baseline"/>
      <w:outlineLvl w:val="2"/>
    </w:pPr>
    <w:rPr>
      <w:rFonts w:ascii="宋体" w:hAnsi="宋体" w:eastAsia="等线" w:cs="Times New Roman"/>
      <w:b/>
      <w:sz w:val="24"/>
      <w:szCs w:val="24"/>
    </w:rPr>
  </w:style>
  <w:style w:type="character" w:customStyle="1" w:styleId="479">
    <w:name w:val="批注文字 Char2"/>
    <w:semiHidden/>
    <w:qFormat/>
    <w:uiPriority w:val="0"/>
  </w:style>
  <w:style w:type="character" w:customStyle="1" w:styleId="480">
    <w:name w:val="articlebody21"/>
    <w:qFormat/>
    <w:uiPriority w:val="0"/>
    <w:rPr>
      <w:rFonts w:hint="default"/>
      <w:sz w:val="21"/>
    </w:rPr>
  </w:style>
  <w:style w:type="character" w:customStyle="1" w:styleId="481">
    <w:name w:val="jl 正文 Char Char Char"/>
    <w:link w:val="482"/>
    <w:semiHidden/>
    <w:qFormat/>
    <w:uiPriority w:val="0"/>
    <w:rPr>
      <w:rFonts w:ascii="宋体"/>
      <w:sz w:val="24"/>
      <w:szCs w:val="24"/>
    </w:rPr>
  </w:style>
  <w:style w:type="paragraph" w:customStyle="1" w:styleId="482">
    <w:name w:val="jl 正文 Char Char"/>
    <w:basedOn w:val="1"/>
    <w:link w:val="481"/>
    <w:semiHidden/>
    <w:qFormat/>
    <w:uiPriority w:val="0"/>
    <w:pPr>
      <w:widowControl w:val="0"/>
      <w:autoSpaceDE w:val="0"/>
      <w:autoSpaceDN w:val="0"/>
      <w:adjustRightInd w:val="0"/>
      <w:spacing w:after="0" w:line="240" w:lineRule="auto"/>
      <w:ind w:firstLine="200" w:firstLineChars="200"/>
      <w:textAlignment w:val="baseline"/>
    </w:pPr>
    <w:rPr>
      <w:rFonts w:ascii="宋体" w:hAnsi="等线" w:eastAsia="等线" w:cs="Times New Roman"/>
      <w:color w:val="auto"/>
      <w:sz w:val="24"/>
      <w:szCs w:val="24"/>
    </w:rPr>
  </w:style>
  <w:style w:type="character" w:customStyle="1" w:styleId="483">
    <w:name w:val="样式 Arial"/>
    <w:qFormat/>
    <w:uiPriority w:val="0"/>
    <w:rPr>
      <w:rFonts w:hint="default" w:ascii="Times New Roman" w:hAnsi="Times New Roman" w:eastAsia="宋体" w:cs="Times New Roman"/>
      <w:sz w:val="21"/>
      <w:szCs w:val="21"/>
    </w:rPr>
  </w:style>
  <w:style w:type="character" w:customStyle="1" w:styleId="484">
    <w:name w:val="正文文本 Char2"/>
    <w:basedOn w:val="130"/>
    <w:qFormat/>
    <w:uiPriority w:val="0"/>
    <w:rPr>
      <w:kern w:val="2"/>
      <w:sz w:val="21"/>
      <w:szCs w:val="24"/>
    </w:rPr>
  </w:style>
  <w:style w:type="character" w:customStyle="1" w:styleId="485">
    <w:name w:val="访问过的超链接1"/>
    <w:qFormat/>
    <w:uiPriority w:val="0"/>
    <w:rPr>
      <w:color w:val="800080"/>
      <w:u w:val="single"/>
    </w:rPr>
  </w:style>
  <w:style w:type="character" w:customStyle="1" w:styleId="486">
    <w:name w:val="Char Char16"/>
    <w:qFormat/>
    <w:uiPriority w:val="0"/>
    <w:rPr>
      <w:rFonts w:ascii="Arial" w:hAnsi="Arial" w:eastAsia="黑体"/>
      <w:b/>
      <w:bCs/>
      <w:kern w:val="2"/>
      <w:sz w:val="32"/>
      <w:szCs w:val="32"/>
      <w:lang w:val="en-US" w:eastAsia="zh-CN" w:bidi="ar-SA"/>
    </w:rPr>
  </w:style>
  <w:style w:type="character" w:customStyle="1" w:styleId="487">
    <w:name w:val="Char Char11"/>
    <w:qFormat/>
    <w:locked/>
    <w:uiPriority w:val="0"/>
    <w:rPr>
      <w:rFonts w:ascii="宋体" w:hAnsi="宋体" w:eastAsia="宋体"/>
      <w:kern w:val="2"/>
      <w:sz w:val="18"/>
      <w:szCs w:val="18"/>
      <w:lang w:val="en-US" w:eastAsia="zh-CN" w:bidi="ar-SA"/>
    </w:rPr>
  </w:style>
  <w:style w:type="character" w:customStyle="1" w:styleId="488">
    <w:name w:val="引用 Char1"/>
    <w:basedOn w:val="130"/>
    <w:link w:val="489"/>
    <w:qFormat/>
    <w:uiPriority w:val="0"/>
    <w:rPr>
      <w:rFonts w:ascii="Calibri" w:hAnsi="Calibri"/>
      <w:i/>
      <w:sz w:val="24"/>
      <w:szCs w:val="24"/>
      <w:lang w:eastAsia="en-US" w:bidi="en-US"/>
    </w:rPr>
  </w:style>
  <w:style w:type="paragraph" w:customStyle="1" w:styleId="489">
    <w:name w:val="引用1"/>
    <w:basedOn w:val="1"/>
    <w:next w:val="1"/>
    <w:link w:val="488"/>
    <w:qFormat/>
    <w:uiPriority w:val="0"/>
    <w:pPr>
      <w:spacing w:after="0" w:line="240" w:lineRule="auto"/>
    </w:pPr>
    <w:rPr>
      <w:rFonts w:eastAsia="等线" w:cs="Times New Roman"/>
      <w:i/>
      <w:color w:val="auto"/>
      <w:sz w:val="24"/>
      <w:szCs w:val="24"/>
      <w:lang w:eastAsia="en-US" w:bidi="en-US"/>
    </w:rPr>
  </w:style>
  <w:style w:type="character" w:customStyle="1" w:styleId="490">
    <w:name w:val="Char Char51"/>
    <w:qFormat/>
    <w:uiPriority w:val="0"/>
    <w:rPr>
      <w:rFonts w:eastAsia="宋体"/>
      <w:b/>
      <w:kern w:val="44"/>
      <w:sz w:val="28"/>
      <w:szCs w:val="22"/>
      <w:lang w:val="en-US" w:eastAsia="zh-CN" w:bidi="ar-SA"/>
    </w:rPr>
  </w:style>
  <w:style w:type="character" w:customStyle="1" w:styleId="491">
    <w:name w:val="不明显参考1"/>
    <w:qFormat/>
    <w:uiPriority w:val="0"/>
    <w:rPr>
      <w:sz w:val="24"/>
      <w:szCs w:val="24"/>
      <w:u w:val="single"/>
    </w:rPr>
  </w:style>
  <w:style w:type="character" w:customStyle="1" w:styleId="492">
    <w:name w:val="图中文字"/>
    <w:qFormat/>
    <w:uiPriority w:val="0"/>
    <w:rPr>
      <w:rFonts w:ascii="Times New Roman" w:eastAsia="宋体"/>
      <w:sz w:val="15"/>
    </w:rPr>
  </w:style>
  <w:style w:type="character" w:customStyle="1" w:styleId="493">
    <w:name w:val="样式6 Char"/>
    <w:link w:val="494"/>
    <w:qFormat/>
    <w:uiPriority w:val="0"/>
    <w:rPr>
      <w:szCs w:val="24"/>
    </w:rPr>
  </w:style>
  <w:style w:type="paragraph" w:customStyle="1" w:styleId="494">
    <w:name w:val="样式6"/>
    <w:basedOn w:val="1"/>
    <w:link w:val="493"/>
    <w:qFormat/>
    <w:uiPriority w:val="0"/>
    <w:pPr>
      <w:widowControl w:val="0"/>
      <w:numPr>
        <w:ilvl w:val="2"/>
        <w:numId w:val="19"/>
      </w:numPr>
      <w:tabs>
        <w:tab w:val="left" w:pos="1571"/>
      </w:tabs>
      <w:spacing w:after="0" w:line="240" w:lineRule="auto"/>
      <w:jc w:val="both"/>
    </w:pPr>
    <w:rPr>
      <w:rFonts w:ascii="等线" w:hAnsi="等线" w:eastAsia="等线" w:cs="Times New Roman"/>
      <w:color w:val="auto"/>
      <w:szCs w:val="24"/>
    </w:rPr>
  </w:style>
  <w:style w:type="character" w:customStyle="1" w:styleId="495">
    <w:name w:val="明显参考1"/>
    <w:qFormat/>
    <w:uiPriority w:val="0"/>
    <w:rPr>
      <w:b/>
      <w:sz w:val="24"/>
      <w:u w:val="single"/>
    </w:rPr>
  </w:style>
  <w:style w:type="character" w:customStyle="1" w:styleId="496">
    <w:name w:val="Char Char7"/>
    <w:qFormat/>
    <w:uiPriority w:val="0"/>
    <w:rPr>
      <w:rFonts w:ascii="宋体" w:hAnsi="宋体" w:eastAsia="宋体" w:cs="宋体"/>
      <w:b/>
      <w:bCs/>
      <w:kern w:val="36"/>
      <w:sz w:val="48"/>
      <w:szCs w:val="48"/>
    </w:rPr>
  </w:style>
  <w:style w:type="character" w:customStyle="1" w:styleId="497">
    <w:name w:val="明显引用 Char"/>
    <w:qFormat/>
    <w:uiPriority w:val="0"/>
    <w:rPr>
      <w:rFonts w:ascii="Calibri" w:hAnsi="Calibri"/>
      <w:b/>
      <w:i/>
      <w:sz w:val="24"/>
      <w:lang w:eastAsia="en-US" w:bidi="en-US"/>
    </w:rPr>
  </w:style>
  <w:style w:type="character" w:customStyle="1" w:styleId="498">
    <w:name w:val="正文 Char"/>
    <w:qFormat/>
    <w:uiPriority w:val="0"/>
    <w:rPr>
      <w:rFonts w:eastAsia="宋体" w:cs="宋体"/>
      <w:kern w:val="2"/>
      <w:sz w:val="21"/>
      <w:lang w:val="en-US" w:eastAsia="zh-CN" w:bidi="ar-SA"/>
    </w:rPr>
  </w:style>
  <w:style w:type="character" w:customStyle="1" w:styleId="499">
    <w:name w:val="明显引用 Char1"/>
    <w:basedOn w:val="130"/>
    <w:link w:val="500"/>
    <w:qFormat/>
    <w:uiPriority w:val="0"/>
    <w:rPr>
      <w:rFonts w:ascii="Calibri" w:hAnsi="Calibri"/>
      <w:b/>
      <w:i/>
      <w:sz w:val="24"/>
      <w:lang w:eastAsia="en-US" w:bidi="en-US"/>
    </w:rPr>
  </w:style>
  <w:style w:type="paragraph" w:customStyle="1" w:styleId="500">
    <w:name w:val="明显引用1"/>
    <w:basedOn w:val="1"/>
    <w:next w:val="1"/>
    <w:link w:val="499"/>
    <w:qFormat/>
    <w:uiPriority w:val="0"/>
    <w:pPr>
      <w:spacing w:after="0" w:line="240" w:lineRule="auto"/>
      <w:ind w:left="720" w:right="720"/>
    </w:pPr>
    <w:rPr>
      <w:rFonts w:eastAsia="等线" w:cs="Times New Roman"/>
      <w:b/>
      <w:i/>
      <w:color w:val="auto"/>
      <w:sz w:val="24"/>
      <w:lang w:eastAsia="en-US" w:bidi="en-US"/>
    </w:rPr>
  </w:style>
  <w:style w:type="character" w:customStyle="1" w:styleId="501">
    <w:name w:val="样式 标题 3 + 宋体 Char"/>
    <w:link w:val="502"/>
    <w:qFormat/>
    <w:uiPriority w:val="0"/>
    <w:rPr>
      <w:rFonts w:ascii="宋体" w:hAnsi="宋体"/>
      <w:szCs w:val="21"/>
    </w:rPr>
  </w:style>
  <w:style w:type="paragraph" w:customStyle="1" w:styleId="502">
    <w:name w:val="样式 标题 3 + 宋体"/>
    <w:basedOn w:val="4"/>
    <w:link w:val="501"/>
    <w:qFormat/>
    <w:uiPriority w:val="0"/>
    <w:pPr>
      <w:keepNext w:val="0"/>
      <w:keepLines w:val="0"/>
      <w:widowControl w:val="0"/>
      <w:tabs>
        <w:tab w:val="left" w:pos="1560"/>
      </w:tabs>
      <w:snapToGrid w:val="0"/>
      <w:spacing w:after="0" w:line="360" w:lineRule="auto"/>
      <w:ind w:left="360" w:right="0" w:firstLine="0"/>
      <w:jc w:val="both"/>
    </w:pPr>
    <w:rPr>
      <w:rFonts w:ascii="宋体" w:hAnsi="宋体" w:eastAsia="等线" w:cs="Times New Roman"/>
      <w:color w:val="auto"/>
      <w:sz w:val="21"/>
      <w:szCs w:val="21"/>
    </w:rPr>
  </w:style>
  <w:style w:type="character" w:customStyle="1" w:styleId="503">
    <w:name w:val="正文格式 Char"/>
    <w:link w:val="504"/>
    <w:qFormat/>
    <w:uiPriority w:val="0"/>
    <w:rPr>
      <w:rFonts w:ascii="宋体" w:hAnsi="宋体"/>
      <w:bCs/>
      <w:szCs w:val="21"/>
    </w:rPr>
  </w:style>
  <w:style w:type="paragraph" w:customStyle="1" w:styleId="504">
    <w:name w:val="正文格式"/>
    <w:basedOn w:val="1"/>
    <w:link w:val="503"/>
    <w:qFormat/>
    <w:uiPriority w:val="0"/>
    <w:pPr>
      <w:widowControl w:val="0"/>
      <w:topLinePunct/>
      <w:spacing w:after="0" w:line="240" w:lineRule="auto"/>
      <w:ind w:firstLine="420" w:firstLineChars="200"/>
      <w:jc w:val="both"/>
    </w:pPr>
    <w:rPr>
      <w:rFonts w:ascii="宋体" w:hAnsi="宋体" w:eastAsia="等线" w:cs="Times New Roman"/>
      <w:bCs/>
      <w:color w:val="auto"/>
      <w:szCs w:val="21"/>
    </w:rPr>
  </w:style>
  <w:style w:type="character" w:customStyle="1" w:styleId="505">
    <w:name w:val="一级条标题 Char"/>
    <w:link w:val="506"/>
    <w:qFormat/>
    <w:uiPriority w:val="0"/>
    <w:rPr>
      <w:rFonts w:ascii="黑体" w:eastAsia="黑体"/>
      <w:b/>
    </w:rPr>
  </w:style>
  <w:style w:type="paragraph" w:customStyle="1" w:styleId="506">
    <w:name w:val="一级条标题"/>
    <w:basedOn w:val="3"/>
    <w:next w:val="507"/>
    <w:link w:val="505"/>
    <w:qFormat/>
    <w:uiPriority w:val="0"/>
    <w:pPr>
      <w:keepNext w:val="0"/>
      <w:keepLines w:val="0"/>
      <w:tabs>
        <w:tab w:val="left" w:pos="525"/>
        <w:tab w:val="left" w:pos="780"/>
      </w:tabs>
      <w:spacing w:after="0" w:line="240" w:lineRule="auto"/>
      <w:ind w:left="780" w:right="0" w:hanging="360"/>
      <w:jc w:val="both"/>
      <w:outlineLvl w:val="2"/>
    </w:pPr>
    <w:rPr>
      <w:rFonts w:hAnsi="等线" w:eastAsia="黑体" w:cs="Times New Roman"/>
      <w:b/>
      <w:color w:val="auto"/>
      <w:sz w:val="21"/>
    </w:rPr>
  </w:style>
  <w:style w:type="paragraph" w:customStyle="1" w:styleId="507">
    <w:name w:val="段"/>
    <w:qFormat/>
    <w:uiPriority w:val="0"/>
    <w:pPr>
      <w:ind w:firstLine="200" w:firstLineChars="200"/>
      <w:jc w:val="both"/>
    </w:pPr>
    <w:rPr>
      <w:rFonts w:ascii="宋体" w:hAnsi="Times New Roman" w:eastAsia="宋体" w:cs="Times New Roman"/>
      <w:sz w:val="21"/>
      <w:lang w:val="en-US" w:eastAsia="zh-CN" w:bidi="ar-SA"/>
    </w:rPr>
  </w:style>
  <w:style w:type="character" w:customStyle="1" w:styleId="508">
    <w:name w:val="明显强调1"/>
    <w:qFormat/>
    <w:uiPriority w:val="0"/>
    <w:rPr>
      <w:b/>
      <w:i/>
      <w:sz w:val="24"/>
      <w:szCs w:val="24"/>
      <w:u w:val="single"/>
    </w:rPr>
  </w:style>
  <w:style w:type="character" w:customStyle="1" w:styleId="509">
    <w:name w:val="Char Char21"/>
    <w:qFormat/>
    <w:uiPriority w:val="0"/>
    <w:rPr>
      <w:rFonts w:eastAsia="汉仪大宋简"/>
      <w:kern w:val="44"/>
      <w:sz w:val="22"/>
      <w:szCs w:val="22"/>
      <w:lang w:val="en-US" w:eastAsia="zh-CN" w:bidi="ar-SA"/>
    </w:rPr>
  </w:style>
  <w:style w:type="character" w:customStyle="1" w:styleId="510">
    <w:name w:val="Char Char6"/>
    <w:semiHidden/>
    <w:qFormat/>
    <w:uiPriority w:val="0"/>
    <w:rPr>
      <w:rFonts w:ascii="Cambria" w:hAnsi="Cambria" w:eastAsia="宋体" w:cs="Times New Roman"/>
      <w:b/>
      <w:bCs/>
      <w:kern w:val="2"/>
      <w:sz w:val="32"/>
      <w:szCs w:val="32"/>
    </w:rPr>
  </w:style>
  <w:style w:type="character" w:customStyle="1" w:styleId="511">
    <w:name w:val="首行缩进 Char"/>
    <w:link w:val="512"/>
    <w:qFormat/>
    <w:uiPriority w:val="0"/>
    <w:rPr>
      <w:rFonts w:eastAsia="方正书宋简体" w:cs="宋体"/>
    </w:rPr>
  </w:style>
  <w:style w:type="paragraph" w:customStyle="1" w:styleId="512">
    <w:name w:val="首行缩进"/>
    <w:basedOn w:val="1"/>
    <w:link w:val="511"/>
    <w:qFormat/>
    <w:uiPriority w:val="0"/>
    <w:pPr>
      <w:widowControl w:val="0"/>
      <w:spacing w:after="0" w:line="300" w:lineRule="auto"/>
      <w:ind w:firstLine="420" w:firstLineChars="200"/>
      <w:jc w:val="both"/>
    </w:pPr>
    <w:rPr>
      <w:rFonts w:ascii="等线" w:hAnsi="等线" w:eastAsia="方正书宋简体" w:cs="宋体"/>
      <w:color w:val="auto"/>
    </w:rPr>
  </w:style>
  <w:style w:type="character" w:customStyle="1" w:styleId="513">
    <w:name w:val="Char Char5"/>
    <w:semiHidden/>
    <w:qFormat/>
    <w:uiPriority w:val="0"/>
    <w:rPr>
      <w:b/>
      <w:bCs/>
      <w:kern w:val="2"/>
      <w:sz w:val="32"/>
      <w:szCs w:val="32"/>
    </w:rPr>
  </w:style>
  <w:style w:type="character" w:customStyle="1" w:styleId="514">
    <w:name w:val="引用 Char"/>
    <w:qFormat/>
    <w:uiPriority w:val="0"/>
    <w:rPr>
      <w:rFonts w:ascii="Calibri" w:hAnsi="Calibri"/>
      <w:i/>
      <w:sz w:val="24"/>
      <w:szCs w:val="24"/>
      <w:lang w:eastAsia="en-US" w:bidi="en-US"/>
    </w:rPr>
  </w:style>
  <w:style w:type="character" w:customStyle="1" w:styleId="515">
    <w:name w:val="Char Char3"/>
    <w:semiHidden/>
    <w:qFormat/>
    <w:uiPriority w:val="0"/>
    <w:rPr>
      <w:kern w:val="2"/>
      <w:sz w:val="18"/>
      <w:szCs w:val="18"/>
    </w:rPr>
  </w:style>
  <w:style w:type="character" w:customStyle="1" w:styleId="516">
    <w:name w:val="样式 标题 4 + (符号) 宋体 Char"/>
    <w:link w:val="517"/>
    <w:qFormat/>
    <w:uiPriority w:val="0"/>
    <w:rPr>
      <w:rFonts w:ascii="宋体" w:hAnsi="Arial"/>
      <w:b/>
      <w:bCs/>
      <w:szCs w:val="21"/>
    </w:rPr>
  </w:style>
  <w:style w:type="paragraph" w:customStyle="1" w:styleId="517">
    <w:name w:val="样式 标题 4 + (符号) 宋体"/>
    <w:basedOn w:val="5"/>
    <w:link w:val="516"/>
    <w:qFormat/>
    <w:uiPriority w:val="0"/>
    <w:pPr>
      <w:keepNext w:val="0"/>
      <w:keepLines w:val="0"/>
      <w:widowControl w:val="0"/>
      <w:tabs>
        <w:tab w:val="left" w:pos="2976"/>
      </w:tabs>
      <w:adjustRightInd w:val="0"/>
      <w:snapToGrid w:val="0"/>
      <w:spacing w:after="0" w:line="360" w:lineRule="auto"/>
      <w:ind w:left="2551" w:right="0" w:firstLine="0"/>
      <w:jc w:val="both"/>
    </w:pPr>
    <w:rPr>
      <w:rFonts w:ascii="宋体" w:hAnsi="Arial" w:eastAsia="等线" w:cs="Times New Roman"/>
      <w:b/>
      <w:bCs/>
      <w:color w:val="auto"/>
      <w:sz w:val="21"/>
      <w:szCs w:val="21"/>
    </w:rPr>
  </w:style>
  <w:style w:type="character" w:customStyle="1" w:styleId="518">
    <w:name w:val="不明显强调1"/>
    <w:qFormat/>
    <w:uiPriority w:val="0"/>
    <w:rPr>
      <w:i/>
      <w:color w:val="5A5A5A"/>
    </w:rPr>
  </w:style>
  <w:style w:type="character" w:customStyle="1" w:styleId="519">
    <w:name w:val="Char Char41"/>
    <w:qFormat/>
    <w:uiPriority w:val="0"/>
    <w:rPr>
      <w:rFonts w:eastAsia="汉仪大宋简"/>
      <w:kern w:val="44"/>
      <w:sz w:val="22"/>
      <w:szCs w:val="22"/>
      <w:lang w:val="en-US" w:eastAsia="zh-CN" w:bidi="ar-SA"/>
    </w:rPr>
  </w:style>
  <w:style w:type="character" w:customStyle="1" w:styleId="520">
    <w:name w:val="页脚 Char1"/>
    <w:qFormat/>
    <w:uiPriority w:val="99"/>
    <w:rPr>
      <w:rFonts w:ascii="Calibri" w:hAnsi="Calibri" w:eastAsia="宋体" w:cs="Times New Roman"/>
      <w:sz w:val="18"/>
      <w:szCs w:val="18"/>
    </w:rPr>
  </w:style>
  <w:style w:type="character" w:customStyle="1" w:styleId="521">
    <w:name w:val="Char Char2"/>
    <w:qFormat/>
    <w:uiPriority w:val="0"/>
    <w:rPr>
      <w:kern w:val="2"/>
      <w:sz w:val="18"/>
      <w:szCs w:val="18"/>
    </w:rPr>
  </w:style>
  <w:style w:type="character" w:customStyle="1" w:styleId="522">
    <w:name w:val="批注主题 Char3"/>
    <w:basedOn w:val="161"/>
    <w:qFormat/>
    <w:uiPriority w:val="0"/>
    <w:rPr>
      <w:rFonts w:ascii="Times New Roman" w:hAnsi="Times New Roman" w:eastAsia="宋体" w:cs="Times New Roman"/>
      <w:b/>
      <w:bCs/>
      <w:snapToGrid w:val="0"/>
      <w:kern w:val="0"/>
      <w:sz w:val="24"/>
      <w:szCs w:val="20"/>
    </w:rPr>
  </w:style>
  <w:style w:type="paragraph" w:customStyle="1" w:styleId="52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character" w:customStyle="1" w:styleId="525">
    <w:name w:val="签名 字符1"/>
    <w:basedOn w:val="130"/>
    <w:semiHidden/>
    <w:qFormat/>
    <w:uiPriority w:val="99"/>
    <w:rPr>
      <w:rFonts w:ascii="Calibri" w:hAnsi="Calibri" w:eastAsia="宋体" w:cs="Calibri"/>
      <w:color w:val="000000"/>
    </w:rPr>
  </w:style>
  <w:style w:type="paragraph" w:customStyle="1" w:styleId="526">
    <w:name w:val="附录章标题"/>
    <w:next w:val="507"/>
    <w:qFormat/>
    <w:uiPriority w:val="0"/>
    <w:pPr>
      <w:tabs>
        <w:tab w:val="left" w:pos="360"/>
        <w:tab w:val="left" w:pos="1620"/>
      </w:tabs>
      <w:wordWrap w:val="0"/>
      <w:overflowPunct w:val="0"/>
      <w:autoSpaceDE w:val="0"/>
      <w:spacing w:beforeLines="50" w:afterLines="50"/>
      <w:ind w:left="1620" w:hanging="360"/>
      <w:jc w:val="both"/>
      <w:textAlignment w:val="baseline"/>
      <w:outlineLvl w:val="1"/>
    </w:pPr>
    <w:rPr>
      <w:rFonts w:ascii="黑体" w:hAnsi="Times New Roman" w:eastAsia="黑体" w:cs="Times New Roman"/>
      <w:kern w:val="21"/>
      <w:sz w:val="21"/>
      <w:lang w:val="en-US" w:eastAsia="zh-CN" w:bidi="ar-SA"/>
    </w:rPr>
  </w:style>
  <w:style w:type="paragraph" w:customStyle="1" w:styleId="527">
    <w:name w:val="样式 标题 1 + 首行缩进:  2 字符 段前: 1 行 段后: 1 行"/>
    <w:basedOn w:val="2"/>
    <w:semiHidden/>
    <w:qFormat/>
    <w:uiPriority w:val="0"/>
    <w:pPr>
      <w:widowControl w:val="0"/>
      <w:tabs>
        <w:tab w:val="left" w:pos="425"/>
      </w:tabs>
      <w:spacing w:beforeLines="100" w:afterLines="100" w:line="360" w:lineRule="auto"/>
      <w:ind w:left="0" w:right="0" w:firstLine="0"/>
      <w:jc w:val="both"/>
    </w:pPr>
    <w:rPr>
      <w:rFonts w:ascii="Times New Roman" w:hAnsi="Times New Roman" w:eastAsia="宋体" w:cs="Times New Roman"/>
      <w:b/>
      <w:color w:val="auto"/>
      <w:kern w:val="44"/>
      <w:sz w:val="28"/>
      <w:szCs w:val="20"/>
    </w:rPr>
  </w:style>
  <w:style w:type="character" w:customStyle="1" w:styleId="528">
    <w:name w:val="副标题 字符1"/>
    <w:basedOn w:val="130"/>
    <w:qFormat/>
    <w:uiPriority w:val="11"/>
    <w:rPr>
      <w:b/>
      <w:bCs/>
      <w:color w:val="000000"/>
      <w:kern w:val="28"/>
      <w:sz w:val="32"/>
      <w:szCs w:val="32"/>
    </w:rPr>
  </w:style>
  <w:style w:type="paragraph" w:customStyle="1" w:styleId="529">
    <w:name w:val="四级条标题"/>
    <w:basedOn w:val="530"/>
    <w:next w:val="507"/>
    <w:qFormat/>
    <w:uiPriority w:val="0"/>
    <w:pPr>
      <w:tabs>
        <w:tab w:val="left" w:pos="945"/>
        <w:tab w:val="left" w:pos="1021"/>
        <w:tab w:val="left" w:pos="1080"/>
        <w:tab w:val="left" w:pos="1155"/>
      </w:tabs>
      <w:outlineLvl w:val="5"/>
    </w:pPr>
  </w:style>
  <w:style w:type="paragraph" w:customStyle="1" w:styleId="530">
    <w:name w:val="三级条标题"/>
    <w:basedOn w:val="476"/>
    <w:next w:val="507"/>
    <w:qFormat/>
    <w:uiPriority w:val="0"/>
    <w:pPr>
      <w:tabs>
        <w:tab w:val="left" w:pos="945"/>
        <w:tab w:val="left" w:pos="1080"/>
      </w:tabs>
      <w:outlineLvl w:val="4"/>
    </w:pPr>
  </w:style>
  <w:style w:type="character" w:customStyle="1" w:styleId="531">
    <w:name w:val="HTML 地址 字符1"/>
    <w:basedOn w:val="130"/>
    <w:semiHidden/>
    <w:qFormat/>
    <w:uiPriority w:val="99"/>
    <w:rPr>
      <w:rFonts w:ascii="Calibri" w:hAnsi="Calibri" w:eastAsia="宋体" w:cs="Calibri"/>
      <w:i/>
      <w:iCs/>
      <w:color w:val="000000"/>
    </w:rPr>
  </w:style>
  <w:style w:type="paragraph" w:customStyle="1" w:styleId="532">
    <w:name w:val="表文"/>
    <w:basedOn w:val="1"/>
    <w:qFormat/>
    <w:uiPriority w:val="0"/>
    <w:pPr>
      <w:widowControl w:val="0"/>
      <w:topLinePunct/>
      <w:spacing w:before="40" w:after="40" w:line="240" w:lineRule="auto"/>
      <w:jc w:val="both"/>
    </w:pPr>
    <w:rPr>
      <w:rFonts w:ascii="Times New Roman" w:hAnsi="Times New Roman" w:cs="Times New Roman"/>
      <w:color w:val="auto"/>
      <w:sz w:val="18"/>
      <w:szCs w:val="18"/>
    </w:rPr>
  </w:style>
  <w:style w:type="paragraph" w:customStyle="1" w:styleId="533">
    <w:name w:val="图形标题"/>
    <w:basedOn w:val="20"/>
    <w:semiHidden/>
    <w:qFormat/>
    <w:uiPriority w:val="0"/>
    <w:pPr>
      <w:jc w:val="center"/>
    </w:pPr>
    <w:rPr>
      <w:rFonts w:ascii="宋体" w:hAnsi="Plotter" w:eastAsia="宋体"/>
    </w:rPr>
  </w:style>
  <w:style w:type="character" w:customStyle="1" w:styleId="534">
    <w:name w:val="电子邮件签名 字符1"/>
    <w:basedOn w:val="130"/>
    <w:semiHidden/>
    <w:qFormat/>
    <w:uiPriority w:val="99"/>
    <w:rPr>
      <w:rFonts w:ascii="Calibri" w:hAnsi="Calibri" w:eastAsia="宋体" w:cs="Calibri"/>
      <w:color w:val="000000"/>
    </w:rPr>
  </w:style>
  <w:style w:type="paragraph" w:customStyle="1" w:styleId="535">
    <w:name w:val="样式 标题 1 + 非加粗"/>
    <w:basedOn w:val="2"/>
    <w:qFormat/>
    <w:uiPriority w:val="0"/>
    <w:pPr>
      <w:widowControl w:val="0"/>
      <w:topLinePunct/>
      <w:spacing w:after="0" w:line="480" w:lineRule="auto"/>
      <w:ind w:left="0" w:right="0" w:firstLine="420"/>
      <w:jc w:val="both"/>
      <w:textAlignment w:val="baseline"/>
    </w:pPr>
    <w:rPr>
      <w:rFonts w:ascii="Times New Roman" w:hAnsi="Times New Roman" w:eastAsia="宋体" w:cs="Times New Roman"/>
      <w:b/>
      <w:color w:val="auto"/>
      <w:kern w:val="44"/>
      <w:sz w:val="28"/>
    </w:rPr>
  </w:style>
  <w:style w:type="paragraph" w:customStyle="1" w:styleId="536">
    <w:name w:val="font0"/>
    <w:basedOn w:val="1"/>
    <w:semiHidden/>
    <w:qFormat/>
    <w:uiPriority w:val="0"/>
    <w:pPr>
      <w:spacing w:before="100" w:beforeAutospacing="1" w:after="100" w:afterAutospacing="1" w:line="240" w:lineRule="auto"/>
    </w:pPr>
    <w:rPr>
      <w:rFonts w:hint="eastAsia" w:ascii="宋体" w:hAnsi="Times New Roman" w:cs="Times New Roman"/>
      <w:color w:val="auto"/>
      <w:kern w:val="0"/>
      <w:sz w:val="24"/>
      <w:szCs w:val="24"/>
    </w:rPr>
  </w:style>
  <w:style w:type="character" w:customStyle="1" w:styleId="537">
    <w:name w:val="称呼 字符1"/>
    <w:basedOn w:val="130"/>
    <w:semiHidden/>
    <w:qFormat/>
    <w:uiPriority w:val="99"/>
    <w:rPr>
      <w:rFonts w:ascii="Calibri" w:hAnsi="Calibri" w:eastAsia="宋体" w:cs="Calibri"/>
      <w:color w:val="000000"/>
    </w:rPr>
  </w:style>
  <w:style w:type="paragraph" w:customStyle="1" w:styleId="538">
    <w:name w:val="样式 标题 5 + 右侧:  1 字符"/>
    <w:basedOn w:val="6"/>
    <w:qFormat/>
    <w:uiPriority w:val="0"/>
    <w:pPr>
      <w:widowControl w:val="0"/>
      <w:adjustRightInd w:val="0"/>
      <w:spacing w:after="0" w:line="360" w:lineRule="auto"/>
      <w:ind w:left="0" w:right="210" w:rightChars="100" w:firstLine="0"/>
      <w:jc w:val="both"/>
      <w:textAlignment w:val="baseline"/>
    </w:pPr>
    <w:rPr>
      <w:rFonts w:ascii="Times New Roman" w:hAnsi="Times New Roman" w:eastAsia="宋体" w:cs="宋体"/>
      <w:color w:val="auto"/>
      <w:kern w:val="0"/>
      <w:sz w:val="21"/>
      <w:szCs w:val="20"/>
    </w:rPr>
  </w:style>
  <w:style w:type="paragraph" w:customStyle="1" w:styleId="539">
    <w:name w:val="附录表标题"/>
    <w:next w:val="507"/>
    <w:qFormat/>
    <w:uiPriority w:val="0"/>
    <w:pPr>
      <w:tabs>
        <w:tab w:val="left" w:pos="1620"/>
      </w:tabs>
      <w:ind w:hanging="360"/>
      <w:jc w:val="center"/>
      <w:textAlignment w:val="baseline"/>
    </w:pPr>
    <w:rPr>
      <w:rFonts w:ascii="黑体" w:hAnsi="Times New Roman" w:eastAsia="黑体" w:cs="Times New Roman"/>
      <w:kern w:val="21"/>
      <w:sz w:val="21"/>
      <w:lang w:val="en-US" w:eastAsia="zh-CN" w:bidi="ar-SA"/>
    </w:rPr>
  </w:style>
  <w:style w:type="character" w:customStyle="1" w:styleId="540">
    <w:name w:val="结束语 字符1"/>
    <w:basedOn w:val="130"/>
    <w:semiHidden/>
    <w:qFormat/>
    <w:uiPriority w:val="99"/>
    <w:rPr>
      <w:rFonts w:ascii="Calibri" w:hAnsi="Calibri" w:eastAsia="宋体" w:cs="Calibri"/>
      <w:color w:val="000000"/>
    </w:rPr>
  </w:style>
  <w:style w:type="paragraph" w:customStyle="1" w:styleId="541">
    <w:name w:val="附录"/>
    <w:basedOn w:val="2"/>
    <w:qFormat/>
    <w:uiPriority w:val="0"/>
    <w:pPr>
      <w:widowControl w:val="0"/>
      <w:topLinePunct/>
      <w:spacing w:after="0" w:line="960" w:lineRule="auto"/>
      <w:ind w:left="0" w:right="0" w:firstLine="420"/>
      <w:textAlignment w:val="baseline"/>
    </w:pPr>
    <w:rPr>
      <w:rFonts w:ascii="Times New Roman" w:hAnsi="Times New Roman" w:cs="Times New Roman"/>
      <w:color w:val="auto"/>
      <w:sz w:val="28"/>
      <w:szCs w:val="28"/>
    </w:rPr>
  </w:style>
  <w:style w:type="paragraph" w:customStyle="1" w:styleId="54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43">
    <w:name w:val="样式 标题 2标题 2 Char + 宋体"/>
    <w:basedOn w:val="3"/>
    <w:qFormat/>
    <w:uiPriority w:val="0"/>
    <w:pPr>
      <w:keepNext w:val="0"/>
      <w:widowControl w:val="0"/>
      <w:tabs>
        <w:tab w:val="left" w:pos="1320"/>
      </w:tabs>
      <w:adjustRightInd w:val="0"/>
      <w:snapToGrid w:val="0"/>
      <w:spacing w:after="0" w:line="360" w:lineRule="auto"/>
      <w:ind w:left="1320" w:right="0" w:hanging="420"/>
      <w:jc w:val="both"/>
    </w:pPr>
    <w:rPr>
      <w:rFonts w:ascii="宋体" w:hAnsi="Times New Roman" w:cs="Times New Roman"/>
      <w:color w:val="auto"/>
      <w:sz w:val="21"/>
      <w:szCs w:val="21"/>
    </w:rPr>
  </w:style>
  <w:style w:type="paragraph" w:customStyle="1" w:styleId="544">
    <w:name w:val="其他发布部门"/>
    <w:basedOn w:val="1"/>
    <w:qFormat/>
    <w:uiPriority w:val="0"/>
    <w:pPr>
      <w:framePr w:w="7433" w:h="585" w:hRule="exact" w:hSpace="180" w:vSpace="180" w:wrap="around" w:vAnchor="margin" w:hAnchor="margin" w:xAlign="center" w:y="14401" w:anchorLock="1"/>
      <w:spacing w:after="0" w:line="0" w:lineRule="atLeast"/>
      <w:jc w:val="center"/>
    </w:pPr>
    <w:rPr>
      <w:rFonts w:ascii="黑体" w:hAnsi="Times New Roman" w:eastAsia="黑体" w:cs="Times New Roman"/>
      <w:color w:val="auto"/>
      <w:spacing w:val="20"/>
      <w:w w:val="135"/>
      <w:kern w:val="0"/>
      <w:sz w:val="36"/>
      <w:szCs w:val="20"/>
    </w:rPr>
  </w:style>
  <w:style w:type="paragraph" w:customStyle="1" w:styleId="545">
    <w:name w:val="标准书眉一"/>
    <w:qFormat/>
    <w:uiPriority w:val="0"/>
    <w:pPr>
      <w:jc w:val="both"/>
    </w:pPr>
    <w:rPr>
      <w:rFonts w:ascii="Times New Roman" w:hAnsi="Times New Roman" w:eastAsia="宋体" w:cs="Times New Roman"/>
      <w:lang w:val="en-US" w:eastAsia="zh-CN" w:bidi="ar-SA"/>
    </w:rPr>
  </w:style>
  <w:style w:type="paragraph" w:customStyle="1" w:styleId="546">
    <w:name w:val="封面正文"/>
    <w:qFormat/>
    <w:uiPriority w:val="0"/>
    <w:pPr>
      <w:numPr>
        <w:ilvl w:val="0"/>
        <w:numId w:val="20"/>
      </w:numPr>
      <w:tabs>
        <w:tab w:val="left" w:pos="1620"/>
      </w:tabs>
      <w:jc w:val="both"/>
    </w:pPr>
    <w:rPr>
      <w:rFonts w:ascii="Times New Roman" w:hAnsi="Times New Roman" w:eastAsia="宋体" w:cs="Times New Roman"/>
      <w:lang w:val="en-US" w:eastAsia="zh-CN" w:bidi="ar-SA"/>
    </w:rPr>
  </w:style>
  <w:style w:type="paragraph" w:customStyle="1" w:styleId="547">
    <w:name w:val="jl 正文"/>
    <w:basedOn w:val="1"/>
    <w:semiHidden/>
    <w:qFormat/>
    <w:uiPriority w:val="0"/>
    <w:pPr>
      <w:widowControl w:val="0"/>
      <w:autoSpaceDE w:val="0"/>
      <w:autoSpaceDN w:val="0"/>
      <w:adjustRightInd w:val="0"/>
      <w:spacing w:after="0" w:line="240" w:lineRule="auto"/>
      <w:ind w:firstLine="200" w:firstLineChars="200"/>
      <w:textAlignment w:val="baseline"/>
    </w:pPr>
    <w:rPr>
      <w:rFonts w:ascii="宋体" w:hAnsi="Times New Roman" w:cs="Times New Roman"/>
      <w:color w:val="auto"/>
      <w:kern w:val="0"/>
      <w:sz w:val="24"/>
      <w:szCs w:val="24"/>
    </w:rPr>
  </w:style>
  <w:style w:type="paragraph" w:customStyle="1" w:styleId="548">
    <w:name w:val="附录二级条标题"/>
    <w:basedOn w:val="283"/>
    <w:next w:val="507"/>
    <w:qFormat/>
    <w:uiPriority w:val="0"/>
    <w:pPr>
      <w:numPr>
        <w:ilvl w:val="0"/>
        <w:numId w:val="0"/>
      </w:numPr>
      <w:tabs>
        <w:tab w:val="left" w:pos="360"/>
        <w:tab w:val="left" w:pos="1620"/>
      </w:tabs>
      <w:ind w:left="1620" w:hanging="360"/>
      <w:outlineLvl w:val="3"/>
    </w:pPr>
    <w:rPr>
      <w:szCs w:val="20"/>
    </w:rPr>
  </w:style>
  <w:style w:type="paragraph" w:customStyle="1" w:styleId="549">
    <w:name w:val="1.1.1.1N"/>
    <w:basedOn w:val="1"/>
    <w:qFormat/>
    <w:uiPriority w:val="0"/>
    <w:pPr>
      <w:widowControl w:val="0"/>
      <w:autoSpaceDE w:val="0"/>
      <w:autoSpaceDN w:val="0"/>
      <w:adjustRightInd w:val="0"/>
      <w:spacing w:before="60" w:after="60" w:line="360" w:lineRule="atLeast"/>
      <w:ind w:left="1134"/>
      <w:jc w:val="both"/>
    </w:pPr>
    <w:rPr>
      <w:rFonts w:ascii="Arial" w:hAnsi="Arial" w:cs="Times New Roman"/>
      <w:color w:val="auto"/>
      <w:kern w:val="0"/>
      <w:sz w:val="24"/>
      <w:szCs w:val="20"/>
    </w:rPr>
  </w:style>
  <w:style w:type="paragraph" w:customStyle="1" w:styleId="550">
    <w:name w:val="列出段落2"/>
    <w:basedOn w:val="1"/>
    <w:qFormat/>
    <w:uiPriority w:val="0"/>
    <w:pPr>
      <w:widowControl w:val="0"/>
      <w:adjustRightInd w:val="0"/>
      <w:snapToGrid w:val="0"/>
      <w:spacing w:after="0" w:line="360" w:lineRule="auto"/>
      <w:jc w:val="both"/>
    </w:pPr>
    <w:rPr>
      <w:rFonts w:ascii="Arial" w:hAnsi="Arial" w:eastAsia="仿宋_GB2312" w:cs="Arial"/>
      <w:color w:val="auto"/>
      <w:sz w:val="28"/>
      <w:szCs w:val="28"/>
    </w:rPr>
  </w:style>
  <w:style w:type="paragraph" w:customStyle="1" w:styleId="551">
    <w:name w:val="列出段落112"/>
    <w:basedOn w:val="1"/>
    <w:qFormat/>
    <w:uiPriority w:val="0"/>
    <w:pPr>
      <w:widowControl w:val="0"/>
      <w:adjustRightInd w:val="0"/>
      <w:snapToGrid w:val="0"/>
      <w:spacing w:after="0" w:line="360" w:lineRule="auto"/>
      <w:jc w:val="both"/>
    </w:pPr>
    <w:rPr>
      <w:rFonts w:ascii="Arial" w:hAnsi="Arial" w:eastAsia="仿宋_GB2312" w:cs="Arial"/>
      <w:color w:val="auto"/>
      <w:sz w:val="28"/>
      <w:szCs w:val="28"/>
    </w:rPr>
  </w:style>
  <w:style w:type="paragraph" w:customStyle="1" w:styleId="552">
    <w:name w:val="列出段落111"/>
    <w:basedOn w:val="1"/>
    <w:qFormat/>
    <w:uiPriority w:val="0"/>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53">
    <w:name w:val="样式 首行缩进:  0 厘米 行距: 单倍行距 Char"/>
    <w:basedOn w:val="1"/>
    <w:qFormat/>
    <w:uiPriority w:val="0"/>
    <w:pPr>
      <w:widowControl w:val="0"/>
      <w:adjustRightInd w:val="0"/>
      <w:spacing w:after="0" w:line="240" w:lineRule="auto"/>
      <w:jc w:val="both"/>
      <w:textAlignment w:val="baseline"/>
    </w:pPr>
    <w:rPr>
      <w:rFonts w:ascii="Times New Roman" w:hAnsi="Times New Roman" w:cs="Times New Roman"/>
      <w:color w:val="auto"/>
      <w:kern w:val="0"/>
      <w:szCs w:val="21"/>
    </w:rPr>
  </w:style>
  <w:style w:type="paragraph" w:customStyle="1" w:styleId="554">
    <w:name w:val="列出段落11"/>
    <w:basedOn w:val="1"/>
    <w:qFormat/>
    <w:uiPriority w:val="34"/>
    <w:pPr>
      <w:widowControl w:val="0"/>
      <w:spacing w:after="0" w:line="240" w:lineRule="auto"/>
      <w:ind w:firstLine="420" w:firstLineChars="200"/>
      <w:jc w:val="both"/>
    </w:pPr>
    <w:rPr>
      <w:rFonts w:cs="Times New Roman"/>
      <w:color w:val="auto"/>
    </w:rPr>
  </w:style>
  <w:style w:type="paragraph" w:customStyle="1" w:styleId="5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56">
    <w:name w:val="三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57">
    <w:name w:val="文件标题"/>
    <w:basedOn w:val="1"/>
    <w:qFormat/>
    <w:uiPriority w:val="0"/>
    <w:pPr>
      <w:widowControl w:val="0"/>
      <w:autoSpaceDE w:val="0"/>
      <w:autoSpaceDN w:val="0"/>
      <w:adjustRightInd w:val="0"/>
      <w:spacing w:after="240" w:line="240" w:lineRule="auto"/>
      <w:jc w:val="center"/>
    </w:pPr>
    <w:rPr>
      <w:rFonts w:ascii="Arial Black" w:hAnsi="Arial Black" w:cs="Times New Roman"/>
      <w:color w:val="auto"/>
      <w:kern w:val="0"/>
      <w:sz w:val="48"/>
      <w:szCs w:val="20"/>
    </w:rPr>
  </w:style>
  <w:style w:type="paragraph" w:customStyle="1" w:styleId="558">
    <w:name w:val="样式 样式 标题 2 + 段前: 0.5 行 段后: 0.5 行 + 首行缩进:  2 字符 段前: 0.5 行 段后: 0..."/>
    <w:basedOn w:val="1"/>
    <w:semiHidden/>
    <w:qFormat/>
    <w:uiPriority w:val="0"/>
    <w:pPr>
      <w:keepNext/>
      <w:keepLines/>
      <w:widowControl w:val="0"/>
      <w:adjustRightInd w:val="0"/>
      <w:spacing w:beforeLines="50" w:afterLines="50" w:line="240" w:lineRule="auto"/>
      <w:textAlignment w:val="baseline"/>
      <w:outlineLvl w:val="1"/>
    </w:pPr>
    <w:rPr>
      <w:rFonts w:ascii="Times New Roman" w:hAnsi="Times New Roman" w:eastAsia="黑体" w:cs="Times New Roman"/>
      <w:color w:val="auto"/>
      <w:kern w:val="0"/>
      <w:szCs w:val="20"/>
    </w:rPr>
  </w:style>
  <w:style w:type="paragraph" w:customStyle="1" w:styleId="559">
    <w:name w:val="xl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sz w:val="20"/>
      <w:szCs w:val="20"/>
    </w:rPr>
  </w:style>
  <w:style w:type="paragraph" w:customStyle="1" w:styleId="560">
    <w:name w:val="Toc1"/>
    <w:basedOn w:val="44"/>
    <w:qFormat/>
    <w:uiPriority w:val="0"/>
    <w:pPr>
      <w:numPr>
        <w:ilvl w:val="0"/>
        <w:numId w:val="21"/>
      </w:numPr>
      <w:spacing w:line="360" w:lineRule="auto"/>
      <w:outlineLvl w:val="0"/>
    </w:pPr>
    <w:rPr>
      <w:rFonts w:hAnsi="宋体"/>
      <w:b/>
      <w:sz w:val="28"/>
      <w:szCs w:val="28"/>
    </w:rPr>
  </w:style>
  <w:style w:type="paragraph" w:customStyle="1" w:styleId="561">
    <w:name w:val="样式 首行缩进:  0 厘米 行距: 单倍行距"/>
    <w:basedOn w:val="1"/>
    <w:semiHidden/>
    <w:qFormat/>
    <w:uiPriority w:val="0"/>
    <w:pPr>
      <w:widowControl w:val="0"/>
      <w:adjustRightInd w:val="0"/>
      <w:spacing w:after="0" w:line="240" w:lineRule="auto"/>
      <w:jc w:val="both"/>
      <w:textAlignment w:val="baseline"/>
    </w:pPr>
    <w:rPr>
      <w:rFonts w:ascii="Times New Roman" w:hAnsi="Times New Roman" w:cs="Times New Roman"/>
      <w:color w:val="auto"/>
      <w:kern w:val="0"/>
      <w:szCs w:val="20"/>
    </w:rPr>
  </w:style>
  <w:style w:type="paragraph" w:customStyle="1" w:styleId="562">
    <w:name w:val="xl55"/>
    <w:basedOn w:val="1"/>
    <w:semiHidden/>
    <w:qFormat/>
    <w:uiPriority w:val="0"/>
    <w:pPr>
      <w:pBdr>
        <w:left w:val="single" w:color="auto" w:sz="4" w:space="0"/>
        <w:bottom w:val="single" w:color="auto" w:sz="4" w:space="0"/>
        <w:right w:val="single" w:color="auto" w:sz="4" w:space="0"/>
      </w:pBdr>
      <w:shd w:val="clear" w:color="auto" w:fill="C0C0C0"/>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563">
    <w:name w:val="TOC 标题11"/>
    <w:basedOn w:val="2"/>
    <w:next w:val="1"/>
    <w:qFormat/>
    <w:uiPriority w:val="39"/>
    <w:pPr>
      <w:spacing w:before="480" w:after="0" w:line="276" w:lineRule="auto"/>
      <w:ind w:left="0" w:right="0" w:firstLine="0"/>
      <w:jc w:val="left"/>
      <w:outlineLvl w:val="9"/>
    </w:pPr>
    <w:rPr>
      <w:rFonts w:ascii="Cambria" w:hAnsi="Cambria" w:eastAsia="宋体" w:cs="Times New Roman"/>
      <w:b/>
      <w:bCs/>
      <w:color w:val="365F91"/>
      <w:kern w:val="0"/>
      <w:sz w:val="28"/>
      <w:szCs w:val="28"/>
    </w:rPr>
  </w:style>
  <w:style w:type="paragraph" w:customStyle="1" w:styleId="564">
    <w:name w:val="标题 3 + 小四 段前: 0 磅 段后: 0 磅 行距: 1.5 倍行距"/>
    <w:basedOn w:val="4"/>
    <w:next w:val="4"/>
    <w:semiHidden/>
    <w:qFormat/>
    <w:uiPriority w:val="0"/>
    <w:pPr>
      <w:widowControl w:val="0"/>
      <w:tabs>
        <w:tab w:val="left" w:pos="2126"/>
      </w:tabs>
      <w:spacing w:after="0" w:line="360" w:lineRule="auto"/>
      <w:ind w:left="1701" w:right="0" w:firstLine="0"/>
      <w:jc w:val="center"/>
    </w:pPr>
    <w:rPr>
      <w:rFonts w:ascii="Times New Roman" w:hAnsi="Times New Roman" w:eastAsia="黑体" w:cs="宋体"/>
      <w:bCs/>
      <w:color w:val="auto"/>
      <w:sz w:val="24"/>
      <w:szCs w:val="20"/>
    </w:rPr>
  </w:style>
  <w:style w:type="paragraph" w:customStyle="1" w:styleId="565">
    <w:name w:val="Char Char Char Char Char Char Char Char Char Char Char Char Char"/>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566">
    <w:name w:val="无标题条"/>
    <w:next w:val="507"/>
    <w:qFormat/>
    <w:uiPriority w:val="0"/>
    <w:pPr>
      <w:jc w:val="both"/>
    </w:pPr>
    <w:rPr>
      <w:rFonts w:ascii="Times New Roman" w:hAnsi="Times New Roman" w:eastAsia="宋体" w:cs="Times New Roman"/>
      <w:sz w:val="21"/>
      <w:lang w:val="en-US" w:eastAsia="zh-CN" w:bidi="ar-SA"/>
    </w:rPr>
  </w:style>
  <w:style w:type="paragraph" w:customStyle="1" w:styleId="567">
    <w:name w:val="样式 Arial 首行缩进:  2 字符"/>
    <w:basedOn w:val="1"/>
    <w:qFormat/>
    <w:uiPriority w:val="0"/>
    <w:pPr>
      <w:widowControl w:val="0"/>
      <w:spacing w:after="0" w:line="240" w:lineRule="auto"/>
      <w:ind w:firstLine="403" w:firstLineChars="200"/>
      <w:jc w:val="both"/>
    </w:pPr>
    <w:rPr>
      <w:rFonts w:ascii="Times New Roman" w:hAnsi="Times New Roman" w:cs="华文新魏"/>
      <w:color w:val="auto"/>
      <w:szCs w:val="21"/>
    </w:rPr>
  </w:style>
  <w:style w:type="paragraph" w:customStyle="1" w:styleId="568">
    <w:name w:val="五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69">
    <w:name w:val="P7"/>
    <w:qFormat/>
    <w:uiPriority w:val="0"/>
    <w:pPr>
      <w:widowControl w:val="0"/>
      <w:tabs>
        <w:tab w:val="left" w:pos="576"/>
      </w:tabs>
      <w:adjustRightInd w:val="0"/>
      <w:spacing w:after="240" w:line="0" w:lineRule="atLeast"/>
      <w:ind w:left="1728" w:hanging="1728"/>
      <w:jc w:val="both"/>
    </w:pPr>
    <w:rPr>
      <w:rFonts w:ascii="Times New Roman" w:hAnsi="Times New Roman" w:eastAsia="全真中明體" w:cs="Times New Roman"/>
      <w:spacing w:val="20"/>
      <w:sz w:val="24"/>
      <w:lang w:val="en-GB" w:eastAsia="zh-TW" w:bidi="ar-SA"/>
    </w:rPr>
  </w:style>
  <w:style w:type="paragraph" w:customStyle="1" w:styleId="57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71">
    <w:name w:val="P2"/>
    <w:qFormat/>
    <w:uiPriority w:val="0"/>
    <w:pPr>
      <w:widowControl w:val="0"/>
      <w:adjustRightInd w:val="0"/>
      <w:spacing w:after="240" w:line="0" w:lineRule="atLeast"/>
      <w:ind w:left="1728"/>
      <w:jc w:val="both"/>
      <w:textAlignment w:val="baseline"/>
    </w:pPr>
    <w:rPr>
      <w:rFonts w:ascii="Times New Roman" w:hAnsi="Times New Roman" w:eastAsia="全真中明體" w:cs="Times New Roman"/>
      <w:spacing w:val="20"/>
      <w:sz w:val="24"/>
      <w:lang w:val="en-GB" w:eastAsia="zh-TW" w:bidi="en-US"/>
    </w:rPr>
  </w:style>
  <w:style w:type="paragraph" w:customStyle="1" w:styleId="572">
    <w:name w:val="附录图标题"/>
    <w:next w:val="507"/>
    <w:qFormat/>
    <w:uiPriority w:val="0"/>
    <w:pPr>
      <w:tabs>
        <w:tab w:val="left" w:pos="1620"/>
      </w:tabs>
      <w:ind w:hanging="360"/>
      <w:jc w:val="center"/>
    </w:pPr>
    <w:rPr>
      <w:rFonts w:ascii="黑体" w:hAnsi="Times New Roman" w:eastAsia="黑体" w:cs="Times New Roman"/>
      <w:sz w:val="21"/>
      <w:lang w:val="en-US" w:eastAsia="zh-CN" w:bidi="ar-SA"/>
    </w:rPr>
  </w:style>
  <w:style w:type="paragraph" w:customStyle="1" w:styleId="57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74">
    <w:name w:val="目次、标准名称标题"/>
    <w:basedOn w:val="1"/>
    <w:next w:val="507"/>
    <w:qFormat/>
    <w:uiPriority w:val="0"/>
    <w:pPr>
      <w:shd w:val="clear" w:color="FFFFFF" w:fill="FFFFFF"/>
      <w:tabs>
        <w:tab w:val="left" w:pos="1140"/>
      </w:tabs>
      <w:spacing w:before="640" w:after="560" w:line="460" w:lineRule="exact"/>
      <w:jc w:val="center"/>
      <w:outlineLvl w:val="0"/>
    </w:pPr>
    <w:rPr>
      <w:rFonts w:ascii="黑体" w:hAnsi="Times New Roman" w:eastAsia="黑体" w:cs="Times New Roman"/>
      <w:color w:val="auto"/>
      <w:kern w:val="0"/>
      <w:sz w:val="32"/>
      <w:szCs w:val="20"/>
    </w:rPr>
  </w:style>
  <w:style w:type="paragraph" w:customStyle="1" w:styleId="575">
    <w:name w:val="样式4"/>
    <w:basedOn w:val="5"/>
    <w:semiHidden/>
    <w:qFormat/>
    <w:uiPriority w:val="0"/>
    <w:pPr>
      <w:widowControl w:val="0"/>
      <w:tabs>
        <w:tab w:val="left" w:pos="2976"/>
      </w:tabs>
      <w:topLinePunct/>
      <w:spacing w:after="0" w:line="480" w:lineRule="auto"/>
      <w:ind w:left="2551" w:right="0" w:firstLine="420"/>
      <w:jc w:val="both"/>
    </w:pPr>
    <w:rPr>
      <w:rFonts w:ascii="Times New Roman" w:hAnsi="Times New Roman" w:eastAsia="楷体_GB2312" w:cs="Times New Roman"/>
      <w:color w:val="auto"/>
      <w:sz w:val="24"/>
      <w:szCs w:val="20"/>
    </w:rPr>
  </w:style>
  <w:style w:type="paragraph" w:customStyle="1" w:styleId="576">
    <w:name w:val="实施日期"/>
    <w:basedOn w:val="1"/>
    <w:qFormat/>
    <w:uiPriority w:val="0"/>
    <w:pPr>
      <w:framePr w:w="4000" w:h="473" w:hRule="exact" w:vSpace="180" w:wrap="around" w:vAnchor="margin" w:hAnchor="margin" w:xAlign="right" w:y="13511" w:anchorLock="1"/>
      <w:spacing w:after="0" w:line="240" w:lineRule="auto"/>
      <w:jc w:val="right"/>
    </w:pPr>
    <w:rPr>
      <w:rFonts w:ascii="Times New Roman" w:hAnsi="Times New Roman" w:eastAsia="黑体" w:cs="Times New Roman"/>
      <w:color w:val="auto"/>
      <w:kern w:val="0"/>
      <w:sz w:val="28"/>
      <w:szCs w:val="20"/>
    </w:rPr>
  </w:style>
  <w:style w:type="paragraph" w:customStyle="1" w:styleId="577">
    <w:name w:val="数字编号列项（二级）"/>
    <w:qFormat/>
    <w:uiPriority w:val="0"/>
    <w:pPr>
      <w:jc w:val="both"/>
    </w:pPr>
    <w:rPr>
      <w:rFonts w:ascii="宋体" w:hAnsi="Times New Roman" w:eastAsia="宋体" w:cs="Times New Roman"/>
      <w:sz w:val="21"/>
      <w:lang w:val="en-US" w:eastAsia="zh-CN" w:bidi="ar-SA"/>
    </w:rPr>
  </w:style>
  <w:style w:type="paragraph" w:customStyle="1" w:styleId="57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79">
    <w:name w:val="列出段落4"/>
    <w:basedOn w:val="1"/>
    <w:unhideWhenUsed/>
    <w:qFormat/>
    <w:uiPriority w:val="99"/>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80">
    <w:name w:val="修订11"/>
    <w:semiHidden/>
    <w:qFormat/>
    <w:uiPriority w:val="99"/>
    <w:rPr>
      <w:rFonts w:ascii="Times New Roman" w:hAnsi="Times New Roman" w:eastAsia="宋体" w:cs="Times New Roman"/>
      <w:kern w:val="2"/>
      <w:sz w:val="21"/>
      <w:szCs w:val="24"/>
      <w:lang w:val="en-US" w:eastAsia="zh-CN" w:bidi="ar-SA"/>
    </w:rPr>
  </w:style>
  <w:style w:type="paragraph" w:customStyle="1" w:styleId="581">
    <w:name w:val="图说"/>
    <w:basedOn w:val="1"/>
    <w:semiHidden/>
    <w:qFormat/>
    <w:uiPriority w:val="0"/>
    <w:pPr>
      <w:widowControl w:val="0"/>
      <w:topLinePunct/>
      <w:spacing w:before="40" w:line="240" w:lineRule="auto"/>
      <w:jc w:val="center"/>
    </w:pPr>
    <w:rPr>
      <w:rFonts w:ascii="Times New Roman" w:hAnsi="Times New Roman" w:cs="宋体"/>
      <w:color w:val="auto"/>
      <w:sz w:val="18"/>
      <w:szCs w:val="20"/>
    </w:rPr>
  </w:style>
  <w:style w:type="paragraph" w:styleId="582">
    <w:name w:val="No Spacing"/>
    <w:qFormat/>
    <w:uiPriority w:val="1"/>
    <w:rPr>
      <w:rFonts w:ascii="Calibri" w:hAnsi="Calibri" w:eastAsia="宋体" w:cs="Times New Roman"/>
      <w:sz w:val="22"/>
      <w:szCs w:val="22"/>
      <w:lang w:val="en-US" w:eastAsia="zh-CN" w:bidi="ar-SA"/>
    </w:rPr>
  </w:style>
  <w:style w:type="paragraph" w:customStyle="1" w:styleId="583">
    <w:name w:val="节小标题"/>
    <w:basedOn w:val="9"/>
    <w:semiHidden/>
    <w:qFormat/>
    <w:uiPriority w:val="0"/>
    <w:pPr>
      <w:tabs>
        <w:tab w:val="left" w:pos="6378"/>
        <w:tab w:val="clear" w:pos="1440"/>
      </w:tabs>
      <w:snapToGrid w:val="0"/>
      <w:spacing w:before="100" w:after="0" w:line="300" w:lineRule="auto"/>
      <w:ind w:left="5953" w:firstLine="359"/>
      <w:textAlignment w:val="auto"/>
      <w:outlineLvl w:val="9"/>
    </w:pPr>
    <w:rPr>
      <w:rFonts w:ascii="Times New Roman" w:hAnsi="Times New Roman" w:eastAsia="仿宋_GB2312"/>
      <w:kern w:val="2"/>
      <w:sz w:val="30"/>
      <w:szCs w:val="20"/>
    </w:rPr>
  </w:style>
  <w:style w:type="paragraph" w:customStyle="1" w:styleId="584">
    <w:name w:val="Char3"/>
    <w:basedOn w:val="1"/>
    <w:semiHidden/>
    <w:qFormat/>
    <w:uiPriority w:val="0"/>
    <w:pPr>
      <w:widowControl w:val="0"/>
      <w:spacing w:after="0" w:line="240" w:lineRule="auto"/>
      <w:jc w:val="both"/>
    </w:pPr>
    <w:rPr>
      <w:rFonts w:ascii="Times New Roman" w:hAnsi="Times New Roman" w:cs="Times New Roman"/>
      <w:color w:val="auto"/>
      <w:szCs w:val="20"/>
    </w:rPr>
  </w:style>
  <w:style w:type="paragraph" w:customStyle="1" w:styleId="585">
    <w:name w:val="样式3"/>
    <w:basedOn w:val="4"/>
    <w:semiHidden/>
    <w:qFormat/>
    <w:uiPriority w:val="0"/>
    <w:pPr>
      <w:widowControl w:val="0"/>
      <w:tabs>
        <w:tab w:val="left" w:pos="709"/>
        <w:tab w:val="left" w:pos="2126"/>
      </w:tabs>
      <w:topLinePunct/>
      <w:spacing w:after="0" w:line="720" w:lineRule="auto"/>
      <w:ind w:left="1701" w:right="0" w:firstLine="0"/>
    </w:pPr>
    <w:rPr>
      <w:rFonts w:ascii="Arial" w:hAnsi="Arial" w:eastAsia="黑体" w:cs="Times New Roman"/>
      <w:b/>
      <w:color w:val="auto"/>
      <w:sz w:val="30"/>
      <w:szCs w:val="30"/>
    </w:rPr>
  </w:style>
  <w:style w:type="paragraph" w:customStyle="1" w:styleId="586">
    <w:name w:val="二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87">
    <w:name w:val="xl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sz w:val="20"/>
      <w:szCs w:val="20"/>
    </w:rPr>
  </w:style>
  <w:style w:type="paragraph" w:customStyle="1" w:styleId="588">
    <w:name w:val="Char Char Char Char Char1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89">
    <w:name w:val="五级条标题"/>
    <w:basedOn w:val="529"/>
    <w:next w:val="507"/>
    <w:qFormat/>
    <w:uiPriority w:val="0"/>
    <w:pPr>
      <w:tabs>
        <w:tab w:val="left" w:pos="1407"/>
        <w:tab w:val="left" w:pos="1440"/>
        <w:tab w:val="clear" w:pos="1021"/>
        <w:tab w:val="clear" w:pos="1155"/>
      </w:tabs>
      <w:outlineLvl w:val="6"/>
    </w:pPr>
  </w:style>
  <w:style w:type="paragraph" w:customStyle="1" w:styleId="590">
    <w:name w:val="文件头"/>
    <w:basedOn w:val="1"/>
    <w:qFormat/>
    <w:uiPriority w:val="0"/>
    <w:pPr>
      <w:widowControl w:val="0"/>
      <w:autoSpaceDE w:val="0"/>
      <w:autoSpaceDN w:val="0"/>
      <w:adjustRightInd w:val="0"/>
      <w:spacing w:before="360" w:after="360" w:line="360" w:lineRule="atLeast"/>
      <w:jc w:val="center"/>
    </w:pPr>
    <w:rPr>
      <w:rFonts w:ascii="黑体" w:hAnsi="Times New Roman" w:eastAsia="黑体" w:cs="Times New Roman"/>
      <w:color w:val="auto"/>
      <w:kern w:val="0"/>
      <w:sz w:val="36"/>
      <w:szCs w:val="20"/>
    </w:rPr>
  </w:style>
  <w:style w:type="paragraph" w:customStyle="1" w:styleId="591">
    <w:name w:val="一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92">
    <w:name w:val="Char Char Char Char Char1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3">
    <w:name w:val="Char Char 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4">
    <w:name w:val="Char Char Char Char Char 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5">
    <w:name w:val="附录三级条标题"/>
    <w:basedOn w:val="548"/>
    <w:next w:val="507"/>
    <w:qFormat/>
    <w:uiPriority w:val="0"/>
    <w:pPr>
      <w:outlineLvl w:val="4"/>
    </w:pPr>
  </w:style>
  <w:style w:type="paragraph" w:customStyle="1" w:styleId="596">
    <w:name w:val="四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97">
    <w:name w:val="列出段落3"/>
    <w:basedOn w:val="1"/>
    <w:unhideWhenUsed/>
    <w:qFormat/>
    <w:uiPriority w:val="99"/>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98">
    <w:name w:val="样式5"/>
    <w:semiHidden/>
    <w:qFormat/>
    <w:uiPriority w:val="0"/>
    <w:pPr>
      <w:snapToGrid w:val="0"/>
      <w:spacing w:before="160" w:after="40"/>
      <w:jc w:val="center"/>
    </w:pPr>
    <w:rPr>
      <w:rFonts w:ascii="Times New Roman" w:hAnsi="Times New Roman" w:eastAsia="宋体" w:cs="宋体"/>
      <w:kern w:val="2"/>
      <w:sz w:val="18"/>
      <w:lang w:val="en-US" w:eastAsia="zh-CN" w:bidi="ar-SA"/>
    </w:rPr>
  </w:style>
  <w:style w:type="paragraph" w:customStyle="1" w:styleId="599">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00">
    <w:name w:val="前言首行"/>
    <w:basedOn w:val="1"/>
    <w:qFormat/>
    <w:uiPriority w:val="0"/>
    <w:pPr>
      <w:widowControl w:val="0"/>
      <w:spacing w:after="120" w:line="240" w:lineRule="auto"/>
      <w:jc w:val="center"/>
    </w:pPr>
    <w:rPr>
      <w:rFonts w:ascii="Times New Roman" w:hAnsi="Times New Roman" w:eastAsia="黑体" w:cs="宋体"/>
      <w:b/>
      <w:bCs/>
      <w:color w:val="auto"/>
      <w:sz w:val="32"/>
      <w:szCs w:val="20"/>
    </w:rPr>
  </w:style>
  <w:style w:type="paragraph" w:customStyle="1" w:styleId="601">
    <w:name w:val="样式 标题 2 + 黑体 段前: 10.25 磅 段后: 10.25 磅 行距: 单倍行距"/>
    <w:basedOn w:val="3"/>
    <w:semiHidden/>
    <w:qFormat/>
    <w:uiPriority w:val="0"/>
    <w:pPr>
      <w:widowControl w:val="0"/>
      <w:tabs>
        <w:tab w:val="left" w:pos="1276"/>
      </w:tabs>
      <w:adjustRightInd w:val="0"/>
      <w:spacing w:beforeLines="50" w:afterLines="50" w:line="240" w:lineRule="auto"/>
      <w:ind w:left="851" w:right="0" w:firstLine="0"/>
      <w:textAlignment w:val="baseline"/>
    </w:pPr>
    <w:rPr>
      <w:rFonts w:eastAsia="黑体" w:cs="Times New Roman"/>
      <w:b/>
      <w:color w:val="auto"/>
      <w:kern w:val="0"/>
      <w:sz w:val="24"/>
      <w:szCs w:val="20"/>
    </w:rPr>
  </w:style>
  <w:style w:type="paragraph" w:customStyle="1" w:styleId="602">
    <w:name w:val="无间隔1"/>
    <w:basedOn w:val="1"/>
    <w:qFormat/>
    <w:uiPriority w:val="0"/>
    <w:pPr>
      <w:spacing w:after="0" w:line="240" w:lineRule="auto"/>
    </w:pPr>
    <w:rPr>
      <w:rFonts w:cs="Times New Roman"/>
      <w:color w:val="auto"/>
      <w:kern w:val="0"/>
      <w:sz w:val="24"/>
      <w:szCs w:val="32"/>
      <w:lang w:eastAsia="en-US" w:bidi="en-US"/>
    </w:rPr>
  </w:style>
  <w:style w:type="paragraph" w:customStyle="1" w:styleId="603">
    <w:name w:val="样式 标题 3 + 宋体 段前: 7.8 磅"/>
    <w:basedOn w:val="4"/>
    <w:qFormat/>
    <w:uiPriority w:val="0"/>
    <w:pPr>
      <w:keepNext w:val="0"/>
      <w:keepLines w:val="0"/>
      <w:widowControl w:val="0"/>
      <w:tabs>
        <w:tab w:val="left" w:pos="1560"/>
        <w:tab w:val="left" w:pos="1740"/>
      </w:tabs>
      <w:adjustRightInd w:val="0"/>
      <w:snapToGrid w:val="0"/>
      <w:spacing w:before="156" w:after="0" w:line="360" w:lineRule="auto"/>
      <w:ind w:left="1740" w:right="0" w:hanging="420"/>
      <w:jc w:val="both"/>
    </w:pPr>
    <w:rPr>
      <w:rFonts w:ascii="宋体" w:hAnsi="宋体" w:cs="宋体"/>
      <w:color w:val="auto"/>
      <w:sz w:val="21"/>
      <w:szCs w:val="20"/>
    </w:rPr>
  </w:style>
  <w:style w:type="paragraph" w:customStyle="1" w:styleId="604">
    <w:name w:val="p82"/>
    <w:basedOn w:val="1"/>
    <w:semiHidden/>
    <w:qFormat/>
    <w:uiPriority w:val="0"/>
    <w:pPr>
      <w:tabs>
        <w:tab w:val="left" w:pos="460"/>
      </w:tabs>
      <w:overflowPunct w:val="0"/>
      <w:autoSpaceDE w:val="0"/>
      <w:autoSpaceDN w:val="0"/>
      <w:adjustRightInd w:val="0"/>
      <w:spacing w:after="0" w:line="320" w:lineRule="atLeast"/>
      <w:jc w:val="both"/>
      <w:textAlignment w:val="baseline"/>
    </w:pPr>
    <w:rPr>
      <w:rFonts w:ascii="Times New Roman" w:hAnsi="Times New Roman" w:cs="Times New Roman"/>
      <w:color w:val="auto"/>
      <w:kern w:val="0"/>
      <w:sz w:val="24"/>
      <w:szCs w:val="20"/>
      <w:lang w:val="en-GB"/>
    </w:rPr>
  </w:style>
  <w:style w:type="paragraph" w:customStyle="1" w:styleId="605">
    <w:name w:val="样式7"/>
    <w:basedOn w:val="1"/>
    <w:qFormat/>
    <w:uiPriority w:val="0"/>
    <w:pPr>
      <w:widowControl w:val="0"/>
      <w:numPr>
        <w:ilvl w:val="0"/>
        <w:numId w:val="22"/>
      </w:numPr>
      <w:tabs>
        <w:tab w:val="left" w:pos="1200"/>
      </w:tabs>
      <w:spacing w:after="0" w:line="240" w:lineRule="auto"/>
      <w:jc w:val="both"/>
    </w:pPr>
    <w:rPr>
      <w:rFonts w:ascii="Times New Roman" w:hAnsi="Times New Roman" w:cs="Times New Roman"/>
      <w:color w:val="auto"/>
      <w:szCs w:val="24"/>
    </w:rPr>
  </w:style>
  <w:style w:type="paragraph" w:customStyle="1" w:styleId="60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607">
    <w:name w:val="1.1.1.1"/>
    <w:basedOn w:val="1"/>
    <w:qFormat/>
    <w:uiPriority w:val="0"/>
    <w:pPr>
      <w:widowControl w:val="0"/>
      <w:autoSpaceDE w:val="0"/>
      <w:autoSpaceDN w:val="0"/>
      <w:adjustRightInd w:val="0"/>
      <w:spacing w:before="60" w:after="60" w:line="360" w:lineRule="atLeast"/>
      <w:ind w:left="1134" w:hanging="1134"/>
      <w:jc w:val="both"/>
    </w:pPr>
    <w:rPr>
      <w:rFonts w:ascii="Arial" w:hAnsi="Arial" w:cs="Times New Roman"/>
      <w:color w:val="auto"/>
      <w:kern w:val="0"/>
      <w:sz w:val="24"/>
      <w:szCs w:val="20"/>
    </w:rPr>
  </w:style>
  <w:style w:type="character" w:customStyle="1" w:styleId="608">
    <w:name w:val="页脚 字符1"/>
    <w:qFormat/>
    <w:uiPriority w:val="99"/>
    <w:rPr>
      <w:kern w:val="2"/>
      <w:sz w:val="18"/>
    </w:rPr>
  </w:style>
  <w:style w:type="character" w:customStyle="1" w:styleId="609">
    <w:name w:val="未处理的提及1"/>
    <w:basedOn w:val="130"/>
    <w:unhideWhenUsed/>
    <w:qFormat/>
    <w:uiPriority w:val="99"/>
    <w:rPr>
      <w:color w:val="605E5C"/>
      <w:shd w:val="clear" w:color="auto" w:fill="E1DFDD"/>
    </w:rPr>
  </w:style>
  <w:style w:type="character" w:customStyle="1" w:styleId="610">
    <w:name w:val="未处理的提及2"/>
    <w:basedOn w:val="130"/>
    <w:unhideWhenUsed/>
    <w:qFormat/>
    <w:uiPriority w:val="99"/>
    <w:rPr>
      <w:color w:val="605E5C"/>
      <w:shd w:val="clear" w:color="auto" w:fill="E1DFDD"/>
    </w:rPr>
  </w:style>
  <w:style w:type="paragraph" w:customStyle="1" w:styleId="611">
    <w:name w:val="_Style 4"/>
    <w:basedOn w:val="2"/>
    <w:next w:val="1"/>
    <w:qFormat/>
    <w:uiPriority w:val="0"/>
    <w:pPr>
      <w:keepNext w:val="0"/>
      <w:keepLines w:val="0"/>
      <w:widowControl w:val="0"/>
      <w:spacing w:after="0" w:line="576" w:lineRule="auto"/>
      <w:ind w:left="0" w:right="0" w:firstLine="0"/>
      <w:jc w:val="left"/>
      <w:outlineLvl w:val="9"/>
    </w:pPr>
    <w:rPr>
      <w:rFonts w:ascii="Calibri" w:hAnsi="Calibri" w:cs="Times New Roman"/>
      <w:color w:val="auto"/>
      <w:kern w:val="0"/>
      <w:sz w:val="44"/>
      <w:szCs w:val="44"/>
      <w:lang w:eastAsia="en-US"/>
    </w:rPr>
  </w:style>
  <w:style w:type="paragraph" w:customStyle="1" w:styleId="612">
    <w:name w:val="TOC 标题2"/>
    <w:basedOn w:val="2"/>
    <w:next w:val="1"/>
    <w:unhideWhenUsed/>
    <w:qFormat/>
    <w:uiPriority w:val="39"/>
    <w:pPr>
      <w:spacing w:before="480" w:after="0" w:line="276" w:lineRule="auto"/>
      <w:jc w:val="left"/>
      <w:outlineLvl w:val="9"/>
    </w:pPr>
    <w:rPr>
      <w:rFonts w:ascii="等线 Light" w:hAnsi="等线 Light" w:eastAsia="等线 Light" w:cs="Times New Roman"/>
      <w:color w:val="2F5496"/>
      <w:kern w:val="0"/>
      <w:sz w:val="28"/>
      <w:szCs w:val="28"/>
    </w:rPr>
  </w:style>
  <w:style w:type="paragraph" w:customStyle="1" w:styleId="613">
    <w:name w:val="CM91"/>
    <w:basedOn w:val="185"/>
    <w:next w:val="185"/>
    <w:qFormat/>
    <w:uiPriority w:val="0"/>
    <w:pPr>
      <w:spacing w:after="160"/>
    </w:pPr>
    <w:rPr>
      <w:color w:val="auto"/>
    </w:rPr>
  </w:style>
  <w:style w:type="paragraph" w:customStyle="1" w:styleId="614">
    <w:name w:val="CM97"/>
    <w:basedOn w:val="185"/>
    <w:next w:val="185"/>
    <w:qFormat/>
    <w:uiPriority w:val="0"/>
    <w:pPr>
      <w:spacing w:after="373"/>
    </w:pPr>
    <w:rPr>
      <w:color w:val="auto"/>
    </w:rPr>
  </w:style>
  <w:style w:type="paragraph" w:customStyle="1" w:styleId="615">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616">
    <w:name w:val="font51"/>
    <w:basedOn w:val="130"/>
    <w:qFormat/>
    <w:uiPriority w:val="0"/>
    <w:rPr>
      <w:rFonts w:ascii="宋体" w:hAnsi="宋体" w:eastAsia="宋体" w:cs="宋体"/>
      <w:b/>
      <w:bCs/>
      <w:color w:val="000000"/>
      <w:sz w:val="40"/>
      <w:szCs w:val="40"/>
      <w:u w:val="none"/>
    </w:rPr>
  </w:style>
  <w:style w:type="character" w:customStyle="1" w:styleId="617">
    <w:name w:val="font61"/>
    <w:basedOn w:val="130"/>
    <w:qFormat/>
    <w:uiPriority w:val="0"/>
    <w:rPr>
      <w:rFonts w:ascii="宋体" w:hAnsi="宋体" w:eastAsia="宋体" w:cs="宋体"/>
      <w:color w:val="000000"/>
      <w:sz w:val="20"/>
      <w:szCs w:val="20"/>
      <w:u w:val="none"/>
    </w:rPr>
  </w:style>
  <w:style w:type="character" w:customStyle="1" w:styleId="618">
    <w:name w:val="font21"/>
    <w:basedOn w:val="130"/>
    <w:qFormat/>
    <w:uiPriority w:val="0"/>
    <w:rPr>
      <w:rFonts w:ascii="宋体" w:hAnsi="宋体" w:eastAsia="宋体" w:cs="宋体"/>
      <w:color w:val="000000"/>
      <w:sz w:val="18"/>
      <w:szCs w:val="18"/>
      <w:u w:val="none"/>
    </w:rPr>
  </w:style>
  <w:style w:type="paragraph" w:customStyle="1" w:styleId="619">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0">
    <w:name w:val="Blockquote"/>
    <w:basedOn w:val="1"/>
    <w:qFormat/>
    <w:uiPriority w:val="0"/>
    <w:pPr>
      <w:autoSpaceDE w:val="0"/>
      <w:autoSpaceDN w:val="0"/>
      <w:adjustRightInd w:val="0"/>
      <w:spacing w:before="100" w:after="100"/>
      <w:ind w:left="360" w:right="360"/>
    </w:pPr>
    <w:rPr>
      <w:rFonts w:ascii="Times New Roman" w:hAnsi="Times New Roman" w:cs="Times New Roman"/>
      <w:kern w:val="0"/>
      <w:sz w:val="24"/>
      <w:szCs w:val="20"/>
    </w:rPr>
  </w:style>
  <w:style w:type="paragraph" w:customStyle="1" w:styleId="621">
    <w:name w:val="列表段落11"/>
    <w:basedOn w:val="1"/>
    <w:qFormat/>
    <w:uiPriority w:val="0"/>
    <w:pPr>
      <w:ind w:firstLine="200" w:firstLineChars="200"/>
    </w:pPr>
  </w:style>
  <w:style w:type="paragraph" w:customStyle="1" w:styleId="622">
    <w:name w:val="列表段落1"/>
    <w:basedOn w:val="1"/>
    <w:qFormat/>
    <w:uiPriority w:val="0"/>
    <w:pPr>
      <w:ind w:firstLine="200" w:firstLineChars="200"/>
    </w:pPr>
  </w:style>
  <w:style w:type="table" w:customStyle="1" w:styleId="623">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47848</Words>
  <Characters>50375</Characters>
  <Lines>493</Lines>
  <Paragraphs>138</Paragraphs>
  <TotalTime>6</TotalTime>
  <ScaleCrop>false</ScaleCrop>
  <LinksUpToDate>false</LinksUpToDate>
  <CharactersWithSpaces>52757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2020-10-21T03:33:00Z</dcterms:created>
  <dc:creator>袁静</dc:creator>
  <cp:lastModifiedBy>琳</cp:lastModifiedBy>
  <cp:lastPrinted>2025-07-02T01:37:00Z</cp:lastPrinted>
  <dcterms:modified xsi:type="dcterms:W3CDTF">2025-07-04T03:33:50Z</dcterms:modified>
  <dc:title>中华人民共和国</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6F50D9D73F0E48D79E0E6F07D6C33BC5_13</vt:lpwstr>
  </property>
  <property fmtid="{D5CDD505-2E9C-101B-9397-08002B2CF9AE}" pid="4" name="KSOTemplateDocerSaveRecord">
    <vt:lpwstr>eyJoZGlkIjoiNjljNDVlMWU4YzgwNDgzYmY5YTdmMzYzMThmOGI3NTUiLCJ1c2VySWQiOiIxMjExMTcxOTkzIn0=</vt:lpwstr>
  </property>
</Properties>
</file>