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方正小标宋简体" w:eastAsia="方正小标宋简体"/>
          <w:color w:val="auto"/>
          <w:sz w:val="52"/>
          <w:szCs w:val="52"/>
          <w:highlight w:val="none"/>
        </w:rPr>
      </w:pPr>
      <w:bookmarkStart w:id="133" w:name="_GoBack"/>
      <w:bookmarkEnd w:id="133"/>
    </w:p>
    <w:p>
      <w:pPr>
        <w:jc w:val="center"/>
        <w:rPr>
          <w:rFonts w:hint="eastAsia" w:ascii="方正小标宋简体" w:eastAsia="方正小标宋简体"/>
          <w:color w:val="auto"/>
          <w:sz w:val="52"/>
          <w:szCs w:val="52"/>
          <w:highlight w:val="none"/>
          <w:u w:val="none"/>
        </w:rPr>
      </w:pPr>
      <w:r>
        <w:rPr>
          <w:rFonts w:hint="eastAsia" w:ascii="方正小标宋简体" w:eastAsia="方正小标宋简体"/>
          <w:color w:val="auto"/>
          <w:sz w:val="52"/>
          <w:szCs w:val="52"/>
          <w:highlight w:val="none"/>
          <w:u w:val="none"/>
          <w:lang w:val="en-US" w:eastAsia="zh-CN"/>
        </w:rPr>
        <w:t>广州市净水有限公司</w:t>
      </w:r>
      <w:r>
        <w:rPr>
          <w:rFonts w:hint="eastAsia" w:ascii="方正小标宋简体" w:eastAsia="方正小标宋简体"/>
          <w:color w:val="auto"/>
          <w:sz w:val="52"/>
          <w:szCs w:val="52"/>
          <w:highlight w:val="none"/>
          <w:u w:val="none"/>
        </w:rPr>
        <w:t>化龙堆存污泥综合处理处置项目</w:t>
      </w: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u w:val="none"/>
          <w:lang w:val="en-US" w:eastAsia="zh-CN"/>
        </w:rPr>
        <w:t>废弃</w:t>
      </w:r>
      <w:r>
        <w:rPr>
          <w:rFonts w:hint="eastAsia" w:ascii="方正小标宋简体" w:eastAsia="方正小标宋简体"/>
          <w:color w:val="auto"/>
          <w:sz w:val="52"/>
          <w:szCs w:val="52"/>
          <w:highlight w:val="none"/>
          <w:u w:val="none"/>
        </w:rPr>
        <w:t>烟囱爆破拆除工程</w:t>
      </w:r>
      <w:r>
        <w:rPr>
          <w:rFonts w:hint="eastAsia" w:ascii="方正小标宋简体" w:eastAsia="方正小标宋简体"/>
          <w:color w:val="auto"/>
          <w:sz w:val="52"/>
          <w:szCs w:val="52"/>
          <w:highlight w:val="none"/>
          <w:u w:val="none"/>
          <w:lang w:val="en-US" w:eastAsia="zh-CN"/>
        </w:rPr>
        <w:t>监理</w:t>
      </w:r>
    </w:p>
    <w:p>
      <w:pPr>
        <w:jc w:val="center"/>
        <w:rPr>
          <w:rFonts w:ascii="方正小标宋简体" w:eastAsia="方正小标宋简体"/>
          <w:color w:val="auto"/>
          <w:sz w:val="52"/>
          <w:szCs w:val="52"/>
          <w:highlight w:val="none"/>
        </w:rPr>
      </w:pPr>
    </w:p>
    <w:p>
      <w:pPr>
        <w:jc w:val="center"/>
        <w:rPr>
          <w:rFonts w:ascii="方正小标宋简体" w:eastAsia="方正小标宋简体"/>
          <w:color w:val="auto"/>
          <w:sz w:val="52"/>
          <w:szCs w:val="52"/>
          <w:highlight w:val="none"/>
        </w:rPr>
      </w:pPr>
      <w:r>
        <w:rPr>
          <w:rFonts w:hint="eastAsia" w:ascii="方正小标宋简体" w:eastAsia="方正小标宋简体"/>
          <w:color w:val="auto"/>
          <w:sz w:val="52"/>
          <w:szCs w:val="52"/>
          <w:highlight w:val="none"/>
        </w:rPr>
        <w:t>采购文件</w:t>
      </w: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jc w:val="center"/>
        <w:rPr>
          <w:rFonts w:ascii="仿宋_GB2312" w:eastAsia="仿宋_GB2312"/>
          <w:color w:val="auto"/>
          <w:sz w:val="32"/>
          <w:szCs w:val="32"/>
          <w:highlight w:val="none"/>
        </w:rPr>
      </w:pPr>
    </w:p>
    <w:p>
      <w:pPr>
        <w:pStyle w:val="186"/>
        <w:ind w:firstLine="640"/>
        <w:rPr>
          <w:rFonts w:ascii="仿宋_GB2312" w:eastAsia="仿宋_GB2312"/>
          <w:color w:val="auto"/>
          <w:szCs w:val="32"/>
          <w:highlight w:val="none"/>
        </w:rPr>
      </w:pPr>
    </w:p>
    <w:p>
      <w:pPr>
        <w:pStyle w:val="186"/>
        <w:ind w:firstLine="640"/>
        <w:rPr>
          <w:rFonts w:ascii="仿宋_GB2312" w:eastAsia="仿宋_GB2312"/>
          <w:color w:val="auto"/>
          <w:szCs w:val="32"/>
          <w:highlight w:val="none"/>
        </w:rPr>
      </w:pPr>
    </w:p>
    <w:p>
      <w:pPr>
        <w:pStyle w:val="186"/>
        <w:ind w:firstLine="0" w:firstLineChars="0"/>
        <w:rPr>
          <w:rFonts w:ascii="仿宋_GB2312" w:eastAsia="仿宋_GB2312"/>
          <w:color w:val="auto"/>
          <w:szCs w:val="32"/>
          <w:highlight w:val="none"/>
        </w:rPr>
      </w:pPr>
    </w:p>
    <w:p>
      <w:pPr>
        <w:pStyle w:val="186"/>
        <w:ind w:firstLine="640"/>
        <w:rPr>
          <w:rFonts w:ascii="仿宋_GB2312" w:eastAsia="仿宋_GB2312"/>
          <w:color w:val="auto"/>
          <w:szCs w:val="32"/>
          <w:highlight w:val="none"/>
        </w:rPr>
      </w:pPr>
    </w:p>
    <w:p>
      <w:pPr>
        <w:jc w:val="center"/>
        <w:rPr>
          <w:rFonts w:ascii="仿宋_GB2312" w:eastAsia="仿宋_GB2312"/>
          <w:color w:val="auto"/>
          <w:sz w:val="32"/>
          <w:szCs w:val="32"/>
          <w:highlight w:val="none"/>
        </w:rPr>
      </w:pPr>
    </w:p>
    <w:p>
      <w:pPr>
        <w:jc w:val="center"/>
        <w:rPr>
          <w:rFonts w:hint="eastAsia" w:ascii="黑体" w:hAnsi="黑体" w:eastAsia="黑体"/>
          <w:color w:val="auto"/>
          <w:sz w:val="32"/>
          <w:szCs w:val="32"/>
          <w:highlight w:val="none"/>
        </w:rPr>
      </w:pPr>
      <w:r>
        <w:rPr>
          <w:rFonts w:hint="eastAsia" w:ascii="黑体" w:hAnsi="黑体" w:eastAsia="黑体" w:cs="仿宋_GB2312"/>
          <w:color w:val="auto"/>
          <w:sz w:val="32"/>
          <w:szCs w:val="32"/>
          <w:highlight w:val="none"/>
        </w:rPr>
        <w:t>广州市净水有限公司</w:t>
      </w:r>
    </w:p>
    <w:p>
      <w:pPr>
        <w:jc w:val="center"/>
        <w:rPr>
          <w:rFonts w:hint="eastAsia" w:ascii="黑体" w:hAnsi="黑体" w:eastAsia="黑体" w:cs="仿宋_GB2312"/>
          <w:color w:val="auto"/>
          <w:sz w:val="32"/>
          <w:szCs w:val="32"/>
          <w:highlight w:val="none"/>
        </w:rPr>
      </w:pPr>
      <w:r>
        <w:rPr>
          <w:rFonts w:hint="eastAsia" w:ascii="黑体" w:hAnsi="黑体" w:eastAsia="黑体"/>
          <w:color w:val="auto"/>
          <w:sz w:val="32"/>
          <w:szCs w:val="32"/>
          <w:highlight w:val="none"/>
        </w:rPr>
        <w:t>二</w:t>
      </w:r>
      <w:r>
        <w:rPr>
          <w:rFonts w:hint="eastAsia" w:ascii="黑体" w:hAnsi="黑体" w:eastAsia="黑体" w:cs="宋体"/>
          <w:color w:val="auto"/>
          <w:sz w:val="32"/>
          <w:szCs w:val="32"/>
          <w:highlight w:val="none"/>
        </w:rPr>
        <w:t>〇</w:t>
      </w:r>
      <w:r>
        <w:rPr>
          <w:rFonts w:hint="eastAsia" w:ascii="黑体" w:hAnsi="黑体" w:eastAsia="黑体" w:cs="仿宋_GB2312"/>
          <w:color w:val="auto"/>
          <w:sz w:val="32"/>
          <w:szCs w:val="32"/>
          <w:highlight w:val="none"/>
        </w:rPr>
        <w:t>二五年</w:t>
      </w:r>
      <w:r>
        <w:rPr>
          <w:rFonts w:hint="eastAsia" w:ascii="黑体" w:hAnsi="黑体" w:eastAsia="黑体" w:cs="仿宋_GB2312"/>
          <w:color w:val="auto"/>
          <w:sz w:val="32"/>
          <w:szCs w:val="32"/>
          <w:highlight w:val="none"/>
          <w:lang w:val="en-US" w:eastAsia="zh-CN"/>
        </w:rPr>
        <w:t>六</w:t>
      </w:r>
      <w:r>
        <w:rPr>
          <w:rFonts w:hint="eastAsia" w:ascii="黑体" w:hAnsi="黑体" w:eastAsia="黑体" w:cs="仿宋_GB2312"/>
          <w:color w:val="auto"/>
          <w:sz w:val="32"/>
          <w:szCs w:val="32"/>
          <w:highlight w:val="none"/>
        </w:rPr>
        <w:t>月</w:t>
      </w:r>
    </w:p>
    <w:p>
      <w:pPr>
        <w:rPr>
          <w:color w:val="auto"/>
          <w:highlight w:val="none"/>
        </w:rPr>
        <w:sectPr>
          <w:footerReference r:id="rId7" w:type="first"/>
          <w:footerReference r:id="rId5" w:type="default"/>
          <w:footerReference r:id="rId6" w:type="even"/>
          <w:pgSz w:w="11907" w:h="16839"/>
          <w:pgMar w:top="1588" w:right="1474" w:bottom="1134" w:left="1588" w:header="720" w:footer="720" w:gutter="0"/>
          <w:cols w:space="720" w:num="1"/>
          <w:docGrid w:linePitch="299" w:charSpace="0"/>
        </w:sectPr>
      </w:pPr>
    </w:p>
    <w:p>
      <w:pPr>
        <w:pStyle w:val="50"/>
        <w:rPr>
          <w:highlight w:val="none"/>
        </w:rPr>
      </w:pPr>
    </w:p>
    <w:p>
      <w:pPr>
        <w:pStyle w:val="612"/>
        <w:adjustRightInd w:val="0"/>
        <w:snapToGrid w:val="0"/>
        <w:spacing w:before="0" w:line="600" w:lineRule="exact"/>
        <w:jc w:val="center"/>
        <w:rPr>
          <w:rFonts w:hint="eastAsia" w:ascii="方正小标宋简体" w:eastAsia="方正小标宋简体"/>
          <w:b/>
          <w:color w:val="auto"/>
          <w:sz w:val="44"/>
          <w:szCs w:val="44"/>
          <w:highlight w:val="none"/>
        </w:rPr>
      </w:pPr>
      <w:r>
        <w:rPr>
          <w:rFonts w:hint="eastAsia" w:ascii="方正小标宋简体" w:eastAsia="方正小标宋简体"/>
          <w:b/>
          <w:color w:val="auto"/>
          <w:sz w:val="44"/>
          <w:szCs w:val="44"/>
          <w:highlight w:val="none"/>
        </w:rPr>
        <w:t>目录</w:t>
      </w:r>
    </w:p>
    <w:p>
      <w:pPr>
        <w:rPr>
          <w:rFonts w:hint="eastAsia" w:ascii="等线" w:hAnsi="等线"/>
          <w:color w:val="auto"/>
          <w:sz w:val="24"/>
          <w:szCs w:val="24"/>
          <w:highlight w:val="none"/>
        </w:rPr>
      </w:pPr>
    </w:p>
    <w:p>
      <w:pPr>
        <w:pStyle w:val="56"/>
        <w:numPr>
          <w:ilvl w:val="0"/>
          <w:numId w:val="23"/>
        </w:numPr>
        <w:tabs>
          <w:tab w:val="right" w:pos="8844"/>
        </w:tabs>
        <w:rPr>
          <w:color w:val="auto"/>
          <w:highlight w:val="none"/>
        </w:rPr>
      </w:pPr>
      <w:r>
        <w:rPr>
          <w:rFonts w:hint="eastAsia"/>
          <w:color w:val="auto"/>
          <w:highlight w:val="none"/>
        </w:rPr>
        <w:t>采购公告（采购邀请书）</w:t>
      </w:r>
    </w:p>
    <w:p>
      <w:pPr>
        <w:pStyle w:val="56"/>
        <w:numPr>
          <w:ilvl w:val="0"/>
          <w:numId w:val="23"/>
        </w:numPr>
        <w:tabs>
          <w:tab w:val="right" w:pos="8844"/>
        </w:tabs>
        <w:rPr>
          <w:color w:val="auto"/>
          <w:highlight w:val="none"/>
        </w:rPr>
      </w:pPr>
      <w:r>
        <w:rPr>
          <w:rFonts w:hint="eastAsia"/>
          <w:color w:val="auto"/>
          <w:highlight w:val="none"/>
        </w:rPr>
        <w:t>供应商须知</w:t>
      </w:r>
    </w:p>
    <w:p>
      <w:pPr>
        <w:pStyle w:val="56"/>
        <w:numPr>
          <w:ilvl w:val="0"/>
          <w:numId w:val="23"/>
        </w:numPr>
        <w:tabs>
          <w:tab w:val="right" w:pos="8844"/>
        </w:tabs>
        <w:rPr>
          <w:color w:val="auto"/>
          <w:highlight w:val="none"/>
        </w:rPr>
      </w:pPr>
      <w:r>
        <w:rPr>
          <w:rFonts w:hint="eastAsia"/>
          <w:color w:val="auto"/>
          <w:highlight w:val="none"/>
        </w:rPr>
        <w:t>采购方法</w:t>
      </w:r>
    </w:p>
    <w:p>
      <w:pPr>
        <w:pStyle w:val="56"/>
        <w:numPr>
          <w:ilvl w:val="0"/>
          <w:numId w:val="23"/>
        </w:numPr>
        <w:tabs>
          <w:tab w:val="right" w:pos="8844"/>
        </w:tabs>
        <w:rPr>
          <w:color w:val="auto"/>
          <w:highlight w:val="none"/>
        </w:rPr>
      </w:pPr>
      <w:r>
        <w:rPr>
          <w:rFonts w:hint="eastAsia"/>
          <w:color w:val="auto"/>
          <w:highlight w:val="none"/>
        </w:rPr>
        <w:t>评审方法</w:t>
      </w:r>
    </w:p>
    <w:p>
      <w:pPr>
        <w:pStyle w:val="56"/>
        <w:numPr>
          <w:ilvl w:val="0"/>
          <w:numId w:val="23"/>
        </w:numPr>
        <w:tabs>
          <w:tab w:val="right" w:pos="8844"/>
        </w:tabs>
        <w:rPr>
          <w:color w:val="auto"/>
          <w:highlight w:val="none"/>
        </w:rPr>
      </w:pPr>
      <w:r>
        <w:rPr>
          <w:rFonts w:hint="eastAsia"/>
          <w:color w:val="auto"/>
          <w:highlight w:val="none"/>
        </w:rPr>
        <w:t>采购需求</w:t>
      </w:r>
    </w:p>
    <w:p>
      <w:pPr>
        <w:pStyle w:val="56"/>
        <w:numPr>
          <w:ilvl w:val="0"/>
          <w:numId w:val="23"/>
        </w:numPr>
        <w:tabs>
          <w:tab w:val="right" w:pos="8844"/>
        </w:tabs>
        <w:rPr>
          <w:color w:val="auto"/>
          <w:highlight w:val="none"/>
        </w:rPr>
      </w:pPr>
      <w:r>
        <w:rPr>
          <w:rFonts w:hint="eastAsia"/>
          <w:color w:val="auto"/>
          <w:highlight w:val="none"/>
        </w:rPr>
        <w:t>合同草案</w:t>
      </w:r>
    </w:p>
    <w:p>
      <w:pPr>
        <w:pStyle w:val="56"/>
        <w:numPr>
          <w:ilvl w:val="0"/>
          <w:numId w:val="23"/>
        </w:numPr>
        <w:tabs>
          <w:tab w:val="right" w:pos="8844"/>
        </w:tabs>
        <w:rPr>
          <w:color w:val="auto"/>
          <w:highlight w:val="none"/>
        </w:rPr>
      </w:pPr>
      <w:r>
        <w:rPr>
          <w:rFonts w:hint="eastAsia"/>
          <w:color w:val="auto"/>
          <w:highlight w:val="none"/>
        </w:rPr>
        <w:t>响应文件格式要求</w:t>
      </w:r>
      <w:r>
        <w:rPr>
          <w:rFonts w:hint="eastAsia"/>
          <w:color w:val="auto"/>
          <w:highlight w:val="none"/>
        </w:rPr>
        <w:fldChar w:fldCharType="begin"/>
      </w:r>
      <w:r>
        <w:rPr>
          <w:color w:val="auto"/>
          <w:highlight w:val="none"/>
        </w:rPr>
        <w:instrText xml:space="preserve">TOC \o "1-1" \n  \h \u </w:instrText>
      </w:r>
      <w:r>
        <w:rPr>
          <w:rFonts w:hint="eastAsia"/>
          <w:color w:val="auto"/>
          <w:highlight w:val="none"/>
        </w:rPr>
        <w:fldChar w:fldCharType="separate"/>
      </w:r>
      <w:r>
        <w:rPr>
          <w:color w:val="auto"/>
          <w:highlight w:val="none"/>
        </w:rPr>
        <w:fldChar w:fldCharType="begin"/>
      </w:r>
      <w:r>
        <w:rPr>
          <w:color w:val="auto"/>
          <w:highlight w:val="none"/>
        </w:rPr>
        <w:instrText xml:space="preserve"> HYPERLINK \l "_Toc18800" </w:instrText>
      </w:r>
      <w:r>
        <w:rPr>
          <w:color w:val="auto"/>
          <w:highlight w:val="none"/>
        </w:rPr>
        <w:fldChar w:fldCharType="separate"/>
      </w:r>
      <w:r>
        <w:rPr>
          <w:color w:val="auto"/>
          <w:highlight w:val="none"/>
        </w:rPr>
        <w:fldChar w:fldCharType="end"/>
      </w:r>
    </w:p>
    <w:p>
      <w:pPr>
        <w:pStyle w:val="56"/>
        <w:tabs>
          <w:tab w:val="right" w:pos="8844"/>
        </w:tabs>
        <w:rPr>
          <w:color w:val="auto"/>
          <w:highlight w:val="none"/>
        </w:rPr>
      </w:pPr>
      <w:r>
        <w:rPr>
          <w:color w:val="auto"/>
          <w:highlight w:val="none"/>
        </w:rPr>
        <w:fldChar w:fldCharType="begin"/>
      </w:r>
      <w:r>
        <w:rPr>
          <w:color w:val="auto"/>
          <w:highlight w:val="none"/>
        </w:rPr>
        <w:instrText xml:space="preserve"> HYPERLINK \l "_Toc5817" </w:instrText>
      </w:r>
      <w:r>
        <w:rPr>
          <w:color w:val="auto"/>
          <w:highlight w:val="none"/>
        </w:rPr>
        <w:fldChar w:fldCharType="separate"/>
      </w:r>
      <w:r>
        <w:rPr>
          <w:color w:val="auto"/>
          <w:highlight w:val="none"/>
        </w:rPr>
        <w:fldChar w:fldCharType="end"/>
      </w:r>
    </w:p>
    <w:p>
      <w:pPr>
        <w:pStyle w:val="56"/>
        <w:tabs>
          <w:tab w:val="right" w:pos="8844"/>
        </w:tabs>
        <w:rPr>
          <w:color w:val="auto"/>
          <w:highlight w:val="none"/>
        </w:rPr>
      </w:pPr>
      <w:r>
        <w:rPr>
          <w:color w:val="auto"/>
          <w:highlight w:val="none"/>
        </w:rPr>
        <w:fldChar w:fldCharType="begin"/>
      </w:r>
      <w:r>
        <w:rPr>
          <w:color w:val="auto"/>
          <w:highlight w:val="none"/>
        </w:rPr>
        <w:instrText xml:space="preserve"> HYPERLINK \l "_Toc27928" </w:instrText>
      </w:r>
      <w:r>
        <w:rPr>
          <w:color w:val="auto"/>
          <w:highlight w:val="none"/>
        </w:rPr>
        <w:fldChar w:fldCharType="separate"/>
      </w:r>
      <w:r>
        <w:rPr>
          <w:color w:val="auto"/>
          <w:highlight w:val="none"/>
        </w:rPr>
        <w:fldChar w:fldCharType="end"/>
      </w:r>
    </w:p>
    <w:p>
      <w:pPr>
        <w:pStyle w:val="84"/>
        <w:ind w:firstLine="480"/>
        <w:rPr>
          <w:rFonts w:hint="default"/>
          <w:highlight w:val="none"/>
        </w:rPr>
      </w:pPr>
      <w:r>
        <w:rPr>
          <w:highlight w:val="none"/>
        </w:rPr>
        <w:fldChar w:fldCharType="end"/>
      </w:r>
    </w:p>
    <w:p>
      <w:pPr>
        <w:adjustRightInd w:val="0"/>
        <w:snapToGrid w:val="0"/>
        <w:spacing w:line="600" w:lineRule="exact"/>
        <w:ind w:firstLine="560" w:firstLineChars="200"/>
        <w:rPr>
          <w:rFonts w:ascii="仿宋_GB2312" w:eastAsia="仿宋_GB2312"/>
          <w:color w:val="auto"/>
          <w:sz w:val="28"/>
          <w:szCs w:val="28"/>
          <w:highlight w:val="none"/>
        </w:rPr>
      </w:pPr>
    </w:p>
    <w:p>
      <w:pPr>
        <w:pStyle w:val="2"/>
        <w:rPr>
          <w:rFonts w:hint="eastAsia"/>
          <w:color w:val="auto"/>
          <w:highlight w:val="none"/>
        </w:rPr>
      </w:pPr>
      <w:bookmarkStart w:id="0" w:name="_Toc18145"/>
      <w:bookmarkStart w:id="1" w:name="_Toc26148"/>
    </w:p>
    <w:p>
      <w:pPr>
        <w:rPr>
          <w:color w:val="auto"/>
          <w:highlight w:val="none"/>
        </w:rPr>
      </w:pPr>
    </w:p>
    <w:p>
      <w:pPr>
        <w:pStyle w:val="2"/>
        <w:rPr>
          <w:rFonts w:hint="eastAsia"/>
          <w:color w:val="auto"/>
          <w:highlight w:val="none"/>
        </w:rPr>
      </w:pPr>
      <w:bookmarkStart w:id="2" w:name="_Toc17696"/>
      <w:bookmarkStart w:id="3" w:name="_Toc1711"/>
    </w:p>
    <w:p>
      <w:pPr>
        <w:rPr>
          <w:color w:val="auto"/>
          <w:highlight w:val="none"/>
        </w:rPr>
      </w:pPr>
    </w:p>
    <w:p>
      <w:pPr>
        <w:pStyle w:val="84"/>
        <w:ind w:firstLine="480"/>
        <w:rPr>
          <w:rFonts w:hint="default"/>
          <w:highlight w:val="none"/>
        </w:rPr>
      </w:pPr>
    </w:p>
    <w:p>
      <w:pPr>
        <w:pStyle w:val="84"/>
        <w:ind w:firstLine="480"/>
        <w:rPr>
          <w:rFonts w:hint="default"/>
          <w:highlight w:val="none"/>
        </w:rPr>
      </w:pPr>
    </w:p>
    <w:p>
      <w:pPr>
        <w:pStyle w:val="84"/>
        <w:ind w:firstLine="480"/>
        <w:rPr>
          <w:rFonts w:hint="default"/>
          <w:highlight w:val="none"/>
        </w:rPr>
      </w:pPr>
    </w:p>
    <w:p>
      <w:pPr>
        <w:pStyle w:val="84"/>
        <w:ind w:firstLine="480"/>
        <w:rPr>
          <w:rFonts w:hint="default"/>
          <w:highlight w:val="none"/>
        </w:rPr>
      </w:pPr>
    </w:p>
    <w:p>
      <w:pPr>
        <w:pStyle w:val="2"/>
        <w:rPr>
          <w:rFonts w:hint="eastAsia"/>
          <w:color w:val="auto"/>
          <w:highlight w:val="none"/>
        </w:rPr>
      </w:pPr>
      <w:bookmarkStart w:id="4" w:name="_Toc31938"/>
      <w:bookmarkStart w:id="5" w:name="_Toc17801"/>
      <w:bookmarkStart w:id="6" w:name="_Toc19609"/>
      <w:bookmarkStart w:id="7" w:name="_Toc7519"/>
      <w:bookmarkStart w:id="8" w:name="_Toc1669"/>
      <w:bookmarkStart w:id="9" w:name="_Toc4275"/>
      <w:bookmarkStart w:id="10" w:name="_Toc11322"/>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p>
    <w:p>
      <w:pPr>
        <w:rPr>
          <w:rFonts w:hint="eastAsia" w:ascii="方正小标宋简体" w:hAnsi="方正小标宋简体" w:eastAsia="方正小标宋简体" w:cs="方正小标宋简体"/>
          <w:color w:val="auto"/>
          <w:sz w:val="40"/>
          <w:szCs w:val="40"/>
          <w:highlight w:val="none"/>
        </w:rPr>
      </w:pPr>
    </w:p>
    <w:p>
      <w:pPr>
        <w:rPr>
          <w:rFonts w:hint="eastAsia" w:ascii="方正小标宋简体" w:hAnsi="方正小标宋简体" w:eastAsia="方正小标宋简体" w:cs="方正小标宋简体"/>
          <w:color w:val="auto"/>
          <w:sz w:val="40"/>
          <w:szCs w:val="40"/>
          <w:highlight w:val="none"/>
        </w:rPr>
      </w:pPr>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2336" behindDoc="0" locked="0" layoutInCell="1" allowOverlap="1">
                <wp:simplePos x="0" y="0"/>
                <wp:positionH relativeFrom="column">
                  <wp:posOffset>2348230</wp:posOffset>
                </wp:positionH>
                <wp:positionV relativeFrom="paragraph">
                  <wp:posOffset>530225</wp:posOffset>
                </wp:positionV>
                <wp:extent cx="958850" cy="0"/>
                <wp:effectExtent l="0" t="4445" r="0" b="5080"/>
                <wp:wrapNone/>
                <wp:docPr id="11" name="自选图形 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3" o:spid="_x0000_s1026" o:spt="32" type="#_x0000_t32" style="position:absolute;left:0pt;margin-left:184.9pt;margin-top:41.75pt;height:0pt;width:75.5pt;z-index:251662336;mso-width-relative:page;mso-height-relative:page;" filled="f" stroked="t" coordsize="21600,21600" o:gfxdata="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4pxeSdYAAAAJAQAADwAAAAAAAAABACAAAAAiAAAAZHJzL2Rvd25yZXYueG1sUEsB&#10;AhQAFAAAAAgAh07iQH5gzFz3AQAA8QMAAA4AAAAAAAAAAQAgAAAAJQEAAGRycy9lMm9Eb2MueG1s&#10;UEsFBgAAAAAGAAYAWQEAAI4FAAAAAA==&#10;">
                <v:fill on="f" focussize="0,0"/>
                <v:stroke color="#000000" joinstyle="round"/>
                <v:imagedata o:title=""/>
                <o:lock v:ext="edit" aspectratio="f"/>
              </v:shape>
            </w:pict>
          </mc:Fallback>
        </mc:AlternateContent>
      </w:r>
    </w:p>
    <w:p>
      <w:pPr>
        <w:pStyle w:val="81"/>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lang w:val="en-US" w:eastAsia="zh-CN"/>
        </w:rPr>
        <w:t xml:space="preserve">      </w:t>
      </w:r>
      <w:r>
        <w:rPr>
          <w:rFonts w:hint="eastAsia" w:ascii="方正小标宋简体" w:hAnsi="方正小标宋简体" w:eastAsia="方正小标宋简体" w:cs="方正小标宋简体"/>
          <w:sz w:val="40"/>
          <w:szCs w:val="40"/>
          <w:highlight w:val="none"/>
        </w:rPr>
        <w:t>第一章</w:t>
      </w:r>
      <w:bookmarkEnd w:id="0"/>
      <w:bookmarkEnd w:id="1"/>
      <w:bookmarkEnd w:id="2"/>
      <w:bookmarkEnd w:id="3"/>
      <w:bookmarkEnd w:id="4"/>
      <w:bookmarkEnd w:id="5"/>
      <w:bookmarkEnd w:id="6"/>
      <w:bookmarkEnd w:id="7"/>
      <w:bookmarkEnd w:id="8"/>
      <w:bookmarkEnd w:id="9"/>
      <w:bookmarkEnd w:id="10"/>
    </w:p>
    <w:p>
      <w:pPr>
        <w:pStyle w:val="81"/>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3360" behindDoc="0" locked="0" layoutInCell="1" allowOverlap="1">
                <wp:simplePos x="0" y="0"/>
                <wp:positionH relativeFrom="column">
                  <wp:posOffset>2340610</wp:posOffset>
                </wp:positionH>
                <wp:positionV relativeFrom="paragraph">
                  <wp:posOffset>113665</wp:posOffset>
                </wp:positionV>
                <wp:extent cx="958850" cy="0"/>
                <wp:effectExtent l="0" t="4445" r="0" b="5080"/>
                <wp:wrapNone/>
                <wp:docPr id="12" name="自选图形 2"/>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2" o:spid="_x0000_s1026" o:spt="32" type="#_x0000_t32" style="position:absolute;left:0pt;margin-left:184.3pt;margin-top:8.95pt;height:0pt;width:75.5pt;z-index:251663360;mso-width-relative:page;mso-height-relative:page;" filled="f" stroked="t" coordsize="21600,21600" o:gfxdata="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DD3IdD1gAAAAkBAAAPAAAAAAAAAAEAIAAAACIAAABkcnMvZG93bnJldi54bWxQSwEC&#10;FAAUAAAACACHTuJAvYe6JfYBAADxAwAADgAAAAAAAAABACAAAAAlAQAAZHJzL2Uyb0RvYy54bWxQ&#10;SwUGAAAAAAYABgBZAQAAjQUAAAAA&#10;">
                <v:fill on="f" focussize="0,0"/>
                <v:stroke color="#000000" joinstyle="round"/>
                <v:imagedata o:title=""/>
                <o:lock v:ext="edit" aspectratio="f"/>
              </v:shape>
            </w:pict>
          </mc:Fallback>
        </mc:AlternateContent>
      </w:r>
    </w:p>
    <w:p>
      <w:pPr>
        <w:pStyle w:val="81"/>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40"/>
          <w:szCs w:val="40"/>
          <w:highlight w:val="none"/>
        </w:rPr>
        <w:t>采购公告（采购邀请书）</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0" w:firstLineChars="0"/>
        <w:rPr>
          <w:rFonts w:hint="default" w:ascii="仿宋_GB2312" w:eastAsia="仿宋_GB2312"/>
          <w:sz w:val="28"/>
          <w:szCs w:val="28"/>
          <w:highlight w:val="none"/>
        </w:rPr>
      </w:pPr>
    </w:p>
    <w:p>
      <w:pPr>
        <w:pStyle w:val="2"/>
        <w:rPr>
          <w:rFonts w:hint="eastAsia"/>
          <w:color w:val="auto"/>
          <w:highlight w:val="none"/>
        </w:rPr>
      </w:pPr>
      <w:bookmarkStart w:id="11" w:name="_Toc9680"/>
      <w:bookmarkStart w:id="12" w:name="_Toc21373"/>
      <w:r>
        <w:rPr>
          <w:rFonts w:hint="eastAsia"/>
          <w:color w:val="auto"/>
          <w:highlight w:val="none"/>
        </w:rPr>
        <w:t>采购公告（采购邀请书）</w:t>
      </w:r>
    </w:p>
    <w:bookmarkEnd w:id="11"/>
    <w:bookmarkEnd w:id="12"/>
    <w:p>
      <w:pPr>
        <w:adjustRightInd w:val="0"/>
        <w:snapToGrid w:val="0"/>
        <w:spacing w:line="600" w:lineRule="exact"/>
        <w:ind w:firstLine="560" w:firstLineChars="200"/>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广州市净水有限公司</w:t>
      </w:r>
      <w:r>
        <w:rPr>
          <w:rFonts w:hint="eastAsia" w:ascii="仿宋_GB2312" w:eastAsia="仿宋_GB2312"/>
          <w:color w:val="auto"/>
          <w:sz w:val="28"/>
          <w:szCs w:val="28"/>
          <w:highlight w:val="none"/>
          <w:u w:val="single"/>
        </w:rPr>
        <w:t>化龙堆存污泥综合处理处置项目</w:t>
      </w:r>
      <w:r>
        <w:rPr>
          <w:rFonts w:hint="eastAsia" w:ascii="仿宋_GB2312" w:eastAsia="仿宋_GB2312"/>
          <w:color w:val="auto"/>
          <w:sz w:val="28"/>
          <w:szCs w:val="28"/>
          <w:highlight w:val="none"/>
          <w:u w:val="single"/>
          <w:lang w:val="en-US" w:eastAsia="zh-CN"/>
        </w:rPr>
        <w:t>废弃</w:t>
      </w:r>
      <w:r>
        <w:rPr>
          <w:rFonts w:hint="eastAsia" w:ascii="仿宋_GB2312" w:eastAsia="仿宋_GB2312"/>
          <w:color w:val="auto"/>
          <w:sz w:val="28"/>
          <w:szCs w:val="28"/>
          <w:highlight w:val="none"/>
          <w:u w:val="single"/>
        </w:rPr>
        <w:t>烟囱爆破拆除工程</w:t>
      </w:r>
      <w:r>
        <w:rPr>
          <w:rFonts w:hint="eastAsia" w:ascii="仿宋_GB2312" w:eastAsia="仿宋_GB2312"/>
          <w:color w:val="auto"/>
          <w:sz w:val="28"/>
          <w:szCs w:val="28"/>
          <w:highlight w:val="none"/>
          <w:u w:val="single"/>
          <w:lang w:val="en-US" w:eastAsia="zh-CN"/>
        </w:rPr>
        <w:t>监理</w:t>
      </w:r>
      <w:r>
        <w:rPr>
          <w:rFonts w:hint="eastAsia" w:ascii="仿宋_GB2312" w:eastAsia="仿宋_GB2312"/>
          <w:color w:val="auto"/>
          <w:sz w:val="28"/>
          <w:szCs w:val="28"/>
          <w:highlight w:val="none"/>
        </w:rPr>
        <w:t>已具备采购条件，现邀请合格单位参加本</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施工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货物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服务项目采购活动，采用</w:t>
      </w:r>
      <w:r>
        <w:rPr>
          <w:rFonts w:hint="eastAsia" w:ascii="仿宋_GB2312" w:eastAsia="仿宋_GB2312"/>
          <w:color w:val="auto"/>
          <w:sz w:val="28"/>
          <w:szCs w:val="28"/>
          <w:highlight w:val="none"/>
          <w:u w:val="single"/>
        </w:rPr>
        <w:sym w:font="Wingdings 2" w:char="00A3"/>
      </w:r>
      <w:r>
        <w:rPr>
          <w:rFonts w:hint="eastAsia" w:ascii="仿宋_GB2312" w:eastAsia="仿宋_GB2312"/>
          <w:color w:val="auto"/>
          <w:sz w:val="28"/>
          <w:szCs w:val="28"/>
          <w:highlight w:val="none"/>
          <w:u w:val="single"/>
        </w:rPr>
        <w:t xml:space="preserve">邀请采购 </w:t>
      </w:r>
      <w:r>
        <w:rPr>
          <w:rFonts w:hint="eastAsia" w:ascii="仿宋_GB2312" w:eastAsia="仿宋_GB2312"/>
          <w:color w:val="auto"/>
          <w:sz w:val="28"/>
          <w:szCs w:val="28"/>
          <w:highlight w:val="none"/>
          <w:u w:val="single"/>
        </w:rPr>
        <w:sym w:font="Wingdings 2" w:char="0052"/>
      </w:r>
      <w:r>
        <w:rPr>
          <w:rFonts w:hint="eastAsia" w:ascii="仿宋_GB2312" w:eastAsia="仿宋_GB2312"/>
          <w:color w:val="auto"/>
          <w:sz w:val="28"/>
          <w:szCs w:val="28"/>
          <w:highlight w:val="none"/>
          <w:u w:val="single"/>
        </w:rPr>
        <w:t>公开采购</w:t>
      </w:r>
      <w:r>
        <w:rPr>
          <w:rFonts w:hint="eastAsia" w:ascii="仿宋_GB2312" w:eastAsia="仿宋_GB2312"/>
          <w:color w:val="auto"/>
          <w:sz w:val="28"/>
          <w:szCs w:val="28"/>
          <w:highlight w:val="none"/>
        </w:rPr>
        <w:t>的方式邀请合格供应商参加本项目采购活动。</w:t>
      </w:r>
    </w:p>
    <w:p>
      <w:pPr>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1.采购项目简介</w:t>
      </w:r>
    </w:p>
    <w:p>
      <w:pPr>
        <w:adjustRightInd w:val="0"/>
        <w:snapToGrid w:val="0"/>
        <w:spacing w:line="600" w:lineRule="exact"/>
        <w:ind w:left="2520" w:hanging="2520" w:hangingChars="900"/>
        <w:rPr>
          <w:rFonts w:ascii="仿宋_GB2312" w:eastAsia="仿宋_GB2312"/>
          <w:color w:val="auto"/>
          <w:sz w:val="28"/>
          <w:szCs w:val="28"/>
          <w:highlight w:val="none"/>
        </w:rPr>
      </w:pPr>
      <w:r>
        <w:rPr>
          <w:rFonts w:hint="eastAsia" w:ascii="仿宋_GB2312" w:eastAsia="仿宋_GB2312"/>
          <w:color w:val="auto"/>
          <w:sz w:val="28"/>
          <w:szCs w:val="28"/>
          <w:highlight w:val="none"/>
        </w:rPr>
        <w:t>1.1采购项目名称：</w:t>
      </w:r>
      <w:r>
        <w:rPr>
          <w:rFonts w:hint="eastAsia" w:ascii="仿宋_GB2312" w:eastAsia="仿宋_GB2312"/>
          <w:color w:val="auto"/>
          <w:sz w:val="28"/>
          <w:szCs w:val="28"/>
          <w:highlight w:val="none"/>
          <w:u w:val="single"/>
          <w:lang w:val="en-US" w:eastAsia="zh-CN"/>
        </w:rPr>
        <w:t>广州市净水有限公司</w:t>
      </w:r>
      <w:r>
        <w:rPr>
          <w:rFonts w:hint="eastAsia" w:ascii="仿宋_GB2312" w:eastAsia="仿宋_GB2312"/>
          <w:color w:val="auto"/>
          <w:sz w:val="28"/>
          <w:szCs w:val="28"/>
          <w:highlight w:val="none"/>
          <w:u w:val="single"/>
        </w:rPr>
        <w:t>化龙堆存污泥综合处理处置项目</w:t>
      </w:r>
      <w:r>
        <w:rPr>
          <w:rFonts w:hint="eastAsia" w:ascii="仿宋_GB2312" w:eastAsia="仿宋_GB2312"/>
          <w:color w:val="auto"/>
          <w:sz w:val="28"/>
          <w:szCs w:val="28"/>
          <w:highlight w:val="none"/>
          <w:u w:val="single"/>
          <w:lang w:val="en-US" w:eastAsia="zh-CN"/>
        </w:rPr>
        <w:t>废弃</w:t>
      </w:r>
      <w:r>
        <w:rPr>
          <w:rFonts w:hint="eastAsia" w:ascii="仿宋_GB2312" w:eastAsia="仿宋_GB2312"/>
          <w:color w:val="auto"/>
          <w:sz w:val="28"/>
          <w:szCs w:val="28"/>
          <w:highlight w:val="none"/>
          <w:u w:val="single"/>
        </w:rPr>
        <w:t>烟囱爆破拆除工程</w:t>
      </w:r>
      <w:r>
        <w:rPr>
          <w:rFonts w:hint="eastAsia" w:ascii="仿宋_GB2312" w:eastAsia="仿宋_GB2312"/>
          <w:color w:val="auto"/>
          <w:sz w:val="28"/>
          <w:szCs w:val="28"/>
          <w:highlight w:val="none"/>
          <w:u w:val="single"/>
          <w:lang w:val="en-US" w:eastAsia="zh-CN"/>
        </w:rPr>
        <w:t>监理</w:t>
      </w:r>
    </w:p>
    <w:p>
      <w:pPr>
        <w:adjustRightInd w:val="0"/>
        <w:snapToGrid w:val="0"/>
        <w:spacing w:line="600" w:lineRule="exac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1.2项目编号：</w:t>
      </w:r>
      <w:r>
        <w:rPr>
          <w:rFonts w:hint="eastAsia" w:ascii="仿宋_GB2312" w:eastAsia="仿宋_GB2312"/>
          <w:color w:val="auto"/>
          <w:sz w:val="28"/>
          <w:szCs w:val="28"/>
          <w:highlight w:val="none"/>
          <w:u w:val="single"/>
          <w:lang w:val="en-US" w:eastAsia="zh-CN"/>
        </w:rPr>
        <w:t>XJ-20250624-1</w:t>
      </w:r>
    </w:p>
    <w:p>
      <w:pPr>
        <w:adjustRightInd w:val="0"/>
        <w:snapToGrid w:val="0"/>
        <w:spacing w:line="600" w:lineRule="exac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1.3资金来源：</w:t>
      </w:r>
      <w:r>
        <w:rPr>
          <w:rFonts w:hint="eastAsia" w:ascii="仿宋_GB2312" w:eastAsia="仿宋_GB2312"/>
          <w:color w:val="auto"/>
          <w:sz w:val="28"/>
          <w:szCs w:val="28"/>
          <w:highlight w:val="none"/>
          <w:u w:val="single"/>
        </w:rPr>
        <w:t>自有资金</w:t>
      </w:r>
    </w:p>
    <w:p>
      <w:pPr>
        <w:widowControl w:val="0"/>
        <w:spacing w:after="0"/>
        <w:jc w:val="both"/>
        <w:rPr>
          <w:rFonts w:hint="eastAsia" w:ascii="仿宋" w:hAnsi="仿宋" w:eastAsia="仿宋" w:cs="仿宋"/>
          <w:color w:val="auto"/>
          <w:sz w:val="28"/>
          <w:szCs w:val="28"/>
          <w:highlight w:val="none"/>
          <w:lang w:bidi="ar"/>
        </w:rPr>
      </w:pPr>
      <w:r>
        <w:rPr>
          <w:rFonts w:hint="eastAsia" w:ascii="仿宋_GB2312" w:eastAsia="仿宋_GB2312"/>
          <w:color w:val="auto"/>
          <w:sz w:val="28"/>
          <w:szCs w:val="28"/>
          <w:highlight w:val="none"/>
        </w:rPr>
        <w:t>1.4最高限价（元）：</w:t>
      </w:r>
      <w:r>
        <w:rPr>
          <w:rFonts w:hint="eastAsia" w:ascii="仿宋" w:hAnsi="仿宋" w:eastAsia="仿宋" w:cs="仿宋"/>
          <w:color w:val="auto"/>
          <w:sz w:val="28"/>
          <w:szCs w:val="28"/>
          <w:highlight w:val="none"/>
          <w:u w:val="single"/>
          <w:lang w:val="en-US" w:eastAsia="zh-CN"/>
        </w:rPr>
        <w:t>34116.54</w:t>
      </w:r>
      <w:r>
        <w:rPr>
          <w:rFonts w:hint="eastAsia" w:ascii="仿宋" w:hAnsi="仿宋" w:eastAsia="仿宋" w:cs="仿宋"/>
          <w:color w:val="auto"/>
          <w:sz w:val="28"/>
          <w:szCs w:val="28"/>
          <w:highlight w:val="none"/>
          <w:u w:val="single"/>
          <w:lang w:bidi="ar"/>
        </w:rPr>
        <w:t>元</w:t>
      </w:r>
      <w:r>
        <w:rPr>
          <w:rFonts w:hint="eastAsia" w:ascii="仿宋" w:hAnsi="仿宋" w:eastAsia="仿宋" w:cs="仿宋"/>
          <w:color w:val="auto"/>
          <w:sz w:val="28"/>
          <w:szCs w:val="28"/>
          <w:highlight w:val="none"/>
          <w:u w:val="single"/>
          <w:lang w:val="en-US" w:eastAsia="zh-CN" w:bidi="ar"/>
        </w:rPr>
        <w:t>(含税率6%)</w:t>
      </w:r>
      <w:r>
        <w:rPr>
          <w:rFonts w:hint="eastAsia" w:ascii="仿宋" w:hAnsi="仿宋" w:eastAsia="仿宋" w:cs="仿宋"/>
          <w:color w:val="auto"/>
          <w:sz w:val="28"/>
          <w:szCs w:val="28"/>
          <w:highlight w:val="none"/>
          <w:u w:val="single"/>
          <w:lang w:bidi="ar"/>
        </w:rPr>
        <w:t>。</w:t>
      </w:r>
    </w:p>
    <w:p>
      <w:pPr>
        <w:adjustRightInd w:val="0"/>
        <w:snapToGrid w:val="0"/>
        <w:spacing w:line="600" w:lineRule="exac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rPr>
        <w:t>1.5标段划分：</w:t>
      </w:r>
      <w:r>
        <w:rPr>
          <w:rFonts w:hint="eastAsia" w:ascii="仿宋_GB2312" w:eastAsia="仿宋_GB2312"/>
          <w:color w:val="auto"/>
          <w:sz w:val="28"/>
          <w:szCs w:val="28"/>
          <w:highlight w:val="none"/>
          <w:u w:val="single"/>
        </w:rPr>
        <w:t xml:space="preserve"> /</w:t>
      </w:r>
    </w:p>
    <w:p>
      <w:pPr>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2.采购内容和范围</w:t>
      </w:r>
    </w:p>
    <w:p>
      <w:pPr>
        <w:tabs>
          <w:tab w:val="left" w:pos="5811"/>
        </w:tabs>
        <w:spacing w:line="360" w:lineRule="auto"/>
        <w:rPr>
          <w:rFonts w:hint="eastAsia" w:ascii="仿宋_GB2312" w:hAnsi="仿宋_GB2312" w:eastAsia="仿宋_GB2312" w:cs="仿宋_GB2312"/>
          <w:caps/>
          <w:color w:val="auto"/>
          <w:sz w:val="30"/>
          <w:szCs w:val="30"/>
          <w:highlight w:val="none"/>
        </w:rPr>
      </w:pPr>
      <w:r>
        <w:rPr>
          <w:rFonts w:hint="eastAsia" w:ascii="仿宋_GB2312" w:hAnsi="仿宋_GB2312" w:eastAsia="仿宋_GB2312" w:cs="仿宋_GB2312"/>
          <w:b/>
          <w:bCs/>
          <w:color w:val="auto"/>
          <w:sz w:val="28"/>
          <w:szCs w:val="28"/>
          <w:highlight w:val="none"/>
          <w:u w:val="none"/>
        </w:rPr>
        <w:t>2.1采购内容和范围：</w:t>
      </w:r>
      <w:r>
        <w:rPr>
          <w:rFonts w:hint="eastAsia" w:ascii="仿宋_GB2312" w:hAnsi="仿宋_GB2312" w:eastAsia="仿宋_GB2312" w:cs="仿宋_GB2312"/>
          <w:b w:val="0"/>
          <w:bCs w:val="0"/>
          <w:color w:val="auto"/>
          <w:sz w:val="28"/>
          <w:szCs w:val="28"/>
          <w:highlight w:val="none"/>
          <w:u w:val="none"/>
          <w:lang w:val="en-US" w:eastAsia="zh-CN"/>
        </w:rPr>
        <w:t>根据国家有关标准和规范，对甲方委托专业爆破单位</w:t>
      </w:r>
      <w:r>
        <w:rPr>
          <w:rFonts w:hint="eastAsia" w:ascii="仿宋_GB2312" w:hAnsi="仿宋_GB2312" w:eastAsia="仿宋_GB2312" w:cs="仿宋_GB2312"/>
          <w:color w:val="auto"/>
          <w:sz w:val="28"/>
          <w:szCs w:val="28"/>
          <w:highlight w:val="none"/>
          <w:u w:val="none"/>
        </w:rPr>
        <w:t>将位于化龙堆存污泥综合处理处置项目地块一范围的</w:t>
      </w:r>
      <w:r>
        <w:rPr>
          <w:rFonts w:hint="eastAsia" w:ascii="仿宋_GB2312" w:hAnsi="仿宋_GB2312" w:eastAsia="仿宋_GB2312" w:cs="仿宋_GB2312"/>
          <w:color w:val="auto"/>
          <w:sz w:val="28"/>
          <w:szCs w:val="28"/>
          <w:highlight w:val="none"/>
          <w:u w:val="none"/>
          <w:lang w:eastAsia="zh-CN"/>
        </w:rPr>
        <w:t>废弃</w:t>
      </w:r>
      <w:r>
        <w:rPr>
          <w:rFonts w:hint="eastAsia" w:ascii="仿宋_GB2312" w:hAnsi="仿宋_GB2312" w:eastAsia="仿宋_GB2312" w:cs="仿宋_GB2312"/>
          <w:color w:val="auto"/>
          <w:sz w:val="28"/>
          <w:szCs w:val="28"/>
          <w:highlight w:val="none"/>
          <w:u w:val="none"/>
        </w:rPr>
        <w:t>烟囱予以爆破拆除</w:t>
      </w:r>
      <w:r>
        <w:rPr>
          <w:rFonts w:hint="eastAsia" w:ascii="仿宋_GB2312" w:hAnsi="仿宋_GB2312" w:eastAsia="仿宋_GB2312" w:cs="仿宋_GB2312"/>
          <w:color w:val="auto"/>
          <w:sz w:val="28"/>
          <w:szCs w:val="28"/>
          <w:highlight w:val="none"/>
          <w:u w:val="none"/>
          <w:lang w:val="en-US" w:eastAsia="zh-CN"/>
        </w:rPr>
        <w:t>工作进行安全监理</w:t>
      </w:r>
      <w:r>
        <w:rPr>
          <w:rFonts w:hint="eastAsia" w:ascii="仿宋_GB2312" w:hAnsi="仿宋_GB2312" w:eastAsia="仿宋_GB2312" w:cs="仿宋_GB2312"/>
          <w:color w:val="auto"/>
          <w:sz w:val="28"/>
          <w:szCs w:val="28"/>
          <w:highlight w:val="none"/>
          <w:u w:val="none"/>
        </w:rPr>
        <w:t>，</w:t>
      </w:r>
      <w:r>
        <w:rPr>
          <w:rFonts w:hint="eastAsia" w:ascii="仿宋_GB2312" w:hAnsi="仿宋_GB2312" w:eastAsia="仿宋_GB2312" w:cs="仿宋_GB2312"/>
          <w:color w:val="auto"/>
          <w:sz w:val="28"/>
          <w:szCs w:val="28"/>
          <w:highlight w:val="none"/>
          <w:u w:val="none"/>
          <w:lang w:val="en-US" w:eastAsia="zh-CN"/>
        </w:rPr>
        <w:t>主要内容</w:t>
      </w:r>
      <w:r>
        <w:rPr>
          <w:rFonts w:hint="eastAsia" w:ascii="仿宋_GB2312" w:hAnsi="仿宋_GB2312" w:eastAsia="仿宋_GB2312" w:cs="仿宋_GB2312"/>
          <w:color w:val="auto"/>
          <w:sz w:val="28"/>
          <w:szCs w:val="28"/>
          <w:highlight w:val="none"/>
          <w:u w:val="none"/>
        </w:rPr>
        <w:t>包括：</w:t>
      </w:r>
      <w:r>
        <w:rPr>
          <w:rFonts w:hint="eastAsia" w:ascii="仿宋_GB2312" w:hAnsi="仿宋_GB2312" w:eastAsia="仿宋_GB2312" w:cs="仿宋_GB2312"/>
          <w:bCs w:val="0"/>
          <w:color w:val="auto"/>
          <w:sz w:val="28"/>
          <w:szCs w:val="28"/>
          <w:highlight w:val="none"/>
          <w:u w:val="none"/>
          <w:lang w:val="en-US" w:eastAsia="zh-CN"/>
        </w:rPr>
        <w:t>审核烟囱爆破设计</w:t>
      </w:r>
      <w:r>
        <w:rPr>
          <w:rFonts w:hint="eastAsia" w:ascii="仿宋_GB2312" w:hAnsi="仿宋_GB2312" w:eastAsia="仿宋_GB2312" w:cs="仿宋_GB2312"/>
          <w:color w:val="auto"/>
          <w:sz w:val="28"/>
          <w:szCs w:val="28"/>
          <w:highlight w:val="none"/>
          <w:u w:val="none"/>
          <w:lang w:eastAsia="zh-CN"/>
        </w:rPr>
        <w:t>文件、</w:t>
      </w:r>
      <w:r>
        <w:rPr>
          <w:rFonts w:hint="eastAsia" w:ascii="仿宋_GB2312" w:hAnsi="仿宋_GB2312" w:eastAsia="仿宋_GB2312" w:cs="仿宋_GB2312"/>
          <w:color w:val="auto"/>
          <w:sz w:val="28"/>
          <w:szCs w:val="28"/>
          <w:highlight w:val="none"/>
          <w:u w:val="none"/>
        </w:rPr>
        <w:t>烟囱爆破拆除方案；</w:t>
      </w:r>
      <w:r>
        <w:rPr>
          <w:rFonts w:hint="eastAsia" w:ascii="仿宋_GB2312" w:hAnsi="仿宋_GB2312" w:eastAsia="仿宋_GB2312" w:cs="仿宋_GB2312"/>
          <w:color w:val="auto"/>
          <w:sz w:val="28"/>
          <w:szCs w:val="28"/>
          <w:highlight w:val="none"/>
          <w:u w:val="none"/>
          <w:lang w:val="en-US" w:eastAsia="zh-CN"/>
        </w:rPr>
        <w:t>监督</w:t>
      </w:r>
      <w:r>
        <w:rPr>
          <w:rFonts w:hint="eastAsia" w:ascii="仿宋_GB2312" w:hAnsi="仿宋_GB2312" w:eastAsia="仿宋_GB2312" w:cs="仿宋_GB2312"/>
          <w:caps w:val="0"/>
          <w:color w:val="auto"/>
          <w:sz w:val="28"/>
          <w:szCs w:val="28"/>
          <w:highlight w:val="none"/>
          <w:u w:val="none"/>
        </w:rPr>
        <w:t>爆破作业单位按照公安机关审批的爆破设计方案施工</w:t>
      </w:r>
      <w:r>
        <w:rPr>
          <w:rFonts w:hint="eastAsia" w:ascii="仿宋_GB2312" w:hAnsi="仿宋_GB2312" w:eastAsia="仿宋_GB2312" w:cs="仿宋_GB2312"/>
          <w:caps w:val="0"/>
          <w:color w:val="auto"/>
          <w:sz w:val="28"/>
          <w:szCs w:val="28"/>
          <w:highlight w:val="none"/>
          <w:u w:val="none"/>
          <w:lang w:val="en-US" w:eastAsia="zh-CN"/>
        </w:rPr>
        <w:t>等</w:t>
      </w:r>
      <w:r>
        <w:rPr>
          <w:rFonts w:hint="eastAsia" w:ascii="仿宋_GB2312" w:hAnsi="仿宋_GB2312" w:eastAsia="仿宋_GB2312" w:cs="仿宋_GB2312"/>
          <w:caps w:val="0"/>
          <w:color w:val="auto"/>
          <w:sz w:val="28"/>
          <w:szCs w:val="28"/>
          <w:highlight w:val="none"/>
          <w:u w:val="none"/>
        </w:rPr>
        <w:t>。</w:t>
      </w:r>
    </w:p>
    <w:p>
      <w:pPr>
        <w:tabs>
          <w:tab w:val="left" w:pos="5811"/>
        </w:tabs>
        <w:spacing w:line="360" w:lineRule="auto"/>
        <w:ind w:firstLine="0" w:firstLineChars="0"/>
        <w:rPr>
          <w:rFonts w:hint="eastAsia" w:ascii="仿宋_GB2312" w:hAnsi="仿宋_GB2312" w:eastAsia="仿宋_GB2312" w:cs="仿宋_GB2312"/>
          <w:b w:val="0"/>
          <w:bCs w:val="0"/>
          <w:color w:val="auto"/>
          <w:sz w:val="28"/>
          <w:szCs w:val="28"/>
          <w:highlight w:val="none"/>
          <w:u w:val="none"/>
        </w:rPr>
      </w:pPr>
      <w:r>
        <w:rPr>
          <w:rFonts w:hint="eastAsia" w:ascii="仿宋_GB2312" w:hAnsi="仿宋_GB2312" w:eastAsia="仿宋_GB2312" w:cs="仿宋_GB2312"/>
          <w:caps w:val="0"/>
          <w:color w:val="auto"/>
          <w:sz w:val="28"/>
          <w:szCs w:val="28"/>
          <w:highlight w:val="none"/>
          <w:u w:val="none"/>
        </w:rPr>
        <w:t>该项目烟囱高度56.4m，底部壁厚1.09m，烟囱总体为圆锥形状，搭建方式为砖砌，经雷达探测，在烟囱外壁区域，砖块之间存在钢筋箍，现场也有部分钢筋箍出露，探测区域内钢筋箍间距约为0.25m。</w:t>
      </w:r>
    </w:p>
    <w:p>
      <w:pPr>
        <w:tabs>
          <w:tab w:val="left" w:pos="5811"/>
        </w:tabs>
        <w:spacing w:line="360" w:lineRule="auto"/>
        <w:rPr>
          <w:rFonts w:ascii="仿宋_GB2312" w:eastAsia="仿宋_GB2312"/>
          <w:color w:val="auto"/>
          <w:sz w:val="28"/>
          <w:szCs w:val="28"/>
          <w:highlight w:val="none"/>
          <w:u w:val="single"/>
        </w:rPr>
      </w:pPr>
      <w:r>
        <w:rPr>
          <w:rFonts w:hint="eastAsia" w:ascii="仿宋_GB2312" w:eastAsia="仿宋_GB2312"/>
          <w:b/>
          <w:bCs/>
          <w:color w:val="auto"/>
          <w:sz w:val="28"/>
          <w:szCs w:val="28"/>
          <w:highlight w:val="none"/>
        </w:rPr>
        <w:t>2.2项目工期：</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计划工期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交货期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服务期 为</w:t>
      </w:r>
      <w:r>
        <w:rPr>
          <w:rFonts w:hint="eastAsia" w:ascii="仿宋_GB2312" w:eastAsia="仿宋_GB2312"/>
          <w:color w:val="auto"/>
          <w:sz w:val="28"/>
          <w:szCs w:val="28"/>
          <w:highlight w:val="none"/>
          <w:u w:val="single"/>
        </w:rPr>
        <w:t xml:space="preserve"> 自开始监理日期，至工程竣工验收合格、缺陷责任期届满之日并完成结算止。 </w:t>
      </w:r>
    </w:p>
    <w:p>
      <w:pPr>
        <w:adjustRightInd w:val="0"/>
        <w:snapToGrid w:val="0"/>
        <w:spacing w:line="600" w:lineRule="exact"/>
        <w:rPr>
          <w:rFonts w:ascii="仿宋_GB2312" w:eastAsia="仿宋_GB2312"/>
          <w:color w:val="auto"/>
          <w:sz w:val="28"/>
          <w:szCs w:val="28"/>
          <w:highlight w:val="none"/>
          <w:u w:val="single"/>
        </w:rPr>
      </w:pPr>
      <w:r>
        <w:rPr>
          <w:rFonts w:hint="eastAsia" w:ascii="仿宋_GB2312" w:eastAsia="仿宋_GB2312"/>
          <w:b/>
          <w:bCs/>
          <w:color w:val="auto"/>
          <w:sz w:val="28"/>
          <w:szCs w:val="28"/>
          <w:highlight w:val="none"/>
        </w:rPr>
        <w:t>2.3地点：</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建设地点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交货地点  </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服务地点 位于</w:t>
      </w:r>
      <w:r>
        <w:rPr>
          <w:rFonts w:hint="eastAsia" w:ascii="仿宋_GB2312" w:eastAsia="仿宋_GB2312"/>
          <w:color w:val="auto"/>
          <w:sz w:val="28"/>
          <w:szCs w:val="28"/>
          <w:highlight w:val="none"/>
          <w:u w:val="single"/>
        </w:rPr>
        <w:t xml:space="preserve"> 广东省广州市番禺区化龙镇</w:t>
      </w:r>
      <w:r>
        <w:rPr>
          <w:rFonts w:hint="eastAsia" w:ascii="仿宋_GB2312" w:eastAsia="仿宋_GB2312"/>
          <w:color w:val="auto"/>
          <w:sz w:val="28"/>
          <w:szCs w:val="28"/>
          <w:highlight w:val="none"/>
          <w:u w:val="single"/>
          <w:lang w:val="en-US" w:eastAsia="zh-CN"/>
        </w:rPr>
        <w:t>沙亭村</w:t>
      </w:r>
      <w:r>
        <w:rPr>
          <w:rFonts w:hint="eastAsia" w:ascii="仿宋_GB2312" w:eastAsia="仿宋_GB2312"/>
          <w:color w:val="auto"/>
          <w:sz w:val="28"/>
          <w:szCs w:val="28"/>
          <w:highlight w:val="none"/>
          <w:u w:val="single"/>
        </w:rPr>
        <w:t>。</w:t>
      </w:r>
    </w:p>
    <w:p>
      <w:pPr>
        <w:adjustRightInd w:val="0"/>
        <w:snapToGrid w:val="0"/>
        <w:spacing w:line="600" w:lineRule="exact"/>
        <w:ind w:left="422" w:right="-369" w:rightChars="-176" w:hanging="420" w:hangingChars="150"/>
        <w:rPr>
          <w:rFonts w:ascii="仿宋_GB2312" w:eastAsia="仿宋_GB2312"/>
          <w:color w:val="auto"/>
          <w:sz w:val="28"/>
          <w:szCs w:val="28"/>
          <w:highlight w:val="none"/>
        </w:rPr>
      </w:pPr>
      <w:r>
        <w:rPr>
          <w:rFonts w:hint="eastAsia" w:ascii="仿宋_GB2312" w:eastAsia="仿宋_GB2312"/>
          <w:b/>
          <w:bCs/>
          <w:color w:val="auto"/>
          <w:sz w:val="28"/>
          <w:szCs w:val="28"/>
          <w:highlight w:val="none"/>
        </w:rPr>
        <w:t>2.4质量要求：</w:t>
      </w: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 xml:space="preserve">施工质量要求  </w:t>
      </w: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 xml:space="preserve">货物质量标准或主要技术性能指标 </w:t>
      </w:r>
    </w:p>
    <w:p>
      <w:pPr>
        <w:spacing w:line="240" w:lineRule="auto"/>
        <w:jc w:val="both"/>
        <w:rPr>
          <w:rFonts w:ascii="仿宋_GB2312" w:eastAsia="仿宋_GB2312"/>
          <w:color w:val="auto"/>
          <w:sz w:val="28"/>
          <w:szCs w:val="28"/>
          <w:highlight w:val="none"/>
        </w:rPr>
      </w:pPr>
      <w:r>
        <w:rPr>
          <w:rFonts w:hint="eastAsia" w:ascii="仿宋_GB2312" w:eastAsia="仿宋_GB2312"/>
          <w:color w:val="auto"/>
          <w:sz w:val="28"/>
          <w:szCs w:val="28"/>
          <w:highlight w:val="none"/>
        </w:rPr>
        <w:sym w:font="Wingdings 2" w:char="00A3"/>
      </w:r>
      <w:r>
        <w:rPr>
          <w:rFonts w:hint="eastAsia" w:ascii="仿宋_GB2312" w:eastAsia="仿宋_GB2312"/>
          <w:color w:val="auto"/>
          <w:sz w:val="28"/>
          <w:szCs w:val="28"/>
          <w:highlight w:val="none"/>
        </w:rPr>
        <w:t>服务质量要求或服务标准如下：</w:t>
      </w:r>
      <w:r>
        <w:rPr>
          <w:rFonts w:hint="eastAsia" w:ascii="仿宋_GB2312" w:eastAsia="仿宋_GB2312"/>
          <w:color w:val="auto"/>
          <w:sz w:val="28"/>
          <w:szCs w:val="28"/>
          <w:highlight w:val="none"/>
          <w:u w:val="single"/>
        </w:rPr>
        <w:t xml:space="preserve"> 详见采购需求。</w:t>
      </w:r>
      <w:r>
        <w:rPr>
          <w:rFonts w:hint="eastAsia" w:ascii="仿宋_GB2312" w:eastAsia="仿宋_GB2312"/>
          <w:color w:val="auto"/>
          <w:sz w:val="28"/>
          <w:szCs w:val="28"/>
          <w:highlight w:val="none"/>
        </w:rPr>
        <w:t xml:space="preserve">  </w:t>
      </w:r>
    </w:p>
    <w:p>
      <w:pPr>
        <w:adjustRightInd w:val="0"/>
        <w:snapToGrid w:val="0"/>
        <w:spacing w:line="600" w:lineRule="exact"/>
        <w:ind w:left="422" w:right="-369" w:rightChars="-176" w:hanging="420" w:hangingChars="150"/>
        <w:rPr>
          <w:rFonts w:ascii="仿宋_GB2312" w:eastAsia="仿宋_GB2312"/>
          <w:color w:val="auto"/>
          <w:sz w:val="28"/>
          <w:szCs w:val="28"/>
          <w:highlight w:val="none"/>
        </w:rPr>
      </w:pPr>
      <w:r>
        <w:rPr>
          <w:rFonts w:hint="eastAsia" w:ascii="仿宋_GB2312" w:eastAsia="仿宋_GB2312"/>
          <w:b/>
          <w:bCs/>
          <w:color w:val="auto"/>
          <w:sz w:val="28"/>
          <w:szCs w:val="28"/>
          <w:highlight w:val="none"/>
        </w:rPr>
        <w:t>2.5其他：</w:t>
      </w:r>
      <w:r>
        <w:rPr>
          <w:rFonts w:hint="eastAsia" w:ascii="仿宋_GB2312" w:eastAsia="仿宋_GB2312"/>
          <w:color w:val="auto"/>
          <w:sz w:val="28"/>
          <w:szCs w:val="28"/>
          <w:highlight w:val="none"/>
          <w:lang w:eastAsia="zh-CN"/>
        </w:rPr>
        <w:t>☑</w:t>
      </w:r>
      <w:r>
        <w:rPr>
          <w:rFonts w:hint="eastAsia" w:ascii="仿宋_GB2312" w:eastAsia="仿宋_GB2312"/>
          <w:color w:val="auto"/>
          <w:sz w:val="28"/>
          <w:szCs w:val="28"/>
          <w:highlight w:val="none"/>
        </w:rPr>
        <w:t>安全目标如下：</w:t>
      </w:r>
      <w:r>
        <w:rPr>
          <w:rFonts w:hint="eastAsia" w:ascii="仿宋_GB2312" w:eastAsia="仿宋_GB2312"/>
          <w:color w:val="auto"/>
          <w:sz w:val="28"/>
          <w:szCs w:val="28"/>
          <w:highlight w:val="none"/>
          <w:lang w:val="en-US" w:eastAsia="zh-CN"/>
        </w:rPr>
        <w:t>满足《爆破安全规程》（GB6722-2014）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 xml:space="preserve"> </w:t>
      </w:r>
    </w:p>
    <w:p>
      <w:pPr>
        <w:adjustRightInd w:val="0"/>
        <w:snapToGrid w:val="0"/>
        <w:spacing w:line="600" w:lineRule="exact"/>
        <w:rPr>
          <w:rFonts w:hint="eastAsia" w:ascii="等线" w:hAnsi="等线" w:eastAsia="等线"/>
          <w:b/>
          <w:color w:val="auto"/>
          <w:sz w:val="32"/>
          <w:szCs w:val="32"/>
          <w:highlight w:val="none"/>
        </w:rPr>
      </w:pPr>
      <w:r>
        <w:rPr>
          <w:rFonts w:hint="eastAsia" w:ascii="等线" w:hAnsi="等线"/>
          <w:b/>
          <w:color w:val="auto"/>
          <w:sz w:val="32"/>
          <w:szCs w:val="32"/>
          <w:highlight w:val="none"/>
        </w:rPr>
        <w:t>3.供应商资格要求（须提供复印件并加盖单位公章）</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3.1参与本项目采购活动的供应商应当依法设立且满足如下要求：</w:t>
      </w:r>
    </w:p>
    <w:p>
      <w:pPr>
        <w:adjustRightInd w:val="0"/>
        <w:snapToGrid w:val="0"/>
        <w:spacing w:line="600" w:lineRule="exact"/>
        <w:rPr>
          <w:rFonts w:hint="eastAsia" w:ascii="仿宋_GB2312" w:hAnsi="仿宋_GB2312" w:eastAsia="仿宋_GB2312" w:cs="仿宋_GB2312"/>
          <w:color w:val="auto"/>
          <w:sz w:val="28"/>
          <w:szCs w:val="28"/>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（1）</w:t>
      </w:r>
      <w:r>
        <w:rPr>
          <w:rFonts w:hint="eastAsia" w:ascii="仿宋_GB2312" w:eastAsia="仿宋_GB2312"/>
          <w:color w:val="auto"/>
          <w:sz w:val="28"/>
          <w:szCs w:val="28"/>
          <w:highlight w:val="none"/>
          <w:lang w:val="zh-CN"/>
        </w:rPr>
        <w:t>供应商必须为中华人民共和国境内注册成立并合法存续的法人，</w:t>
      </w:r>
      <w:r>
        <w:rPr>
          <w:rFonts w:hint="eastAsia" w:ascii="仿宋_GB2312" w:eastAsia="仿宋_GB2312"/>
          <w:color w:val="auto"/>
          <w:sz w:val="28"/>
          <w:szCs w:val="28"/>
          <w:highlight w:val="none"/>
        </w:rPr>
        <w:t>持有事业单位登记管理部门核发的事业单位法人证书或工商行政管理部门核发的营业执照，且在有效期内。</w:t>
      </w:r>
    </w:p>
    <w:p>
      <w:pPr>
        <w:adjustRightInd w:val="0"/>
        <w:snapToGrid w:val="0"/>
        <w:spacing w:line="600" w:lineRule="exact"/>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（2）供应商应当具有</w:t>
      </w:r>
      <w:r>
        <w:rPr>
          <w:rFonts w:hint="eastAsia" w:ascii="仿宋_GB2312" w:eastAsia="仿宋_GB2312"/>
          <w:color w:val="auto"/>
          <w:sz w:val="28"/>
          <w:szCs w:val="28"/>
          <w:highlight w:val="none"/>
          <w:u w:val="single"/>
          <w:lang w:val="en-US" w:eastAsia="zh-CN"/>
        </w:rPr>
        <w:t>营业性爆破作业单位一级</w:t>
      </w:r>
      <w:r>
        <w:rPr>
          <w:rFonts w:hint="eastAsia" w:ascii="仿宋_GB2312" w:eastAsia="仿宋_GB2312"/>
          <w:color w:val="auto"/>
          <w:sz w:val="28"/>
          <w:szCs w:val="28"/>
          <w:highlight w:val="none"/>
        </w:rPr>
        <w:t>资质。</w:t>
      </w:r>
    </w:p>
    <w:p>
      <w:pPr>
        <w:adjustRightInd w:val="0"/>
        <w:snapToGrid w:val="0"/>
        <w:spacing w:line="600" w:lineRule="exact"/>
        <w:rPr>
          <w:rFonts w:hint="eastAsia" w:ascii="仿宋_GB2312" w:eastAsia="仿宋_GB2312"/>
          <w:color w:val="auto"/>
          <w:sz w:val="28"/>
          <w:szCs w:val="28"/>
          <w:highlight w:val="none"/>
          <w:lang w:val="zh-CN"/>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en-US" w:eastAsia="zh-CN"/>
        </w:rPr>
        <w:t>3</w:t>
      </w:r>
      <w:r>
        <w:rPr>
          <w:rFonts w:hint="eastAsia" w:ascii="仿宋_GB2312" w:eastAsia="仿宋_GB2312"/>
          <w:color w:val="auto"/>
          <w:sz w:val="28"/>
          <w:szCs w:val="28"/>
          <w:highlight w:val="none"/>
        </w:rPr>
        <w:t>）</w:t>
      </w:r>
      <w:r>
        <w:rPr>
          <w:rFonts w:hint="eastAsia" w:ascii="仿宋_GB2312" w:eastAsia="仿宋_GB2312"/>
          <w:color w:val="auto"/>
          <w:sz w:val="28"/>
          <w:szCs w:val="28"/>
          <w:highlight w:val="none"/>
          <w:lang w:val="zh-CN"/>
        </w:rPr>
        <w:t>202</w:t>
      </w:r>
      <w:r>
        <w:rPr>
          <w:rFonts w:hint="eastAsia" w:ascii="仿宋_GB2312" w:eastAsia="仿宋_GB2312"/>
          <w:color w:val="auto"/>
          <w:sz w:val="28"/>
          <w:szCs w:val="28"/>
          <w:highlight w:val="none"/>
          <w:lang w:val="en-US" w:eastAsia="zh-CN"/>
        </w:rPr>
        <w:t>2</w:t>
      </w:r>
      <w:r>
        <w:rPr>
          <w:rFonts w:hint="eastAsia" w:ascii="仿宋_GB2312" w:eastAsia="仿宋_GB2312"/>
          <w:color w:val="auto"/>
          <w:sz w:val="28"/>
          <w:szCs w:val="28"/>
          <w:highlight w:val="none"/>
          <w:lang w:val="zh-CN"/>
        </w:rPr>
        <w:t>年</w:t>
      </w:r>
      <w:r>
        <w:rPr>
          <w:rFonts w:hint="eastAsia" w:ascii="仿宋_GB2312" w:eastAsia="仿宋_GB2312"/>
          <w:color w:val="auto"/>
          <w:sz w:val="28"/>
          <w:szCs w:val="28"/>
          <w:highlight w:val="none"/>
          <w:lang w:val="en-US" w:eastAsia="zh-CN"/>
        </w:rPr>
        <w:t>01</w:t>
      </w:r>
      <w:r>
        <w:rPr>
          <w:rFonts w:hint="eastAsia" w:ascii="仿宋_GB2312" w:eastAsia="仿宋_GB2312"/>
          <w:color w:val="auto"/>
          <w:sz w:val="28"/>
          <w:szCs w:val="28"/>
          <w:highlight w:val="none"/>
          <w:lang w:val="zh-CN"/>
        </w:rPr>
        <w:t>月01日至今，供应商最少</w:t>
      </w:r>
      <w:r>
        <w:rPr>
          <w:rFonts w:hint="eastAsia" w:ascii="仿宋_GB2312" w:eastAsia="仿宋_GB2312"/>
          <w:color w:val="auto"/>
          <w:sz w:val="28"/>
          <w:szCs w:val="28"/>
          <w:highlight w:val="none"/>
          <w:lang w:val="en-US" w:eastAsia="zh-CN"/>
        </w:rPr>
        <w:t>承担过1</w:t>
      </w:r>
      <w:r>
        <w:rPr>
          <w:rFonts w:hint="eastAsia" w:ascii="仿宋_GB2312" w:eastAsia="仿宋_GB2312"/>
          <w:color w:val="auto"/>
          <w:sz w:val="28"/>
          <w:szCs w:val="28"/>
          <w:highlight w:val="none"/>
          <w:lang w:val="zh-CN"/>
        </w:rPr>
        <w:t>项</w:t>
      </w:r>
      <w:r>
        <w:rPr>
          <w:rFonts w:hint="eastAsia" w:ascii="仿宋_GB2312" w:eastAsia="仿宋_GB2312"/>
          <w:color w:val="auto"/>
          <w:sz w:val="28"/>
          <w:szCs w:val="28"/>
          <w:highlight w:val="none"/>
          <w:lang w:val="en-US" w:eastAsia="zh-CN"/>
        </w:rPr>
        <w:t>高度为37米高及以上的烟囱爆破</w:t>
      </w:r>
      <w:r>
        <w:rPr>
          <w:rFonts w:hint="eastAsia" w:ascii="仿宋_GB2312" w:eastAsia="仿宋_GB2312"/>
          <w:color w:val="auto"/>
          <w:sz w:val="28"/>
          <w:szCs w:val="28"/>
          <w:highlight w:val="none"/>
          <w:lang w:val="zh-CN"/>
        </w:rPr>
        <w:t>项目的</w:t>
      </w:r>
      <w:r>
        <w:rPr>
          <w:rFonts w:hint="eastAsia" w:ascii="仿宋_GB2312" w:eastAsia="仿宋_GB2312"/>
          <w:color w:val="auto"/>
          <w:sz w:val="28"/>
          <w:szCs w:val="28"/>
          <w:highlight w:val="none"/>
          <w:lang w:val="en-US" w:eastAsia="zh-CN"/>
        </w:rPr>
        <w:t>监理</w:t>
      </w:r>
      <w:r>
        <w:rPr>
          <w:rFonts w:hint="eastAsia" w:ascii="仿宋_GB2312" w:eastAsia="仿宋_GB2312"/>
          <w:color w:val="auto"/>
          <w:sz w:val="28"/>
          <w:szCs w:val="28"/>
          <w:highlight w:val="none"/>
          <w:lang w:val="zh-CN"/>
        </w:rPr>
        <w:t>业绩。（提供合同复印件证明，包括但不限于项目名称、金额及实施内容、合同盖章、</w:t>
      </w:r>
      <w:r>
        <w:rPr>
          <w:rFonts w:hint="eastAsia" w:ascii="仿宋_GB2312" w:eastAsia="仿宋_GB2312"/>
          <w:color w:val="auto"/>
          <w:sz w:val="28"/>
          <w:szCs w:val="28"/>
          <w:highlight w:val="none"/>
          <w:u w:val="none"/>
          <w:lang w:val="zh-CN"/>
        </w:rPr>
        <w:t>发票证明</w:t>
      </w:r>
      <w:r>
        <w:rPr>
          <w:rFonts w:hint="eastAsia" w:ascii="仿宋_GB2312" w:eastAsia="仿宋_GB2312"/>
          <w:color w:val="auto"/>
          <w:sz w:val="28"/>
          <w:szCs w:val="28"/>
          <w:highlight w:val="none"/>
          <w:lang w:val="zh-CN"/>
        </w:rPr>
        <w:t>、日期、验收证明，加盖单位公章）。</w:t>
      </w:r>
    </w:p>
    <w:p>
      <w:pPr>
        <w:adjustRightInd w:val="0"/>
        <w:snapToGrid w:val="0"/>
        <w:spacing w:line="600" w:lineRule="exact"/>
        <w:rPr>
          <w:rFonts w:hint="eastAsia" w:ascii="仿宋_GB2312" w:eastAsia="仿宋_GB2312"/>
          <w:color w:val="auto"/>
          <w:sz w:val="28"/>
          <w:szCs w:val="28"/>
          <w:highlight w:val="none"/>
          <w:u w:val="none"/>
          <w:lang w:val="zh-CN" w:eastAsia="zh-CN"/>
        </w:rPr>
      </w:pPr>
      <w:r>
        <w:rPr>
          <w:rFonts w:hint="eastAsia" w:ascii="仿宋_GB2312" w:hAnsi="Calibri" w:eastAsia="仿宋_GB2312"/>
          <w:color w:val="auto"/>
          <w:sz w:val="28"/>
          <w:szCs w:val="28"/>
          <w:highlight w:val="none"/>
          <w:u w:val="none"/>
          <w:lang w:val="zh-CN"/>
        </w:rPr>
        <w:sym w:font="Wingdings 2" w:char="F052"/>
      </w:r>
      <w:r>
        <w:rPr>
          <w:rFonts w:hint="eastAsia" w:ascii="仿宋_GB2312" w:eastAsia="仿宋_GB2312"/>
          <w:color w:val="auto"/>
          <w:sz w:val="28"/>
          <w:szCs w:val="28"/>
          <w:highlight w:val="none"/>
          <w:u w:val="none"/>
          <w:lang w:val="zh-CN"/>
        </w:rPr>
        <w:t>（</w:t>
      </w:r>
      <w:r>
        <w:rPr>
          <w:rFonts w:hint="eastAsia" w:ascii="仿宋_GB2312" w:eastAsia="仿宋_GB2312"/>
          <w:color w:val="auto"/>
          <w:sz w:val="28"/>
          <w:szCs w:val="28"/>
          <w:highlight w:val="none"/>
          <w:u w:val="none"/>
          <w:lang w:val="zh-CN" w:eastAsia="zh-CN"/>
        </w:rPr>
        <w:t>4</w:t>
      </w:r>
      <w:r>
        <w:rPr>
          <w:rFonts w:hint="eastAsia" w:ascii="仿宋_GB2312" w:eastAsia="仿宋_GB2312"/>
          <w:color w:val="auto"/>
          <w:sz w:val="28"/>
          <w:szCs w:val="28"/>
          <w:highlight w:val="none"/>
          <w:u w:val="none"/>
          <w:lang w:val="zh-CN"/>
        </w:rPr>
        <w:t>）</w:t>
      </w:r>
      <w:r>
        <w:rPr>
          <w:rFonts w:hint="eastAsia" w:ascii="仿宋_GB2312" w:eastAsia="仿宋_GB2312"/>
          <w:color w:val="auto"/>
          <w:sz w:val="28"/>
          <w:szCs w:val="28"/>
          <w:highlight w:val="none"/>
          <w:u w:val="none"/>
          <w:lang w:val="zh-CN" w:eastAsia="zh-CN"/>
        </w:rPr>
        <w:t>总监理工程师</w:t>
      </w:r>
      <w:r>
        <w:rPr>
          <w:rFonts w:hint="eastAsia" w:ascii="仿宋_GB2312" w:eastAsia="仿宋_GB2312"/>
          <w:color w:val="auto"/>
          <w:sz w:val="28"/>
          <w:szCs w:val="28"/>
          <w:highlight w:val="none"/>
          <w:u w:val="none"/>
          <w:lang w:val="zh-CN"/>
        </w:rPr>
        <w:t>应当具备</w:t>
      </w:r>
      <w:r>
        <w:rPr>
          <w:rFonts w:hint="eastAsia" w:ascii="仿宋_GB2312" w:eastAsia="仿宋_GB2312"/>
          <w:color w:val="auto"/>
          <w:sz w:val="28"/>
          <w:szCs w:val="28"/>
          <w:highlight w:val="none"/>
          <w:u w:val="none"/>
          <w:lang w:val="zh-CN" w:eastAsia="zh-CN"/>
        </w:rPr>
        <w:t>以下条件；</w:t>
      </w:r>
    </w:p>
    <w:p>
      <w:pPr>
        <w:adjustRightInd w:val="0"/>
        <w:snapToGrid w:val="0"/>
        <w:spacing w:line="600" w:lineRule="exact"/>
        <w:rPr>
          <w:rFonts w:hint="eastAsia" w:ascii="仿宋_GB2312" w:eastAsia="仿宋_GB2312"/>
          <w:color w:val="auto"/>
          <w:sz w:val="28"/>
          <w:szCs w:val="28"/>
          <w:highlight w:val="none"/>
          <w:u w:val="none"/>
          <w:lang w:val="zh-CN" w:eastAsia="zh-CN"/>
        </w:rPr>
      </w:pPr>
      <w:r>
        <w:rPr>
          <w:rFonts w:hint="eastAsia" w:ascii="仿宋_GB2312" w:eastAsia="仿宋_GB2312"/>
          <w:color w:val="auto"/>
          <w:sz w:val="28"/>
          <w:szCs w:val="28"/>
          <w:highlight w:val="none"/>
          <w:u w:val="none"/>
          <w:lang w:val="zh-CN" w:eastAsia="zh-CN"/>
        </w:rPr>
        <w:t>1）具有国家注册监理工程师监理资格，具有高级工程师及以上技术职称。</w:t>
      </w:r>
    </w:p>
    <w:p>
      <w:pPr>
        <w:adjustRightInd w:val="0"/>
        <w:snapToGrid w:val="0"/>
        <w:spacing w:line="600" w:lineRule="exact"/>
        <w:rPr>
          <w:rFonts w:hint="eastAsia" w:ascii="仿宋_GB2312" w:eastAsia="仿宋_GB2312" w:cs="Calibri"/>
          <w:i w:val="0"/>
          <w:iCs w:val="0"/>
          <w:caps w:val="0"/>
          <w:color w:val="auto"/>
          <w:spacing w:val="0"/>
          <w:kern w:val="2"/>
          <w:sz w:val="28"/>
          <w:szCs w:val="28"/>
          <w:highlight w:val="none"/>
          <w:u w:val="none"/>
          <w:shd w:val="clear" w:color="auto" w:fill="auto"/>
          <w:lang w:val="zh-CN" w:eastAsia="zh-CN"/>
        </w:rPr>
      </w:pPr>
      <w:r>
        <w:rPr>
          <w:rFonts w:hint="eastAsia" w:ascii="仿宋_GB2312" w:eastAsia="仿宋_GB2312"/>
          <w:color w:val="auto"/>
          <w:sz w:val="28"/>
          <w:szCs w:val="28"/>
          <w:highlight w:val="none"/>
          <w:u w:val="none"/>
          <w:lang w:val="zh-CN" w:eastAsia="zh-CN"/>
        </w:rPr>
        <w:t>2）需具备有效期内的爆破工程技术人员（高级A）爆破作业人员许可证。</w:t>
      </w:r>
    </w:p>
    <w:p>
      <w:pPr>
        <w:snapToGrid w:val="0"/>
        <w:spacing w:line="600" w:lineRule="exact"/>
        <w:rPr>
          <w:rFonts w:hint="eastAsia" w:ascii="仿宋_GB2312" w:hAnsi="Calibri" w:eastAsia="仿宋_GB2312" w:cs="Calibri"/>
          <w:color w:val="auto"/>
          <w:kern w:val="2"/>
          <w:sz w:val="28"/>
          <w:szCs w:val="28"/>
          <w:highlight w:val="none"/>
          <w:u w:val="none"/>
          <w:lang w:val="zh-CN"/>
        </w:rPr>
      </w:pPr>
      <w:r>
        <w:rPr>
          <w:rFonts w:hint="eastAsia" w:ascii="仿宋_GB2312" w:hAnsi="Calibri" w:eastAsia="仿宋_GB2312"/>
          <w:color w:val="auto"/>
          <w:sz w:val="28"/>
          <w:szCs w:val="28"/>
          <w:highlight w:val="none"/>
          <w:u w:val="none"/>
          <w:lang w:val="zh-CN"/>
        </w:rPr>
        <w:sym w:font="Wingdings 2" w:char="F052"/>
      </w:r>
      <w:r>
        <w:rPr>
          <w:rFonts w:hint="eastAsia" w:ascii="仿宋_GB2312" w:hAnsi="Calibri" w:eastAsia="仿宋_GB2312" w:cs="Calibri"/>
          <w:color w:val="auto"/>
          <w:kern w:val="2"/>
          <w:sz w:val="28"/>
          <w:szCs w:val="28"/>
          <w:highlight w:val="none"/>
          <w:u w:val="none"/>
          <w:lang w:val="zh-CN"/>
        </w:rPr>
        <w:t>（</w:t>
      </w:r>
      <w:r>
        <w:rPr>
          <w:rFonts w:hint="eastAsia" w:ascii="仿宋_GB2312" w:hAnsi="Calibri" w:eastAsia="仿宋_GB2312" w:cs="Calibri"/>
          <w:color w:val="auto"/>
          <w:kern w:val="2"/>
          <w:sz w:val="28"/>
          <w:szCs w:val="28"/>
          <w:highlight w:val="none"/>
          <w:u w:val="none"/>
          <w:lang w:val="zh-CN" w:eastAsia="zh-CN"/>
        </w:rPr>
        <w:t>5</w:t>
      </w:r>
      <w:r>
        <w:rPr>
          <w:rFonts w:hint="eastAsia" w:ascii="仿宋_GB2312" w:hAnsi="Calibri" w:eastAsia="仿宋_GB2312" w:cs="Calibri"/>
          <w:color w:val="auto"/>
          <w:kern w:val="2"/>
          <w:sz w:val="28"/>
          <w:szCs w:val="28"/>
          <w:highlight w:val="none"/>
          <w:u w:val="none"/>
          <w:lang w:val="zh-CN"/>
        </w:rPr>
        <w:t>）其他要求：</w:t>
      </w:r>
    </w:p>
    <w:p>
      <w:pPr>
        <w:pStyle w:val="32"/>
        <w:ind w:firstLine="560" w:firstLineChars="200"/>
        <w:rPr>
          <w:rFonts w:hint="eastAsia" w:ascii="仿宋_GB2312" w:hAnsi="Calibri" w:eastAsia="仿宋_GB2312" w:cs="Calibri"/>
          <w:kern w:val="2"/>
          <w:sz w:val="28"/>
          <w:szCs w:val="28"/>
          <w:highlight w:val="none"/>
          <w:u w:val="none"/>
          <w:shd w:val="clear" w:color="auto" w:fill="auto"/>
          <w:lang w:val="zh-CN"/>
        </w:rPr>
      </w:pPr>
      <w:r>
        <w:rPr>
          <w:rFonts w:hint="eastAsia" w:ascii="仿宋_GB2312" w:hAnsi="Calibri" w:eastAsia="仿宋_GB2312" w:cs="Calibri"/>
          <w:kern w:val="2"/>
          <w:szCs w:val="28"/>
          <w:highlight w:val="none"/>
          <w:u w:val="none"/>
          <w:shd w:val="clear" w:color="auto" w:fill="auto"/>
          <w:lang w:val="en-US" w:eastAsia="zh-CN"/>
        </w:rPr>
        <w:t>专业监理工程师</w:t>
      </w:r>
      <w:r>
        <w:rPr>
          <w:rFonts w:hint="eastAsia" w:ascii="仿宋_GB2312" w:hAnsi="Calibri" w:eastAsia="仿宋_GB2312" w:cs="Calibri"/>
          <w:kern w:val="2"/>
          <w:szCs w:val="28"/>
          <w:highlight w:val="none"/>
          <w:u w:val="none"/>
          <w:shd w:val="clear" w:color="auto" w:fill="auto"/>
          <w:lang w:val="zh-CN" w:eastAsia="zh-CN"/>
        </w:rPr>
        <w:t>要求：需具备有效期内的爆破工程技术人员（高级A）爆破作业人员许可证。；</w:t>
      </w:r>
      <w:r>
        <w:rPr>
          <w:rFonts w:hint="eastAsia" w:ascii="仿宋_GB2312" w:hAnsi="Calibri" w:eastAsia="仿宋_GB2312" w:cs="Calibri"/>
          <w:kern w:val="2"/>
          <w:szCs w:val="28"/>
          <w:highlight w:val="none"/>
          <w:u w:val="none"/>
          <w:shd w:val="clear" w:color="auto" w:fill="auto"/>
          <w:lang w:val="zh-CN"/>
        </w:rPr>
        <w:t xml:space="preserve"> </w:t>
      </w:r>
      <w:r>
        <w:rPr>
          <w:rFonts w:hint="eastAsia" w:ascii="仿宋_GB2312" w:hAnsi="Calibri" w:eastAsia="仿宋_GB2312" w:cs="Calibri"/>
          <w:kern w:val="2"/>
          <w:sz w:val="28"/>
          <w:szCs w:val="28"/>
          <w:highlight w:val="none"/>
          <w:u w:val="none"/>
          <w:shd w:val="clear" w:color="auto" w:fill="auto"/>
          <w:lang w:val="zh-CN"/>
        </w:rPr>
        <w:t xml:space="preserve">  </w:t>
      </w:r>
    </w:p>
    <w:p>
      <w:pPr>
        <w:pStyle w:val="32"/>
        <w:ind w:firstLine="560" w:firstLineChars="200"/>
        <w:rPr>
          <w:rFonts w:hint="eastAsia" w:ascii="仿宋_GB2312" w:hAnsi="Calibri" w:eastAsia="仿宋_GB2312" w:cs="Calibri"/>
          <w:kern w:val="2"/>
          <w:sz w:val="28"/>
          <w:szCs w:val="28"/>
          <w:highlight w:val="none"/>
          <w:u w:val="none"/>
          <w:shd w:val="clear" w:color="auto" w:fill="auto"/>
          <w:lang w:val="zh-CN" w:eastAsia="zh-CN"/>
        </w:rPr>
      </w:pPr>
      <w:r>
        <w:rPr>
          <w:rFonts w:hint="eastAsia" w:ascii="仿宋_GB2312" w:hAnsi="Calibri" w:eastAsia="仿宋_GB2312" w:cs="Calibri"/>
          <w:kern w:val="2"/>
          <w:sz w:val="28"/>
          <w:szCs w:val="28"/>
          <w:highlight w:val="none"/>
          <w:u w:val="none"/>
          <w:shd w:val="clear" w:color="auto" w:fill="auto"/>
          <w:lang w:val="en-US" w:eastAsia="zh-CN"/>
        </w:rPr>
        <w:t>备注：以上证件需在有效期内</w:t>
      </w:r>
      <w:r>
        <w:rPr>
          <w:rFonts w:hint="eastAsia" w:ascii="仿宋_GB2312" w:hAnsi="Calibri" w:eastAsia="仿宋_GB2312" w:cs="Calibri"/>
          <w:kern w:val="2"/>
          <w:sz w:val="28"/>
          <w:szCs w:val="28"/>
          <w:highlight w:val="none"/>
          <w:u w:val="none"/>
          <w:shd w:val="clear" w:color="auto" w:fill="auto"/>
          <w:lang w:val="zh-CN" w:eastAsia="zh-CN"/>
        </w:rPr>
        <w:t>。拟投入本项目人员均应为本单位职工，应提供其在本单位近三个月社保缴纳记录，以加盖社会保险基金管理中心印章的《缴费历史明细表》或《社会保险参保人员证明》为准，加盖单位公章。</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rPr>
        <w:t>3.2</w:t>
      </w:r>
      <w:r>
        <w:rPr>
          <w:rFonts w:hint="eastAsia" w:ascii="仿宋_GB2312" w:eastAsia="仿宋_GB2312"/>
          <w:color w:val="auto"/>
          <w:sz w:val="28"/>
          <w:szCs w:val="28"/>
          <w:highlight w:val="none"/>
          <w:lang w:val="zh-CN"/>
        </w:rPr>
        <w:t>供应商在响应文件提交截止日期止不得存在下列情形之一（须出具不得存在情形承诺函）：</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（1）与本项目其他供应商的单位负责人为同一人。</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（2）与本项目其他供应商存在控股关系。</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（3）与本项目其他供应商存在管理关系。</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（4）被本项目所在地省级以上行业主管部门依法暂停、取消投标或禁止参加采购活动且处于有效期内的。</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（5）处于被责令停产停业、暂扣或者吊销执照、暂扣或者吊销许可证、吊销资质证书状态。</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（6）进入清算程序，或被宣告破产，或其他丧失履约能力情形的。</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（7）在“信用中国”网站（www.creditchina.gov.cn）中被列入失信被执行人、安全生产领域严重失信惩戒名单、拖欠农民工工资失信联合惩戒对象名单。</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（8）在“信用中国”网站（www.creditchina.gov.cn）中被列入严重失信主体名单。</w:t>
      </w:r>
    </w:p>
    <w:p>
      <w:pPr>
        <w:adjustRightInd w:val="0"/>
        <w:snapToGrid w:val="0"/>
        <w:spacing w:line="600" w:lineRule="exact"/>
        <w:rPr>
          <w:rFonts w:ascii="仿宋_GB2312" w:eastAsia="仿宋_GB2312"/>
          <w:color w:val="auto"/>
          <w:sz w:val="28"/>
          <w:szCs w:val="28"/>
          <w:highlight w:val="none"/>
          <w:lang w:val="zh-CN"/>
        </w:rPr>
      </w:pPr>
      <w:r>
        <w:rPr>
          <w:rFonts w:hint="eastAsia" w:ascii="仿宋_GB2312" w:eastAsia="仿宋_GB2312"/>
          <w:color w:val="auto"/>
          <w:sz w:val="28"/>
          <w:szCs w:val="28"/>
          <w:highlight w:val="none"/>
          <w:lang w:val="zh-CN"/>
        </w:rPr>
        <w:t>（9）其他违法违纪行为，经审查认为不宜被邀请参加采购活动的。</w:t>
      </w:r>
    </w:p>
    <w:p>
      <w:pPr>
        <w:adjustRightInd w:val="0"/>
        <w:snapToGrid w:val="0"/>
        <w:spacing w:line="600" w:lineRule="exact"/>
        <w:rPr>
          <w:rFonts w:hint="eastAsia" w:ascii="仿宋_GB2312" w:eastAsia="仿宋_GB2312"/>
          <w:color w:val="auto"/>
          <w:sz w:val="28"/>
          <w:szCs w:val="28"/>
          <w:highlight w:val="none"/>
          <w:u w:val="single"/>
        </w:rPr>
      </w:pPr>
      <w:r>
        <w:rPr>
          <w:rFonts w:hint="eastAsia" w:ascii="仿宋_GB2312" w:eastAsia="仿宋_GB2312"/>
          <w:color w:val="auto"/>
          <w:sz w:val="28"/>
          <w:szCs w:val="28"/>
          <w:highlight w:val="none"/>
          <w:lang w:val="zh-CN"/>
        </w:rPr>
        <w:t>（10）其他禁止情形：</w:t>
      </w:r>
      <w:r>
        <w:rPr>
          <w:rFonts w:hint="eastAsia" w:ascii="仿宋_GB2312" w:eastAsia="仿宋_GB2312"/>
          <w:color w:val="auto"/>
          <w:sz w:val="28"/>
          <w:szCs w:val="28"/>
          <w:highlight w:val="none"/>
          <w:u w:val="single"/>
        </w:rPr>
        <w:t xml:space="preserve"> 被纳入参建企业不履约行为处理清单     </w:t>
      </w:r>
    </w:p>
    <w:p>
      <w:pPr>
        <w:pStyle w:val="621"/>
        <w:tabs>
          <w:tab w:val="left" w:pos="0"/>
        </w:tabs>
        <w:adjustRightInd w:val="0"/>
        <w:snapToGrid w:val="0"/>
        <w:spacing w:line="360" w:lineRule="auto"/>
        <w:ind w:left="420" w:firstLine="0" w:firstLineChars="0"/>
        <w:rPr>
          <w:rFonts w:hint="eastAsia" w:ascii="仿宋_GB2312" w:eastAsia="仿宋_GB2312" w:cs="Calibri"/>
          <w:color w:val="auto"/>
          <w:sz w:val="28"/>
          <w:szCs w:val="28"/>
          <w:highlight w:val="none"/>
        </w:rPr>
      </w:pPr>
      <w:r>
        <w:rPr>
          <w:rFonts w:hint="eastAsia" w:ascii="仿宋_GB2312" w:eastAsia="仿宋_GB2312" w:cs="Calibri"/>
          <w:color w:val="auto"/>
          <w:sz w:val="28"/>
          <w:szCs w:val="28"/>
          <w:highlight w:val="none"/>
        </w:rPr>
        <w:t>参建企业不履约行为处理清单如下：</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14"/>
        <w:gridCol w:w="4471"/>
        <w:gridCol w:w="28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序号</w:t>
            </w:r>
          </w:p>
        </w:tc>
        <w:tc>
          <w:tcPr>
            <w:tcW w:w="5275"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供应商名称</w:t>
            </w:r>
          </w:p>
        </w:tc>
        <w:tc>
          <w:tcPr>
            <w:tcW w:w="3321"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处理期限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66"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无</w:t>
            </w:r>
          </w:p>
        </w:tc>
        <w:tc>
          <w:tcPr>
            <w:tcW w:w="5275"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无</w:t>
            </w:r>
          </w:p>
        </w:tc>
        <w:tc>
          <w:tcPr>
            <w:tcW w:w="3321" w:type="dxa"/>
            <w:vAlign w:val="center"/>
          </w:tcPr>
          <w:p>
            <w:pPr>
              <w:pStyle w:val="622"/>
              <w:numPr>
                <w:ilvl w:val="255"/>
                <w:numId w:val="0"/>
              </w:numPr>
              <w:adjustRightInd w:val="0"/>
              <w:snapToGrid w:val="0"/>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无</w:t>
            </w:r>
          </w:p>
        </w:tc>
      </w:tr>
    </w:tbl>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3.3本次项目</w:t>
      </w:r>
      <w:r>
        <w:rPr>
          <w:rFonts w:hint="eastAsia" w:ascii="仿宋_GB2312" w:eastAsia="仿宋_GB2312"/>
          <w:color w:val="auto"/>
          <w:sz w:val="28"/>
          <w:szCs w:val="28"/>
          <w:highlight w:val="none"/>
          <w:u w:val="single"/>
        </w:rPr>
        <w:t>不接受</w:t>
      </w:r>
      <w:r>
        <w:rPr>
          <w:rFonts w:hint="eastAsia" w:ascii="仿宋_GB2312" w:eastAsia="仿宋_GB2312"/>
          <w:color w:val="auto"/>
          <w:sz w:val="28"/>
          <w:szCs w:val="28"/>
          <w:highlight w:val="none"/>
        </w:rPr>
        <w:t>联合体参加采购活动</w:t>
      </w:r>
    </w:p>
    <w:p>
      <w:pPr>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4.采购文件的获取</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4.1获取时间</w:t>
      </w:r>
    </w:p>
    <w:p>
      <w:pPr>
        <w:adjustRightInd w:val="0"/>
        <w:snapToGrid w:val="0"/>
        <w:spacing w:line="600" w:lineRule="exact"/>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从</w:t>
      </w:r>
      <w:r>
        <w:rPr>
          <w:rFonts w:hint="eastAsia" w:ascii="仿宋_GB2312" w:eastAsia="仿宋_GB2312"/>
          <w:color w:val="auto"/>
          <w:sz w:val="28"/>
          <w:szCs w:val="28"/>
          <w:highlight w:val="none"/>
          <w:u w:val="single"/>
        </w:rPr>
        <w:t>2025</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2</w:t>
      </w:r>
      <w:r>
        <w:rPr>
          <w:rFonts w:hint="eastAsia" w:ascii="仿宋_GB2312" w:eastAsia="仿宋_GB2312"/>
          <w:color w:val="auto"/>
          <w:sz w:val="28"/>
          <w:szCs w:val="28"/>
          <w:highlight w:val="none"/>
          <w:u w:val="single"/>
          <w:lang w:val="en-US" w:eastAsia="zh-CN"/>
        </w:rPr>
        <w:t>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日至</w:t>
      </w:r>
      <w:r>
        <w:rPr>
          <w:rFonts w:hint="eastAsia" w:ascii="仿宋_GB2312" w:eastAsia="仿宋_GB2312"/>
          <w:color w:val="auto"/>
          <w:sz w:val="28"/>
          <w:szCs w:val="28"/>
          <w:highlight w:val="none"/>
          <w:u w:val="single"/>
        </w:rPr>
        <w:t xml:space="preserve"> 2025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2</w:t>
      </w:r>
      <w:r>
        <w:rPr>
          <w:rFonts w:hint="eastAsia" w:ascii="仿宋_GB2312" w:eastAsia="仿宋_GB2312"/>
          <w:color w:val="auto"/>
          <w:sz w:val="28"/>
          <w:szCs w:val="28"/>
          <w:highlight w:val="none"/>
          <w:u w:val="single"/>
          <w:lang w:val="en-US"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日（北京时间）</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4.2获取方式</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在</w:t>
      </w:r>
      <w:r>
        <w:rPr>
          <w:rFonts w:hint="eastAsia" w:ascii="仿宋_GB2312" w:eastAsia="仿宋_GB2312"/>
          <w:color w:val="auto"/>
          <w:sz w:val="28"/>
          <w:szCs w:val="28"/>
          <w:highlight w:val="none"/>
          <w:u w:val="single"/>
        </w:rPr>
        <w:t>广州市净水有限公司门户网站</w:t>
      </w:r>
      <w:r>
        <w:rPr>
          <w:rFonts w:hint="eastAsia" w:ascii="仿宋_GB2312" w:eastAsia="仿宋_GB2312"/>
          <w:color w:val="auto"/>
          <w:sz w:val="28"/>
          <w:szCs w:val="28"/>
          <w:highlight w:val="none"/>
        </w:rPr>
        <w:t xml:space="preserve">下载采购文件。 </w:t>
      </w:r>
    </w:p>
    <w:p>
      <w:pPr>
        <w:numPr>
          <w:ilvl w:val="0"/>
          <w:numId w:val="24"/>
        </w:numPr>
        <w:adjustRightInd w:val="0"/>
        <w:snapToGrid w:val="0"/>
        <w:spacing w:line="600" w:lineRule="exact"/>
        <w:rPr>
          <w:rFonts w:hint="eastAsia" w:ascii="等线" w:hAnsi="等线" w:eastAsia="等线"/>
          <w:b/>
          <w:color w:val="auto"/>
          <w:sz w:val="32"/>
          <w:szCs w:val="32"/>
          <w:highlight w:val="none"/>
        </w:rPr>
      </w:pPr>
      <w:r>
        <w:rPr>
          <w:rFonts w:hint="eastAsia" w:ascii="等线" w:hAnsi="等线" w:eastAsia="等线"/>
          <w:b/>
          <w:color w:val="auto"/>
          <w:sz w:val="32"/>
          <w:szCs w:val="32"/>
          <w:highlight w:val="none"/>
        </w:rPr>
        <w:t>踏勘现场</w:t>
      </w:r>
    </w:p>
    <w:p>
      <w:pPr>
        <w:adjustRightInd w:val="0"/>
        <w:snapToGrid w:val="0"/>
        <w:spacing w:line="600" w:lineRule="exact"/>
        <w:rPr>
          <w:rFonts w:hint="eastAsia" w:ascii="等线" w:hAnsi="等线" w:eastAsia="等线"/>
          <w:b/>
          <w:color w:val="auto"/>
          <w:sz w:val="32"/>
          <w:szCs w:val="32"/>
          <w:highlight w:val="none"/>
        </w:rPr>
      </w:pPr>
      <w:r>
        <w:rPr>
          <w:rFonts w:hint="eastAsia" w:ascii="仿宋_GB2312" w:eastAsia="仿宋_GB2312"/>
          <w:color w:val="auto"/>
          <w:sz w:val="28"/>
          <w:szCs w:val="28"/>
          <w:highlight w:val="none"/>
        </w:rPr>
        <w:sym w:font="Wingdings 2" w:char="0052"/>
      </w:r>
      <w:r>
        <w:rPr>
          <w:rFonts w:hint="eastAsia" w:ascii="仿宋_GB2312" w:eastAsia="仿宋_GB2312"/>
          <w:color w:val="auto"/>
          <w:sz w:val="28"/>
          <w:szCs w:val="28"/>
          <w:highlight w:val="none"/>
        </w:rPr>
        <w:t>不组织</w:t>
      </w:r>
    </w:p>
    <w:p>
      <w:pPr>
        <w:numPr>
          <w:ilvl w:val="0"/>
          <w:numId w:val="24"/>
        </w:numPr>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响应文件的递交</w:t>
      </w:r>
    </w:p>
    <w:p>
      <w:pPr>
        <w:adjustRightInd w:val="0"/>
        <w:snapToGrid w:val="0"/>
        <w:spacing w:line="600" w:lineRule="exact"/>
        <w:ind w:left="280" w:hanging="280" w:hangingChars="100"/>
        <w:rPr>
          <w:rFonts w:ascii="仿宋_GB2312" w:eastAsia="仿宋_GB2312"/>
          <w:color w:val="auto"/>
          <w:sz w:val="28"/>
          <w:szCs w:val="28"/>
          <w:highlight w:val="none"/>
        </w:rPr>
      </w:pPr>
      <w:r>
        <w:rPr>
          <w:rFonts w:hint="eastAsia" w:ascii="仿宋_GB2312" w:eastAsia="仿宋_GB2312"/>
          <w:color w:val="auto"/>
          <w:sz w:val="28"/>
          <w:szCs w:val="28"/>
          <w:highlight w:val="none"/>
        </w:rPr>
        <w:t>6.1递交响应文件集合时间：</w:t>
      </w:r>
      <w:r>
        <w:rPr>
          <w:rFonts w:hint="eastAsia" w:ascii="仿宋_GB2312" w:eastAsia="仿宋_GB2312"/>
          <w:color w:val="auto"/>
          <w:sz w:val="28"/>
          <w:szCs w:val="28"/>
          <w:highlight w:val="none"/>
          <w:u w:val="single"/>
        </w:rPr>
        <w:t>2025</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3</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9</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3</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分至</w:t>
      </w:r>
      <w:r>
        <w:rPr>
          <w:rFonts w:hint="eastAsia" w:ascii="仿宋_GB2312" w:eastAsia="仿宋_GB2312"/>
          <w:color w:val="auto"/>
          <w:sz w:val="28"/>
          <w:szCs w:val="28"/>
          <w:highlight w:val="none"/>
          <w:u w:val="single"/>
        </w:rPr>
        <w:t>2025</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3</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1</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0</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分（北京时间）。</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6.2递交响应文件截止时间：</w:t>
      </w:r>
      <w:r>
        <w:rPr>
          <w:rFonts w:hint="eastAsia" w:ascii="仿宋_GB2312" w:eastAsia="仿宋_GB2312"/>
          <w:color w:val="auto"/>
          <w:sz w:val="28"/>
          <w:szCs w:val="28"/>
          <w:highlight w:val="none"/>
          <w:u w:val="single"/>
        </w:rPr>
        <w:t>2025</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3</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1</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时</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eastAsia="zh-CN"/>
        </w:rPr>
        <w:t>0</w:t>
      </w:r>
      <w:r>
        <w:rPr>
          <w:rFonts w:hint="eastAsia" w:ascii="仿宋_GB2312" w:eastAsia="仿宋_GB2312"/>
          <w:color w:val="auto"/>
          <w:sz w:val="28"/>
          <w:szCs w:val="28"/>
          <w:highlight w:val="none"/>
          <w:u w:val="single"/>
          <w:lang w:val="en-US" w:eastAsia="zh-CN"/>
        </w:rPr>
        <w:t>0</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分（北京时间）。</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6.3递交地址：广州市天河区临江大道501号</w:t>
      </w:r>
      <w:r>
        <w:rPr>
          <w:rFonts w:hint="eastAsia" w:ascii="仿宋_GB2312" w:eastAsia="仿宋_GB2312"/>
          <w:color w:val="auto"/>
          <w:sz w:val="28"/>
          <w:szCs w:val="28"/>
          <w:highlight w:val="none"/>
          <w:u w:val="single"/>
        </w:rPr>
        <w:t>广州市净水有限公司6楼招标部</w:t>
      </w:r>
      <w:r>
        <w:rPr>
          <w:rFonts w:hint="eastAsia" w:ascii="仿宋_GB2312" w:eastAsia="仿宋_GB2312"/>
          <w:color w:val="auto"/>
          <w:sz w:val="28"/>
          <w:szCs w:val="28"/>
          <w:highlight w:val="none"/>
        </w:rPr>
        <w:t>。</w:t>
      </w:r>
    </w:p>
    <w:p>
      <w:pPr>
        <w:pStyle w:val="19"/>
        <w:rPr>
          <w:rFonts w:hint="eastAsia" w:ascii="仿宋_GB2312" w:hAnsi="等线" w:eastAsia="仿宋_GB2312" w:cs="Times New Roman"/>
          <w:kern w:val="2"/>
          <w:sz w:val="28"/>
          <w:szCs w:val="28"/>
          <w:highlight w:val="none"/>
        </w:rPr>
      </w:pPr>
      <w:r>
        <w:rPr>
          <w:rFonts w:hint="eastAsia" w:ascii="仿宋_GB2312" w:hAnsi="等线" w:eastAsia="仿宋_GB2312" w:cs="Times New Roman"/>
          <w:kern w:val="2"/>
          <w:sz w:val="28"/>
          <w:szCs w:val="28"/>
          <w:highlight w:val="none"/>
        </w:rPr>
        <w:t>（注：授权委托人须通过“广州净水公司”微信公众号（提前）预约，填写访客预约信息。待被访部室审核员审批通过后，凭访客手机生成的“通行访客码”通行。于门岗处测温并扫码填写调查问卷，手机显示问卷“提交成功”后方可进入。</w:t>
      </w:r>
    </w:p>
    <w:p>
      <w:pPr>
        <w:pStyle w:val="19"/>
        <w:rPr>
          <w:rFonts w:hint="eastAsia" w:ascii="仿宋_GB2312" w:hAnsi="等线" w:eastAsia="仿宋_GB2312" w:cs="Times New Roman"/>
          <w:kern w:val="2"/>
          <w:sz w:val="28"/>
          <w:szCs w:val="28"/>
          <w:highlight w:val="none"/>
        </w:rPr>
      </w:pPr>
      <w:r>
        <w:rPr>
          <w:rFonts w:hint="eastAsia" w:ascii="仿宋_GB2312" w:hAnsi="等线" w:eastAsia="仿宋_GB2312" w:cs="Times New Roman"/>
          <w:kern w:val="2"/>
          <w:sz w:val="28"/>
          <w:szCs w:val="28"/>
          <w:highlight w:val="none"/>
        </w:rPr>
        <w:t>响应文件递交预约信息填写：</w:t>
      </w:r>
    </w:p>
    <w:p>
      <w:pPr>
        <w:pStyle w:val="19"/>
        <w:rPr>
          <w:rFonts w:hint="eastAsia" w:ascii="仿宋_GB2312" w:hAnsi="等线" w:eastAsia="仿宋_GB2312" w:cs="Times New Roman"/>
          <w:kern w:val="2"/>
          <w:sz w:val="28"/>
          <w:szCs w:val="28"/>
          <w:highlight w:val="none"/>
        </w:rPr>
      </w:pPr>
      <w:r>
        <w:rPr>
          <w:rFonts w:hint="eastAsia" w:ascii="仿宋_GB2312" w:hAnsi="等线" w:eastAsia="仿宋_GB2312" w:cs="Times New Roman"/>
          <w:kern w:val="2"/>
          <w:sz w:val="28"/>
          <w:szCs w:val="28"/>
          <w:highlight w:val="none"/>
        </w:rPr>
        <w:t>（1）通过“广州净水公司”微信公众号或来访时扫码进行访客预约登记。</w:t>
      </w:r>
    </w:p>
    <w:p>
      <w:pPr>
        <w:pStyle w:val="19"/>
        <w:rPr>
          <w:rFonts w:hint="eastAsia" w:ascii="仿宋_GB2312" w:hAnsi="等线" w:eastAsia="仿宋_GB2312" w:cs="Times New Roman"/>
          <w:kern w:val="2"/>
          <w:sz w:val="28"/>
          <w:szCs w:val="28"/>
          <w:highlight w:val="none"/>
        </w:rPr>
      </w:pPr>
      <w:r>
        <w:rPr>
          <w:rFonts w:hint="eastAsia" w:ascii="仿宋_GB2312" w:hAnsi="等线" w:eastAsia="仿宋_GB2312" w:cs="Times New Roman"/>
          <w:kern w:val="2"/>
          <w:sz w:val="28"/>
          <w:szCs w:val="28"/>
          <w:highlight w:val="none"/>
        </w:rPr>
        <w:t>（2）“组织”选择“公司本部”，“部门”选择“招投标合同管理部”。</w:t>
      </w:r>
    </w:p>
    <w:p>
      <w:pPr>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（3）“被访人员”选择“招标部”，“手机号”：“62315524”。 </w:t>
      </w:r>
    </w:p>
    <w:p>
      <w:pPr>
        <w:pStyle w:val="19"/>
        <w:rPr>
          <w:rFonts w:hint="eastAsia" w:ascii="仿宋_GB2312" w:hAnsi="等线" w:eastAsia="仿宋_GB2312" w:cs="Times New Roman"/>
          <w:kern w:val="2"/>
          <w:sz w:val="28"/>
          <w:szCs w:val="28"/>
          <w:highlight w:val="none"/>
        </w:rPr>
      </w:pPr>
      <w:r>
        <w:rPr>
          <w:rFonts w:hint="eastAsia" w:ascii="仿宋_GB2312" w:hAnsi="等线" w:eastAsia="仿宋_GB2312" w:cs="Times New Roman"/>
          <w:kern w:val="2"/>
          <w:sz w:val="28"/>
          <w:szCs w:val="28"/>
          <w:highlight w:val="none"/>
        </w:rPr>
        <w:t>（4）“详细描述”：找XX，递交XX项目响应文件。</w:t>
      </w:r>
    </w:p>
    <w:p>
      <w:pPr>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7.其他</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7.1发布公告的其他媒介</w:t>
      </w:r>
    </w:p>
    <w:p>
      <w:pPr>
        <w:adjustRightInd w:val="0"/>
        <w:snapToGrid w:val="0"/>
        <w:spacing w:after="0" w:line="240" w:lineRule="auto"/>
        <w:rPr>
          <w:rFonts w:hint="eastAsia" w:ascii="仿宋_GB2312" w:hAnsi="等线" w:eastAsia="仿宋_GB2312" w:cs="Times New Roman"/>
          <w:color w:val="auto"/>
          <w:sz w:val="28"/>
          <w:szCs w:val="28"/>
          <w:highlight w:val="none"/>
        </w:rPr>
      </w:pPr>
      <w:r>
        <w:rPr>
          <w:rFonts w:hint="eastAsia" w:ascii="仿宋_GB2312" w:hAnsi="等线" w:eastAsia="仿宋_GB2312" w:cs="Times New Roman"/>
          <w:color w:val="auto"/>
          <w:sz w:val="28"/>
          <w:szCs w:val="28"/>
          <w:highlight w:val="none"/>
        </w:rPr>
        <w:t>本项目采购公告（采购邀请书）、公告补充及修改同步在广州净水公司门户网站及阳光平台上发布。本公告在各媒体发布的文本如有不同之处，以广州净水公司门户网站为准。</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7.2响应文件递交注意事项</w:t>
      </w:r>
    </w:p>
    <w:p>
      <w:pPr>
        <w:adjustRightInd w:val="0"/>
        <w:snapToGrid w:val="0"/>
        <w:spacing w:after="0" w:line="240" w:lineRule="auto"/>
        <w:rPr>
          <w:rFonts w:hint="eastAsia" w:ascii="仿宋_GB2312" w:hAnsi="等线" w:eastAsia="仿宋_GB2312" w:cs="Times New Roman"/>
          <w:color w:val="auto"/>
          <w:sz w:val="28"/>
          <w:szCs w:val="28"/>
          <w:highlight w:val="none"/>
        </w:rPr>
      </w:pPr>
      <w:r>
        <w:rPr>
          <w:rFonts w:hint="eastAsia" w:ascii="仿宋_GB2312" w:hAnsi="等线" w:eastAsia="仿宋_GB2312" w:cs="Times New Roman"/>
          <w:color w:val="auto"/>
          <w:sz w:val="28"/>
          <w:szCs w:val="28"/>
          <w:highlight w:val="none"/>
        </w:rPr>
        <w:t>（1）逾期送达的、未送达指定地点的响应文件，采购人将予以拒收。</w:t>
      </w:r>
    </w:p>
    <w:p>
      <w:pPr>
        <w:adjustRightInd w:val="0"/>
        <w:snapToGrid w:val="0"/>
        <w:spacing w:after="0" w:line="240" w:lineRule="auto"/>
        <w:rPr>
          <w:rFonts w:hint="eastAsia" w:ascii="仿宋_GB2312" w:hAnsi="等线" w:eastAsia="仿宋_GB2312" w:cs="Times New Roman"/>
          <w:color w:val="auto"/>
          <w:sz w:val="28"/>
          <w:szCs w:val="28"/>
          <w:highlight w:val="none"/>
        </w:rPr>
      </w:pPr>
      <w:r>
        <w:rPr>
          <w:rFonts w:hint="eastAsia" w:ascii="仿宋_GB2312" w:hAnsi="等线" w:eastAsia="仿宋_GB2312" w:cs="Times New Roman"/>
          <w:color w:val="auto"/>
          <w:sz w:val="28"/>
          <w:szCs w:val="28"/>
          <w:highlight w:val="none"/>
        </w:rPr>
        <w:t>（2）不按照采购文件要求密封的响应文件，采购人将予以拒收。</w:t>
      </w:r>
    </w:p>
    <w:p>
      <w:pPr>
        <w:shd w:val="clear" w:color="auto" w:fill="FFFFFF"/>
        <w:adjustRightInd w:val="0"/>
        <w:snapToGrid w:val="0"/>
        <w:spacing w:line="600" w:lineRule="exact"/>
        <w:rPr>
          <w:rFonts w:hint="eastAsia" w:ascii="等线" w:hAnsi="等线"/>
          <w:b/>
          <w:color w:val="auto"/>
          <w:sz w:val="32"/>
          <w:szCs w:val="32"/>
          <w:highlight w:val="none"/>
        </w:rPr>
      </w:pPr>
      <w:r>
        <w:rPr>
          <w:rFonts w:hint="eastAsia" w:ascii="等线" w:hAnsi="等线"/>
          <w:b/>
          <w:color w:val="auto"/>
          <w:sz w:val="32"/>
          <w:szCs w:val="32"/>
          <w:highlight w:val="none"/>
        </w:rPr>
        <w:t>8</w:t>
      </w:r>
      <w:r>
        <w:rPr>
          <w:rFonts w:ascii="等线" w:hAnsi="等线"/>
          <w:b/>
          <w:color w:val="auto"/>
          <w:sz w:val="32"/>
          <w:szCs w:val="32"/>
          <w:highlight w:val="none"/>
        </w:rPr>
        <w:t>.</w:t>
      </w:r>
      <w:r>
        <w:rPr>
          <w:rFonts w:hint="eastAsia" w:ascii="等线" w:hAnsi="等线"/>
          <w:b/>
          <w:color w:val="auto"/>
          <w:sz w:val="32"/>
          <w:szCs w:val="32"/>
          <w:highlight w:val="none"/>
        </w:rPr>
        <w:t>异议及投诉的受理</w:t>
      </w:r>
    </w:p>
    <w:p>
      <w:pPr>
        <w:shd w:val="clear" w:color="auto" w:fill="FFFFFF"/>
        <w:adjustRightInd w:val="0"/>
        <w:snapToGrid w:val="0"/>
        <w:spacing w:line="600" w:lineRule="exact"/>
        <w:ind w:left="1" w:firstLine="618" w:firstLineChars="221"/>
        <w:rPr>
          <w:rFonts w:hint="eastAsia" w:ascii="仿宋_GB2312" w:hAnsi="仿宋" w:eastAsia="仿宋_GB2312"/>
          <w:color w:val="auto"/>
          <w:sz w:val="28"/>
          <w:szCs w:val="28"/>
          <w:highlight w:val="none"/>
        </w:rPr>
      </w:pPr>
      <w:r>
        <w:rPr>
          <w:rFonts w:ascii="仿宋_GB2312" w:hAnsi="仿宋" w:eastAsia="仿宋_GB2312"/>
          <w:color w:val="auto"/>
          <w:sz w:val="28"/>
          <w:szCs w:val="28"/>
          <w:highlight w:val="none"/>
        </w:rPr>
        <w:t>潜在供应商或利害关系人对本</w:t>
      </w:r>
      <w:r>
        <w:rPr>
          <w:rFonts w:hint="eastAsia" w:ascii="仿宋_GB2312" w:hAnsi="仿宋" w:eastAsia="仿宋_GB2312"/>
          <w:color w:val="auto"/>
          <w:sz w:val="28"/>
          <w:szCs w:val="28"/>
          <w:highlight w:val="none"/>
        </w:rPr>
        <w:t>采购</w:t>
      </w:r>
      <w:r>
        <w:rPr>
          <w:rFonts w:ascii="仿宋_GB2312" w:hAnsi="仿宋" w:eastAsia="仿宋_GB2312"/>
          <w:color w:val="auto"/>
          <w:sz w:val="28"/>
          <w:szCs w:val="28"/>
          <w:highlight w:val="none"/>
        </w:rPr>
        <w:t>公告及采购文件中任何违法及不公平内容有异议的，可以在提交</w:t>
      </w:r>
      <w:r>
        <w:rPr>
          <w:rFonts w:hint="eastAsia" w:ascii="仿宋_GB2312" w:hAnsi="仿宋" w:eastAsia="仿宋_GB2312"/>
          <w:color w:val="auto"/>
          <w:sz w:val="28"/>
          <w:szCs w:val="28"/>
          <w:highlight w:val="none"/>
        </w:rPr>
        <w:t>响应文件截止之日</w:t>
      </w:r>
      <w:r>
        <w:rPr>
          <w:rFonts w:hint="eastAsia" w:ascii="仿宋_GB2312" w:hAnsi="仿宋" w:eastAsia="仿宋_GB2312"/>
          <w:color w:val="auto"/>
          <w:sz w:val="28"/>
          <w:szCs w:val="28"/>
          <w:highlight w:val="none"/>
          <w:u w:val="single"/>
        </w:rPr>
        <w:t>2</w:t>
      </w:r>
      <w:r>
        <w:rPr>
          <w:rFonts w:hint="eastAsia" w:ascii="仿宋_GB2312" w:hAnsi="仿宋" w:eastAsia="仿宋_GB2312"/>
          <w:color w:val="auto"/>
          <w:sz w:val="28"/>
          <w:szCs w:val="28"/>
          <w:highlight w:val="none"/>
        </w:rPr>
        <w:t>个工作日前</w:t>
      </w:r>
      <w:r>
        <w:rPr>
          <w:rFonts w:ascii="仿宋_GB2312" w:hAnsi="仿宋" w:eastAsia="仿宋_GB2312"/>
          <w:color w:val="auto"/>
          <w:sz w:val="28"/>
          <w:szCs w:val="28"/>
          <w:highlight w:val="none"/>
        </w:rPr>
        <w:t>书面提出异议</w:t>
      </w:r>
      <w:r>
        <w:rPr>
          <w:rFonts w:hint="eastAsia" w:ascii="仿宋_GB2312" w:hAnsi="仿宋" w:eastAsia="仿宋_GB2312"/>
          <w:color w:val="auto"/>
          <w:sz w:val="28"/>
          <w:szCs w:val="28"/>
          <w:highlight w:val="none"/>
        </w:rPr>
        <w:t>，并由授权人亲自递交至净水公司</w:t>
      </w:r>
      <w:r>
        <w:rPr>
          <w:rFonts w:ascii="仿宋_GB2312" w:hAnsi="仿宋" w:eastAsia="仿宋_GB2312"/>
          <w:color w:val="auto"/>
          <w:sz w:val="28"/>
          <w:szCs w:val="28"/>
          <w:highlight w:val="none"/>
        </w:rPr>
        <w:t>。如潜在响应人或其他利害关系人对采购人答复仍持有异议的，可按相关规定进行投诉。</w:t>
      </w:r>
    </w:p>
    <w:p>
      <w:pPr>
        <w:shd w:val="clear" w:color="auto" w:fill="FFFFFF"/>
        <w:adjustRightInd w:val="0"/>
        <w:snapToGrid w:val="0"/>
        <w:spacing w:line="600" w:lineRule="exact"/>
        <w:ind w:left="1" w:firstLine="480"/>
        <w:rPr>
          <w:rFonts w:hint="eastAsia" w:ascii="仿宋_GB2312" w:hAnsi="仿宋" w:eastAsia="仿宋_GB2312"/>
          <w:color w:val="auto"/>
          <w:sz w:val="28"/>
          <w:szCs w:val="28"/>
          <w:highlight w:val="none"/>
        </w:rPr>
      </w:pPr>
      <w:r>
        <w:rPr>
          <w:rFonts w:ascii="仿宋_GB2312" w:hAnsi="仿宋" w:eastAsia="仿宋_GB2312"/>
          <w:color w:val="auto"/>
          <w:sz w:val="28"/>
          <w:szCs w:val="28"/>
          <w:highlight w:val="none"/>
        </w:rPr>
        <w:t>异议受理部门：</w:t>
      </w:r>
      <w:r>
        <w:rPr>
          <w:rFonts w:hint="eastAsia" w:ascii="仿宋_GB2312" w:hAnsi="仿宋" w:eastAsia="仿宋_GB2312"/>
          <w:color w:val="auto"/>
          <w:sz w:val="28"/>
          <w:szCs w:val="28"/>
          <w:highlight w:val="none"/>
          <w:u w:val="single"/>
        </w:rPr>
        <w:t>广州市净水有限公司招标部</w:t>
      </w:r>
      <w:r>
        <w:rPr>
          <w:rFonts w:ascii="仿宋_GB2312" w:hAnsi="仿宋" w:eastAsia="仿宋_GB2312"/>
          <w:color w:val="auto"/>
          <w:sz w:val="28"/>
          <w:szCs w:val="28"/>
          <w:highlight w:val="none"/>
        </w:rPr>
        <w:t>，电话：</w:t>
      </w:r>
      <w:r>
        <w:rPr>
          <w:rFonts w:hint="eastAsia" w:ascii="仿宋_GB2312" w:hAnsi="仿宋" w:eastAsia="仿宋_GB2312"/>
          <w:color w:val="auto"/>
          <w:sz w:val="28"/>
          <w:szCs w:val="28"/>
          <w:highlight w:val="none"/>
          <w:u w:val="single"/>
        </w:rPr>
        <w:t>38890841</w:t>
      </w:r>
      <w:r>
        <w:rPr>
          <w:rFonts w:ascii="仿宋_GB2312" w:hAnsi="仿宋" w:eastAsia="仿宋_GB2312"/>
          <w:color w:val="auto"/>
          <w:sz w:val="28"/>
          <w:szCs w:val="28"/>
          <w:highlight w:val="none"/>
        </w:rPr>
        <w:t>。</w:t>
      </w:r>
    </w:p>
    <w:p>
      <w:pPr>
        <w:shd w:val="clear" w:color="auto" w:fill="FFFFFF"/>
        <w:adjustRightInd w:val="0"/>
        <w:snapToGrid w:val="0"/>
        <w:spacing w:line="600" w:lineRule="exact"/>
        <w:ind w:left="1" w:firstLine="480"/>
        <w:rPr>
          <w:rFonts w:hint="eastAsia" w:ascii="仿宋_GB2312" w:hAnsi="仿宋" w:eastAsia="仿宋_GB2312"/>
          <w:color w:val="auto"/>
          <w:sz w:val="28"/>
          <w:szCs w:val="28"/>
          <w:highlight w:val="none"/>
        </w:rPr>
      </w:pPr>
      <w:r>
        <w:rPr>
          <w:rFonts w:ascii="仿宋_GB2312" w:hAnsi="仿宋" w:eastAsia="仿宋_GB2312"/>
          <w:color w:val="auto"/>
          <w:sz w:val="28"/>
          <w:szCs w:val="28"/>
          <w:highlight w:val="none"/>
        </w:rPr>
        <w:t>地址：</w:t>
      </w:r>
      <w:r>
        <w:rPr>
          <w:rFonts w:hint="eastAsia" w:ascii="仿宋_GB2312" w:hAnsi="仿宋" w:eastAsia="仿宋_GB2312"/>
          <w:color w:val="auto"/>
          <w:sz w:val="28"/>
          <w:szCs w:val="28"/>
          <w:highlight w:val="none"/>
          <w:u w:val="single"/>
        </w:rPr>
        <w:t>广州市天河区临江大道501号广州市净水有限公司</w:t>
      </w:r>
      <w:r>
        <w:rPr>
          <w:rFonts w:hint="eastAsia" w:ascii="仿宋_GB2312" w:hAnsi="仿宋" w:eastAsia="仿宋_GB2312"/>
          <w:color w:val="auto"/>
          <w:sz w:val="28"/>
          <w:szCs w:val="28"/>
          <w:highlight w:val="none"/>
        </w:rPr>
        <w:t xml:space="preserve"> </w:t>
      </w:r>
      <w:r>
        <w:rPr>
          <w:rFonts w:ascii="仿宋_GB2312" w:hAnsi="仿宋" w:eastAsia="仿宋_GB2312"/>
          <w:color w:val="auto"/>
          <w:sz w:val="28"/>
          <w:szCs w:val="28"/>
          <w:highlight w:val="none"/>
        </w:rPr>
        <w:t>。</w:t>
      </w:r>
    </w:p>
    <w:p>
      <w:pPr>
        <w:adjustRightInd w:val="0"/>
        <w:snapToGrid w:val="0"/>
        <w:spacing w:before="156" w:beforeLines="50" w:after="156" w:afterLines="50" w:line="600" w:lineRule="exact"/>
        <w:rPr>
          <w:rFonts w:hint="eastAsia" w:ascii="等线" w:hAnsi="等线"/>
          <w:b/>
          <w:color w:val="auto"/>
          <w:sz w:val="32"/>
          <w:szCs w:val="32"/>
          <w:highlight w:val="none"/>
        </w:rPr>
      </w:pPr>
    </w:p>
    <w:p>
      <w:pPr>
        <w:adjustRightInd w:val="0"/>
        <w:snapToGrid w:val="0"/>
        <w:spacing w:before="156" w:beforeLines="50" w:after="156" w:afterLines="50" w:line="600" w:lineRule="exact"/>
        <w:rPr>
          <w:rFonts w:hint="eastAsia" w:ascii="等线" w:hAnsi="等线"/>
          <w:b/>
          <w:color w:val="auto"/>
          <w:sz w:val="32"/>
          <w:szCs w:val="32"/>
          <w:highlight w:val="none"/>
        </w:rPr>
      </w:pPr>
    </w:p>
    <w:p>
      <w:pPr>
        <w:adjustRightInd w:val="0"/>
        <w:snapToGrid w:val="0"/>
        <w:spacing w:before="156" w:beforeLines="50" w:after="156" w:afterLines="50" w:line="600" w:lineRule="exact"/>
        <w:rPr>
          <w:rFonts w:hint="eastAsia" w:ascii="等线" w:hAnsi="等线"/>
          <w:b/>
          <w:color w:val="auto"/>
          <w:sz w:val="32"/>
          <w:szCs w:val="32"/>
          <w:highlight w:val="none"/>
        </w:rPr>
      </w:pPr>
    </w:p>
    <w:p>
      <w:pPr>
        <w:adjustRightInd w:val="0"/>
        <w:snapToGrid w:val="0"/>
        <w:spacing w:before="156" w:beforeLines="50" w:after="156" w:afterLines="50" w:line="600" w:lineRule="exact"/>
        <w:rPr>
          <w:rFonts w:hint="eastAsia" w:ascii="等线" w:hAnsi="等线"/>
          <w:b/>
          <w:color w:val="auto"/>
          <w:sz w:val="32"/>
          <w:szCs w:val="32"/>
          <w:highlight w:val="none"/>
        </w:rPr>
      </w:pPr>
      <w:r>
        <w:rPr>
          <w:rFonts w:hint="eastAsia" w:ascii="等线" w:hAnsi="等线"/>
          <w:b/>
          <w:color w:val="auto"/>
          <w:sz w:val="32"/>
          <w:szCs w:val="32"/>
          <w:highlight w:val="none"/>
        </w:rPr>
        <w:t>9.联系方式</w:t>
      </w:r>
    </w:p>
    <w:tbl>
      <w:tblPr>
        <w:tblStyle w:val="86"/>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512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widowControl w:val="0"/>
              <w:adjustRightInd w:val="0"/>
              <w:snapToGrid w:val="0"/>
              <w:spacing w:line="600" w:lineRule="exact"/>
              <w:jc w:val="left"/>
              <w:textAlignment w:val="baseline"/>
              <w:rPr>
                <w:rFonts w:ascii="仿宋_GB2312" w:eastAsia="仿宋_GB2312"/>
                <w:color w:val="auto"/>
                <w:sz w:val="28"/>
                <w:szCs w:val="28"/>
                <w:highlight w:val="none"/>
              </w:rPr>
            </w:pPr>
            <w:r>
              <w:rPr>
                <w:rFonts w:ascii="仿宋_GB2312" w:eastAsia="仿宋_GB2312"/>
                <w:color w:val="auto"/>
                <w:sz w:val="28"/>
                <w:szCs w:val="28"/>
                <w:highlight w:val="none"/>
              </w:rPr>
              <w:t>采购人</w:t>
            </w:r>
            <w:r>
              <w:rPr>
                <w:rFonts w:hint="eastAsia" w:ascii="仿宋_GB2312" w:eastAsia="仿宋_GB2312"/>
                <w:color w:val="auto"/>
                <w:sz w:val="28"/>
                <w:szCs w:val="28"/>
                <w:highlight w:val="none"/>
              </w:rPr>
              <w:t>：广州市净水有限公司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widowControl w:val="0"/>
              <w:adjustRightInd w:val="0"/>
              <w:snapToGrid w:val="0"/>
              <w:spacing w:line="600" w:lineRule="exact"/>
              <w:jc w:val="left"/>
              <w:textAlignment w:val="baseline"/>
              <w:rPr>
                <w:rFonts w:ascii="仿宋_GB2312" w:eastAsia="仿宋_GB2312"/>
                <w:color w:val="auto"/>
                <w:sz w:val="28"/>
                <w:szCs w:val="28"/>
                <w:highlight w:val="none"/>
              </w:rPr>
            </w:pPr>
            <w:r>
              <w:rPr>
                <w:rFonts w:ascii="仿宋_GB2312" w:eastAsia="仿宋_GB2312"/>
                <w:color w:val="auto"/>
                <w:sz w:val="28"/>
                <w:szCs w:val="28"/>
                <w:highlight w:val="none"/>
              </w:rPr>
              <w:t>地</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址</w:t>
            </w:r>
            <w:r>
              <w:rPr>
                <w:rFonts w:hint="eastAsia" w:ascii="仿宋_GB2312" w:eastAsia="仿宋_GB2312"/>
                <w:color w:val="auto"/>
                <w:sz w:val="28"/>
                <w:szCs w:val="28"/>
                <w:highlight w:val="none"/>
              </w:rPr>
              <w:t>：广州市天河区临江大道501号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0" w:hRule="atLeast"/>
        </w:trPr>
        <w:tc>
          <w:tcPr>
            <w:tcW w:w="5121" w:type="dxa"/>
            <w:noWrap w:val="0"/>
            <w:vAlign w:val="top"/>
          </w:tcPr>
          <w:p>
            <w:pPr>
              <w:widowControl w:val="0"/>
              <w:adjustRightInd w:val="0"/>
              <w:snapToGrid w:val="0"/>
              <w:spacing w:line="600" w:lineRule="exact"/>
              <w:jc w:val="left"/>
              <w:textAlignment w:val="baseline"/>
              <w:rPr>
                <w:rFonts w:ascii="仿宋_GB2312" w:eastAsia="仿宋_GB2312"/>
                <w:color w:val="auto"/>
                <w:sz w:val="28"/>
                <w:szCs w:val="28"/>
                <w:highlight w:val="none"/>
              </w:rPr>
            </w:pPr>
            <w:r>
              <w:rPr>
                <w:rFonts w:ascii="仿宋_GB2312" w:eastAsia="仿宋_GB2312"/>
                <w:color w:val="auto"/>
                <w:sz w:val="28"/>
                <w:szCs w:val="28"/>
                <w:highlight w:val="none"/>
              </w:rPr>
              <w:t>联系人</w:t>
            </w:r>
            <w:r>
              <w:rPr>
                <w:rFonts w:hint="eastAsia" w:ascii="仿宋_GB2312" w:eastAsia="仿宋_GB2312"/>
                <w:color w:val="auto"/>
                <w:sz w:val="28"/>
                <w:szCs w:val="28"/>
                <w:highlight w:val="none"/>
              </w:rPr>
              <w:t>：黄工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widowControl w:val="0"/>
              <w:adjustRightInd w:val="0"/>
              <w:snapToGrid w:val="0"/>
              <w:spacing w:line="600" w:lineRule="exact"/>
              <w:jc w:val="left"/>
              <w:textAlignment w:val="baseline"/>
              <w:rPr>
                <w:rFonts w:ascii="仿宋_GB2312" w:eastAsia="仿宋_GB2312"/>
                <w:color w:val="auto"/>
                <w:sz w:val="28"/>
                <w:szCs w:val="28"/>
                <w:highlight w:val="none"/>
              </w:rPr>
            </w:pPr>
            <w:r>
              <w:rPr>
                <w:rFonts w:ascii="仿宋_GB2312" w:eastAsia="仿宋_GB2312"/>
                <w:color w:val="auto"/>
                <w:sz w:val="28"/>
                <w:szCs w:val="28"/>
                <w:highlight w:val="none"/>
              </w:rPr>
              <w:t>电</w:t>
            </w:r>
            <w:r>
              <w:rPr>
                <w:rFonts w:hint="eastAsia" w:ascii="仿宋_GB2312" w:eastAsia="仿宋_GB2312"/>
                <w:color w:val="auto"/>
                <w:sz w:val="28"/>
                <w:szCs w:val="28"/>
                <w:highlight w:val="none"/>
              </w:rPr>
              <w:t xml:space="preserve">  </w:t>
            </w:r>
            <w:r>
              <w:rPr>
                <w:rFonts w:ascii="仿宋_GB2312" w:eastAsia="仿宋_GB2312"/>
                <w:color w:val="auto"/>
                <w:sz w:val="28"/>
                <w:szCs w:val="28"/>
                <w:highlight w:val="none"/>
              </w:rPr>
              <w:t>话</w:t>
            </w:r>
            <w:r>
              <w:rPr>
                <w:rFonts w:hint="eastAsia" w:ascii="仿宋_GB2312" w:eastAsia="仿宋_GB2312"/>
                <w:color w:val="auto"/>
                <w:sz w:val="28"/>
                <w:szCs w:val="28"/>
                <w:highlight w:val="none"/>
              </w:rPr>
              <w:t>：020-38890841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121" w:type="dxa"/>
            <w:noWrap w:val="0"/>
            <w:vAlign w:val="top"/>
          </w:tcPr>
          <w:p>
            <w:pPr>
              <w:widowControl w:val="0"/>
              <w:adjustRightInd w:val="0"/>
              <w:snapToGrid w:val="0"/>
              <w:spacing w:line="600" w:lineRule="exact"/>
              <w:ind w:firstLine="1960" w:firstLineChars="700"/>
              <w:jc w:val="left"/>
              <w:textAlignment w:val="baseline"/>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2025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6</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24</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w:t>
            </w:r>
          </w:p>
        </w:tc>
      </w:tr>
    </w:tbl>
    <w:p>
      <w:pPr>
        <w:pStyle w:val="84"/>
        <w:ind w:firstLine="560"/>
        <w:rPr>
          <w:rFonts w:ascii="仿宋_GB2312" w:hAnsi="等线 Light" w:eastAsia="仿宋_GB2312"/>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adjustRightInd w:val="0"/>
        <w:snapToGrid w:val="0"/>
        <w:spacing w:line="600" w:lineRule="exact"/>
        <w:rPr>
          <w:rFonts w:hint="eastAsia" w:ascii="仿宋_GB2312" w:hAnsi="等线 Light" w:eastAsia="仿宋_GB2312"/>
          <w:color w:val="auto"/>
          <w:sz w:val="28"/>
          <w:szCs w:val="28"/>
          <w:highlight w:val="none"/>
        </w:rPr>
      </w:pPr>
    </w:p>
    <w:p>
      <w:pPr>
        <w:pStyle w:val="2"/>
        <w:rPr>
          <w:rFonts w:hint="eastAsia"/>
          <w:color w:val="auto"/>
          <w:highlight w:val="none"/>
        </w:rPr>
      </w:pPr>
      <w:bookmarkStart w:id="13" w:name="_Toc10891"/>
    </w:p>
    <w:p>
      <w:pPr>
        <w:rPr>
          <w:color w:val="auto"/>
          <w:highlight w:val="none"/>
        </w:rPr>
      </w:pPr>
    </w:p>
    <w:p>
      <w:pPr>
        <w:rPr>
          <w:color w:val="auto"/>
          <w:highlight w:val="none"/>
        </w:rPr>
      </w:pPr>
    </w:p>
    <w:p>
      <w:pPr>
        <w:rPr>
          <w:color w:val="auto"/>
          <w:highlight w:val="none"/>
        </w:rPr>
      </w:pPr>
    </w:p>
    <w:p>
      <w:pPr>
        <w:pStyle w:val="19"/>
        <w:rPr>
          <w:highlight w:val="none"/>
        </w:rPr>
      </w:pPr>
    </w:p>
    <w:p>
      <w:pPr>
        <w:rPr>
          <w:color w:val="auto"/>
          <w:highlight w:val="none"/>
        </w:rPr>
      </w:pPr>
    </w:p>
    <w:p>
      <w:pPr>
        <w:pStyle w:val="186"/>
        <w:ind w:firstLine="640"/>
        <w:rPr>
          <w:color w:val="auto"/>
          <w:highlight w:val="none"/>
        </w:rPr>
      </w:pPr>
    </w:p>
    <w:p>
      <w:pPr>
        <w:pStyle w:val="186"/>
        <w:ind w:firstLine="640"/>
        <w:rPr>
          <w:color w:val="auto"/>
          <w:highlight w:val="none"/>
        </w:rPr>
      </w:pPr>
    </w:p>
    <w:p>
      <w:pPr>
        <w:pStyle w:val="186"/>
        <w:ind w:firstLine="640"/>
        <w:rPr>
          <w:color w:val="auto"/>
          <w:highlight w:val="none"/>
        </w:rPr>
      </w:pPr>
    </w:p>
    <w:p>
      <w:pPr>
        <w:pStyle w:val="2"/>
        <w:rPr>
          <w:rFonts w:hint="eastAsia"/>
          <w:color w:val="auto"/>
          <w:highlight w:val="none"/>
        </w:rPr>
      </w:pPr>
      <w:r>
        <w:rPr>
          <w:rFonts w:hint="eastAsia" w:ascii="方正小标宋简体" w:hAnsi="方正小标宋简体" w:eastAsia="方正小标宋简体" w:cs="方正小标宋简体"/>
          <w:color w:val="auto"/>
          <w:sz w:val="40"/>
          <w:szCs w:val="40"/>
          <w:highlight w:val="none"/>
        </w:rPr>
        <mc:AlternateContent>
          <mc:Choice Requires="wps">
            <w:drawing>
              <wp:anchor distT="0" distB="0" distL="114300" distR="114300" simplePos="0" relativeHeight="251664384" behindDoc="0" locked="0" layoutInCell="1" allowOverlap="1">
                <wp:simplePos x="0" y="0"/>
                <wp:positionH relativeFrom="column">
                  <wp:posOffset>2348230</wp:posOffset>
                </wp:positionH>
                <wp:positionV relativeFrom="paragraph">
                  <wp:posOffset>558165</wp:posOffset>
                </wp:positionV>
                <wp:extent cx="958850" cy="0"/>
                <wp:effectExtent l="0" t="4445" r="0" b="5080"/>
                <wp:wrapNone/>
                <wp:docPr id="13" name="自选图形 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5" o:spid="_x0000_s1026" o:spt="32" type="#_x0000_t32" style="position:absolute;left:0pt;margin-left:184.9pt;margin-top:43.95pt;height:0pt;width:75.5pt;z-index:251664384;mso-width-relative:page;mso-height-relative:page;" filled="f" stroked="t" coordsize="21600,21600" o:gfxdata="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2tjZwdYAAAAJAQAADwAAAAAAAAABACAAAAAiAAAAZHJzL2Rvd25yZXYueG1sUEsB&#10;AhQAFAAAAAgAh07iQAtzSl73AQAA8QMAAA4AAAAAAAAAAQAgAAAAJQEAAGRycy9lMm9Eb2MueG1s&#10;UEsFBgAAAAAGAAYAWQEAAI4FAAAAAA==&#10;">
                <v:fill on="f" focussize="0,0"/>
                <v:stroke color="#000000" joinstyle="round"/>
                <v:imagedata o:title=""/>
                <o:lock v:ext="edit" aspectratio="f"/>
              </v:shape>
            </w:pict>
          </mc:Fallback>
        </mc:AlternateContent>
      </w:r>
      <w:bookmarkStart w:id="14" w:name="_Toc23749"/>
      <w:bookmarkStart w:id="15" w:name="_Toc2331"/>
      <w:bookmarkStart w:id="16" w:name="_Toc16557"/>
      <w:bookmarkStart w:id="17" w:name="_Toc16705"/>
      <w:bookmarkStart w:id="18" w:name="_Toc7340"/>
      <w:bookmarkStart w:id="19" w:name="_Toc2324"/>
      <w:bookmarkStart w:id="20" w:name="_Toc9448"/>
      <w:bookmarkStart w:id="21" w:name="_Toc25603"/>
      <w:bookmarkStart w:id="22" w:name="_Toc32588"/>
      <w:bookmarkStart w:id="23" w:name="_Toc19295"/>
    </w:p>
    <w:p>
      <w:pPr>
        <w:pStyle w:val="81"/>
        <w:spacing w:line="720" w:lineRule="auto"/>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6432" behindDoc="0" locked="0" layoutInCell="1" allowOverlap="1">
                <wp:simplePos x="0" y="0"/>
                <wp:positionH relativeFrom="column">
                  <wp:posOffset>2340610</wp:posOffset>
                </wp:positionH>
                <wp:positionV relativeFrom="paragraph">
                  <wp:posOffset>497840</wp:posOffset>
                </wp:positionV>
                <wp:extent cx="958850" cy="0"/>
                <wp:effectExtent l="0" t="4445" r="0" b="5080"/>
                <wp:wrapNone/>
                <wp:docPr id="14" name="自选图形 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4" o:spid="_x0000_s1026" o:spt="32" type="#_x0000_t32" style="position:absolute;left:0pt;margin-left:184.3pt;margin-top:39.2pt;height:0pt;width:75.5pt;z-index:251666432;mso-width-relative:page;mso-height-relative:page;" filled="f" stroked="t" coordsize="21600,21600" o:gfxdata="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FjAylDXAAAACQEAAA8AAAAAAAAAAQAgAAAAIgAAAGRycy9kb3ducmV2LnhtbFBL&#10;AQIUABQAAAAIAIdO4kAXNlxA9wEAAPEDAAAOAAAAAAAAAAEAIAAAACYBAABkcnMvZTJvRG9jLnht&#10;bFBLBQYAAAAABgAGAFkBAACPBQ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0"/>
          <w:szCs w:val="40"/>
          <w:highlight w:val="none"/>
          <w:lang w:val="en-US" w:eastAsia="zh-CN"/>
        </w:rPr>
        <w:t xml:space="preserve">      </w:t>
      </w:r>
      <w:r>
        <w:rPr>
          <w:rFonts w:hint="eastAsia" w:ascii="方正小标宋简体" w:hAnsi="方正小标宋简体" w:eastAsia="方正小标宋简体" w:cs="方正小标宋简体"/>
          <w:sz w:val="40"/>
          <w:szCs w:val="40"/>
          <w:highlight w:val="none"/>
        </w:rPr>
        <w:t>第二章</w:t>
      </w:r>
      <w:bookmarkEnd w:id="13"/>
      <w:bookmarkEnd w:id="14"/>
      <w:bookmarkEnd w:id="15"/>
      <w:bookmarkEnd w:id="16"/>
      <w:bookmarkEnd w:id="17"/>
      <w:bookmarkEnd w:id="18"/>
      <w:bookmarkEnd w:id="19"/>
      <w:bookmarkEnd w:id="20"/>
      <w:bookmarkEnd w:id="21"/>
      <w:bookmarkEnd w:id="22"/>
      <w:bookmarkEnd w:id="23"/>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bookmarkStart w:id="24" w:name="_Toc3416"/>
      <w:bookmarkStart w:id="25" w:name="_Toc2339"/>
      <w:r>
        <w:rPr>
          <w:rFonts w:hint="eastAsia" w:ascii="方正小标宋简体" w:hAnsi="方正小标宋简体" w:eastAsia="方正小标宋简体" w:cs="方正小标宋简体"/>
          <w:sz w:val="40"/>
          <w:szCs w:val="40"/>
          <w:highlight w:val="none"/>
        </w:rPr>
        <w:t>供应商须知</w:t>
      </w:r>
      <w:bookmarkEnd w:id="24"/>
      <w:bookmarkEnd w:id="25"/>
    </w:p>
    <w:p>
      <w:pPr>
        <w:adjustRightInd w:val="0"/>
        <w:snapToGrid w:val="0"/>
        <w:spacing w:before="156" w:beforeLines="50" w:after="156" w:afterLines="50" w:line="600" w:lineRule="exact"/>
        <w:ind w:left="643" w:hanging="640" w:hangingChars="200"/>
        <w:rPr>
          <w:rFonts w:hint="eastAsia" w:ascii="等线" w:hAnsi="等线"/>
          <w:b/>
          <w:color w:val="auto"/>
          <w:sz w:val="32"/>
          <w:szCs w:val="32"/>
          <w:highlight w:val="none"/>
        </w:rPr>
      </w:pPr>
    </w:p>
    <w:p>
      <w:pPr>
        <w:pStyle w:val="84"/>
        <w:ind w:firstLine="480"/>
        <w:rPr>
          <w:rFonts w:hint="default"/>
          <w:highlight w:val="none"/>
        </w:rPr>
      </w:pPr>
    </w:p>
    <w:p>
      <w:pPr>
        <w:adjustRightInd w:val="0"/>
        <w:snapToGrid w:val="0"/>
        <w:spacing w:before="156" w:beforeLines="50" w:after="156" w:afterLines="50" w:line="600" w:lineRule="exact"/>
        <w:ind w:left="643" w:hanging="640" w:hangingChars="200"/>
        <w:rPr>
          <w:rFonts w:hint="eastAsia" w:ascii="等线" w:hAnsi="等线"/>
          <w:b/>
          <w:color w:val="auto"/>
          <w:sz w:val="32"/>
          <w:szCs w:val="32"/>
          <w:highlight w:val="none"/>
        </w:rPr>
      </w:pPr>
    </w:p>
    <w:p>
      <w:pPr>
        <w:adjustRightInd w:val="0"/>
        <w:snapToGrid w:val="0"/>
        <w:spacing w:before="156" w:beforeLines="50" w:after="156" w:afterLines="50" w:line="600" w:lineRule="exact"/>
        <w:ind w:left="643" w:hanging="640" w:hangingChars="200"/>
        <w:rPr>
          <w:rFonts w:hint="eastAsia" w:ascii="等线" w:hAnsi="等线"/>
          <w:b/>
          <w:color w:val="auto"/>
          <w:sz w:val="32"/>
          <w:szCs w:val="32"/>
          <w:highlight w:val="none"/>
        </w:rPr>
      </w:pPr>
    </w:p>
    <w:p>
      <w:pPr>
        <w:rPr>
          <w:color w:val="auto"/>
          <w:highlight w:val="none"/>
        </w:rPr>
      </w:pPr>
    </w:p>
    <w:p>
      <w:pPr>
        <w:pStyle w:val="186"/>
        <w:ind w:firstLine="640"/>
        <w:rPr>
          <w:color w:val="auto"/>
          <w:highlight w:val="none"/>
        </w:rPr>
      </w:pPr>
    </w:p>
    <w:p>
      <w:pPr>
        <w:adjustRightInd w:val="0"/>
        <w:snapToGrid w:val="0"/>
        <w:spacing w:before="156" w:beforeLines="50" w:after="156" w:afterLines="50" w:line="600" w:lineRule="exact"/>
        <w:ind w:left="643" w:hanging="640" w:hangingChars="200"/>
        <w:rPr>
          <w:rFonts w:hint="eastAsia" w:ascii="等线" w:hAnsi="等线"/>
          <w:b/>
          <w:color w:val="auto"/>
          <w:sz w:val="32"/>
          <w:szCs w:val="32"/>
          <w:highlight w:val="none"/>
        </w:rPr>
      </w:pPr>
    </w:p>
    <w:p>
      <w:pPr>
        <w:pStyle w:val="50"/>
        <w:rPr>
          <w:rFonts w:hint="eastAsia" w:ascii="等线" w:hAnsi="等线"/>
          <w:b/>
          <w:sz w:val="32"/>
          <w:szCs w:val="32"/>
          <w:highlight w:val="none"/>
        </w:rPr>
      </w:pPr>
    </w:p>
    <w:p>
      <w:pPr>
        <w:pStyle w:val="50"/>
        <w:rPr>
          <w:rFonts w:hint="eastAsia" w:ascii="等线" w:hAnsi="等线"/>
          <w:b/>
          <w:sz w:val="32"/>
          <w:szCs w:val="32"/>
          <w:highlight w:val="none"/>
        </w:rPr>
      </w:pPr>
    </w:p>
    <w:p>
      <w:pPr>
        <w:pStyle w:val="50"/>
        <w:ind w:left="0"/>
        <w:rPr>
          <w:rFonts w:hint="eastAsia" w:ascii="等线" w:hAnsi="等线"/>
          <w:b/>
          <w:sz w:val="32"/>
          <w:szCs w:val="32"/>
          <w:highlight w:val="none"/>
        </w:rPr>
      </w:pPr>
    </w:p>
    <w:p>
      <w:pPr>
        <w:pStyle w:val="50"/>
        <w:ind w:left="0"/>
        <w:rPr>
          <w:highlight w:val="none"/>
        </w:rPr>
      </w:pPr>
    </w:p>
    <w:p>
      <w:pPr>
        <w:numPr>
          <w:ilvl w:val="0"/>
          <w:numId w:val="25"/>
        </w:numPr>
        <w:adjustRightInd w:val="0"/>
        <w:snapToGrid w:val="0"/>
        <w:spacing w:before="156" w:beforeLines="50" w:after="156" w:afterLines="50" w:line="500" w:lineRule="exact"/>
        <w:ind w:left="643" w:hanging="640" w:hangingChars="200"/>
        <w:rPr>
          <w:rFonts w:hint="eastAsia" w:ascii="等线" w:hAnsi="等线"/>
          <w:b/>
          <w:color w:val="auto"/>
          <w:sz w:val="32"/>
          <w:szCs w:val="32"/>
          <w:highlight w:val="none"/>
        </w:rPr>
      </w:pPr>
      <w:r>
        <w:rPr>
          <w:rFonts w:hint="eastAsia" w:ascii="等线" w:hAnsi="等线"/>
          <w:b/>
          <w:color w:val="auto"/>
          <w:sz w:val="32"/>
          <w:szCs w:val="32"/>
          <w:highlight w:val="none"/>
        </w:rPr>
        <w:t>对供应商的资格要求.</w:t>
      </w:r>
    </w:p>
    <w:p>
      <w:pPr>
        <w:pStyle w:val="84"/>
        <w:numPr>
          <w:ilvl w:val="0"/>
          <w:numId w:val="0"/>
        </w:numPr>
        <w:rPr>
          <w:rFonts w:hint="default" w:eastAsia="等线"/>
          <w:highlight w:val="none"/>
        </w:rPr>
      </w:pPr>
      <w:r>
        <w:rPr>
          <w:highlight w:val="none"/>
        </w:rPr>
        <w:t>详见第一章采购公告（采购邀请书）3.供应商资格要求</w:t>
      </w:r>
    </w:p>
    <w:p>
      <w:pPr>
        <w:adjustRightInd w:val="0"/>
        <w:snapToGrid w:val="0"/>
        <w:spacing w:line="600" w:lineRule="exact"/>
        <w:rPr>
          <w:rFonts w:ascii="仿宋_GB2312" w:eastAsia="仿宋_GB2312"/>
          <w:color w:val="auto"/>
          <w:sz w:val="28"/>
          <w:szCs w:val="28"/>
          <w:highlight w:val="none"/>
        </w:rPr>
      </w:pPr>
      <w:r>
        <w:rPr>
          <w:rFonts w:hint="eastAsia" w:ascii="等线" w:hAnsi="等线"/>
          <w:b/>
          <w:color w:val="auto"/>
          <w:sz w:val="32"/>
          <w:szCs w:val="32"/>
          <w:highlight w:val="none"/>
        </w:rPr>
        <w:t>2.  本次交易一般规则.</w:t>
      </w:r>
      <w:r>
        <w:rPr>
          <w:rFonts w:ascii="仿宋_GB2312" w:eastAsia="仿宋_GB2312"/>
          <w:color w:val="auto"/>
          <w:sz w:val="28"/>
          <w:szCs w:val="28"/>
          <w:highlight w:val="none"/>
        </w:rPr>
        <w:t>表</w:t>
      </w:r>
      <w:r>
        <w:rPr>
          <w:rFonts w:hint="eastAsia" w:ascii="仿宋_GB2312" w:eastAsia="仿宋_GB2312"/>
          <w:color w:val="auto"/>
          <w:sz w:val="28"/>
          <w:szCs w:val="28"/>
          <w:highlight w:val="none"/>
        </w:rPr>
        <w:t>1.1</w:t>
      </w:r>
    </w:p>
    <w:tbl>
      <w:tblPr>
        <w:tblStyle w:val="8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36"/>
        <w:gridCol w:w="1168"/>
        <w:gridCol w:w="58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7" w:hRule="atLeast"/>
          <w:tblHeader/>
        </w:trPr>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阶段</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条款</w:t>
            </w:r>
          </w:p>
        </w:tc>
        <w:tc>
          <w:tcPr>
            <w:tcW w:w="1171"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项目</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规则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4" w:hRule="atLeast"/>
        </w:trPr>
        <w:tc>
          <w:tcPr>
            <w:tcW w:w="0" w:type="auto"/>
            <w:vMerge w:val="restart"/>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准备</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及其</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采购文件组成</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（1）采购公告（采购邀请书）</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（2）供应商须知</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（3）采购方式</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（4）评审办法</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（5）采购需求</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（6）合同草案</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（7）响应文件</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（8）在采购过程中由采购单位发出的修正和补充文件等（如有）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2.2</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采购文件的澄清和修改</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1.2.1供应商对采购文件有疑问的，应当在提交响应文件截止之日2个工作日前，以书面形式提出。</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1.2.2采购人可根据供应商的要求或主动对采购文件进行澄清和修改。澄清或修改的内容以补充文件形式发布，采购人可视具体情况在补充文件中通知供应商推迟递交响应文件的截止时间。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2.3</w:t>
            </w:r>
          </w:p>
          <w:p>
            <w:pPr>
              <w:pStyle w:val="504"/>
              <w:rPr>
                <w:rFonts w:hint="eastAsia" w:ascii="仿宋_GB2312" w:hAnsi="仿宋_GB2312" w:eastAsia="仿宋_GB2312" w:cs="仿宋_GB2312"/>
                <w:highlight w:val="none"/>
              </w:rPr>
            </w:pP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踏勘现场</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详见采购公告（采购邀请书）5.踏勘现场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2.4</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分包</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本项目不允许分包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2.5</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响应截止时间</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详见采购公告（采购邀请书）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3" w:hRule="atLeast"/>
        </w:trPr>
        <w:tc>
          <w:tcPr>
            <w:tcW w:w="0" w:type="auto"/>
            <w:vMerge w:val="restart"/>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准备</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及其</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2.6</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最高限价及低价说明</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详见采购公告（采购邀请书）；报价单位的报价若低于限价60%，必须在响应文件实质性响应一览表中说明报价理由。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2.7</w:t>
            </w:r>
          </w:p>
          <w:p>
            <w:pPr>
              <w:pStyle w:val="504"/>
              <w:rPr>
                <w:rFonts w:hint="eastAsia" w:ascii="仿宋_GB2312" w:hAnsi="仿宋_GB2312" w:eastAsia="仿宋_GB2312" w:cs="仿宋_GB2312"/>
                <w:highlight w:val="none"/>
              </w:rPr>
            </w:pP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响应文件有效期</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90个日历天（从响应文件递交截止日算起）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0" w:type="auto"/>
            <w:vMerge w:val="restart"/>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准备</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及其</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2.8</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响应文件份数</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纸质文件正本1份，副本 1份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2"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2.9</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响应文件的密封和标记</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要求密封，响应文件应在密封处加盖公章，标注正本和副本，封皮应注明：</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项目名称、供应商名称、供应商地址、联系人及其联系方式。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2.10</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响应文件提交</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见采购公告（采购邀请书）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trPr>
        <w:tc>
          <w:tcPr>
            <w:tcW w:w="0" w:type="auto"/>
            <w:vMerge w:val="restart"/>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文件</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开启</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及评</w:t>
            </w:r>
          </w:p>
          <w:p>
            <w:pPr>
              <w:pStyle w:val="504"/>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审</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2.11</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响应文件开启会议</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举行</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会议时间：同响应截止时间</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会议地点：采购公告（采购邀请书）中指定地点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6" w:hRule="atLeast"/>
        </w:trPr>
        <w:tc>
          <w:tcPr>
            <w:tcW w:w="0" w:type="auto"/>
            <w:vMerge w:val="continue"/>
            <w:tcBorders>
              <w:tl2br w:val="nil"/>
              <w:tr2bl w:val="nil"/>
            </w:tcBorders>
            <w:noWrap w:val="0"/>
            <w:vAlign w:val="center"/>
          </w:tcPr>
          <w:p>
            <w:pPr>
              <w:pStyle w:val="504"/>
              <w:jc w:val="center"/>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2.12</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开启文件前的密封检查</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密封情况检查顺序：响应文件拆封前检查，不按照采购文件要求密封的响应文件，采购人将予以拒收。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atLeast"/>
        </w:trPr>
        <w:tc>
          <w:tcPr>
            <w:tcW w:w="0" w:type="auto"/>
            <w:vMerge w:val="continue"/>
            <w:tcBorders>
              <w:tl2br w:val="nil"/>
              <w:tr2bl w:val="nil"/>
            </w:tcBorders>
            <w:noWrap w:val="0"/>
            <w:vAlign w:val="center"/>
          </w:tcPr>
          <w:p>
            <w:pPr>
              <w:pStyle w:val="504"/>
              <w:jc w:val="center"/>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2.13</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评审小组</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评审小组构成：3人。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trPr>
        <w:tc>
          <w:tcPr>
            <w:tcW w:w="0" w:type="auto"/>
            <w:vMerge w:val="continue"/>
            <w:tcBorders>
              <w:tl2br w:val="nil"/>
              <w:tr2bl w:val="nil"/>
            </w:tcBorders>
            <w:noWrap w:val="0"/>
            <w:vAlign w:val="center"/>
          </w:tcPr>
          <w:p>
            <w:pPr>
              <w:pStyle w:val="504"/>
              <w:jc w:val="center"/>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2.14</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评审办法</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见第四章评审办法有关条款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0" w:type="auto"/>
            <w:vMerge w:val="continue"/>
            <w:tcBorders>
              <w:tl2br w:val="nil"/>
              <w:tr2bl w:val="nil"/>
            </w:tcBorders>
            <w:noWrap w:val="0"/>
            <w:vAlign w:val="center"/>
          </w:tcPr>
          <w:p>
            <w:pPr>
              <w:pStyle w:val="504"/>
              <w:jc w:val="center"/>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2.15</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成交候选人</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在广州市净水有限公司门户网站公示成交候选人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0" w:type="auto"/>
            <w:vMerge w:val="restart"/>
            <w:tcBorders>
              <w:tl2br w:val="nil"/>
              <w:tr2bl w:val="nil"/>
            </w:tcBorders>
            <w:noWrap w:val="0"/>
            <w:vAlign w:val="center"/>
          </w:tcPr>
          <w:p>
            <w:pPr>
              <w:pStyle w:val="504"/>
              <w:ind w:left="420" w:leftChars="200"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确定成交人</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2.16</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成交办法</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见第四章采购方法有关条款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2.17</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签订合同</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推荐二名成交候选人。</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采购人和成交供应商应当在成交-通知书发出之日起30日内，根据采购文件和成交供应商的响应文件订立书面合同。</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合同自采购人成交通知书到达成交供应商时成立。</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1.成交供应商无正当理由拒签合同，或者在签订合同时向采购人提出附加条件的，采购人有权依据采购文件、成交供应商响应文件和成交通知书等确定合同内容，采购人也有权即刻单方解除合同，追究成交供应商的违约责任，响应保证金不予退还（若有），违约金和响应保证金（若有）不能覆盖采购人实际损失的，对不能覆盖部分的损失，成交供应商应当另行予以赔偿，且采购人有权重新采购。</w:t>
            </w:r>
          </w:p>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成交供应商被查实供应商资格无效或存在其它不符合中标条件情形的，采购人尚未发出成交通知书的，则成交无效，响应保证金（若有）不予退还，采购人可以按评审小组提出的成交候选人名单排序依次确定其他成交候选供应商为成交供应商，采购人也可以重新采购；采购人已发出成交通知书合同成立的，采购人有权解除合同，响应保证金不予退还（若有）并归采购人所有，且采购人有权重新采购。</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3.凡是成交人存在上述情形的，均按照上述规定处理。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1" w:hRule="atLeast"/>
        </w:trPr>
        <w:tc>
          <w:tcPr>
            <w:tcW w:w="0" w:type="auto"/>
            <w:vMerge w:val="continue"/>
            <w:tcBorders>
              <w:tl2br w:val="nil"/>
              <w:tr2bl w:val="nil"/>
            </w:tcBorders>
            <w:noWrap w:val="0"/>
            <w:vAlign w:val="center"/>
          </w:tcPr>
          <w:p>
            <w:pPr>
              <w:pStyle w:val="504"/>
              <w:rPr>
                <w:rFonts w:hint="eastAsia" w:ascii="仿宋_GB2312" w:hAnsi="仿宋_GB2312" w:eastAsia="仿宋_GB2312" w:cs="仿宋_GB2312"/>
                <w:highlight w:val="none"/>
              </w:rPr>
            </w:pP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2.18</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履约担保</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详见第六章合同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其他</w:t>
            </w:r>
          </w:p>
        </w:tc>
        <w:tc>
          <w:tcPr>
            <w:tcW w:w="0" w:type="auto"/>
            <w:tcBorders>
              <w:tl2br w:val="nil"/>
              <w:tr2bl w:val="nil"/>
            </w:tcBorders>
            <w:noWrap w:val="0"/>
            <w:vAlign w:val="center"/>
          </w:tcPr>
          <w:p>
            <w:pPr>
              <w:pStyle w:val="504"/>
              <w:ind w:firstLine="0" w:firstLineChars="0"/>
              <w:rPr>
                <w:rFonts w:hint="eastAsia" w:ascii="仿宋_GB2312" w:hAnsi="仿宋_GB2312" w:eastAsia="仿宋_GB2312" w:cs="仿宋_GB2312"/>
                <w:highlight w:val="none"/>
              </w:rPr>
            </w:pPr>
            <w:r>
              <w:rPr>
                <w:rFonts w:hint="eastAsia" w:ascii="仿宋_GB2312" w:hAnsi="仿宋_GB2312" w:eastAsia="仿宋_GB2312" w:cs="仿宋_GB2312"/>
                <w:highlight w:val="none"/>
              </w:rPr>
              <w:t>2.19</w:t>
            </w:r>
          </w:p>
        </w:tc>
        <w:tc>
          <w:tcPr>
            <w:tcW w:w="1171" w:type="dxa"/>
            <w:tcBorders>
              <w:tl2br w:val="nil"/>
              <w:tr2bl w:val="nil"/>
            </w:tcBorders>
            <w:noWrap w:val="0"/>
            <w:vAlign w:val="center"/>
          </w:tcPr>
          <w:p>
            <w:pPr>
              <w:pStyle w:val="504"/>
              <w:ind w:firstLine="0" w:firstLineChars="0"/>
              <w:jc w:val="left"/>
              <w:rPr>
                <w:rFonts w:hint="eastAsia" w:ascii="仿宋_GB2312" w:hAnsi="仿宋_GB2312" w:eastAsia="仿宋_GB2312" w:cs="仿宋_GB2312"/>
                <w:highlight w:val="none"/>
              </w:rPr>
            </w:pPr>
            <w:r>
              <w:rPr>
                <w:rFonts w:hint="eastAsia" w:ascii="仿宋_GB2312" w:hAnsi="仿宋_GB2312" w:eastAsia="仿宋_GB2312" w:cs="仿宋_GB2312"/>
                <w:highlight w:val="none"/>
              </w:rPr>
              <w:t>需要补充的其他内容</w:t>
            </w:r>
          </w:p>
        </w:tc>
        <w:tc>
          <w:tcPr>
            <w:tcW w:w="5918" w:type="dxa"/>
            <w:tcBorders>
              <w:tl2br w:val="nil"/>
              <w:tr2bl w:val="nil"/>
            </w:tcBorders>
            <w:noWrap w:val="0"/>
            <w:vAlign w:val="center"/>
          </w:tcPr>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合同签订阶段，如采购文件内容与响应文件格式工程量清单存在不一致情形，则以响应文件格式工程量清单为准。如采购文件条款与合同存在不一致情形，则以合同为准。</w:t>
            </w:r>
          </w:p>
          <w:p>
            <w:pPr>
              <w:pStyle w:val="504"/>
              <w:rPr>
                <w:rFonts w:hint="eastAsia" w:ascii="仿宋_GB2312" w:hAnsi="仿宋_GB2312" w:eastAsia="仿宋_GB2312" w:cs="仿宋_GB2312"/>
                <w:highlight w:val="none"/>
              </w:rPr>
            </w:pPr>
            <w:r>
              <w:rPr>
                <w:rFonts w:hint="eastAsia" w:ascii="仿宋_GB2312" w:hAnsi="仿宋_GB2312" w:eastAsia="仿宋_GB2312" w:cs="仿宋_GB2312"/>
                <w:highlight w:val="none"/>
              </w:rPr>
              <w:t>采购文件中，所有要求均为实质性响应条款，供应商如有任何一条负偏离则导致投标（报价）无效，将按无效响应处理。供应商应按采购文件的规定及附件要求的内容和格式完整地填写和提供资料。供应商必须对响应文件所提供的全部资料的真实性承担法律责任，并无条件接受采购人对其中任何资料进行核实（核对原件）的要求。采购人核对发现有不一致或供应商无正当理由不按时提供原件的，按成交无效处理。</w:t>
            </w:r>
          </w:p>
        </w:tc>
      </w:tr>
    </w:tbl>
    <w:p>
      <w:pPr>
        <w:adjustRightInd w:val="0"/>
        <w:snapToGrid w:val="0"/>
        <w:spacing w:before="156" w:beforeLines="50" w:after="156" w:afterLines="50" w:line="560" w:lineRule="exact"/>
        <w:rPr>
          <w:rFonts w:hint="eastAsia" w:ascii="等线" w:hAnsi="等线"/>
          <w:b/>
          <w:color w:val="auto"/>
          <w:sz w:val="32"/>
          <w:szCs w:val="32"/>
          <w:highlight w:val="none"/>
        </w:rPr>
      </w:pPr>
      <w:r>
        <w:rPr>
          <w:rFonts w:hint="eastAsia" w:ascii="等线" w:hAnsi="等线"/>
          <w:b/>
          <w:color w:val="auto"/>
          <w:sz w:val="32"/>
          <w:szCs w:val="32"/>
          <w:highlight w:val="none"/>
        </w:rPr>
        <w:t>2.若出现以下情况之一的，采购人将拒绝接收响应文件</w:t>
      </w:r>
    </w:p>
    <w:p>
      <w:pPr>
        <w:adjustRightInd w:val="0"/>
        <w:snapToGrid w:val="0"/>
        <w:spacing w:line="600" w:lineRule="exact"/>
        <w:ind w:firstLine="420" w:firstLineChars="150"/>
        <w:rPr>
          <w:rFonts w:ascii="仿宋_GB2312" w:eastAsia="仿宋_GB2312"/>
          <w:color w:val="auto"/>
          <w:sz w:val="28"/>
          <w:szCs w:val="28"/>
          <w:highlight w:val="none"/>
        </w:rPr>
      </w:pPr>
      <w:r>
        <w:rPr>
          <w:rFonts w:hint="eastAsia" w:ascii="仿宋_GB2312" w:eastAsia="仿宋_GB2312"/>
          <w:color w:val="auto"/>
          <w:sz w:val="28"/>
          <w:szCs w:val="28"/>
          <w:highlight w:val="none"/>
        </w:rPr>
        <w:t>（1）逾期送达的、未送达指定地点的响应文件，采购人将予以拒收。</w:t>
      </w:r>
    </w:p>
    <w:p>
      <w:pPr>
        <w:adjustRightInd w:val="0"/>
        <w:snapToGrid w:val="0"/>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（2）不按照采购文件要求密封的响应文件，采购人将予以拒收。</w:t>
      </w:r>
    </w:p>
    <w:p>
      <w:pPr>
        <w:adjustRightInd w:val="0"/>
        <w:snapToGrid w:val="0"/>
        <w:spacing w:before="156" w:beforeLines="50" w:after="156" w:afterLines="50" w:line="560" w:lineRule="exact"/>
        <w:ind w:left="643" w:hanging="640" w:hangingChars="200"/>
        <w:rPr>
          <w:rFonts w:hint="eastAsia" w:ascii="等线" w:hAnsi="等线"/>
          <w:b/>
          <w:color w:val="auto"/>
          <w:sz w:val="32"/>
          <w:szCs w:val="32"/>
          <w:highlight w:val="none"/>
        </w:rPr>
      </w:pPr>
      <w:r>
        <w:rPr>
          <w:rFonts w:hint="eastAsia" w:ascii="等线" w:hAnsi="等线"/>
          <w:b/>
          <w:color w:val="auto"/>
          <w:sz w:val="32"/>
          <w:szCs w:val="32"/>
          <w:highlight w:val="none"/>
        </w:rPr>
        <w:t>3.发生下列情况之一者，视为无效响应行为</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（1）响应文件未按规定签字、盖章的。</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（2）响应文件未按规定格式填写，或内容与采购文件严重背离的。</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（3）响应文件有两个及以上报价的（采购文件允许提交备选方案的除外）。</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（4）质量标准不符合采购文件要求的。</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（5）服务期不符合采购文件要求的。</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（6）报价超过最高限价的。</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（7）供应商不符合国家或采购文件规定的资格条件。</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（8）响应文件没有对采购文件的实质性要求和条件作出响应。</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（9）其他不符合采购文件要求的情形。</w:t>
      </w:r>
    </w:p>
    <w:p>
      <w:pPr>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（10）非法定代表人或</w:t>
      </w:r>
      <w:r>
        <w:rPr>
          <w:rFonts w:hint="eastAsia" w:ascii="仿宋_GB2312" w:hAnsi="等线" w:eastAsia="仿宋_GB2312"/>
          <w:color w:val="auto"/>
          <w:sz w:val="28"/>
          <w:szCs w:val="28"/>
          <w:highlight w:val="none"/>
        </w:rPr>
        <w:t>授权委托代理人</w:t>
      </w:r>
      <w:r>
        <w:rPr>
          <w:rFonts w:hint="eastAsia" w:ascii="仿宋_GB2312" w:eastAsia="仿宋_GB2312"/>
          <w:color w:val="auto"/>
          <w:sz w:val="28"/>
          <w:szCs w:val="28"/>
          <w:highlight w:val="none"/>
        </w:rPr>
        <w:t>递交响应文件。</w:t>
      </w:r>
    </w:p>
    <w:p>
      <w:pPr>
        <w:adjustRightInd w:val="0"/>
        <w:snapToGrid w:val="0"/>
        <w:spacing w:before="156" w:beforeLines="50" w:after="156" w:afterLines="50" w:line="560" w:lineRule="exact"/>
        <w:ind w:left="643" w:hanging="640" w:hangingChars="200"/>
        <w:rPr>
          <w:rFonts w:hint="eastAsia" w:ascii="等线" w:hAnsi="等线"/>
          <w:b/>
          <w:color w:val="auto"/>
          <w:sz w:val="32"/>
          <w:szCs w:val="32"/>
          <w:highlight w:val="none"/>
        </w:rPr>
      </w:pPr>
      <w:r>
        <w:rPr>
          <w:rFonts w:hint="eastAsia" w:ascii="等线" w:hAnsi="等线"/>
          <w:b/>
          <w:color w:val="auto"/>
          <w:sz w:val="32"/>
          <w:szCs w:val="32"/>
          <w:highlight w:val="none"/>
        </w:rPr>
        <w:t>4.响应保证金</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本项目无须递交响应保证金。</w:t>
      </w:r>
    </w:p>
    <w:p>
      <w:pPr>
        <w:adjustRightInd w:val="0"/>
        <w:snapToGrid w:val="0"/>
        <w:spacing w:before="156" w:beforeLines="50" w:after="156" w:afterLines="50" w:line="560" w:lineRule="exact"/>
        <w:ind w:left="643" w:hanging="640" w:hangingChars="200"/>
        <w:rPr>
          <w:rFonts w:hint="eastAsia" w:ascii="等线" w:hAnsi="等线"/>
          <w:b/>
          <w:color w:val="auto"/>
          <w:sz w:val="32"/>
          <w:szCs w:val="32"/>
          <w:highlight w:val="none"/>
        </w:rPr>
      </w:pPr>
      <w:r>
        <w:rPr>
          <w:rFonts w:hint="eastAsia" w:ascii="等线" w:hAnsi="等线"/>
          <w:b/>
          <w:color w:val="auto"/>
          <w:sz w:val="32"/>
          <w:szCs w:val="32"/>
          <w:highlight w:val="none"/>
        </w:rPr>
        <w:t>5.响应文件要求</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5.1响应文件包括下列内容</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1.响应函</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2.法定代表人证明或授权委托书</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3.资格审查资料</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4.拟投入本项目的项目负责人情况表</w:t>
      </w:r>
    </w:p>
    <w:p>
      <w:pPr>
        <w:adjustRightInd w:val="0"/>
        <w:snapToGrid w:val="0"/>
        <w:spacing w:line="560" w:lineRule="exact"/>
        <w:ind w:left="558" w:leftChars="266"/>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p>
    <w:p>
      <w:pPr>
        <w:adjustRightInd w:val="0"/>
        <w:snapToGrid w:val="0"/>
        <w:spacing w:line="560" w:lineRule="exact"/>
        <w:ind w:left="558" w:leftChars="266"/>
        <w:rPr>
          <w:rFonts w:ascii="仿宋_GB2312" w:eastAsia="仿宋_GB2312"/>
          <w:color w:val="auto"/>
          <w:sz w:val="28"/>
          <w:szCs w:val="28"/>
          <w:highlight w:val="none"/>
        </w:rPr>
      </w:pPr>
      <w:r>
        <w:rPr>
          <w:rFonts w:hint="eastAsia" w:ascii="仿宋_GB2312" w:eastAsia="仿宋_GB2312"/>
          <w:color w:val="auto"/>
          <w:sz w:val="28"/>
          <w:szCs w:val="28"/>
          <w:highlight w:val="none"/>
        </w:rPr>
        <w:t>6.承诺函</w:t>
      </w:r>
    </w:p>
    <w:p>
      <w:pPr>
        <w:adjustRightInd w:val="0"/>
        <w:snapToGrid w:val="0"/>
        <w:spacing w:line="560" w:lineRule="exact"/>
        <w:ind w:firstLine="555"/>
        <w:rPr>
          <w:rFonts w:ascii="仿宋_GB2312" w:eastAsia="仿宋_GB2312"/>
          <w:color w:val="auto"/>
          <w:sz w:val="28"/>
          <w:szCs w:val="28"/>
          <w:highlight w:val="none"/>
        </w:rPr>
      </w:pPr>
      <w:r>
        <w:rPr>
          <w:rFonts w:hint="eastAsia" w:ascii="仿宋_GB2312" w:eastAsia="仿宋_GB2312"/>
          <w:color w:val="auto"/>
          <w:sz w:val="28"/>
          <w:szCs w:val="28"/>
          <w:highlight w:val="none"/>
        </w:rPr>
        <w:t>7.其他资料</w:t>
      </w:r>
    </w:p>
    <w:p>
      <w:pPr>
        <w:adjustRightInd w:val="0"/>
        <w:snapToGrid w:val="0"/>
        <w:spacing w:before="156" w:beforeLines="50" w:after="156" w:afterLines="50" w:line="560" w:lineRule="exact"/>
        <w:ind w:left="643" w:hanging="640" w:hangingChars="200"/>
        <w:rPr>
          <w:rFonts w:hint="eastAsia" w:ascii="等线" w:hAnsi="等线"/>
          <w:b/>
          <w:color w:val="auto"/>
          <w:sz w:val="32"/>
          <w:szCs w:val="32"/>
          <w:highlight w:val="none"/>
        </w:rPr>
      </w:pPr>
      <w:r>
        <w:rPr>
          <w:rFonts w:hint="eastAsia" w:ascii="等线" w:hAnsi="等线"/>
          <w:b/>
          <w:color w:val="auto"/>
          <w:sz w:val="32"/>
          <w:szCs w:val="32"/>
          <w:highlight w:val="none"/>
        </w:rPr>
        <w:t>6.异议</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6.1 供应商或其他利害关系人可以对采购公告（采购邀请书）、采购文件、成交候选人等提出异议。异议应在采购公告或文件规定的时间内、成交候选人公示期间通过规定的异议渠道提出，并递交异议函和必要的证明材料。须按附件5表格提出异议，异议函包括但不限于下列内容：</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（1）异议人名称、地址、邮政编码、联系人及联系电话；</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（2）具体、明确的异议事项、事实依据及与异议事项相关的请求。</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异议函应由异议人的法定代表人或其授权的代理人签字并加盖单位章。</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6.2采购人将针对异议事项进行核查，经过核查，发现异议人对相关问题理解有误的，应作出解释；发现采购活动中确实存在错误或不当行为的，应及时予以改正或补救。采购人认为异议不成立或不影响采购结果的，在做出相关回应后可以继续进行采购活动。</w:t>
      </w:r>
    </w:p>
    <w:p>
      <w:pPr>
        <w:adjustRightInd w:val="0"/>
        <w:snapToGrid w:val="0"/>
        <w:spacing w:line="560" w:lineRule="exact"/>
        <w:ind w:firstLine="573"/>
        <w:rPr>
          <w:rFonts w:ascii="仿宋_GB2312" w:eastAsia="仿宋_GB2312"/>
          <w:color w:val="auto"/>
          <w:sz w:val="28"/>
          <w:szCs w:val="28"/>
          <w:highlight w:val="none"/>
        </w:rPr>
      </w:pPr>
      <w:r>
        <w:rPr>
          <w:rFonts w:hint="eastAsia" w:ascii="仿宋_GB2312" w:eastAsia="仿宋_GB2312"/>
          <w:color w:val="auto"/>
          <w:sz w:val="28"/>
          <w:szCs w:val="28"/>
          <w:highlight w:val="none"/>
        </w:rPr>
        <w:t>6.3 异议人与采购人对异议事项无法达成一致的，异议人可向采购人的监管部门进行反映。</w:t>
      </w:r>
    </w:p>
    <w:p>
      <w:pPr>
        <w:adjustRightInd w:val="0"/>
        <w:snapToGrid w:val="0"/>
        <w:spacing w:before="156" w:beforeLines="50" w:after="156" w:afterLines="50" w:line="560" w:lineRule="exact"/>
        <w:ind w:left="643" w:hanging="640" w:hangingChars="200"/>
        <w:rPr>
          <w:rFonts w:hint="eastAsia" w:ascii="等线" w:hAnsi="等线"/>
          <w:b/>
          <w:color w:val="auto"/>
          <w:sz w:val="32"/>
          <w:szCs w:val="32"/>
          <w:highlight w:val="none"/>
        </w:rPr>
      </w:pPr>
      <w:r>
        <w:rPr>
          <w:rFonts w:hint="eastAsia" w:ascii="等线" w:hAnsi="等线"/>
          <w:b/>
          <w:color w:val="auto"/>
          <w:sz w:val="32"/>
          <w:szCs w:val="32"/>
          <w:highlight w:val="none"/>
        </w:rPr>
        <w:t>7.本章附件</w:t>
      </w:r>
    </w:p>
    <w:p>
      <w:pPr>
        <w:adjustRightInd w:val="0"/>
        <w:snapToGrid w:val="0"/>
        <w:spacing w:line="560" w:lineRule="exact"/>
        <w:ind w:firstLine="694" w:firstLineChars="248"/>
        <w:rPr>
          <w:rFonts w:ascii="仿宋_GB2312" w:eastAsia="仿宋_GB2312"/>
          <w:color w:val="auto"/>
          <w:sz w:val="28"/>
          <w:szCs w:val="28"/>
          <w:highlight w:val="none"/>
        </w:rPr>
      </w:pPr>
      <w:r>
        <w:rPr>
          <w:rFonts w:ascii="仿宋_GB2312" w:eastAsia="仿宋_GB2312"/>
          <w:color w:val="auto"/>
          <w:sz w:val="28"/>
          <w:szCs w:val="28"/>
          <w:highlight w:val="none"/>
        </w:rPr>
        <w:t>附件</w:t>
      </w:r>
      <w:r>
        <w:rPr>
          <w:rFonts w:hint="eastAsia" w:ascii="仿宋_GB2312" w:eastAsia="仿宋_GB2312"/>
          <w:color w:val="auto"/>
          <w:sz w:val="28"/>
          <w:szCs w:val="28"/>
          <w:highlight w:val="none"/>
        </w:rPr>
        <w:t>1：响应文件开启表</w:t>
      </w:r>
    </w:p>
    <w:p>
      <w:pPr>
        <w:adjustRightInd w:val="0"/>
        <w:snapToGrid w:val="0"/>
        <w:spacing w:line="560" w:lineRule="exact"/>
        <w:ind w:firstLine="694" w:firstLineChars="248"/>
        <w:rPr>
          <w:rFonts w:ascii="仿宋_GB2312" w:eastAsia="仿宋_GB2312"/>
          <w:color w:val="auto"/>
          <w:sz w:val="28"/>
          <w:szCs w:val="28"/>
          <w:highlight w:val="none"/>
        </w:rPr>
      </w:pPr>
      <w:r>
        <w:rPr>
          <w:rFonts w:hint="eastAsia" w:ascii="仿宋_GB2312" w:eastAsia="仿宋_GB2312"/>
          <w:color w:val="auto"/>
          <w:sz w:val="28"/>
          <w:szCs w:val="28"/>
          <w:highlight w:val="none"/>
        </w:rPr>
        <w:t>附件2：问题澄清通知</w:t>
      </w:r>
    </w:p>
    <w:p>
      <w:pPr>
        <w:adjustRightInd w:val="0"/>
        <w:snapToGrid w:val="0"/>
        <w:spacing w:line="560" w:lineRule="exact"/>
        <w:ind w:firstLine="694" w:firstLineChars="248"/>
        <w:rPr>
          <w:rFonts w:ascii="仿宋_GB2312" w:eastAsia="仿宋_GB2312"/>
          <w:color w:val="auto"/>
          <w:sz w:val="28"/>
          <w:szCs w:val="28"/>
          <w:highlight w:val="none"/>
        </w:rPr>
      </w:pPr>
      <w:r>
        <w:rPr>
          <w:rFonts w:hint="eastAsia" w:ascii="仿宋_GB2312" w:eastAsia="仿宋_GB2312"/>
          <w:color w:val="auto"/>
          <w:sz w:val="28"/>
          <w:szCs w:val="28"/>
          <w:highlight w:val="none"/>
        </w:rPr>
        <w:t>附件3：问题的澄清</w:t>
      </w:r>
    </w:p>
    <w:p>
      <w:pPr>
        <w:adjustRightInd w:val="0"/>
        <w:snapToGrid w:val="0"/>
        <w:spacing w:line="560" w:lineRule="exact"/>
        <w:ind w:firstLine="694" w:firstLineChars="248"/>
        <w:rPr>
          <w:rFonts w:ascii="仿宋_GB2312" w:eastAsia="仿宋_GB2312"/>
          <w:color w:val="auto"/>
          <w:sz w:val="28"/>
          <w:szCs w:val="28"/>
          <w:highlight w:val="none"/>
        </w:rPr>
      </w:pPr>
      <w:r>
        <w:rPr>
          <w:rFonts w:hint="eastAsia" w:ascii="仿宋_GB2312" w:eastAsia="仿宋_GB2312"/>
          <w:color w:val="auto"/>
          <w:sz w:val="28"/>
          <w:szCs w:val="28"/>
          <w:highlight w:val="none"/>
        </w:rPr>
        <w:t>附件4：成交通知书</w:t>
      </w:r>
    </w:p>
    <w:p>
      <w:pPr>
        <w:adjustRightInd w:val="0"/>
        <w:snapToGrid w:val="0"/>
        <w:spacing w:line="600" w:lineRule="exact"/>
        <w:rPr>
          <w:rFonts w:ascii="仿宋_GB2312" w:eastAsia="仿宋_GB2312"/>
          <w:color w:val="auto"/>
          <w:sz w:val="28"/>
          <w:szCs w:val="28"/>
          <w:highlight w:val="none"/>
        </w:rPr>
      </w:pPr>
      <w:r>
        <w:rPr>
          <w:rFonts w:hint="eastAsia" w:ascii="等线 Light" w:hAnsi="等线 Light" w:eastAsia="等线 Light"/>
          <w:b/>
          <w:color w:val="auto"/>
          <w:sz w:val="28"/>
          <w:szCs w:val="28"/>
          <w:highlight w:val="none"/>
        </w:rPr>
        <w:t xml:space="preserve">  </w:t>
      </w:r>
      <w:r>
        <w:rPr>
          <w:rFonts w:hint="eastAsia" w:ascii="仿宋_GB2312" w:hAnsi="等线" w:eastAsia="仿宋_GB2312"/>
          <w:color w:val="auto"/>
          <w:sz w:val="28"/>
          <w:szCs w:val="28"/>
          <w:highlight w:val="none"/>
        </w:rPr>
        <w:t xml:space="preserve">  </w:t>
      </w:r>
      <w:r>
        <w:rPr>
          <w:rFonts w:hint="eastAsia" w:ascii="仿宋_GB2312" w:eastAsia="仿宋_GB2312"/>
          <w:color w:val="auto"/>
          <w:sz w:val="28"/>
          <w:szCs w:val="28"/>
          <w:highlight w:val="none"/>
        </w:rPr>
        <w:t xml:space="preserve"> 附件5：关于**项目异议书</w:t>
      </w:r>
    </w:p>
    <w:p>
      <w:pPr>
        <w:pStyle w:val="84"/>
        <w:ind w:firstLine="480"/>
        <w:rPr>
          <w:highlight w:val="none"/>
        </w:rPr>
      </w:pPr>
      <w:r>
        <w:rPr>
          <w:highlight w:val="none"/>
        </w:rPr>
        <w:t xml:space="preserve"> </w:t>
      </w:r>
    </w:p>
    <w:p>
      <w:pPr>
        <w:adjustRightInd w:val="0"/>
        <w:snapToGrid w:val="0"/>
        <w:spacing w:line="600" w:lineRule="exact"/>
        <w:rPr>
          <w:rFonts w:hint="eastAsia" w:ascii="等线 Light" w:hAnsi="等线 Light" w:eastAsia="等线 Light"/>
          <w:b/>
          <w:color w:val="auto"/>
          <w:sz w:val="28"/>
          <w:szCs w:val="28"/>
          <w:highlight w:val="none"/>
        </w:rPr>
      </w:pPr>
    </w:p>
    <w:p>
      <w:pPr>
        <w:pStyle w:val="84"/>
        <w:ind w:firstLine="480"/>
        <w:rPr>
          <w:rFonts w:hint="default"/>
          <w:highlight w:val="none"/>
        </w:rPr>
      </w:pPr>
    </w:p>
    <w:p>
      <w:pPr>
        <w:pStyle w:val="84"/>
        <w:ind w:firstLine="480"/>
        <w:rPr>
          <w:rFonts w:hint="default"/>
          <w:highlight w:val="none"/>
        </w:rPr>
      </w:pPr>
    </w:p>
    <w:p>
      <w:pPr>
        <w:pStyle w:val="84"/>
        <w:ind w:firstLine="480"/>
        <w:rPr>
          <w:rFonts w:hint="default"/>
          <w:highlight w:val="none"/>
        </w:rPr>
      </w:pPr>
    </w:p>
    <w:p>
      <w:pPr>
        <w:pStyle w:val="84"/>
        <w:ind w:firstLine="480"/>
        <w:rPr>
          <w:rFonts w:hint="default"/>
          <w:highlight w:val="none"/>
        </w:rPr>
      </w:pPr>
    </w:p>
    <w:p>
      <w:pPr>
        <w:adjustRightInd w:val="0"/>
        <w:snapToGrid w:val="0"/>
        <w:spacing w:line="600" w:lineRule="exact"/>
        <w:rPr>
          <w:rFonts w:hint="eastAsia" w:ascii="等线 Light" w:hAnsi="等线 Light" w:eastAsia="等线 Light"/>
          <w:b/>
          <w:color w:val="auto"/>
          <w:sz w:val="28"/>
          <w:szCs w:val="28"/>
          <w:highlight w:val="none"/>
        </w:rPr>
      </w:pPr>
      <w:r>
        <w:rPr>
          <w:rFonts w:ascii="等线 Light" w:hAnsi="等线 Light" w:eastAsia="等线 Light"/>
          <w:b/>
          <w:color w:val="auto"/>
          <w:sz w:val="28"/>
          <w:szCs w:val="28"/>
          <w:highlight w:val="none"/>
        </w:rPr>
        <w:t>附件</w:t>
      </w:r>
      <w:r>
        <w:rPr>
          <w:rFonts w:hint="eastAsia" w:ascii="等线 Light" w:hAnsi="等线 Light" w:eastAsia="等线 Light"/>
          <w:b/>
          <w:color w:val="auto"/>
          <w:sz w:val="28"/>
          <w:szCs w:val="28"/>
          <w:highlight w:val="none"/>
        </w:rPr>
        <w:t>1</w:t>
      </w:r>
    </w:p>
    <w:p>
      <w:pPr>
        <w:adjustRightInd w:val="0"/>
        <w:snapToGrid w:val="0"/>
        <w:spacing w:line="600" w:lineRule="exact"/>
        <w:jc w:val="center"/>
        <w:rPr>
          <w:rFonts w:hint="eastAsia" w:ascii="方正小标宋简体" w:hAnsi="等线 Light" w:eastAsia="方正小标宋简体"/>
          <w:color w:val="auto"/>
          <w:sz w:val="32"/>
          <w:szCs w:val="32"/>
          <w:highlight w:val="none"/>
        </w:rPr>
      </w:pPr>
    </w:p>
    <w:p>
      <w:pPr>
        <w:adjustRightInd w:val="0"/>
        <w:snapToGrid w:val="0"/>
        <w:spacing w:line="600" w:lineRule="exact"/>
        <w:jc w:val="center"/>
        <w:rPr>
          <w:rFonts w:hint="eastAsia" w:ascii="方正小标宋简体" w:hAnsi="等线 Light" w:eastAsia="方正小标宋简体"/>
          <w:color w:val="auto"/>
          <w:sz w:val="32"/>
          <w:szCs w:val="32"/>
          <w:highlight w:val="none"/>
        </w:rPr>
      </w:pPr>
      <w:r>
        <w:rPr>
          <w:rFonts w:hint="eastAsia" w:ascii="方正小标宋简体" w:hAnsi="等线 Light" w:eastAsia="方正小标宋简体"/>
          <w:color w:val="auto"/>
          <w:sz w:val="32"/>
          <w:szCs w:val="32"/>
          <w:highlight w:val="none"/>
        </w:rPr>
        <w:t>响应文件开启表</w:t>
      </w:r>
    </w:p>
    <w:p>
      <w:pPr>
        <w:pStyle w:val="582"/>
        <w:rPr>
          <w:color w:val="auto"/>
          <w:highlight w:val="none"/>
        </w:rPr>
      </w:pPr>
    </w:p>
    <w:p>
      <w:pPr>
        <w:adjustRightInd w:val="0"/>
        <w:snapToGrid w:val="0"/>
        <w:spacing w:line="600" w:lineRule="exact"/>
        <w:ind w:firstLine="555"/>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开启时间：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时</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分</w:t>
      </w:r>
    </w:p>
    <w:tbl>
      <w:tblPr>
        <w:tblStyle w:val="86"/>
        <w:tblW w:w="0" w:type="auto"/>
        <w:tblInd w:w="-20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54"/>
        <w:gridCol w:w="2659"/>
        <w:gridCol w:w="1173"/>
        <w:gridCol w:w="1909"/>
        <w:gridCol w:w="1609"/>
        <w:gridCol w:w="6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554"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序号</w:t>
            </w:r>
          </w:p>
        </w:tc>
        <w:tc>
          <w:tcPr>
            <w:tcW w:w="2659"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供应商</w:t>
            </w:r>
          </w:p>
        </w:tc>
        <w:tc>
          <w:tcPr>
            <w:tcW w:w="1173"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密封情况</w:t>
            </w:r>
          </w:p>
        </w:tc>
        <w:tc>
          <w:tcPr>
            <w:tcW w:w="1909"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报价</w:t>
            </w:r>
            <w:r>
              <w:rPr>
                <w:rFonts w:hint="eastAsia" w:ascii="仿宋_GB2312" w:eastAsia="仿宋_GB2312"/>
                <w:color w:val="auto"/>
                <w:sz w:val="24"/>
                <w:szCs w:val="24"/>
                <w:highlight w:val="none"/>
              </w:rPr>
              <w:t>（元）</w:t>
            </w:r>
          </w:p>
        </w:tc>
        <w:tc>
          <w:tcPr>
            <w:tcW w:w="1609"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供应商代表签名</w:t>
            </w:r>
          </w:p>
        </w:tc>
        <w:tc>
          <w:tcPr>
            <w:tcW w:w="668"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554"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2659"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173"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909"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609"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668" w:type="dxa"/>
            <w:vMerge w:val="continue"/>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265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173"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90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609"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c>
          <w:tcPr>
            <w:tcW w:w="668"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l2br w:val="nil"/>
              <w:tr2bl w:val="nil"/>
            </w:tcBorders>
            <w:noWrap w:val="0"/>
            <w:vAlign w:val="center"/>
          </w:tcPr>
          <w:p>
            <w:pPr>
              <w:widowControl w:val="0"/>
              <w:adjustRightInd w:val="0"/>
              <w:jc w:val="center"/>
              <w:textAlignment w:val="baseline"/>
              <w:rPr>
                <w:color w:val="auto"/>
                <w:sz w:val="24"/>
                <w:szCs w:val="24"/>
                <w:highlight w:val="none"/>
              </w:rPr>
            </w:pPr>
          </w:p>
        </w:tc>
        <w:tc>
          <w:tcPr>
            <w:tcW w:w="265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173"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90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609"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c>
          <w:tcPr>
            <w:tcW w:w="668"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l2br w:val="nil"/>
              <w:tr2bl w:val="nil"/>
            </w:tcBorders>
            <w:noWrap w:val="0"/>
            <w:vAlign w:val="center"/>
          </w:tcPr>
          <w:p>
            <w:pPr>
              <w:widowControl w:val="0"/>
              <w:adjustRightInd w:val="0"/>
              <w:jc w:val="center"/>
              <w:textAlignment w:val="baseline"/>
              <w:rPr>
                <w:color w:val="auto"/>
                <w:sz w:val="24"/>
                <w:szCs w:val="24"/>
                <w:highlight w:val="none"/>
              </w:rPr>
            </w:pPr>
          </w:p>
        </w:tc>
        <w:tc>
          <w:tcPr>
            <w:tcW w:w="265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173"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90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609"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c>
          <w:tcPr>
            <w:tcW w:w="668"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54"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265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173"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909"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p>
        </w:tc>
        <w:tc>
          <w:tcPr>
            <w:tcW w:w="1609"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c>
          <w:tcPr>
            <w:tcW w:w="668"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p>
        </w:tc>
      </w:tr>
    </w:tbl>
    <w:p>
      <w:pPr>
        <w:adjustRightInd w:val="0"/>
        <w:snapToGrid w:val="0"/>
        <w:spacing w:line="600" w:lineRule="exact"/>
        <w:ind w:firstLine="555"/>
        <w:rPr>
          <w:rFonts w:hint="eastAsia" w:ascii="仿宋_GB2312" w:hAnsi="等线 Light" w:eastAsia="仿宋_GB2312"/>
          <w:color w:val="auto"/>
          <w:sz w:val="28"/>
          <w:szCs w:val="28"/>
          <w:highlight w:val="none"/>
          <w:u w:val="single"/>
        </w:rPr>
      </w:pPr>
      <w:r>
        <w:rPr>
          <w:rFonts w:hint="eastAsia" w:ascii="仿宋_GB2312" w:hAnsi="等线 Light" w:eastAsia="仿宋_GB2312"/>
          <w:color w:val="auto"/>
          <w:sz w:val="28"/>
          <w:szCs w:val="28"/>
          <w:highlight w:val="none"/>
        </w:rPr>
        <w:t>采购人代表</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 xml:space="preserve">      记录人</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 xml:space="preserve">  </w:t>
      </w:r>
    </w:p>
    <w:p>
      <w:pPr>
        <w:adjustRightInd w:val="0"/>
        <w:snapToGrid w:val="0"/>
        <w:spacing w:line="600" w:lineRule="exact"/>
        <w:ind w:firstLine="555"/>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p>
    <w:p>
      <w:pPr>
        <w:adjustRightInd w:val="0"/>
        <w:snapToGrid w:val="0"/>
        <w:spacing w:line="600" w:lineRule="exact"/>
        <w:ind w:firstLine="555"/>
        <w:rPr>
          <w:rFonts w:hint="eastAsia" w:ascii="仿宋_GB2312" w:hAnsi="等线 Light" w:eastAsia="仿宋_GB2312"/>
          <w:color w:val="auto"/>
          <w:sz w:val="28"/>
          <w:szCs w:val="28"/>
          <w:highlight w:val="none"/>
        </w:rPr>
      </w:pPr>
    </w:p>
    <w:p>
      <w:pPr>
        <w:pStyle w:val="84"/>
        <w:ind w:firstLine="560"/>
        <w:rPr>
          <w:rFonts w:ascii="仿宋_GB2312" w:hAnsi="等线 Light" w:eastAsia="仿宋_GB2312"/>
          <w:sz w:val="28"/>
          <w:szCs w:val="28"/>
          <w:highlight w:val="none"/>
        </w:rPr>
      </w:pPr>
    </w:p>
    <w:p>
      <w:pPr>
        <w:pStyle w:val="84"/>
        <w:ind w:firstLine="560"/>
        <w:rPr>
          <w:rFonts w:ascii="仿宋_GB2312" w:hAnsi="等线 Light" w:eastAsia="仿宋_GB2312"/>
          <w:sz w:val="28"/>
          <w:szCs w:val="28"/>
          <w:highlight w:val="none"/>
        </w:rPr>
      </w:pPr>
    </w:p>
    <w:p>
      <w:pPr>
        <w:pStyle w:val="84"/>
        <w:ind w:firstLine="560"/>
        <w:rPr>
          <w:rFonts w:ascii="仿宋_GB2312" w:hAnsi="等线 Light" w:eastAsia="仿宋_GB2312"/>
          <w:sz w:val="28"/>
          <w:szCs w:val="28"/>
          <w:highlight w:val="none"/>
        </w:rPr>
      </w:pPr>
    </w:p>
    <w:p>
      <w:pPr>
        <w:pStyle w:val="84"/>
        <w:ind w:firstLine="560"/>
        <w:rPr>
          <w:rFonts w:ascii="仿宋_GB2312" w:hAnsi="等线 Light" w:eastAsia="仿宋_GB2312"/>
          <w:sz w:val="28"/>
          <w:szCs w:val="28"/>
          <w:highlight w:val="none"/>
        </w:rPr>
      </w:pPr>
    </w:p>
    <w:p>
      <w:pPr>
        <w:pStyle w:val="84"/>
        <w:ind w:firstLine="560"/>
        <w:rPr>
          <w:rFonts w:ascii="仿宋_GB2312" w:hAnsi="等线 Light" w:eastAsia="仿宋_GB2312"/>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r>
        <w:rPr>
          <w:rFonts w:hint="eastAsia" w:ascii="等线 Light" w:hAnsi="等线 Light" w:eastAsia="等线 Light"/>
          <w:b/>
          <w:color w:val="auto"/>
          <w:sz w:val="28"/>
          <w:szCs w:val="28"/>
          <w:highlight w:val="none"/>
        </w:rPr>
        <w:t>附件2</w:t>
      </w:r>
    </w:p>
    <w:p>
      <w:pPr>
        <w:adjustRightInd w:val="0"/>
        <w:snapToGrid w:val="0"/>
        <w:spacing w:line="600" w:lineRule="exact"/>
        <w:jc w:val="center"/>
        <w:rPr>
          <w:rFonts w:hint="eastAsia" w:ascii="方正小标宋简体" w:hAnsi="等线 Light" w:eastAsia="方正小标宋简体"/>
          <w:color w:val="auto"/>
          <w:sz w:val="32"/>
          <w:szCs w:val="32"/>
          <w:highlight w:val="none"/>
        </w:rPr>
      </w:pPr>
    </w:p>
    <w:p>
      <w:pPr>
        <w:adjustRightInd w:val="0"/>
        <w:snapToGrid w:val="0"/>
        <w:spacing w:line="600" w:lineRule="exact"/>
        <w:jc w:val="center"/>
        <w:rPr>
          <w:rFonts w:hint="eastAsia" w:ascii="方正小标宋简体" w:hAnsi="等线 Light" w:eastAsia="方正小标宋简体"/>
          <w:color w:val="auto"/>
          <w:sz w:val="32"/>
          <w:szCs w:val="32"/>
          <w:highlight w:val="none"/>
        </w:rPr>
      </w:pPr>
      <w:r>
        <w:rPr>
          <w:rFonts w:hint="eastAsia" w:ascii="方正小标宋简体" w:hAnsi="等线 Light" w:eastAsia="方正小标宋简体"/>
          <w:color w:val="auto"/>
          <w:sz w:val="32"/>
          <w:szCs w:val="32"/>
          <w:highlight w:val="none"/>
        </w:rPr>
        <w:t>问题澄清通知</w:t>
      </w:r>
    </w:p>
    <w:p>
      <w:pPr>
        <w:pStyle w:val="582"/>
        <w:rPr>
          <w:color w:val="auto"/>
          <w:highlight w:val="none"/>
        </w:rPr>
      </w:pP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编号：</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u w:val="single"/>
        </w:rPr>
        <w:t xml:space="preserve">   （供应商名称）    </w:t>
      </w:r>
      <w:r>
        <w:rPr>
          <w:rFonts w:hint="eastAsia" w:ascii="仿宋_GB2312" w:hAnsi="等线 Light" w:eastAsia="仿宋_GB2312"/>
          <w:color w:val="auto"/>
          <w:sz w:val="28"/>
          <w:szCs w:val="28"/>
          <w:highlight w:val="none"/>
        </w:rPr>
        <w:t>：</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w:t>
      </w:r>
      <w:r>
        <w:rPr>
          <w:rFonts w:hint="eastAsia" w:ascii="仿宋_GB2312" w:hAnsi="等线 Light" w:eastAsia="仿宋_GB2312"/>
          <w:color w:val="auto"/>
          <w:sz w:val="28"/>
          <w:szCs w:val="28"/>
          <w:highlight w:val="none"/>
          <w:u w:val="single"/>
        </w:rPr>
        <w:t xml:space="preserve"> （项目名称） </w:t>
      </w:r>
      <w:r>
        <w:rPr>
          <w:rFonts w:hint="eastAsia" w:ascii="仿宋_GB2312" w:hAnsi="等线 Light" w:eastAsia="仿宋_GB2312"/>
          <w:color w:val="auto"/>
          <w:sz w:val="28"/>
          <w:szCs w:val="28"/>
          <w:highlight w:val="none"/>
        </w:rPr>
        <w:t>的评审小组，对你方的响应文件进行了仔细的审查，现需你方对下列问题以书面形式予以澄清：</w:t>
      </w:r>
    </w:p>
    <w:p>
      <w:pPr>
        <w:adjustRightInd w:val="0"/>
        <w:snapToGrid w:val="0"/>
        <w:spacing w:line="600" w:lineRule="exact"/>
        <w:ind w:firstLine="555"/>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1.</w:t>
      </w:r>
    </w:p>
    <w:p>
      <w:pPr>
        <w:adjustRightInd w:val="0"/>
        <w:snapToGrid w:val="0"/>
        <w:spacing w:line="600" w:lineRule="exact"/>
        <w:ind w:firstLine="555"/>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2.</w:t>
      </w:r>
    </w:p>
    <w:p>
      <w:pPr>
        <w:adjustRightInd w:val="0"/>
        <w:snapToGrid w:val="0"/>
        <w:spacing w:line="600" w:lineRule="exact"/>
        <w:ind w:firstLine="555"/>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请将上述问题的澄清于</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时前递交至</w:t>
      </w:r>
      <w:r>
        <w:rPr>
          <w:rFonts w:hint="eastAsia" w:ascii="仿宋_GB2312" w:hAnsi="等线 Light" w:eastAsia="仿宋_GB2312"/>
          <w:color w:val="auto"/>
          <w:sz w:val="28"/>
          <w:szCs w:val="28"/>
          <w:highlight w:val="none"/>
          <w:u w:val="single"/>
        </w:rPr>
        <w:t xml:space="preserve">  （详细地址） </w:t>
      </w:r>
      <w:r>
        <w:rPr>
          <w:rFonts w:hint="eastAsia" w:ascii="仿宋_GB2312" w:hAnsi="等线 Light" w:eastAsia="仿宋_GB2312"/>
          <w:color w:val="auto"/>
          <w:sz w:val="28"/>
          <w:szCs w:val="28"/>
          <w:highlight w:val="none"/>
        </w:rPr>
        <w:t>。</w:t>
      </w: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ind w:firstLine="4760" w:firstLineChars="170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u w:val="single"/>
        </w:rPr>
        <w:t xml:space="preserve">（项目名称） </w:t>
      </w:r>
      <w:r>
        <w:rPr>
          <w:rFonts w:hint="eastAsia" w:ascii="仿宋_GB2312" w:hAnsi="等线 Light" w:eastAsia="仿宋_GB2312"/>
          <w:color w:val="auto"/>
          <w:sz w:val="28"/>
          <w:szCs w:val="28"/>
          <w:highlight w:val="none"/>
        </w:rPr>
        <w:t>评审小组</w:t>
      </w:r>
    </w:p>
    <w:p>
      <w:pPr>
        <w:adjustRightInd w:val="0"/>
        <w:snapToGrid w:val="0"/>
        <w:spacing w:line="600" w:lineRule="exact"/>
        <w:ind w:firstLine="4760" w:firstLineChars="170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评审小组：</w:t>
      </w:r>
      <w:r>
        <w:rPr>
          <w:rFonts w:hint="eastAsia" w:ascii="等线 Light" w:hAnsi="等线 Light" w:eastAsia="等线 Light"/>
          <w:b/>
          <w:color w:val="auto"/>
          <w:sz w:val="28"/>
          <w:szCs w:val="28"/>
          <w:highlight w:val="none"/>
          <w:u w:val="single"/>
        </w:rPr>
        <w:t xml:space="preserve">          </w:t>
      </w:r>
      <w:r>
        <w:rPr>
          <w:rFonts w:hint="eastAsia" w:ascii="仿宋_GB2312" w:hAnsi="等线 Light" w:eastAsia="仿宋_GB2312"/>
          <w:color w:val="auto"/>
          <w:sz w:val="28"/>
          <w:szCs w:val="28"/>
          <w:highlight w:val="none"/>
        </w:rPr>
        <w:t>（签字）</w:t>
      </w:r>
    </w:p>
    <w:p>
      <w:pPr>
        <w:adjustRightInd w:val="0"/>
        <w:snapToGrid w:val="0"/>
        <w:spacing w:line="600" w:lineRule="exact"/>
        <w:ind w:firstLine="5451" w:firstLineChars="1947"/>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p>
    <w:p>
      <w:pPr>
        <w:adjustRightInd w:val="0"/>
        <w:snapToGrid w:val="0"/>
        <w:spacing w:line="600" w:lineRule="exact"/>
        <w:ind w:firstLine="4760" w:firstLineChars="1700"/>
        <w:rPr>
          <w:rFonts w:hint="eastAsia" w:ascii="等线 Light" w:hAnsi="等线 Light" w:eastAsia="等线 Light"/>
          <w:b/>
          <w:color w:val="auto"/>
          <w:sz w:val="28"/>
          <w:szCs w:val="28"/>
          <w:highlight w:val="none"/>
        </w:rPr>
      </w:pPr>
    </w:p>
    <w:p>
      <w:pPr>
        <w:pStyle w:val="2"/>
        <w:rPr>
          <w:rFonts w:hint="eastAsia"/>
          <w:color w:val="auto"/>
          <w:highlight w:val="none"/>
        </w:rPr>
      </w:pPr>
    </w:p>
    <w:p>
      <w:pPr>
        <w:adjustRightInd w:val="0"/>
        <w:snapToGrid w:val="0"/>
        <w:spacing w:line="600" w:lineRule="exact"/>
        <w:rPr>
          <w:rFonts w:hint="eastAsia" w:ascii="等线 Light" w:hAnsi="等线 Light" w:eastAsia="等线 Light"/>
          <w:b/>
          <w:color w:val="auto"/>
          <w:sz w:val="28"/>
          <w:szCs w:val="28"/>
          <w:highlight w:val="none"/>
        </w:rPr>
      </w:pPr>
      <w:r>
        <w:rPr>
          <w:rFonts w:hint="eastAsia" w:ascii="等线 Light" w:hAnsi="等线 Light" w:eastAsia="等线 Light"/>
          <w:b/>
          <w:color w:val="auto"/>
          <w:sz w:val="28"/>
          <w:szCs w:val="28"/>
          <w:highlight w:val="none"/>
        </w:rPr>
        <w:t>附件3</w:t>
      </w:r>
    </w:p>
    <w:p>
      <w:pPr>
        <w:adjustRightInd w:val="0"/>
        <w:snapToGrid w:val="0"/>
        <w:spacing w:line="600" w:lineRule="exact"/>
        <w:jc w:val="center"/>
        <w:rPr>
          <w:rFonts w:hint="eastAsia" w:ascii="方正小标宋简体" w:hAnsi="等线 Light" w:eastAsia="方正小标宋简体"/>
          <w:color w:val="auto"/>
          <w:sz w:val="32"/>
          <w:szCs w:val="32"/>
          <w:highlight w:val="none"/>
        </w:rPr>
      </w:pPr>
    </w:p>
    <w:p>
      <w:pPr>
        <w:adjustRightInd w:val="0"/>
        <w:snapToGrid w:val="0"/>
        <w:spacing w:line="600" w:lineRule="exact"/>
        <w:jc w:val="center"/>
        <w:rPr>
          <w:rFonts w:hint="eastAsia" w:ascii="方正小标宋简体" w:hAnsi="等线 Light" w:eastAsia="方正小标宋简体"/>
          <w:color w:val="auto"/>
          <w:sz w:val="32"/>
          <w:szCs w:val="32"/>
          <w:highlight w:val="none"/>
        </w:rPr>
      </w:pPr>
      <w:r>
        <w:rPr>
          <w:rFonts w:hint="eastAsia" w:ascii="方正小标宋简体" w:hAnsi="等线 Light" w:eastAsia="方正小标宋简体"/>
          <w:color w:val="auto"/>
          <w:sz w:val="32"/>
          <w:szCs w:val="32"/>
          <w:highlight w:val="none"/>
        </w:rPr>
        <w:t>问题的澄清</w:t>
      </w:r>
    </w:p>
    <w:p>
      <w:pPr>
        <w:pStyle w:val="582"/>
        <w:rPr>
          <w:color w:val="auto"/>
          <w:highlight w:val="none"/>
        </w:rPr>
      </w:pP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编号：</w:t>
      </w:r>
    </w:p>
    <w:p>
      <w:pPr>
        <w:adjustRightInd w:val="0"/>
        <w:snapToGrid w:val="0"/>
        <w:spacing w:line="600" w:lineRule="exact"/>
        <w:rPr>
          <w:rFonts w:hint="eastAsia" w:ascii="等线 Light" w:hAnsi="等线 Light" w:eastAsia="等线 Light"/>
          <w:b/>
          <w:color w:val="auto"/>
          <w:sz w:val="28"/>
          <w:szCs w:val="28"/>
          <w:highlight w:val="none"/>
        </w:rPr>
      </w:pPr>
      <w:r>
        <w:rPr>
          <w:rFonts w:hint="eastAsia" w:ascii="仿宋_GB2312" w:hAnsi="等线 Light" w:eastAsia="仿宋_GB2312"/>
          <w:color w:val="auto"/>
          <w:sz w:val="28"/>
          <w:szCs w:val="28"/>
          <w:highlight w:val="none"/>
          <w:u w:val="single"/>
        </w:rPr>
        <w:t>（项目名称）</w:t>
      </w:r>
      <w:r>
        <w:rPr>
          <w:rFonts w:hint="eastAsia" w:ascii="仿宋_GB2312" w:hAnsi="等线 Light" w:eastAsia="仿宋_GB2312"/>
          <w:color w:val="auto"/>
          <w:sz w:val="28"/>
          <w:szCs w:val="28"/>
          <w:highlight w:val="none"/>
        </w:rPr>
        <w:t>评审小组：</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问题澄清通知（编号：</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）已收悉，现澄清如下：</w:t>
      </w:r>
    </w:p>
    <w:p>
      <w:pPr>
        <w:adjustRightInd w:val="0"/>
        <w:snapToGrid w:val="0"/>
        <w:spacing w:line="600" w:lineRule="exact"/>
        <w:ind w:firstLine="57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1.</w:t>
      </w:r>
    </w:p>
    <w:p>
      <w:pPr>
        <w:adjustRightInd w:val="0"/>
        <w:snapToGrid w:val="0"/>
        <w:spacing w:line="600" w:lineRule="exact"/>
        <w:ind w:firstLine="57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2.</w:t>
      </w:r>
    </w:p>
    <w:p>
      <w:pPr>
        <w:adjustRightInd w:val="0"/>
        <w:snapToGrid w:val="0"/>
        <w:spacing w:line="600" w:lineRule="exact"/>
        <w:ind w:firstLine="570"/>
        <w:rPr>
          <w:rFonts w:hint="eastAsia" w:ascii="等线 Light" w:hAnsi="等线 Light" w:eastAsia="等线 Light"/>
          <w:b/>
          <w:color w:val="auto"/>
          <w:sz w:val="28"/>
          <w:szCs w:val="28"/>
          <w:highlight w:val="none"/>
        </w:rPr>
      </w:pPr>
    </w:p>
    <w:p>
      <w:pPr>
        <w:adjustRightInd w:val="0"/>
        <w:snapToGrid w:val="0"/>
        <w:spacing w:line="600" w:lineRule="exact"/>
        <w:ind w:firstLine="2520" w:firstLineChars="90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供应商：</w:t>
      </w:r>
      <w:r>
        <w:rPr>
          <w:rFonts w:hint="eastAsia" w:ascii="等线 Light" w:hAnsi="等线 Light" w:eastAsia="等线 Light"/>
          <w:b/>
          <w:color w:val="auto"/>
          <w:sz w:val="28"/>
          <w:szCs w:val="28"/>
          <w:highlight w:val="none"/>
          <w:u w:val="single"/>
        </w:rPr>
        <w:t xml:space="preserve">                        </w:t>
      </w:r>
      <w:r>
        <w:rPr>
          <w:rFonts w:hint="eastAsia" w:ascii="仿宋_GB2312" w:hAnsi="等线 Light" w:eastAsia="仿宋_GB2312"/>
          <w:color w:val="auto"/>
          <w:sz w:val="28"/>
          <w:szCs w:val="28"/>
          <w:highlight w:val="none"/>
        </w:rPr>
        <w:t>（公章）</w:t>
      </w:r>
    </w:p>
    <w:p>
      <w:pPr>
        <w:adjustRightInd w:val="0"/>
        <w:snapToGrid w:val="0"/>
        <w:spacing w:line="600" w:lineRule="exact"/>
        <w:ind w:firstLine="2520" w:firstLineChars="90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法定代表人或委托代理人：</w:t>
      </w:r>
      <w:r>
        <w:rPr>
          <w:rFonts w:hint="eastAsia" w:ascii="等线 Light" w:hAnsi="等线 Light" w:eastAsia="等线 Light"/>
          <w:b/>
          <w:color w:val="auto"/>
          <w:sz w:val="28"/>
          <w:szCs w:val="28"/>
          <w:highlight w:val="none"/>
          <w:u w:val="single"/>
        </w:rPr>
        <w:t xml:space="preserve">          </w:t>
      </w:r>
      <w:r>
        <w:rPr>
          <w:rFonts w:hint="eastAsia" w:ascii="仿宋_GB2312" w:hAnsi="等线 Light" w:eastAsia="仿宋_GB2312"/>
          <w:color w:val="auto"/>
          <w:sz w:val="28"/>
          <w:szCs w:val="28"/>
          <w:highlight w:val="none"/>
        </w:rPr>
        <w:t>（签字）</w:t>
      </w:r>
    </w:p>
    <w:p>
      <w:pPr>
        <w:adjustRightInd w:val="0"/>
        <w:snapToGrid w:val="0"/>
        <w:spacing w:line="600" w:lineRule="exact"/>
        <w:ind w:firstLine="5451" w:firstLineChars="1947"/>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p>
    <w:p>
      <w:pPr>
        <w:adjustRightInd w:val="0"/>
        <w:snapToGrid w:val="0"/>
        <w:spacing w:line="600" w:lineRule="exact"/>
        <w:ind w:firstLine="2665" w:firstLineChars="952"/>
        <w:rPr>
          <w:rFonts w:hint="eastAsia" w:ascii="仿宋_GB2312" w:hAnsi="等线 Light" w:eastAsia="仿宋_GB2312"/>
          <w:color w:val="auto"/>
          <w:sz w:val="28"/>
          <w:szCs w:val="28"/>
          <w:highlight w:val="none"/>
        </w:rPr>
      </w:pPr>
    </w:p>
    <w:p>
      <w:pPr>
        <w:adjustRightInd w:val="0"/>
        <w:snapToGrid w:val="0"/>
        <w:spacing w:line="600" w:lineRule="exact"/>
        <w:ind w:firstLine="2665" w:firstLineChars="952"/>
        <w:rPr>
          <w:rFonts w:hint="eastAsia" w:ascii="仿宋_GB2312" w:hAnsi="等线 Light" w:eastAsia="仿宋_GB2312"/>
          <w:color w:val="auto"/>
          <w:sz w:val="28"/>
          <w:szCs w:val="28"/>
          <w:highlight w:val="none"/>
        </w:rPr>
      </w:pPr>
    </w:p>
    <w:p>
      <w:pPr>
        <w:pStyle w:val="84"/>
        <w:ind w:firstLine="480"/>
        <w:rPr>
          <w:rFonts w:hint="default"/>
          <w:highlight w:val="none"/>
        </w:rPr>
      </w:pPr>
    </w:p>
    <w:p>
      <w:pPr>
        <w:adjustRightInd w:val="0"/>
        <w:snapToGrid w:val="0"/>
        <w:spacing w:line="600" w:lineRule="exact"/>
        <w:ind w:firstLine="2665" w:firstLineChars="952"/>
        <w:rPr>
          <w:rFonts w:hint="eastAsia" w:ascii="仿宋_GB2312" w:hAnsi="等线 Light" w:eastAsia="仿宋_GB2312"/>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r>
        <w:rPr>
          <w:rFonts w:hint="eastAsia" w:ascii="等线 Light" w:hAnsi="等线 Light" w:eastAsia="等线 Light"/>
          <w:b/>
          <w:color w:val="auto"/>
          <w:sz w:val="28"/>
          <w:szCs w:val="28"/>
          <w:highlight w:val="none"/>
        </w:rPr>
        <w:t xml:space="preserve">附件4 </w:t>
      </w:r>
    </w:p>
    <w:p>
      <w:pPr>
        <w:adjustRightInd w:val="0"/>
        <w:snapToGrid w:val="0"/>
        <w:spacing w:line="600" w:lineRule="exact"/>
        <w:jc w:val="center"/>
        <w:rPr>
          <w:rFonts w:hint="eastAsia" w:ascii="方正小标宋简体" w:hAnsi="等线 Light" w:eastAsia="方正小标宋简体"/>
          <w:color w:val="auto"/>
          <w:sz w:val="32"/>
          <w:szCs w:val="32"/>
          <w:highlight w:val="none"/>
        </w:rPr>
      </w:pPr>
    </w:p>
    <w:p>
      <w:pPr>
        <w:adjustRightInd w:val="0"/>
        <w:snapToGrid w:val="0"/>
        <w:spacing w:line="600" w:lineRule="exact"/>
        <w:jc w:val="center"/>
        <w:rPr>
          <w:rFonts w:hint="eastAsia" w:ascii="方正小标宋简体" w:hAnsi="等线 Light" w:eastAsia="方正小标宋简体"/>
          <w:color w:val="auto"/>
          <w:sz w:val="32"/>
          <w:szCs w:val="32"/>
          <w:highlight w:val="none"/>
        </w:rPr>
      </w:pPr>
      <w:r>
        <w:rPr>
          <w:rFonts w:hint="eastAsia" w:ascii="方正小标宋简体" w:hAnsi="等线 Light" w:eastAsia="方正小标宋简体"/>
          <w:color w:val="auto"/>
          <w:sz w:val="32"/>
          <w:szCs w:val="32"/>
          <w:highlight w:val="none"/>
        </w:rPr>
        <w:t>成交通知书</w:t>
      </w:r>
    </w:p>
    <w:p>
      <w:pPr>
        <w:pStyle w:val="582"/>
        <w:rPr>
          <w:color w:val="auto"/>
          <w:highlight w:val="none"/>
        </w:rPr>
      </w:pPr>
    </w:p>
    <w:p>
      <w:pPr>
        <w:pStyle w:val="582"/>
        <w:ind w:firstLine="3630" w:firstLineChars="1650"/>
        <w:rPr>
          <w:rFonts w:ascii="仿宋_GB2312" w:eastAsia="仿宋_GB2312"/>
          <w:color w:val="auto"/>
          <w:highlight w:val="none"/>
        </w:rPr>
      </w:pPr>
      <w:r>
        <w:rPr>
          <w:rFonts w:hint="eastAsia" w:ascii="仿宋_GB2312" w:eastAsia="仿宋_GB2312"/>
          <w:color w:val="auto"/>
          <w:highlight w:val="none"/>
        </w:rPr>
        <w:t>（编号：</w:t>
      </w:r>
      <w:r>
        <w:rPr>
          <w:rFonts w:ascii="仿宋_GB2312" w:eastAsia="仿宋_GB2312"/>
          <w:color w:val="auto"/>
          <w:highlight w:val="none"/>
        </w:rPr>
        <w:t xml:space="preserve">        </w:t>
      </w:r>
      <w:r>
        <w:rPr>
          <w:rFonts w:hint="eastAsia" w:ascii="仿宋_GB2312" w:eastAsia="仿宋_GB2312"/>
          <w:color w:val="auto"/>
          <w:highlight w:val="none"/>
        </w:rPr>
        <w:t>）</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u w:val="single"/>
        </w:rPr>
        <w:t xml:space="preserve">   （成交供应商名称）    </w:t>
      </w:r>
      <w:r>
        <w:rPr>
          <w:rFonts w:hint="eastAsia" w:ascii="仿宋_GB2312" w:hAnsi="等线 Light" w:eastAsia="仿宋_GB2312"/>
          <w:color w:val="auto"/>
          <w:sz w:val="28"/>
          <w:szCs w:val="28"/>
          <w:highlight w:val="none"/>
        </w:rPr>
        <w:t>：</w:t>
      </w:r>
    </w:p>
    <w:p>
      <w:pPr>
        <w:adjustRightInd w:val="0"/>
        <w:snapToGrid w:val="0"/>
        <w:spacing w:line="600" w:lineRule="exact"/>
        <w:ind w:firstLine="57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你方递交的响应文件已被我方接受，你方已被确认为</w:t>
      </w:r>
      <w:r>
        <w:rPr>
          <w:rFonts w:hint="eastAsia" w:ascii="仿宋_GB2312" w:hAnsi="等线 Light" w:eastAsia="仿宋_GB2312"/>
          <w:color w:val="auto"/>
          <w:sz w:val="28"/>
          <w:szCs w:val="28"/>
          <w:highlight w:val="none"/>
          <w:u w:val="single"/>
        </w:rPr>
        <w:t xml:space="preserve">      项目</w:t>
      </w:r>
      <w:r>
        <w:rPr>
          <w:rFonts w:hint="eastAsia" w:ascii="仿宋_GB2312" w:hAnsi="等线 Light" w:eastAsia="仿宋_GB2312"/>
          <w:color w:val="auto"/>
          <w:sz w:val="28"/>
          <w:szCs w:val="28"/>
          <w:highlight w:val="none"/>
        </w:rPr>
        <w:t>的成交供应商。</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成交价格：</w:t>
      </w:r>
    </w:p>
    <w:p>
      <w:pPr>
        <w:adjustRightInd w:val="0"/>
        <w:snapToGrid w:val="0"/>
        <w:spacing w:line="600" w:lineRule="exact"/>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请你方在接到本通知书后的</w:t>
      </w:r>
      <w:r>
        <w:rPr>
          <w:rFonts w:hint="eastAsia" w:ascii="仿宋_GB2312" w:hAnsi="等线 Light" w:eastAsia="仿宋_GB2312"/>
          <w:color w:val="auto"/>
          <w:sz w:val="28"/>
          <w:szCs w:val="28"/>
          <w:highlight w:val="none"/>
          <w:u w:val="single"/>
        </w:rPr>
        <w:t>30</w:t>
      </w:r>
      <w:r>
        <w:rPr>
          <w:rFonts w:hint="eastAsia" w:ascii="仿宋_GB2312" w:hAnsi="等线 Light" w:eastAsia="仿宋_GB2312"/>
          <w:color w:val="auto"/>
          <w:sz w:val="28"/>
          <w:szCs w:val="28"/>
          <w:highlight w:val="none"/>
        </w:rPr>
        <w:t>日内与我方签订采购合同，逾期视为自动放弃成交资格。</w:t>
      </w: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ind w:firstLine="4760" w:firstLineChars="1700"/>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采购人：</w:t>
      </w:r>
      <w:r>
        <w:rPr>
          <w:rFonts w:hint="eastAsia" w:ascii="等线 Light" w:hAnsi="等线 Light" w:eastAsia="等线 Light"/>
          <w:b/>
          <w:color w:val="auto"/>
          <w:sz w:val="28"/>
          <w:szCs w:val="28"/>
          <w:highlight w:val="none"/>
          <w:u w:val="single"/>
        </w:rPr>
        <w:t xml:space="preserve">          </w:t>
      </w:r>
      <w:r>
        <w:rPr>
          <w:rFonts w:hint="eastAsia" w:ascii="仿宋_GB2312" w:hAnsi="等线 Light" w:eastAsia="仿宋_GB2312"/>
          <w:color w:val="auto"/>
          <w:sz w:val="28"/>
          <w:szCs w:val="28"/>
          <w:highlight w:val="none"/>
        </w:rPr>
        <w:t>（公章）</w:t>
      </w:r>
    </w:p>
    <w:p>
      <w:pPr>
        <w:adjustRightInd w:val="0"/>
        <w:snapToGrid w:val="0"/>
        <w:spacing w:line="600" w:lineRule="exact"/>
        <w:ind w:firstLine="5451" w:firstLineChars="1947"/>
        <w:rPr>
          <w:rFonts w:hint="eastAsia" w:ascii="仿宋_GB2312" w:hAnsi="等线 Light" w:eastAsia="仿宋_GB2312"/>
          <w:color w:val="auto"/>
          <w:sz w:val="28"/>
          <w:szCs w:val="28"/>
          <w:highlight w:val="none"/>
        </w:rPr>
      </w:pPr>
      <w:r>
        <w:rPr>
          <w:rFonts w:hint="eastAsia" w:ascii="仿宋_GB2312" w:hAnsi="等线 Light" w:eastAsia="仿宋_GB2312"/>
          <w:color w:val="auto"/>
          <w:sz w:val="28"/>
          <w:szCs w:val="28"/>
          <w:highlight w:val="none"/>
        </w:rPr>
        <w:t xml:space="preserve"> </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年</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月</w:t>
      </w:r>
      <w:r>
        <w:rPr>
          <w:rFonts w:hint="eastAsia" w:ascii="仿宋_GB2312" w:hAnsi="等线 Light" w:eastAsia="仿宋_GB2312"/>
          <w:color w:val="auto"/>
          <w:sz w:val="28"/>
          <w:szCs w:val="28"/>
          <w:highlight w:val="none"/>
          <w:u w:val="single"/>
        </w:rPr>
        <w:t xml:space="preserve">    </w:t>
      </w:r>
      <w:r>
        <w:rPr>
          <w:rFonts w:hint="eastAsia" w:ascii="仿宋_GB2312" w:hAnsi="等线 Light" w:eastAsia="仿宋_GB2312"/>
          <w:color w:val="auto"/>
          <w:sz w:val="28"/>
          <w:szCs w:val="28"/>
          <w:highlight w:val="none"/>
        </w:rPr>
        <w:t>日</w:t>
      </w: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p>
    <w:p>
      <w:pPr>
        <w:pStyle w:val="84"/>
        <w:ind w:firstLine="560"/>
        <w:rPr>
          <w:rFonts w:ascii="等线 Light" w:hAnsi="等线 Light" w:eastAsia="等线 Light"/>
          <w:b/>
          <w:sz w:val="28"/>
          <w:szCs w:val="28"/>
          <w:highlight w:val="none"/>
        </w:rPr>
      </w:pPr>
    </w:p>
    <w:p>
      <w:pPr>
        <w:pStyle w:val="84"/>
        <w:ind w:firstLine="560"/>
        <w:rPr>
          <w:rFonts w:ascii="等线 Light" w:hAnsi="等线 Light" w:eastAsia="等线 Light"/>
          <w:b/>
          <w:sz w:val="28"/>
          <w:szCs w:val="28"/>
          <w:highlight w:val="none"/>
        </w:rPr>
      </w:pPr>
    </w:p>
    <w:p>
      <w:pPr>
        <w:pStyle w:val="84"/>
        <w:ind w:firstLine="560"/>
        <w:rPr>
          <w:rFonts w:ascii="等线 Light" w:hAnsi="等线 Light" w:eastAsia="等线 Light"/>
          <w:b/>
          <w:sz w:val="28"/>
          <w:szCs w:val="28"/>
          <w:highlight w:val="none"/>
        </w:rPr>
      </w:pPr>
    </w:p>
    <w:p>
      <w:pPr>
        <w:adjustRightInd w:val="0"/>
        <w:snapToGrid w:val="0"/>
        <w:spacing w:line="600" w:lineRule="exact"/>
        <w:rPr>
          <w:rFonts w:hint="eastAsia" w:ascii="等线 Light" w:hAnsi="等线 Light" w:eastAsia="等线 Light"/>
          <w:b/>
          <w:color w:val="auto"/>
          <w:sz w:val="28"/>
          <w:szCs w:val="28"/>
          <w:highlight w:val="none"/>
        </w:rPr>
      </w:pPr>
      <w:r>
        <w:rPr>
          <w:rFonts w:hint="eastAsia" w:ascii="等线 Light" w:hAnsi="等线 Light" w:eastAsia="等线 Light"/>
          <w:b/>
          <w:color w:val="auto"/>
          <w:sz w:val="28"/>
          <w:szCs w:val="28"/>
          <w:highlight w:val="none"/>
        </w:rPr>
        <w:t xml:space="preserve">附件5 </w:t>
      </w:r>
    </w:p>
    <w:p>
      <w:pPr>
        <w:jc w:val="center"/>
        <w:rPr>
          <w:rFonts w:hint="eastAsia" w:ascii="宋体" w:hAnsi="宋体" w:cs="宋体"/>
          <w:b/>
          <w:bCs/>
          <w:color w:val="auto"/>
          <w:sz w:val="44"/>
          <w:szCs w:val="44"/>
          <w:highlight w:val="none"/>
        </w:rPr>
      </w:pPr>
    </w:p>
    <w:p>
      <w:pPr>
        <w:jc w:val="center"/>
        <w:rPr>
          <w:rFonts w:hint="eastAsia" w:ascii="宋体" w:hAnsi="宋体" w:cs="宋体"/>
          <w:b/>
          <w:bCs/>
          <w:color w:val="auto"/>
          <w:sz w:val="44"/>
          <w:szCs w:val="44"/>
          <w:highlight w:val="none"/>
        </w:rPr>
      </w:pPr>
      <w:r>
        <w:rPr>
          <w:rFonts w:hint="eastAsia" w:ascii="宋体" w:hAnsi="宋体" w:cs="宋体"/>
          <w:b/>
          <w:bCs/>
          <w:color w:val="auto"/>
          <w:sz w:val="44"/>
          <w:szCs w:val="44"/>
          <w:highlight w:val="none"/>
        </w:rPr>
        <w:t>关于**</w:t>
      </w:r>
      <w:r>
        <w:rPr>
          <w:rFonts w:ascii="宋体" w:hAnsi="宋体" w:cs="宋体"/>
          <w:b/>
          <w:bCs/>
          <w:color w:val="auto"/>
          <w:sz w:val="44"/>
          <w:szCs w:val="44"/>
          <w:highlight w:val="none"/>
        </w:rPr>
        <w:t>项目异议书</w:t>
      </w:r>
    </w:p>
    <w:p>
      <w:pPr>
        <w:spacing w:line="408" w:lineRule="auto"/>
        <w:jc w:val="center"/>
        <w:rPr>
          <w:rFonts w:hint="eastAsia" w:hAnsi="宋体" w:cs="仿宋_GB2312"/>
          <w:color w:val="auto"/>
          <w:kern w:val="0"/>
          <w:sz w:val="24"/>
          <w:highlight w:val="none"/>
        </w:rPr>
      </w:pPr>
      <w:r>
        <w:rPr>
          <w:rFonts w:hAnsi="宋体" w:cs="仿宋_GB2312"/>
          <w:color w:val="auto"/>
          <w:kern w:val="0"/>
          <w:sz w:val="24"/>
          <w:highlight w:val="none"/>
        </w:rPr>
        <w:t>(参考格式)</w:t>
      </w:r>
    </w:p>
    <w:p>
      <w:pPr>
        <w:rPr>
          <w:rFonts w:ascii="仿宋_GB2312" w:eastAsia="仿宋_GB2312"/>
          <w:color w:val="auto"/>
          <w:kern w:val="0"/>
          <w:sz w:val="28"/>
          <w:szCs w:val="28"/>
          <w:highlight w:val="none"/>
        </w:rPr>
      </w:pPr>
      <w:r>
        <w:rPr>
          <w:rFonts w:hint="eastAsia" w:ascii="仿宋_GB2312" w:eastAsia="仿宋_GB2312"/>
          <w:color w:val="auto"/>
          <w:kern w:val="0"/>
          <w:sz w:val="28"/>
          <w:szCs w:val="28"/>
          <w:highlight w:val="none"/>
        </w:rPr>
        <w:t>项目名称：</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bCs/>
          <w:color w:val="auto"/>
          <w:kern w:val="0"/>
          <w:sz w:val="28"/>
          <w:szCs w:val="28"/>
          <w:highlight w:val="none"/>
        </w:rPr>
        <w:t>异议人：</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住所地：               邮编：</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法定代表人：           联系电话：</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异议人授权代表：       性别：</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住址：                 联系电话：</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bCs/>
          <w:color w:val="auto"/>
          <w:kern w:val="0"/>
          <w:sz w:val="28"/>
          <w:szCs w:val="28"/>
          <w:highlight w:val="none"/>
        </w:rPr>
        <w:t>提起异议事项的基本事实：</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bCs/>
          <w:color w:val="auto"/>
          <w:kern w:val="0"/>
          <w:sz w:val="28"/>
          <w:szCs w:val="28"/>
          <w:highlight w:val="none"/>
        </w:rPr>
        <w:t>相关请求及主张：</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bCs/>
          <w:color w:val="auto"/>
          <w:kern w:val="0"/>
          <w:sz w:val="28"/>
          <w:szCs w:val="28"/>
          <w:highlight w:val="none"/>
        </w:rPr>
        <w:t>有效线索和相关证明材料：</w:t>
      </w:r>
    </w:p>
    <w:p>
      <w:pPr>
        <w:rPr>
          <w:rFonts w:hint="eastAsia" w:ascii="仿宋_GB2312" w:hAnsi="宋体" w:eastAsia="仿宋_GB2312" w:cs="仿宋_GB2312"/>
          <w:bCs/>
          <w:color w:val="auto"/>
          <w:kern w:val="0"/>
          <w:sz w:val="28"/>
          <w:szCs w:val="28"/>
          <w:highlight w:val="none"/>
        </w:rPr>
      </w:pPr>
      <w:r>
        <w:rPr>
          <w:rFonts w:hint="eastAsia" w:ascii="仿宋_GB2312" w:hAnsi="宋体" w:eastAsia="仿宋_GB2312" w:cs="仿宋_GB2312"/>
          <w:bCs/>
          <w:color w:val="auto"/>
          <w:kern w:val="0"/>
          <w:sz w:val="28"/>
          <w:szCs w:val="28"/>
          <w:highlight w:val="none"/>
        </w:rPr>
        <w:t>异议提起人与项目有利害关系的证明材料（见说明）：</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 xml:space="preserve">        此致</w:t>
      </w:r>
    </w:p>
    <w:p>
      <w:pP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u w:val="single"/>
        </w:rPr>
        <w:t>（采购人）</w:t>
      </w:r>
    </w:p>
    <w:p>
      <w:pPr>
        <w:rPr>
          <w:rFonts w:hint="eastAsia" w:ascii="仿宋_GB2312" w:hAnsi="宋体" w:eastAsia="仿宋_GB2312" w:cs="仿宋_GB2312"/>
          <w:color w:val="auto"/>
          <w:kern w:val="0"/>
          <w:sz w:val="28"/>
          <w:szCs w:val="28"/>
          <w:highlight w:val="none"/>
        </w:rPr>
      </w:pPr>
    </w:p>
    <w:p>
      <w:pPr>
        <w:pStyle w:val="84"/>
        <w:ind w:firstLine="480"/>
        <w:rPr>
          <w:rFonts w:hint="default"/>
          <w:highlight w:val="none"/>
        </w:rPr>
      </w:pPr>
    </w:p>
    <w:p>
      <w:pPr>
        <w:ind w:left="98" w:leftChars="47" w:firstLine="3920" w:firstLineChars="1400"/>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异议人（公章）：</w:t>
      </w:r>
    </w:p>
    <w:p>
      <w:pPr>
        <w:ind w:left="98" w:leftChars="47" w:firstLine="3360" w:firstLineChars="1200"/>
        <w:rPr>
          <w:rFonts w:hint="eastAsia" w:ascii="仿宋_GB2312" w:hAnsi="宋体" w:eastAsia="仿宋_GB2312" w:cs="仿宋_GB2312"/>
          <w:color w:val="auto"/>
          <w:kern w:val="0"/>
          <w:sz w:val="28"/>
          <w:szCs w:val="28"/>
          <w:highlight w:val="none"/>
          <w:u w:val="single"/>
        </w:rPr>
      </w:pPr>
      <w:r>
        <w:rPr>
          <w:rFonts w:hint="eastAsia" w:ascii="仿宋_GB2312" w:hAnsi="宋体" w:eastAsia="仿宋_GB2312" w:cs="仿宋_GB2312"/>
          <w:color w:val="auto"/>
          <w:kern w:val="0"/>
          <w:sz w:val="28"/>
          <w:szCs w:val="28"/>
          <w:highlight w:val="none"/>
        </w:rPr>
        <w:t>法定代表人或授权代表（签字）</w:t>
      </w:r>
    </w:p>
    <w:p>
      <w:pPr>
        <w:ind w:firstLine="560" w:firstLineChars="200"/>
        <w:jc w:val="center"/>
        <w:rPr>
          <w:rFonts w:hint="eastAsia" w:ascii="仿宋_GB2312" w:hAnsi="宋体" w:eastAsia="仿宋_GB2312" w:cs="宋体"/>
          <w:color w:val="auto"/>
          <w:kern w:val="0"/>
          <w:sz w:val="28"/>
          <w:szCs w:val="28"/>
          <w:highlight w:val="none"/>
        </w:rPr>
      </w:pPr>
      <w:r>
        <w:rPr>
          <w:rFonts w:hint="eastAsia" w:ascii="仿宋_GB2312" w:hAnsi="宋体" w:eastAsia="仿宋_GB2312" w:cs="仿宋_GB2312"/>
          <w:color w:val="auto"/>
          <w:kern w:val="0"/>
          <w:sz w:val="28"/>
          <w:szCs w:val="28"/>
          <w:highlight w:val="none"/>
        </w:rPr>
        <w:t xml:space="preserve">                                     年    月   日</w:t>
      </w:r>
    </w:p>
    <w:p>
      <w:pPr>
        <w:rPr>
          <w:rFonts w:hint="eastAsia" w:ascii="仿宋_GB2312" w:hAnsi="宋体" w:eastAsia="仿宋_GB2312" w:cs="仿宋_GB2312"/>
          <w:bCs/>
          <w:color w:val="auto"/>
          <w:kern w:val="0"/>
          <w:sz w:val="28"/>
          <w:szCs w:val="28"/>
          <w:highlight w:val="none"/>
        </w:rPr>
      </w:pP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说明：</w:t>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1.异议提起人是法人的，异议书必须由其法定代表人或者授权代表签字并盖章；其他组织或者自然人提出异议的，异议书必须由其主要负责人或者异议提起人本人签字，并附有效身份证明复印件。</w:t>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2.异议提起人可以自己直接提交异议书，也可以委托代理人办理异议事务。代理人办理异议事务时，应当将授权委托书连同异议书一并提交给招标人。授权委托书应当明确有关委托代理权限和事项。</w:t>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3.为证明与异议项目有利害关系，投标人以外的其他异议提起人应当提供相应证明材料：</w:t>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（1）属潜在投标人的，提交符合法定有关资格要求的证明文件；</w:t>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（2）属特定分包人或者供应商的，提交证明其与该项目投标人绑定投标的附条件生效协议以及能证明其能履行该协议项下的合同义务的能力的证明文件。</w:t>
      </w:r>
      <w:r>
        <w:rPr>
          <w:rFonts w:hint="eastAsia" w:ascii="仿宋_GB2312" w:hAnsi="仿宋" w:eastAsia="仿宋_GB2312"/>
          <w:color w:val="auto"/>
          <w:sz w:val="28"/>
          <w:szCs w:val="28"/>
          <w:highlight w:val="none"/>
        </w:rPr>
        <w:tab/>
      </w:r>
    </w:p>
    <w:p>
      <w:pPr>
        <w:rPr>
          <w:rFonts w:hint="eastAsia" w:ascii="仿宋_GB2312" w:hAnsi="仿宋" w:eastAsia="仿宋_GB2312"/>
          <w:color w:val="auto"/>
          <w:sz w:val="28"/>
          <w:szCs w:val="28"/>
          <w:highlight w:val="none"/>
        </w:rPr>
      </w:pPr>
      <w:r>
        <w:rPr>
          <w:rFonts w:hint="eastAsia" w:ascii="仿宋_GB2312" w:hAnsi="仿宋" w:eastAsia="仿宋_GB2312"/>
          <w:color w:val="auto"/>
          <w:sz w:val="28"/>
          <w:szCs w:val="28"/>
          <w:highlight w:val="none"/>
        </w:rPr>
        <w:t>（3）可证明与异议项目有利害关系的其他证明文件。</w:t>
      </w:r>
    </w:p>
    <w:p>
      <w:pPr>
        <w:pStyle w:val="84"/>
        <w:ind w:firstLine="560"/>
        <w:rPr>
          <w:rFonts w:hint="default" w:ascii="仿宋_GB2312" w:eastAsia="仿宋_GB2312"/>
          <w:sz w:val="28"/>
          <w:szCs w:val="28"/>
          <w:highlight w:val="none"/>
        </w:rPr>
      </w:pPr>
    </w:p>
    <w:p>
      <w:pPr>
        <w:pStyle w:val="84"/>
        <w:ind w:firstLine="560"/>
        <w:rPr>
          <w:rFonts w:hint="default" w:ascii="仿宋_GB2312" w:eastAsia="仿宋_GB2312"/>
          <w:sz w:val="28"/>
          <w:szCs w:val="28"/>
          <w:highlight w:val="none"/>
        </w:rPr>
      </w:pPr>
    </w:p>
    <w:p>
      <w:pPr>
        <w:pStyle w:val="84"/>
        <w:ind w:firstLine="560"/>
        <w:rPr>
          <w:rFonts w:hint="default" w:ascii="仿宋_GB2312" w:eastAsia="仿宋_GB2312"/>
          <w:sz w:val="28"/>
          <w:szCs w:val="28"/>
          <w:highlight w:val="none"/>
        </w:rPr>
      </w:pPr>
    </w:p>
    <w:p>
      <w:pPr>
        <w:pStyle w:val="84"/>
        <w:ind w:firstLine="560"/>
        <w:rPr>
          <w:rFonts w:hint="default" w:ascii="仿宋_GB2312" w:eastAsia="仿宋_GB2312"/>
          <w:sz w:val="28"/>
          <w:szCs w:val="28"/>
          <w:highlight w:val="none"/>
        </w:rPr>
      </w:pPr>
    </w:p>
    <w:p>
      <w:pPr>
        <w:pStyle w:val="84"/>
        <w:ind w:firstLine="560"/>
        <w:rPr>
          <w:rFonts w:hint="default" w:ascii="仿宋_GB2312" w:eastAsia="仿宋_GB2312"/>
          <w:sz w:val="28"/>
          <w:szCs w:val="28"/>
          <w:highlight w:val="none"/>
        </w:rPr>
      </w:pPr>
    </w:p>
    <w:p>
      <w:pPr>
        <w:pStyle w:val="84"/>
        <w:ind w:firstLine="560"/>
        <w:rPr>
          <w:rFonts w:hint="default" w:ascii="仿宋_GB2312" w:eastAsia="仿宋_GB2312"/>
          <w:sz w:val="28"/>
          <w:szCs w:val="28"/>
          <w:highlight w:val="none"/>
        </w:rPr>
      </w:pPr>
    </w:p>
    <w:p>
      <w:pPr>
        <w:pStyle w:val="84"/>
        <w:ind w:firstLine="560"/>
        <w:rPr>
          <w:rFonts w:hint="default" w:ascii="仿宋_GB2312" w:eastAsia="仿宋_GB2312"/>
          <w:sz w:val="28"/>
          <w:szCs w:val="28"/>
          <w:highlight w:val="none"/>
        </w:rPr>
      </w:pPr>
    </w:p>
    <w:p>
      <w:pPr>
        <w:pStyle w:val="84"/>
        <w:ind w:firstLine="560"/>
        <w:rPr>
          <w:rFonts w:hint="default" w:ascii="仿宋_GB2312" w:eastAsia="仿宋_GB2312"/>
          <w:sz w:val="28"/>
          <w:szCs w:val="28"/>
          <w:highlight w:val="none"/>
        </w:rPr>
      </w:pPr>
    </w:p>
    <w:p>
      <w:pPr>
        <w:pStyle w:val="84"/>
        <w:ind w:firstLine="560"/>
        <w:rPr>
          <w:rFonts w:hint="default" w:ascii="仿宋_GB2312" w:eastAsia="仿宋_GB2312"/>
          <w:sz w:val="28"/>
          <w:szCs w:val="28"/>
          <w:highlight w:val="none"/>
        </w:rPr>
      </w:pPr>
    </w:p>
    <w:p>
      <w:pPr>
        <w:pStyle w:val="81"/>
        <w:jc w:val="both"/>
        <w:rPr>
          <w:rFonts w:hint="eastAsia" w:ascii="方正小标宋简体" w:hAnsi="方正小标宋简体" w:eastAsia="方正小标宋简体" w:cs="方正小标宋简体"/>
          <w:sz w:val="40"/>
          <w:szCs w:val="40"/>
          <w:highlight w:val="none"/>
        </w:rPr>
      </w:pPr>
      <w:bookmarkStart w:id="26" w:name="_Toc21455"/>
      <w:bookmarkStart w:id="27" w:name="_Toc2867"/>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1312" behindDoc="0" locked="0" layoutInCell="1" allowOverlap="1">
                <wp:simplePos x="0" y="0"/>
                <wp:positionH relativeFrom="column">
                  <wp:posOffset>2325370</wp:posOffset>
                </wp:positionH>
                <wp:positionV relativeFrom="paragraph">
                  <wp:posOffset>13970</wp:posOffset>
                </wp:positionV>
                <wp:extent cx="958850" cy="0"/>
                <wp:effectExtent l="0" t="4445" r="0" b="5080"/>
                <wp:wrapNone/>
                <wp:docPr id="1" name="自选图形 7"/>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7" o:spid="_x0000_s1026" o:spt="32" type="#_x0000_t32" style="position:absolute;left:0pt;margin-left:183.1pt;margin-top:1.1pt;height:0pt;width:75.5pt;z-index:251661312;mso-width-relative:page;mso-height-relative:page;" filled="f" stroked="t" coordsize="21600,21600" o:gfxdata="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DE9q/VAAAABwEAAA8AAAAAAAAAAQAgAAAAIgAAAGRycy9kb3ducmV2LnhtbFBLAQIU&#10;ABQAAAAIAIdO4kBl4SBR9gEAAPADAAAOAAAAAAAAAAEAIAAAACQBAABkcnMvZTJvRG9jLnhtbFBL&#10;BQYAAAAABgAGAFkBAACMBQ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5408" behindDoc="0" locked="0" layoutInCell="1" allowOverlap="1">
                <wp:simplePos x="0" y="0"/>
                <wp:positionH relativeFrom="column">
                  <wp:posOffset>2318385</wp:posOffset>
                </wp:positionH>
                <wp:positionV relativeFrom="paragraph">
                  <wp:posOffset>587375</wp:posOffset>
                </wp:positionV>
                <wp:extent cx="958850" cy="0"/>
                <wp:effectExtent l="0" t="4445" r="0" b="5080"/>
                <wp:wrapNone/>
                <wp:docPr id="2" name="自选图形 6"/>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6" o:spid="_x0000_s1026" o:spt="32" type="#_x0000_t32" style="position:absolute;left:0pt;margin-left:182.55pt;margin-top:46.25pt;height:0pt;width:75.5pt;z-index:251665408;mso-width-relative:page;mso-height-relative:page;" filled="f" stroked="t" coordsize="21600,21600" o:gfxdata="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WEU7dYAAAAJAQAADwAAAAAAAAABACAAAAAiAAAAZHJzL2Rvd25yZXYueG1sUEsB&#10;AhQAFAAAAAgAh07iQKYGVij3AQAA8AMAAA4AAAAAAAAAAQAgAAAAJQEAAGRycy9lMm9Eb2MueG1s&#10;UEsFBgAAAAAGAAYAWQEAAI4FA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0"/>
          <w:szCs w:val="40"/>
          <w:highlight w:val="none"/>
          <w:lang w:val="en-US" w:eastAsia="zh-CN"/>
        </w:rPr>
        <w:t xml:space="preserve">     </w:t>
      </w:r>
      <w:r>
        <w:rPr>
          <w:rFonts w:hint="eastAsia" w:ascii="方正小标宋简体" w:hAnsi="方正小标宋简体" w:eastAsia="方正小标宋简体" w:cs="方正小标宋简体"/>
          <w:sz w:val="40"/>
          <w:szCs w:val="40"/>
          <w:highlight w:val="none"/>
        </w:rPr>
        <w:t>第三章</w:t>
      </w:r>
      <w:bookmarkEnd w:id="26"/>
      <w:bookmarkEnd w:id="27"/>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bookmarkStart w:id="28" w:name="_Toc7303"/>
      <w:bookmarkStart w:id="29" w:name="_Toc87616371"/>
      <w:bookmarkStart w:id="30" w:name="_Toc88209934"/>
      <w:bookmarkStart w:id="31" w:name="_Toc7040"/>
      <w:r>
        <w:rPr>
          <w:rFonts w:hint="eastAsia" w:ascii="方正小标宋简体" w:hAnsi="方正小标宋简体" w:eastAsia="方正小标宋简体" w:cs="方正小标宋简体"/>
          <w:sz w:val="40"/>
          <w:szCs w:val="40"/>
          <w:highlight w:val="none"/>
          <w:lang w:val="en-US" w:eastAsia="zh-CN"/>
        </w:rPr>
        <w:t xml:space="preserve">     </w:t>
      </w:r>
      <w:r>
        <w:rPr>
          <w:rFonts w:hint="eastAsia" w:ascii="方正小标宋简体" w:hAnsi="方正小标宋简体" w:eastAsia="方正小标宋简体" w:cs="方正小标宋简体"/>
          <w:sz w:val="40"/>
          <w:szCs w:val="40"/>
          <w:highlight w:val="none"/>
        </w:rPr>
        <w:t>采购方法</w:t>
      </w:r>
      <w:bookmarkEnd w:id="28"/>
      <w:bookmarkEnd w:id="29"/>
      <w:bookmarkEnd w:id="30"/>
      <w:bookmarkEnd w:id="31"/>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186"/>
        <w:ind w:firstLine="880"/>
        <w:rPr>
          <w:rFonts w:ascii="方正小标宋简体" w:eastAsia="方正小标宋简体"/>
          <w:color w:val="auto"/>
          <w:sz w:val="44"/>
          <w:szCs w:val="44"/>
          <w:highlight w:val="none"/>
        </w:rPr>
      </w:pPr>
    </w:p>
    <w:p>
      <w:pPr>
        <w:pStyle w:val="186"/>
        <w:ind w:firstLine="880"/>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50"/>
        <w:ind w:left="0"/>
        <w:rPr>
          <w:rFonts w:ascii="方正小标宋简体" w:eastAsia="方正小标宋简体"/>
          <w:sz w:val="44"/>
          <w:szCs w:val="44"/>
          <w:highlight w:val="none"/>
        </w:rPr>
      </w:pPr>
    </w:p>
    <w:p>
      <w:pPr>
        <w:pStyle w:val="81"/>
        <w:rPr>
          <w:highlight w:val="none"/>
        </w:rPr>
      </w:pPr>
      <w:bookmarkStart w:id="32" w:name="_Toc3789"/>
      <w:bookmarkStart w:id="33" w:name="_Toc24895"/>
      <w:r>
        <w:rPr>
          <w:rFonts w:hint="eastAsia"/>
          <w:highlight w:val="none"/>
        </w:rPr>
        <w:t>询比采购</w:t>
      </w:r>
      <w:bookmarkEnd w:id="32"/>
      <w:bookmarkEnd w:id="33"/>
    </w:p>
    <w:tbl>
      <w:tblPr>
        <w:tblStyle w:val="86"/>
        <w:tblW w:w="889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9"/>
        <w:gridCol w:w="7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8"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ascii="等线" w:hAnsi="等线"/>
                <w:b/>
                <w:color w:val="auto"/>
                <w:sz w:val="28"/>
                <w:szCs w:val="28"/>
                <w:highlight w:val="none"/>
              </w:rPr>
              <w:t>询比</w:t>
            </w:r>
            <w:r>
              <w:rPr>
                <w:rFonts w:hint="eastAsia"/>
                <w:color w:val="auto"/>
                <w:highlight w:val="none"/>
              </w:rPr>
              <w:t>1.采购准备</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 xml:space="preserve">  1.1 在采购文件约定的时间、地点，供应商应向采购人提交响应文件；响应文件按照采购文件第二章供应商须知2.9的要求密封，按照2.10的规定提交</w:t>
            </w:r>
          </w:p>
          <w:p>
            <w:pPr>
              <w:widowControl w:val="0"/>
              <w:adjustRightInd w:val="0"/>
              <w:jc w:val="both"/>
              <w:textAlignment w:val="baseline"/>
              <w:rPr>
                <w:color w:val="auto"/>
                <w:highlight w:val="none"/>
              </w:rPr>
            </w:pPr>
            <w:r>
              <w:rPr>
                <w:rFonts w:hint="eastAsia"/>
                <w:color w:val="auto"/>
                <w:highlight w:val="none"/>
              </w:rPr>
              <w:t>1.2 资格审查执行第二章供应商须知1.对供应商的资格要求</w:t>
            </w:r>
          </w:p>
          <w:p>
            <w:pPr>
              <w:widowControl w:val="0"/>
              <w:adjustRightInd w:val="0"/>
              <w:jc w:val="both"/>
              <w:textAlignment w:val="baseline"/>
              <w:rPr>
                <w:color w:val="auto"/>
                <w:highlight w:val="none"/>
              </w:rPr>
            </w:pPr>
            <w:r>
              <w:rPr>
                <w:rFonts w:hint="eastAsia"/>
                <w:color w:val="auto"/>
                <w:highlight w:val="none"/>
              </w:rPr>
              <w:t>1.3 响应文件提交截止后，递交响应文件供应商不足3家的或有效响应文件供应商不足两家，应分析原因并重新发出采购公告（邀请书）或采取其他采购方式。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2.询比规则</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 xml:space="preserve">2.1 报价应包括国家规定的增值税税金，增值税税金按一般计税方法计算。报价范围包括本项目所有采购内容和范围。 </w:t>
            </w:r>
          </w:p>
          <w:p>
            <w:pPr>
              <w:widowControl w:val="0"/>
              <w:adjustRightInd w:val="0"/>
              <w:jc w:val="both"/>
              <w:textAlignment w:val="baseline"/>
              <w:rPr>
                <w:color w:val="auto"/>
                <w:highlight w:val="none"/>
              </w:rPr>
            </w:pPr>
            <w:r>
              <w:rPr>
                <w:rFonts w:hint="eastAsia"/>
                <w:color w:val="auto"/>
                <w:highlight w:val="none"/>
              </w:rPr>
              <w:t xml:space="preserve">2.2 询比地址 </w:t>
            </w:r>
          </w:p>
          <w:p>
            <w:pPr>
              <w:widowControl w:val="0"/>
              <w:adjustRightInd w:val="0"/>
              <w:jc w:val="both"/>
              <w:textAlignment w:val="baseline"/>
              <w:rPr>
                <w:color w:val="auto"/>
                <w:highlight w:val="none"/>
              </w:rPr>
            </w:pPr>
            <w:r>
              <w:rPr>
                <w:rFonts w:hint="eastAsia"/>
                <w:color w:val="auto"/>
                <w:highlight w:val="none"/>
              </w:rPr>
              <w:t>广州市天河区临江大道501号广州市净水有限公司</w:t>
            </w:r>
          </w:p>
          <w:p>
            <w:pPr>
              <w:widowControl w:val="0"/>
              <w:adjustRightInd w:val="0"/>
              <w:jc w:val="both"/>
              <w:textAlignment w:val="baseline"/>
              <w:rPr>
                <w:color w:val="auto"/>
                <w:highlight w:val="none"/>
              </w:rPr>
            </w:pPr>
            <w:r>
              <w:rPr>
                <w:rFonts w:hint="eastAsia"/>
                <w:color w:val="auto"/>
                <w:highlight w:val="none"/>
              </w:rPr>
              <w:t>2.3 询比开始时间（同响应文件截止时间）</w:t>
            </w:r>
          </w:p>
          <w:p>
            <w:pPr>
              <w:widowControl w:val="0"/>
              <w:adjustRightInd w:val="0"/>
              <w:jc w:val="both"/>
              <w:textAlignment w:val="baseline"/>
              <w:rPr>
                <w:color w:val="auto"/>
                <w:highlight w:val="none"/>
              </w:rPr>
            </w:pPr>
            <w:r>
              <w:rPr>
                <w:rFonts w:hint="eastAsia"/>
                <w:color w:val="auto"/>
                <w:highlight w:val="none"/>
              </w:rPr>
              <w:t>2.4 供应商依据采购文件规定的时间和地点递交响应文件，供应商应一次报出不可更改的价格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3.成交规则</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sym w:font="Wingdings 2" w:char="0052"/>
            </w:r>
            <w:r>
              <w:rPr>
                <w:rFonts w:hint="eastAsia"/>
                <w:color w:val="auto"/>
                <w:highlight w:val="none"/>
              </w:rPr>
              <w:t>采购人确定满足采购文件资格性、响应性要求，并且经评审的报价最低的为成交供应商</w:t>
            </w:r>
          </w:p>
          <w:p>
            <w:pPr>
              <w:widowControl w:val="0"/>
              <w:adjustRightInd w:val="0"/>
              <w:jc w:val="both"/>
              <w:textAlignment w:val="baseline"/>
              <w:rPr>
                <w:color w:val="auto"/>
                <w:highlight w:val="none"/>
              </w:rPr>
            </w:pPr>
            <w:r>
              <w:rPr>
                <w:rFonts w:hint="eastAsia"/>
                <w:color w:val="auto"/>
                <w:highlight w:val="none"/>
              </w:rPr>
              <w:sym w:font="Wingdings 2" w:char="00A3"/>
            </w:r>
            <w:r>
              <w:rPr>
                <w:rFonts w:hint="eastAsia"/>
                <w:color w:val="auto"/>
                <w:highlight w:val="none"/>
              </w:rPr>
              <w:t xml:space="preserve">评审小组按照采购文件确定的标准排序，采购人确定排名第一的供应商为成交供应商。 </w:t>
            </w:r>
          </w:p>
          <w:p>
            <w:pPr>
              <w:widowControl w:val="0"/>
              <w:adjustRightInd w:val="0"/>
              <w:jc w:val="both"/>
              <w:textAlignment w:val="baseline"/>
              <w:rPr>
                <w:color w:val="auto"/>
                <w:highlight w:val="none"/>
              </w:rPr>
            </w:pPr>
            <w:r>
              <w:rPr>
                <w:rFonts w:hint="eastAsia"/>
                <w:color w:val="auto"/>
                <w:highlight w:val="none"/>
              </w:rPr>
              <w:t>如第一中选候选人被取消或放弃中选候选人资格，采购人有权按中选候选人的顺序依次确定其他中选候选人为中选人，或重新采购。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3"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4.成交候选人公示</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在评审小组提交评审报告3日内，在广州市净水有限公司门户网站公示成交候选人。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5.成交结果公告</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成交候选人公示结束后。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3"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6.成交通知书</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采购人应在确定成交供应商后及时向其发出成交通知书。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trPr>
        <w:tc>
          <w:tcPr>
            <w:tcW w:w="959" w:type="dxa"/>
            <w:tcBorders>
              <w:tl2br w:val="nil"/>
              <w:tr2bl w:val="nil"/>
            </w:tcBorders>
            <w:noWrap w:val="0"/>
            <w:vAlign w:val="center"/>
          </w:tcPr>
          <w:p>
            <w:pPr>
              <w:widowControl w:val="0"/>
              <w:adjustRightInd w:val="0"/>
              <w:jc w:val="left"/>
              <w:textAlignment w:val="baseline"/>
              <w:rPr>
                <w:color w:val="auto"/>
                <w:highlight w:val="none"/>
              </w:rPr>
            </w:pPr>
            <w:r>
              <w:rPr>
                <w:rFonts w:hint="eastAsia"/>
                <w:color w:val="auto"/>
                <w:highlight w:val="none"/>
              </w:rPr>
              <w:t>7.签订采购合同</w:t>
            </w:r>
          </w:p>
        </w:tc>
        <w:tc>
          <w:tcPr>
            <w:tcW w:w="7938" w:type="dxa"/>
            <w:tcBorders>
              <w:tl2br w:val="nil"/>
              <w:tr2bl w:val="nil"/>
            </w:tcBorders>
            <w:noWrap w:val="0"/>
            <w:vAlign w:val="center"/>
          </w:tcPr>
          <w:p>
            <w:pPr>
              <w:widowControl w:val="0"/>
              <w:adjustRightInd w:val="0"/>
              <w:jc w:val="both"/>
              <w:textAlignment w:val="baseline"/>
              <w:rPr>
                <w:color w:val="auto"/>
                <w:highlight w:val="none"/>
              </w:rPr>
            </w:pPr>
            <w:r>
              <w:rPr>
                <w:rFonts w:hint="eastAsia"/>
                <w:color w:val="auto"/>
                <w:highlight w:val="none"/>
              </w:rPr>
              <w:t>采购人在发出成交通知书后30日内同成交供应商签订书面采购合同.</w:t>
            </w:r>
          </w:p>
        </w:tc>
      </w:tr>
    </w:tbl>
    <w:p>
      <w:pPr>
        <w:adjustRightInd w:val="0"/>
        <w:snapToGrid w:val="0"/>
        <w:spacing w:line="600" w:lineRule="exact"/>
        <w:rPr>
          <w:rFonts w:ascii="仿宋_GB2312" w:eastAsia="仿宋_GB2312"/>
          <w:color w:val="auto"/>
          <w:sz w:val="28"/>
          <w:szCs w:val="28"/>
          <w:highlight w:val="none"/>
        </w:rPr>
      </w:pPr>
    </w:p>
    <w:p>
      <w:pPr>
        <w:pStyle w:val="2"/>
        <w:rPr>
          <w:rFonts w:ascii="仿宋_GB2312" w:eastAsia="仿宋_GB2312"/>
          <w:color w:val="auto"/>
          <w:sz w:val="28"/>
          <w:szCs w:val="28"/>
          <w:highlight w:val="none"/>
        </w:rPr>
      </w:pPr>
    </w:p>
    <w:p>
      <w:pPr>
        <w:pStyle w:val="3"/>
      </w:pPr>
    </w:p>
    <w:p>
      <w:pPr>
        <w:adjustRightInd w:val="0"/>
        <w:snapToGrid w:val="0"/>
        <w:spacing w:line="600" w:lineRule="exact"/>
        <w:rPr>
          <w:rFonts w:ascii="仿宋_GB2312" w:eastAsia="仿宋_GB2312"/>
          <w:color w:val="auto"/>
          <w:sz w:val="28"/>
          <w:szCs w:val="28"/>
          <w:highlight w:val="none"/>
        </w:rPr>
      </w:pPr>
      <w:r>
        <w:rPr>
          <w:rFonts w:hint="eastAsia" w:ascii="方正小标宋简体" w:hAnsi="方正小标宋简体" w:eastAsia="方正小标宋简体" w:cs="方正小标宋简体"/>
          <w:color w:val="auto"/>
          <w:sz w:val="40"/>
          <w:szCs w:val="40"/>
          <w:highlight w:val="none"/>
        </w:rPr>
        <mc:AlternateContent>
          <mc:Choice Requires="wps">
            <w:drawing>
              <wp:anchor distT="0" distB="0" distL="114300" distR="114300" simplePos="0" relativeHeight="251659264" behindDoc="0" locked="0" layoutInCell="1" allowOverlap="1">
                <wp:simplePos x="0" y="0"/>
                <wp:positionH relativeFrom="column">
                  <wp:posOffset>2136140</wp:posOffset>
                </wp:positionH>
                <wp:positionV relativeFrom="paragraph">
                  <wp:posOffset>401955</wp:posOffset>
                </wp:positionV>
                <wp:extent cx="958850" cy="0"/>
                <wp:effectExtent l="0" t="4445" r="0" b="5080"/>
                <wp:wrapNone/>
                <wp:docPr id="6" name="自选图形 9"/>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9" o:spid="_x0000_s1026" o:spt="32" type="#_x0000_t32" style="position:absolute;left:0pt;margin-left:168.2pt;margin-top:31.65pt;height:0pt;width:75.5pt;z-index:251659264;mso-width-relative:page;mso-height-relative:page;" filled="f" stroked="t" coordsize="21600,21600" o:gfxdata="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B0frajXAAAACQEAAA8AAAAAAAAAAQAgAAAAIgAAAGRycy9kb3ducmV2LnhtbFBL&#10;AQIUABQAAAAIAIdO4kDRQB1D9wEAAPADAAAOAAAAAAAAAAEAIAAAACYBAABkcnMvZTJvRG9jLnht&#10;bFBLBQYAAAAABgAGAFkBAACPBQAAAAA=&#10;">
                <v:fill on="f" focussize="0,0"/>
                <v:stroke color="#000000" joinstyle="round"/>
                <v:imagedata o:title=""/>
                <o:lock v:ext="edit" aspectratio="f"/>
              </v:shape>
            </w:pict>
          </mc:Fallback>
        </mc:AlternateContent>
      </w:r>
    </w:p>
    <w:p>
      <w:pPr>
        <w:pStyle w:val="2"/>
        <w:jc w:val="center"/>
        <w:rPr>
          <w:rFonts w:hint="eastAsia" w:ascii="方正小标宋简体" w:hAnsi="方正小标宋简体" w:eastAsia="方正小标宋简体" w:cs="方正小标宋简体"/>
          <w:sz w:val="40"/>
          <w:szCs w:val="40"/>
          <w:highlight w:val="none"/>
        </w:rPr>
      </w:pPr>
      <w:bookmarkStart w:id="34" w:name="_Toc7118"/>
      <w:bookmarkStart w:id="35" w:name="_Toc4952"/>
      <w:bookmarkStart w:id="36" w:name="_Toc19759"/>
      <w:bookmarkStart w:id="37" w:name="_Toc14870"/>
      <w:bookmarkStart w:id="38" w:name="_Toc20594"/>
      <w:bookmarkStart w:id="39" w:name="_Toc10930"/>
      <w:bookmarkStart w:id="40" w:name="_Toc3156"/>
      <w:bookmarkStart w:id="41" w:name="_Toc19050"/>
      <w:bookmarkStart w:id="42" w:name="_Toc23581"/>
      <w:bookmarkStart w:id="43" w:name="_Toc14552"/>
      <w:bookmarkStart w:id="44" w:name="_Toc7437"/>
      <w:r>
        <w:rPr>
          <w:rFonts w:hint="eastAsia"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0288" behindDoc="0" locked="0" layoutInCell="1" allowOverlap="1">
                <wp:simplePos x="0" y="0"/>
                <wp:positionH relativeFrom="column">
                  <wp:posOffset>2134870</wp:posOffset>
                </wp:positionH>
                <wp:positionV relativeFrom="paragraph">
                  <wp:posOffset>434340</wp:posOffset>
                </wp:positionV>
                <wp:extent cx="958850" cy="0"/>
                <wp:effectExtent l="0" t="4445" r="0" b="5080"/>
                <wp:wrapNone/>
                <wp:docPr id="5" name="自选图形 8"/>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8" o:spid="_x0000_s1026" o:spt="32" type="#_x0000_t32" style="position:absolute;left:0pt;margin-left:168.1pt;margin-top:34.2pt;height:0pt;width:75.5pt;z-index:251660288;mso-width-relative:page;mso-height-relative:page;" filled="f" stroked="t" coordsize="21600,21600" o:gfxdata="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0nI/StcAAAAJAQAADwAAAAAAAAABACAAAAAiAAAAZHJzL2Rvd25yZXYueG1sUEsB&#10;AhQAFAAAAAgAh07iQBKnazr2AQAA8AMAAA4AAAAAAAAAAQAgAAAAJgEAAGRycy9lMm9Eb2MueG1s&#10;UEsFBgAAAAAGAAYAWQEAAI4FA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40"/>
          <w:szCs w:val="40"/>
          <w:highlight w:val="none"/>
        </w:rPr>
        <w:t>第四章</w:t>
      </w:r>
      <w:bookmarkEnd w:id="34"/>
      <w:bookmarkEnd w:id="35"/>
      <w:bookmarkEnd w:id="36"/>
      <w:bookmarkEnd w:id="37"/>
      <w:bookmarkEnd w:id="38"/>
      <w:bookmarkEnd w:id="39"/>
      <w:bookmarkEnd w:id="40"/>
      <w:bookmarkEnd w:id="41"/>
      <w:bookmarkEnd w:id="42"/>
      <w:bookmarkEnd w:id="43"/>
      <w:bookmarkEnd w:id="44"/>
    </w:p>
    <w:p>
      <w:pPr>
        <w:pStyle w:val="81"/>
        <w:rPr>
          <w:rFonts w:hint="eastAsia" w:ascii="方正小标宋简体" w:hAnsi="方正小标宋简体" w:eastAsia="方正小标宋简体" w:cs="方正小标宋简体"/>
          <w:sz w:val="40"/>
          <w:szCs w:val="40"/>
          <w:highlight w:val="none"/>
        </w:rPr>
      </w:pPr>
    </w:p>
    <w:p>
      <w:pPr>
        <w:pStyle w:val="81"/>
        <w:rPr>
          <w:rFonts w:hint="eastAsia" w:ascii="方正小标宋简体" w:hAnsi="方正小标宋简体" w:eastAsia="方正小标宋简体" w:cs="方正小标宋简体"/>
          <w:sz w:val="40"/>
          <w:szCs w:val="40"/>
          <w:highlight w:val="none"/>
        </w:rPr>
      </w:pPr>
      <w:bookmarkStart w:id="45" w:name="_Toc32607"/>
      <w:bookmarkStart w:id="46" w:name="_Toc87616378"/>
      <w:bookmarkStart w:id="47" w:name="_Toc12177"/>
      <w:bookmarkStart w:id="48" w:name="_Toc29484"/>
      <w:bookmarkStart w:id="49" w:name="_Toc21840"/>
      <w:bookmarkStart w:id="50" w:name="_Toc7831"/>
      <w:bookmarkStart w:id="51" w:name="_Toc22212"/>
      <w:bookmarkStart w:id="52" w:name="_Toc21079"/>
      <w:bookmarkStart w:id="53" w:name="_Toc13898"/>
      <w:bookmarkStart w:id="54" w:name="_Toc30530"/>
      <w:bookmarkStart w:id="55" w:name="_Toc88209941"/>
      <w:bookmarkStart w:id="56" w:name="_Toc6308"/>
      <w:bookmarkStart w:id="57" w:name="_Toc29345"/>
      <w:r>
        <w:rPr>
          <w:rFonts w:hint="eastAsia" w:ascii="方正小标宋简体" w:hAnsi="方正小标宋简体" w:eastAsia="方正小标宋简体" w:cs="方正小标宋简体"/>
          <w:sz w:val="40"/>
          <w:szCs w:val="40"/>
          <w:highlight w:val="none"/>
        </w:rPr>
        <w:t>评审办法</w:t>
      </w:r>
      <w:bookmarkEnd w:id="45"/>
      <w:bookmarkEnd w:id="46"/>
      <w:bookmarkEnd w:id="47"/>
      <w:bookmarkEnd w:id="48"/>
      <w:bookmarkEnd w:id="49"/>
      <w:bookmarkEnd w:id="50"/>
      <w:bookmarkEnd w:id="51"/>
      <w:bookmarkEnd w:id="52"/>
      <w:bookmarkEnd w:id="53"/>
      <w:bookmarkEnd w:id="54"/>
      <w:bookmarkEnd w:id="55"/>
      <w:bookmarkEnd w:id="56"/>
      <w:bookmarkEnd w:id="57"/>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pStyle w:val="84"/>
        <w:ind w:firstLine="480"/>
        <w:rPr>
          <w:rFonts w:hint="default"/>
          <w:highlight w:val="none"/>
        </w:rPr>
      </w:pPr>
    </w:p>
    <w:p>
      <w:pPr>
        <w:pStyle w:val="84"/>
        <w:ind w:firstLine="480"/>
        <w:rPr>
          <w:rFonts w:hint="default"/>
          <w:highlight w:val="none"/>
        </w:rPr>
      </w:pPr>
    </w:p>
    <w:p>
      <w:pPr>
        <w:pStyle w:val="84"/>
        <w:ind w:firstLine="880"/>
        <w:rPr>
          <w:rFonts w:hint="default" w:ascii="方正小标宋简体" w:eastAsia="方正小标宋简体"/>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880"/>
        <w:rPr>
          <w:rFonts w:hint="default" w:ascii="方正小标宋简体" w:eastAsia="方正小标宋简体"/>
          <w:sz w:val="44"/>
          <w:szCs w:val="44"/>
          <w:highlight w:val="none"/>
        </w:rPr>
      </w:pPr>
    </w:p>
    <w:p>
      <w:pPr>
        <w:pStyle w:val="2"/>
        <w:rPr>
          <w:rFonts w:hint="eastAsia"/>
          <w:color w:val="auto"/>
          <w:highlight w:val="none"/>
        </w:rPr>
      </w:pPr>
      <w:bookmarkStart w:id="58" w:name="_Toc26826"/>
      <w:bookmarkStart w:id="59" w:name="_Toc23033"/>
      <w:r>
        <w:rPr>
          <w:rFonts w:hint="eastAsia"/>
          <w:color w:val="auto"/>
          <w:highlight w:val="none"/>
        </w:rPr>
        <w:sym w:font="Wingdings 2" w:char="0052"/>
      </w:r>
      <w:r>
        <w:rPr>
          <w:rFonts w:hint="eastAsia"/>
          <w:color w:val="auto"/>
          <w:highlight w:val="none"/>
        </w:rPr>
        <w:t>经评审的最低价法</w:t>
      </w:r>
      <w:bookmarkEnd w:id="58"/>
      <w:bookmarkEnd w:id="59"/>
    </w:p>
    <w:p>
      <w:pPr>
        <w:adjustRightInd w:val="0"/>
        <w:snapToGrid w:val="0"/>
        <w:spacing w:line="600" w:lineRule="exact"/>
        <w:rPr>
          <w:rFonts w:hint="eastAsia" w:ascii="等线" w:hAnsi="等线"/>
          <w:b/>
          <w:color w:val="auto"/>
          <w:sz w:val="28"/>
          <w:szCs w:val="28"/>
          <w:highlight w:val="none"/>
        </w:rPr>
      </w:pPr>
      <w:r>
        <w:rPr>
          <w:rFonts w:hint="eastAsia" w:ascii="等线" w:hAnsi="等线"/>
          <w:b/>
          <w:color w:val="auto"/>
          <w:sz w:val="28"/>
          <w:szCs w:val="28"/>
          <w:highlight w:val="none"/>
        </w:rPr>
        <w:t>1.评审方法</w:t>
      </w:r>
    </w:p>
    <w:p>
      <w:pPr>
        <w:rPr>
          <w:color w:val="auto"/>
          <w:highlight w:val="none"/>
        </w:rPr>
      </w:pPr>
      <w:r>
        <w:rPr>
          <w:rFonts w:hint="eastAsia"/>
          <w:color w:val="auto"/>
          <w:highlight w:val="none"/>
        </w:rPr>
        <w:t>供应商的报价应当符合采购文件规定的技术要求和标准，但评审小组无须对响应文件的技术部分进行价格评审。</w:t>
      </w:r>
    </w:p>
    <w:p>
      <w:pPr>
        <w:rPr>
          <w:color w:val="auto"/>
          <w:highlight w:val="none"/>
        </w:rPr>
      </w:pPr>
      <w:r>
        <w:rPr>
          <w:rFonts w:hint="eastAsia"/>
          <w:color w:val="auto"/>
          <w:highlight w:val="none"/>
        </w:rPr>
        <w:t>除报价外，评审还应考虑的商务因素一般有以下几种：</w:t>
      </w:r>
    </w:p>
    <w:p>
      <w:pPr>
        <w:rPr>
          <w:color w:val="auto"/>
          <w:highlight w:val="none"/>
        </w:rPr>
      </w:pPr>
      <w:r>
        <w:rPr>
          <w:rFonts w:hint="eastAsia"/>
          <w:color w:val="auto"/>
          <w:highlight w:val="none"/>
        </w:rPr>
        <w:t>（1）运输费用及保险费。（如有）</w:t>
      </w:r>
    </w:p>
    <w:p>
      <w:pPr>
        <w:rPr>
          <w:color w:val="auto"/>
          <w:highlight w:val="none"/>
        </w:rPr>
      </w:pPr>
      <w:r>
        <w:rPr>
          <w:rFonts w:hint="eastAsia"/>
          <w:color w:val="auto"/>
          <w:highlight w:val="none"/>
        </w:rPr>
        <w:t xml:space="preserve">   （2）工期、交货期或服务期限。</w:t>
      </w:r>
    </w:p>
    <w:p>
      <w:pPr>
        <w:rPr>
          <w:color w:val="auto"/>
          <w:highlight w:val="none"/>
        </w:rPr>
      </w:pPr>
      <w:r>
        <w:rPr>
          <w:rFonts w:hint="eastAsia"/>
          <w:color w:val="auto"/>
          <w:highlight w:val="none"/>
        </w:rPr>
        <w:t>（3）支付条件。</w:t>
      </w:r>
    </w:p>
    <w:p>
      <w:pPr>
        <w:rPr>
          <w:color w:val="auto"/>
          <w:highlight w:val="none"/>
        </w:rPr>
      </w:pPr>
      <w:r>
        <w:rPr>
          <w:rFonts w:hint="eastAsia"/>
          <w:color w:val="auto"/>
          <w:highlight w:val="none"/>
        </w:rPr>
        <w:t>（4）备品备件以及售后服务（如有）。</w:t>
      </w:r>
    </w:p>
    <w:p>
      <w:pPr>
        <w:rPr>
          <w:color w:val="auto"/>
          <w:highlight w:val="none"/>
        </w:rPr>
      </w:pPr>
      <w:r>
        <w:rPr>
          <w:rFonts w:hint="eastAsia"/>
          <w:color w:val="auto"/>
          <w:highlight w:val="none"/>
        </w:rPr>
        <w:t>（5）价格调整因素。</w:t>
      </w:r>
    </w:p>
    <w:p>
      <w:pPr>
        <w:rPr>
          <w:color w:val="auto"/>
          <w:highlight w:val="none"/>
        </w:rPr>
      </w:pPr>
      <w:r>
        <w:rPr>
          <w:rFonts w:hint="eastAsia"/>
          <w:color w:val="auto"/>
          <w:highlight w:val="none"/>
        </w:rPr>
        <w:t>经澄清确认后修正的最终报价应当认为是供应商的真实要约，可以作为合同签约价。</w:t>
      </w:r>
    </w:p>
    <w:p>
      <w:pPr>
        <w:adjustRightInd w:val="0"/>
        <w:snapToGrid w:val="0"/>
        <w:spacing w:line="600" w:lineRule="exact"/>
        <w:rPr>
          <w:rFonts w:hint="eastAsia" w:ascii="等线" w:hAnsi="等线"/>
          <w:b/>
          <w:color w:val="auto"/>
          <w:sz w:val="28"/>
          <w:szCs w:val="28"/>
          <w:highlight w:val="none"/>
        </w:rPr>
      </w:pPr>
      <w:r>
        <w:rPr>
          <w:rFonts w:hint="eastAsia" w:ascii="等线" w:hAnsi="等线"/>
          <w:b/>
          <w:color w:val="auto"/>
          <w:sz w:val="28"/>
          <w:szCs w:val="28"/>
          <w:highlight w:val="none"/>
        </w:rPr>
        <w:t>2.评审程序</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2.1 初步评审</w:t>
      </w:r>
    </w:p>
    <w:p>
      <w:pPr>
        <w:adjustRightInd w:val="0"/>
        <w:snapToGrid w:val="0"/>
        <w:spacing w:line="600" w:lineRule="exact"/>
        <w:rPr>
          <w:rFonts w:hint="eastAsia" w:ascii="仿宋_GB2312" w:hAnsi="等线" w:eastAsia="仿宋_GB2312"/>
          <w:color w:val="auto"/>
          <w:sz w:val="28"/>
          <w:szCs w:val="28"/>
          <w:highlight w:val="none"/>
        </w:rPr>
      </w:pPr>
      <w:r>
        <w:rPr>
          <w:rFonts w:ascii="仿宋_GB2312" w:eastAsia="仿宋_GB2312"/>
          <w:color w:val="auto"/>
          <w:sz w:val="28"/>
          <w:szCs w:val="28"/>
          <w:highlight w:val="none"/>
        </w:rPr>
        <w:t>表</w:t>
      </w:r>
      <w:r>
        <w:rPr>
          <w:rFonts w:hint="eastAsia" w:ascii="仿宋_GB2312" w:eastAsia="仿宋_GB2312"/>
          <w:color w:val="auto"/>
          <w:sz w:val="28"/>
          <w:szCs w:val="28"/>
          <w:highlight w:val="none"/>
        </w:rPr>
        <w:t>4-1                      初步评审标准</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2018"/>
        <w:gridCol w:w="5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blHeader/>
        </w:trPr>
        <w:tc>
          <w:tcPr>
            <w:tcW w:w="1356"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8"/>
                <w:szCs w:val="28"/>
                <w:highlight w:val="none"/>
              </w:rPr>
            </w:pPr>
            <w:r>
              <w:rPr>
                <w:rFonts w:hint="eastAsia" w:ascii="仿宋_GB2312" w:eastAsia="仿宋_GB2312"/>
                <w:color w:val="auto"/>
                <w:sz w:val="28"/>
                <w:szCs w:val="28"/>
                <w:highlight w:val="none"/>
              </w:rPr>
              <w:t>评审环节</w:t>
            </w:r>
          </w:p>
        </w:tc>
        <w:tc>
          <w:tcPr>
            <w:tcW w:w="2127"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因素</w:t>
            </w:r>
          </w:p>
        </w:tc>
        <w:tc>
          <w:tcPr>
            <w:tcW w:w="5528"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8"/>
                <w:szCs w:val="28"/>
                <w:highlight w:val="none"/>
              </w:rPr>
            </w:pPr>
            <w:r>
              <w:rPr>
                <w:rFonts w:hint="eastAsia" w:ascii="仿宋_GB2312" w:eastAsia="仿宋_GB2312"/>
                <w:color w:val="auto"/>
                <w:sz w:val="28"/>
                <w:szCs w:val="28"/>
                <w:highlight w:val="none"/>
              </w:rPr>
              <w:t>评审</w:t>
            </w:r>
            <w:r>
              <w:rPr>
                <w:rFonts w:ascii="仿宋_GB2312" w:eastAsia="仿宋_GB2312"/>
                <w:color w:val="auto"/>
                <w:sz w:val="28"/>
                <w:szCs w:val="28"/>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0" w:hRule="atLeast"/>
        </w:trPr>
        <w:tc>
          <w:tcPr>
            <w:tcW w:w="1356"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形式评审</w:t>
            </w: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响应函签字盖章</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有响应函，有法定代表人或其委托代理人签字（或签章 ）并加盖单位公章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356" w:type="dxa"/>
            <w:vMerge w:val="continue"/>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p>
        </w:tc>
        <w:tc>
          <w:tcPr>
            <w:tcW w:w="2127" w:type="dxa"/>
            <w:tcBorders>
              <w:tl2br w:val="nil"/>
              <w:tr2bl w:val="nil"/>
            </w:tcBorders>
            <w:noWrap w:val="0"/>
            <w:vAlign w:val="center"/>
          </w:tcPr>
          <w:p>
            <w:pPr>
              <w:widowControl w:val="0"/>
              <w:adjustRightInd w:val="0"/>
              <w:snapToGrid w:val="0"/>
              <w:spacing w:line="600" w:lineRule="exact"/>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响应文件格式</w:t>
            </w:r>
          </w:p>
        </w:tc>
        <w:tc>
          <w:tcPr>
            <w:tcW w:w="5528" w:type="dxa"/>
            <w:tcBorders>
              <w:tl2br w:val="nil"/>
              <w:tr2bl w:val="nil"/>
            </w:tcBorders>
            <w:noWrap w:val="0"/>
            <w:vAlign w:val="center"/>
          </w:tcPr>
          <w:p>
            <w:pPr>
              <w:widowControl w:val="0"/>
              <w:adjustRightInd w:val="0"/>
              <w:snapToGrid w:val="0"/>
              <w:spacing w:line="600" w:lineRule="exact"/>
              <w:jc w:val="both"/>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符合采购文件</w:t>
            </w:r>
            <w:r>
              <w:rPr>
                <w:rFonts w:hint="eastAsia" w:ascii="仿宋_GB2312" w:eastAsia="仿宋_GB2312"/>
                <w:color w:val="auto"/>
                <w:sz w:val="24"/>
                <w:szCs w:val="24"/>
                <w:highlight w:val="none"/>
              </w:rPr>
              <w:t>“响应文件格式”要求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0" w:hRule="atLeast"/>
        </w:trPr>
        <w:tc>
          <w:tcPr>
            <w:tcW w:w="1356" w:type="dxa"/>
            <w:vMerge w:val="continue"/>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报价唯一</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只能有一个有效报价</w:t>
            </w:r>
            <w:r>
              <w:rPr>
                <w:rFonts w:hint="eastAsia" w:ascii="仿宋_GB2312" w:eastAsia="仿宋_GB2312"/>
                <w:color w:val="auto"/>
                <w:sz w:val="24"/>
                <w:szCs w:val="24"/>
                <w:highlight w:val="none"/>
              </w:rPr>
              <w:t>，</w:t>
            </w:r>
            <w:r>
              <w:rPr>
                <w:rFonts w:ascii="仿宋_GB2312" w:eastAsia="仿宋_GB2312"/>
                <w:color w:val="auto"/>
                <w:sz w:val="24"/>
                <w:szCs w:val="24"/>
                <w:highlight w:val="none"/>
              </w:rPr>
              <w:t>按采购文件规定提交备选方案除外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资格评审</w:t>
            </w: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营业执照</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报价单位须是在中华人民共和国境内注册的法人或其他组织，具有独立法人资格，持有事业单位登记管理部门核发的事业单位法人证书或工商行政管理部门核发的企业法人营业执照，且在有效期内。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56" w:type="dxa"/>
            <w:vMerge w:val="continue"/>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供应商资格</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满足法律法规及采购文件</w:t>
            </w:r>
            <w:r>
              <w:rPr>
                <w:rFonts w:hint="eastAsia" w:ascii="仿宋_GB2312" w:eastAsia="仿宋_GB2312"/>
                <w:color w:val="auto"/>
                <w:sz w:val="24"/>
                <w:szCs w:val="24"/>
                <w:highlight w:val="none"/>
              </w:rPr>
              <w:t>供应商资格要求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restart"/>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响应性评审</w:t>
            </w: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报价</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没有超过最高限价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1356" w:type="dxa"/>
            <w:vMerge w:val="continue"/>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其他</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采购文件要求必须提供的其他资料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356" w:type="dxa"/>
            <w:vMerge w:val="continue"/>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p>
        </w:tc>
        <w:tc>
          <w:tcPr>
            <w:tcW w:w="2127" w:type="dxa"/>
            <w:tcBorders>
              <w:tl2br w:val="nil"/>
              <w:tr2bl w:val="nil"/>
            </w:tcBorders>
            <w:noWrap w:val="0"/>
            <w:vAlign w:val="center"/>
          </w:tcPr>
          <w:p>
            <w:pPr>
              <w:widowControl w:val="0"/>
              <w:adjustRightInd w:val="0"/>
              <w:snapToGrid w:val="0"/>
              <w:jc w:val="center"/>
              <w:textAlignment w:val="baseline"/>
              <w:rPr>
                <w:rFonts w:ascii="仿宋_GB2312" w:eastAsia="仿宋_GB2312"/>
                <w:color w:val="auto"/>
                <w:sz w:val="24"/>
                <w:szCs w:val="24"/>
                <w:highlight w:val="none"/>
              </w:rPr>
            </w:pPr>
            <w:r>
              <w:rPr>
                <w:rFonts w:hint="eastAsia" w:ascii="仿宋_GB2312" w:eastAsia="仿宋_GB2312"/>
                <w:color w:val="auto"/>
                <w:sz w:val="24"/>
                <w:szCs w:val="24"/>
                <w:highlight w:val="none"/>
              </w:rPr>
              <w:t>其他无效响应</w:t>
            </w:r>
          </w:p>
        </w:tc>
        <w:tc>
          <w:tcPr>
            <w:tcW w:w="5528" w:type="dxa"/>
            <w:tcBorders>
              <w:tl2br w:val="nil"/>
              <w:tr2bl w:val="nil"/>
            </w:tcBorders>
            <w:noWrap w:val="0"/>
            <w:vAlign w:val="center"/>
          </w:tcPr>
          <w:p>
            <w:pPr>
              <w:widowControl w:val="0"/>
              <w:adjustRightInd w:val="0"/>
              <w:snapToGrid w:val="0"/>
              <w:jc w:val="both"/>
              <w:textAlignment w:val="baseline"/>
              <w:rPr>
                <w:rFonts w:ascii="仿宋_GB2312" w:eastAsia="仿宋_GB2312"/>
                <w:color w:val="auto"/>
                <w:sz w:val="24"/>
                <w:szCs w:val="24"/>
                <w:highlight w:val="none"/>
              </w:rPr>
            </w:pPr>
            <w:r>
              <w:rPr>
                <w:rFonts w:ascii="仿宋_GB2312" w:eastAsia="仿宋_GB2312"/>
                <w:color w:val="auto"/>
                <w:sz w:val="24"/>
                <w:szCs w:val="24"/>
                <w:highlight w:val="none"/>
              </w:rPr>
              <w:t>无法律法规及采购文件规定的其他无效响应内容</w:t>
            </w:r>
          </w:p>
        </w:tc>
      </w:tr>
    </w:tbl>
    <w:p>
      <w:pPr>
        <w:spacing w:line="400" w:lineRule="exact"/>
        <w:rPr>
          <w:color w:val="auto"/>
          <w:highlight w:val="none"/>
        </w:rPr>
      </w:pPr>
      <w:r>
        <w:rPr>
          <w:rFonts w:hint="eastAsia" w:ascii="仿宋_GB2312" w:hAnsi="等线" w:eastAsia="仿宋_GB2312"/>
          <w:color w:val="auto"/>
          <w:szCs w:val="21"/>
          <w:highlight w:val="none"/>
        </w:rPr>
        <w:t>说明：初步评审活动依照形式评审、资格评审、响应性评审顺序进行，前一个环节不符合采购文件要求的不得进入下一个环节。</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2.2澄清补正</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2.2.1响应报价有算术错误的，评审小组按以下原则对响应报价进行修正，修正的价格经供应商书面确认后具有约束力。供应商不接受修正价格的，评审小组应当否决其响应。</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（1）响应文件中的大写金额与小写金额不一致的，以大写金额为准。</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（2）总价金额与依据单价计算出的结果不一致的，以单价金额为准修正总价，但单价金额小数点有明显错误的除外。</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（3）采购文件中有规定固定费率标准或固定金额的，或者有固定费率标准或固定金额的计算公式的，应按规定填报，否则由评审小组按照采购文件规定的费率、金额或者其计算公式进行修正或否决其响应。</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2.2.2响应文件存在含义不清、针对同一事项前后表述不一致、明显文字或计算错误的，评审小组可以要求供应商进行澄清、说明和补正，澄清、说明和补正不得超出响应文件的范围或改变响应文件的实质性内容，超出部分不作为评审小组相应评审的依据或否决其响应。</w:t>
      </w:r>
    </w:p>
    <w:p>
      <w:pPr>
        <w:adjustRightInd w:val="0"/>
        <w:snapToGrid w:val="0"/>
        <w:spacing w:line="600" w:lineRule="exact"/>
        <w:ind w:firstLine="555"/>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2.3评审结果 评审后，评审价格最低的供应商为成交供应商。如评审价格相同，可由评审小组根据评审情况以记名投票方式确定供应商排名，并将推荐理由写入评审报告。</w:t>
      </w:r>
    </w:p>
    <w:p>
      <w:pPr>
        <w:adjustRightInd w:val="0"/>
        <w:snapToGrid w:val="0"/>
        <w:spacing w:line="600" w:lineRule="exact"/>
        <w:rPr>
          <w:rFonts w:hint="eastAsia" w:ascii="仿宋_GB2312" w:hAnsi="等线" w:eastAsia="仿宋_GB2312"/>
          <w:color w:val="auto"/>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480"/>
        <w:rPr>
          <w:rFonts w:ascii="仿宋_GB2312" w:hAnsi="等线" w:eastAsia="仿宋_GB2312"/>
          <w:szCs w:val="21"/>
          <w:highlight w:val="none"/>
        </w:rPr>
      </w:pPr>
    </w:p>
    <w:p>
      <w:pPr>
        <w:pStyle w:val="84"/>
        <w:ind w:firstLine="0" w:firstLineChars="0"/>
        <w:rPr>
          <w:rFonts w:ascii="仿宋_GB2312" w:hAnsi="等线" w:eastAsia="仿宋_GB2312"/>
          <w:szCs w:val="21"/>
          <w:highlight w:val="none"/>
        </w:rPr>
      </w:pPr>
    </w:p>
    <w:p>
      <w:pPr>
        <w:pStyle w:val="84"/>
        <w:ind w:firstLine="0" w:firstLineChars="0"/>
        <w:rPr>
          <w:rFonts w:ascii="仿宋_GB2312" w:hAnsi="等线" w:eastAsia="仿宋_GB2312"/>
          <w:szCs w:val="21"/>
          <w:highlight w:val="none"/>
        </w:rPr>
      </w:pPr>
    </w:p>
    <w:p>
      <w:pPr>
        <w:pStyle w:val="84"/>
        <w:ind w:firstLine="0" w:firstLineChars="0"/>
        <w:rPr>
          <w:rFonts w:ascii="仿宋_GB2312" w:hAnsi="等线" w:eastAsia="仿宋_GB2312"/>
          <w:szCs w:val="21"/>
          <w:highlight w:val="none"/>
        </w:rPr>
      </w:pPr>
    </w:p>
    <w:p>
      <w:pPr>
        <w:pStyle w:val="81"/>
        <w:jc w:val="both"/>
        <w:rPr>
          <w:rFonts w:hint="eastAsia" w:ascii="方正小标宋简体" w:hAnsi="方正小标宋简体" w:eastAsia="方正小标宋简体" w:cs="方正小标宋简体"/>
          <w:sz w:val="36"/>
          <w:szCs w:val="36"/>
          <w:highlight w:val="none"/>
        </w:rPr>
      </w:pPr>
      <w:bookmarkStart w:id="60" w:name="_Toc88209947"/>
    </w:p>
    <w:p>
      <w:pPr>
        <w:pStyle w:val="81"/>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mc:AlternateContent>
          <mc:Choice Requires="wps">
            <w:drawing>
              <wp:anchor distT="0" distB="0" distL="114300" distR="114300" simplePos="0" relativeHeight="251670528" behindDoc="0" locked="0" layoutInCell="1" allowOverlap="1">
                <wp:simplePos x="0" y="0"/>
                <wp:positionH relativeFrom="column">
                  <wp:posOffset>2348230</wp:posOffset>
                </wp:positionH>
                <wp:positionV relativeFrom="paragraph">
                  <wp:posOffset>107950</wp:posOffset>
                </wp:positionV>
                <wp:extent cx="958850" cy="0"/>
                <wp:effectExtent l="0" t="4445" r="0" b="5080"/>
                <wp:wrapNone/>
                <wp:docPr id="15" name="自选图形 11"/>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1" o:spid="_x0000_s1026" o:spt="32" type="#_x0000_t32" style="position:absolute;left:0pt;margin-left:184.9pt;margin-top:8.5pt;height:0pt;width:75.5pt;z-index:251670528;mso-width-relative:page;mso-height-relative:page;" filled="f" stroked="t" coordsize="21600,21600" o:gfxdata="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IK2LetYAAAAJAQAADwAAAAAAAAABACAAAAAiAAAAZHJzL2Rvd25yZXYueG1sUEsB&#10;AhQAFAAAAAgAh07iQBot63P3AQAA8gMAAA4AAAAAAAAAAQAgAAAAJQEAAGRycy9lMm9Eb2MueG1s&#10;UEsFBgAAAAAGAAYAWQEAAI4FA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sz w:val="36"/>
          <w:szCs w:val="36"/>
          <w:highlight w:val="none"/>
          <w:lang w:val="en-US" w:eastAsia="zh-CN"/>
        </w:rPr>
        <w:t xml:space="preserve">        </w:t>
      </w:r>
      <w:r>
        <w:rPr>
          <w:rFonts w:hint="eastAsia" w:ascii="方正小标宋简体" w:hAnsi="方正小标宋简体" w:eastAsia="方正小标宋简体" w:cs="方正小标宋简体"/>
          <w:sz w:val="36"/>
          <w:szCs w:val="36"/>
          <w:highlight w:val="none"/>
        </w:rPr>
        <w:t>第五章</w:t>
      </w:r>
    </w:p>
    <w:p>
      <w:pPr>
        <w:pStyle w:val="81"/>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rPr>
        <mc:AlternateContent>
          <mc:Choice Requires="wps">
            <w:drawing>
              <wp:anchor distT="0" distB="0" distL="114300" distR="114300" simplePos="0" relativeHeight="251674624" behindDoc="0" locked="0" layoutInCell="1" allowOverlap="1">
                <wp:simplePos x="0" y="0"/>
                <wp:positionH relativeFrom="column">
                  <wp:posOffset>2340610</wp:posOffset>
                </wp:positionH>
                <wp:positionV relativeFrom="paragraph">
                  <wp:posOffset>23495</wp:posOffset>
                </wp:positionV>
                <wp:extent cx="958850" cy="0"/>
                <wp:effectExtent l="0" t="4445" r="0" b="5080"/>
                <wp:wrapNone/>
                <wp:docPr id="16" name="自选图形 10"/>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0" o:spid="_x0000_s1026" o:spt="32" type="#_x0000_t32" style="position:absolute;left:0pt;margin-left:184.3pt;margin-top:1.85pt;height:0pt;width:75.5pt;z-index:251674624;mso-width-relative:page;mso-height-relative:page;" filled="f" stroked="t" coordsize="21600,21600" o:gfxdata="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W2tAh9QAAAAHAQAADwAAAAAAAAABACAAAAAiAAAAZHJzL2Rvd25yZXYueG1sUEsBAhQA&#10;FAAAAAgAh07iQAuPci72AQAA8gMAAA4AAAAAAAAAAQAgAAAAIwEAAGRycy9lMm9Eb2MueG1sUEsF&#10;BgAAAAAGAAYAWQEAAIsFAAAAAA==&#10;">
                <v:fill on="f" focussize="0,0"/>
                <v:stroke color="#000000" joinstyle="round"/>
                <v:imagedata o:title=""/>
                <o:lock v:ext="edit" aspectratio="f"/>
              </v:shape>
            </w:pict>
          </mc:Fallback>
        </mc:AlternateContent>
      </w:r>
    </w:p>
    <w:p>
      <w:pPr>
        <w:pStyle w:val="81"/>
        <w:rPr>
          <w:rFonts w:hint="eastAsia" w:ascii="方正小标宋简体" w:hAnsi="方正小标宋简体" w:eastAsia="方正小标宋简体" w:cs="方正小标宋简体"/>
          <w:sz w:val="36"/>
          <w:szCs w:val="36"/>
          <w:highlight w:val="none"/>
        </w:rPr>
      </w:pPr>
      <w:r>
        <w:rPr>
          <w:rFonts w:hint="eastAsia" w:ascii="方正小标宋简体" w:hAnsi="方正小标宋简体" w:eastAsia="方正小标宋简体" w:cs="方正小标宋简体"/>
          <w:sz w:val="36"/>
          <w:szCs w:val="36"/>
          <w:highlight w:val="none"/>
          <w:lang w:val="en-US" w:eastAsia="zh-CN"/>
        </w:rPr>
        <w:t xml:space="preserve">        </w:t>
      </w:r>
      <w:r>
        <w:rPr>
          <w:rFonts w:hint="eastAsia" w:ascii="方正小标宋简体" w:hAnsi="方正小标宋简体" w:eastAsia="方正小标宋简体" w:cs="方正小标宋简体"/>
          <w:sz w:val="36"/>
          <w:szCs w:val="36"/>
          <w:highlight w:val="none"/>
        </w:rPr>
        <w:t>采购需求</w:t>
      </w:r>
    </w:p>
    <w:p>
      <w:pPr>
        <w:rPr>
          <w:rFonts w:hint="eastAsia" w:ascii="方正小标宋简体" w:hAnsi="方正小标宋简体" w:eastAsia="方正小标宋简体" w:cs="方正小标宋简体"/>
          <w:color w:val="auto"/>
          <w:sz w:val="36"/>
          <w:szCs w:val="36"/>
          <w:highlight w:val="none"/>
        </w:rPr>
      </w:pPr>
    </w:p>
    <w:p>
      <w:pPr>
        <w:pStyle w:val="19"/>
        <w:rPr>
          <w:highlight w:val="none"/>
        </w:rPr>
      </w:pPr>
    </w:p>
    <w:p>
      <w:pPr>
        <w:ind w:firstLine="560" w:firstLineChars="200"/>
        <w:rPr>
          <w:rFonts w:hint="eastAsia" w:ascii="仿宋_GB2312" w:hAnsi="仿宋_GB2312" w:eastAsia="仿宋_GB2312" w:cs="仿宋_GB2312"/>
          <w:color w:val="auto"/>
          <w:sz w:val="28"/>
          <w:szCs w:val="28"/>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rPr>
          <w:highlight w:val="none"/>
        </w:rPr>
      </w:pPr>
    </w:p>
    <w:p>
      <w:pPr>
        <w:pStyle w:val="50"/>
        <w:ind w:left="0"/>
        <w:rPr>
          <w:highlight w:val="none"/>
        </w:rPr>
      </w:pPr>
    </w:p>
    <w:bookmarkEnd w:id="60"/>
    <w:p>
      <w:pPr>
        <w:numPr>
          <w:ilvl w:val="0"/>
          <w:numId w:val="26"/>
        </w:numPr>
        <w:tabs>
          <w:tab w:val="left" w:pos="5811"/>
        </w:tabs>
        <w:spacing w:line="360" w:lineRule="auto"/>
        <w:ind w:firstLine="480"/>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项目内容及需求</w:t>
      </w:r>
    </w:p>
    <w:p>
      <w:pPr>
        <w:numPr>
          <w:ilvl w:val="0"/>
          <w:numId w:val="0"/>
        </w:numPr>
        <w:tabs>
          <w:tab w:val="left" w:pos="5811"/>
        </w:tabs>
        <w:spacing w:line="600" w:lineRule="exact"/>
        <w:ind w:firstLine="600" w:firstLineChars="200"/>
        <w:rPr>
          <w:rFonts w:hint="eastAsia" w:ascii="仿宋_GB2312" w:hAnsi="仿宋_GB2312" w:eastAsia="仿宋_GB2312" w:cs="仿宋_GB2312"/>
          <w:b w:val="0"/>
          <w:bCs/>
          <w:caps/>
          <w:color w:val="auto"/>
          <w:sz w:val="30"/>
          <w:szCs w:val="30"/>
          <w:highlight w:val="none"/>
        </w:rPr>
      </w:pPr>
      <w:r>
        <w:rPr>
          <w:rFonts w:hint="eastAsia" w:ascii="仿宋_GB2312" w:hAnsi="仿宋_GB2312" w:eastAsia="仿宋_GB2312" w:cs="仿宋_GB2312"/>
          <w:b w:val="0"/>
          <w:bCs/>
          <w:caps/>
          <w:color w:val="auto"/>
          <w:sz w:val="30"/>
          <w:szCs w:val="30"/>
          <w:highlight w:val="none"/>
        </w:rPr>
        <w:t>根据国家有关标准和规范，对甲方委托专业爆破单位将位于化龙堆存污泥综合处理处置项目地块一范围的废弃烟囱予以爆破拆除工作进行安全监理，主要内容包括：审核烟囱爆破设计文件、烟囱爆破拆除方案；监督爆破作业单位按照公安机关审批的爆破设计方案施工等。</w:t>
      </w:r>
    </w:p>
    <w:p>
      <w:pPr>
        <w:numPr>
          <w:ilvl w:val="0"/>
          <w:numId w:val="0"/>
        </w:numPr>
        <w:tabs>
          <w:tab w:val="left" w:pos="5811"/>
        </w:tabs>
        <w:spacing w:line="600" w:lineRule="exact"/>
        <w:ind w:firstLine="600" w:firstLineChars="200"/>
        <w:rPr>
          <w:rFonts w:hint="eastAsia" w:ascii="仿宋_GB2312" w:hAnsi="仿宋_GB2312" w:eastAsia="仿宋_GB2312" w:cs="仿宋_GB2312"/>
          <w:b w:val="0"/>
          <w:bCs/>
          <w:caps/>
          <w:color w:val="auto"/>
          <w:sz w:val="30"/>
          <w:szCs w:val="30"/>
          <w:highlight w:val="none"/>
        </w:rPr>
      </w:pPr>
      <w:r>
        <w:rPr>
          <w:rFonts w:hint="eastAsia" w:ascii="仿宋_GB2312" w:hAnsi="仿宋_GB2312" w:eastAsia="仿宋_GB2312" w:cs="仿宋_GB2312"/>
          <w:b w:val="0"/>
          <w:bCs/>
          <w:caps/>
          <w:color w:val="auto"/>
          <w:sz w:val="30"/>
          <w:szCs w:val="30"/>
          <w:highlight w:val="none"/>
        </w:rPr>
        <w:t>该项目烟囱高度56.4m，底部壁厚1.09m，烟囱总体为圆锥形状，搭建方式为砖砌，经雷达探测，在烟囱外壁区域，砖块之间存在钢筋箍，现场也有部分钢筋箍出露，探测区域内钢筋箍间距约为0.25m。</w:t>
      </w:r>
    </w:p>
    <w:p>
      <w:pPr>
        <w:spacing w:line="600" w:lineRule="exact"/>
        <w:ind w:firstLine="600" w:firstLineChars="200"/>
        <w:jc w:val="left"/>
        <w:rPr>
          <w:rFonts w:hint="eastAsia" w:ascii="仿宋_GB2312" w:hAnsi="仿宋_GB2312" w:eastAsia="仿宋_GB2312" w:cs="仿宋_GB2312"/>
          <w:bCs/>
          <w:caps/>
          <w:color w:val="auto"/>
          <w:sz w:val="30"/>
          <w:szCs w:val="30"/>
          <w:highlight w:val="none"/>
        </w:rPr>
      </w:pPr>
      <w:r>
        <w:rPr>
          <w:rFonts w:hint="eastAsia" w:ascii="仿宋_GB2312" w:hAnsi="仿宋_GB2312" w:eastAsia="仿宋_GB2312" w:cs="仿宋_GB2312"/>
          <w:bCs/>
          <w:color w:val="auto"/>
          <w:sz w:val="30"/>
          <w:szCs w:val="30"/>
          <w:highlight w:val="none"/>
          <w:lang w:eastAsia="zh-CN"/>
        </w:rPr>
        <w:t>（</w:t>
      </w:r>
      <w:r>
        <w:rPr>
          <w:rFonts w:hint="eastAsia" w:ascii="仿宋_GB2312" w:hAnsi="仿宋_GB2312" w:eastAsia="仿宋_GB2312" w:cs="仿宋_GB2312"/>
          <w:bCs/>
          <w:color w:val="auto"/>
          <w:sz w:val="30"/>
          <w:szCs w:val="30"/>
          <w:highlight w:val="none"/>
          <w:lang w:val="en-US" w:eastAsia="zh-CN"/>
        </w:rPr>
        <w:t>一）</w:t>
      </w:r>
      <w:r>
        <w:rPr>
          <w:rFonts w:hint="eastAsia" w:ascii="仿宋_GB2312" w:hAnsi="仿宋_GB2312" w:eastAsia="仿宋_GB2312" w:cs="仿宋_GB2312"/>
          <w:bCs/>
          <w:color w:val="auto"/>
          <w:sz w:val="30"/>
          <w:szCs w:val="30"/>
          <w:highlight w:val="none"/>
        </w:rPr>
        <w:t>工程</w:t>
      </w:r>
      <w:r>
        <w:rPr>
          <w:rFonts w:hint="eastAsia" w:ascii="仿宋_GB2312" w:hAnsi="仿宋_GB2312" w:eastAsia="仿宋_GB2312" w:cs="仿宋_GB2312"/>
          <w:bCs/>
          <w:color w:val="auto"/>
          <w:sz w:val="30"/>
          <w:szCs w:val="30"/>
          <w:highlight w:val="none"/>
          <w:lang w:val="en-US" w:eastAsia="zh-CN"/>
        </w:rPr>
        <w:t>主要</w:t>
      </w:r>
      <w:r>
        <w:rPr>
          <w:rFonts w:hint="eastAsia" w:ascii="仿宋_GB2312" w:hAnsi="仿宋_GB2312" w:eastAsia="仿宋_GB2312" w:cs="仿宋_GB2312"/>
          <w:bCs/>
          <w:color w:val="auto"/>
          <w:sz w:val="30"/>
          <w:szCs w:val="30"/>
          <w:highlight w:val="none"/>
        </w:rPr>
        <w:t>内容：</w:t>
      </w:r>
    </w:p>
    <w:p>
      <w:pPr>
        <w:numPr>
          <w:ilvl w:val="0"/>
          <w:numId w:val="27"/>
        </w:numPr>
        <w:spacing w:line="500" w:lineRule="exact"/>
        <w:ind w:firstLine="400" w:firstLineChars="0"/>
        <w:jc w:val="both"/>
        <w:rPr>
          <w:rFonts w:hint="eastAsia" w:ascii="仿宋_GB2312" w:hAnsi="仿宋_GB2312" w:eastAsia="仿宋_GB2312" w:cs="仿宋_GB2312"/>
          <w:bCs/>
          <w:caps w:val="0"/>
          <w:color w:val="auto"/>
          <w:sz w:val="30"/>
          <w:szCs w:val="30"/>
          <w:highlight w:val="none"/>
        </w:rPr>
      </w:pPr>
      <w:r>
        <w:rPr>
          <w:rFonts w:hint="eastAsia" w:ascii="仿宋_GB2312" w:hAnsi="仿宋_GB2312" w:eastAsia="仿宋_GB2312" w:cs="仿宋_GB2312"/>
          <w:bCs/>
          <w:caps w:val="0"/>
          <w:color w:val="auto"/>
          <w:sz w:val="30"/>
          <w:szCs w:val="30"/>
          <w:highlight w:val="none"/>
        </w:rPr>
        <w:t>监督爆破作业单位按照公安机关审批的爆破设计方案施工；</w:t>
      </w:r>
    </w:p>
    <w:p>
      <w:pPr>
        <w:numPr>
          <w:ilvl w:val="0"/>
          <w:numId w:val="27"/>
        </w:numPr>
        <w:spacing w:line="500" w:lineRule="exact"/>
        <w:ind w:firstLine="400" w:firstLineChars="0"/>
        <w:jc w:val="both"/>
        <w:rPr>
          <w:rFonts w:hint="eastAsia" w:ascii="仿宋_GB2312" w:hAnsi="仿宋_GB2312" w:eastAsia="仿宋_GB2312" w:cs="仿宋_GB2312"/>
          <w:bCs/>
          <w:caps w:val="0"/>
          <w:color w:val="auto"/>
          <w:sz w:val="30"/>
          <w:szCs w:val="30"/>
          <w:highlight w:val="none"/>
        </w:rPr>
      </w:pPr>
      <w:r>
        <w:rPr>
          <w:rFonts w:hint="eastAsia" w:ascii="仿宋_GB2312" w:hAnsi="仿宋_GB2312" w:eastAsia="仿宋_GB2312" w:cs="仿宋_GB2312"/>
          <w:bCs/>
          <w:caps w:val="0"/>
          <w:color w:val="auto"/>
          <w:sz w:val="30"/>
          <w:szCs w:val="30"/>
          <w:highlight w:val="none"/>
        </w:rPr>
        <w:t>审查爆破有害效应是否控制在设计范围内；</w:t>
      </w:r>
    </w:p>
    <w:p>
      <w:pPr>
        <w:numPr>
          <w:ilvl w:val="0"/>
          <w:numId w:val="27"/>
        </w:numPr>
        <w:spacing w:line="500" w:lineRule="exact"/>
        <w:ind w:firstLine="400" w:firstLineChars="0"/>
        <w:jc w:val="both"/>
        <w:rPr>
          <w:rFonts w:hint="eastAsia" w:ascii="仿宋_GB2312" w:hAnsi="仿宋_GB2312" w:eastAsia="仿宋_GB2312" w:cs="仿宋_GB2312"/>
          <w:bCs/>
          <w:caps w:val="0"/>
          <w:color w:val="auto"/>
          <w:sz w:val="30"/>
          <w:szCs w:val="30"/>
          <w:highlight w:val="none"/>
        </w:rPr>
      </w:pPr>
      <w:r>
        <w:rPr>
          <w:rFonts w:hint="eastAsia" w:ascii="仿宋_GB2312" w:hAnsi="仿宋_GB2312" w:eastAsia="仿宋_GB2312" w:cs="仿宋_GB2312"/>
          <w:bCs/>
          <w:caps w:val="0"/>
          <w:color w:val="auto"/>
          <w:sz w:val="30"/>
          <w:szCs w:val="30"/>
          <w:highlight w:val="none"/>
        </w:rPr>
        <w:t>审验爆破作业人员的资格，制止无资格人员从事爆破作业；监督施工方作业人员岗前安全培训及三级安全教育；监督承包商严格执行甲方规定的有关管理制度。</w:t>
      </w:r>
    </w:p>
    <w:p>
      <w:pPr>
        <w:numPr>
          <w:ilvl w:val="0"/>
          <w:numId w:val="27"/>
        </w:numPr>
        <w:spacing w:line="500" w:lineRule="exact"/>
        <w:ind w:firstLine="400" w:firstLineChars="0"/>
        <w:jc w:val="both"/>
        <w:rPr>
          <w:rFonts w:hint="eastAsia" w:ascii="仿宋_GB2312" w:hAnsi="仿宋_GB2312" w:eastAsia="仿宋_GB2312" w:cs="仿宋_GB2312"/>
          <w:bCs/>
          <w:caps w:val="0"/>
          <w:color w:val="auto"/>
          <w:sz w:val="30"/>
          <w:szCs w:val="30"/>
          <w:highlight w:val="none"/>
        </w:rPr>
      </w:pPr>
      <w:r>
        <w:rPr>
          <w:rFonts w:hint="eastAsia" w:ascii="仿宋_GB2312" w:hAnsi="仿宋_GB2312" w:eastAsia="仿宋_GB2312" w:cs="仿宋_GB2312"/>
          <w:bCs/>
          <w:caps w:val="0"/>
          <w:color w:val="auto"/>
          <w:sz w:val="30"/>
          <w:szCs w:val="30"/>
          <w:highlight w:val="none"/>
        </w:rPr>
        <w:t>监督民用爆炸物品领取、清退制度的落实情况；</w:t>
      </w:r>
    </w:p>
    <w:p>
      <w:pPr>
        <w:numPr>
          <w:ilvl w:val="0"/>
          <w:numId w:val="27"/>
        </w:numPr>
        <w:spacing w:line="500" w:lineRule="exact"/>
        <w:ind w:firstLine="400" w:firstLineChars="0"/>
        <w:jc w:val="both"/>
        <w:rPr>
          <w:rFonts w:hint="eastAsia" w:ascii="仿宋_GB2312" w:hAnsi="仿宋_GB2312" w:eastAsia="仿宋_GB2312" w:cs="仿宋_GB2312"/>
          <w:bCs/>
          <w:caps w:val="0"/>
          <w:color w:val="auto"/>
          <w:sz w:val="30"/>
          <w:szCs w:val="30"/>
          <w:highlight w:val="none"/>
        </w:rPr>
      </w:pPr>
      <w:r>
        <w:rPr>
          <w:rFonts w:hint="eastAsia" w:ascii="仿宋_GB2312" w:hAnsi="仿宋_GB2312" w:eastAsia="仿宋_GB2312" w:cs="仿宋_GB2312"/>
          <w:bCs/>
          <w:caps w:val="0"/>
          <w:color w:val="auto"/>
          <w:sz w:val="30"/>
          <w:szCs w:val="30"/>
          <w:highlight w:val="none"/>
        </w:rPr>
        <w:t>监督爆破作业单位严格遵守国家有关标准和规范，落实安全措施，发现违章指挥和违章作业，有权停止其爆破作业，并向委托单位和公安机关报告。</w:t>
      </w:r>
    </w:p>
    <w:p>
      <w:pPr>
        <w:numPr>
          <w:ilvl w:val="0"/>
          <w:numId w:val="27"/>
        </w:numPr>
        <w:spacing w:line="500" w:lineRule="exact"/>
        <w:ind w:firstLine="400" w:firstLineChars="0"/>
        <w:jc w:val="both"/>
        <w:rPr>
          <w:rFonts w:hint="eastAsia" w:ascii="仿宋_GB2312" w:hAnsi="仿宋_GB2312" w:eastAsia="仿宋_GB2312" w:cs="仿宋_GB2312"/>
          <w:bCs/>
          <w:color w:val="auto"/>
          <w:sz w:val="30"/>
          <w:szCs w:val="30"/>
          <w:highlight w:val="none"/>
          <w:lang w:val="en-US" w:eastAsia="zh-CN"/>
        </w:rPr>
      </w:pPr>
      <w:r>
        <w:rPr>
          <w:rFonts w:hint="eastAsia" w:ascii="仿宋_GB2312" w:hAnsi="仿宋_GB2312" w:eastAsia="仿宋_GB2312" w:cs="仿宋_GB2312"/>
          <w:bCs/>
          <w:color w:val="auto"/>
          <w:sz w:val="30"/>
          <w:szCs w:val="30"/>
          <w:highlight w:val="none"/>
        </w:rPr>
        <w:t>工程地点：</w:t>
      </w:r>
      <w:r>
        <w:rPr>
          <w:rFonts w:hint="eastAsia" w:ascii="仿宋_GB2312" w:hAnsi="仿宋_GB2312" w:eastAsia="仿宋_GB2312" w:cs="仿宋_GB2312"/>
          <w:bCs/>
          <w:color w:val="auto"/>
          <w:sz w:val="30"/>
          <w:szCs w:val="30"/>
          <w:highlight w:val="none"/>
          <w:lang w:val="en-US" w:eastAsia="zh-CN"/>
        </w:rPr>
        <w:t>广东省广州市番禺区化龙镇沙亭村</w:t>
      </w:r>
    </w:p>
    <w:p>
      <w:pPr>
        <w:numPr>
          <w:ilvl w:val="0"/>
          <w:numId w:val="27"/>
        </w:numPr>
        <w:spacing w:line="500" w:lineRule="exact"/>
        <w:ind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工程期限：自开始监理日期，至工程竣工验收合格、缺陷责任期届满之日并完成结算止。</w:t>
      </w:r>
    </w:p>
    <w:p>
      <w:pPr>
        <w:numPr>
          <w:ilvl w:val="0"/>
          <w:numId w:val="27"/>
        </w:numPr>
        <w:spacing w:line="500" w:lineRule="exact"/>
        <w:ind w:firstLine="400" w:firstLineChars="0"/>
        <w:jc w:val="both"/>
        <w:rPr>
          <w:rFonts w:hint="eastAsia" w:ascii="仿宋_GB2312" w:hAnsi="仿宋_GB2312" w:eastAsia="仿宋_GB2312" w:cs="仿宋_GB2312"/>
          <w:bCs/>
          <w:color w:val="auto"/>
          <w:sz w:val="30"/>
          <w:szCs w:val="30"/>
          <w:highlight w:val="none"/>
          <w:lang w:val="en-US" w:eastAsia="zh-CN"/>
        </w:rPr>
      </w:pPr>
      <w:r>
        <w:rPr>
          <w:rFonts w:hint="eastAsia" w:ascii="仿宋_GB2312" w:hAnsi="仿宋_GB2312" w:eastAsia="仿宋_GB2312" w:cs="仿宋_GB2312"/>
          <w:bCs/>
          <w:color w:val="auto"/>
          <w:sz w:val="30"/>
          <w:szCs w:val="30"/>
          <w:highlight w:val="none"/>
          <w:lang w:val="en-US" w:eastAsia="zh-CN"/>
        </w:rPr>
        <w:t>投标人须严格执行《广东省公安厅关于爆破作业项目许可和安全管理的规定（试行）》 （粤公通字2015【35】）、《民用爆炸物品安全管理条例》、《公安机关行政许可工作规范》（公安部令第80号）、《爆破安全规程》（GB6722-2014）、《民用爆破器材工程设计安全规范》（GB50089-98）、《爆破作业项目管理要求》（GA991-2012）等法律、法规和行业标准。</w:t>
      </w:r>
    </w:p>
    <w:p>
      <w:pPr>
        <w:numPr>
          <w:ilvl w:val="0"/>
          <w:numId w:val="26"/>
        </w:numPr>
        <w:tabs>
          <w:tab w:val="left" w:pos="5811"/>
        </w:tabs>
        <w:spacing w:line="360" w:lineRule="auto"/>
        <w:ind w:firstLine="480"/>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项目其他要求</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应在详细了解安全技术规定、应急预案后认真编制监理规划和实施细则，并制定监理人员岗位职责。</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应在爆破器材领用、清退、爆破作业、爆后安全检查及盲炮处理的各环节上实行旁站监理，并作出监理记录。</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发生下列情况之一时，监理机构应当签发爆破作业暂停令：</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——爆破作业严重违规经制止无效时；</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——施工中出现重大安全隐患，须停止爆破作业以消除隐患时。</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rPr>
      </w:pPr>
      <w:r>
        <w:rPr>
          <w:rFonts w:hint="eastAsia" w:ascii="仿宋_GB2312" w:hAnsi="仿宋_GB2312" w:eastAsia="仿宋_GB2312" w:cs="仿宋_GB2312"/>
          <w:bCs/>
          <w:color w:val="auto"/>
          <w:sz w:val="30"/>
          <w:szCs w:val="30"/>
          <w:highlight w:val="none"/>
        </w:rPr>
        <w:t>定期向委托单位提交安全监理报告，工程结束时提交安全监理总结和相关监理资料。</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lang w:val="en-US" w:eastAsia="zh-CN"/>
        </w:rPr>
      </w:pPr>
      <w:r>
        <w:rPr>
          <w:rFonts w:hint="eastAsia" w:ascii="仿宋_GB2312" w:hAnsi="仿宋_GB2312" w:eastAsia="仿宋_GB2312" w:cs="仿宋_GB2312"/>
          <w:bCs/>
          <w:color w:val="auto"/>
          <w:sz w:val="30"/>
          <w:szCs w:val="30"/>
          <w:highlight w:val="none"/>
        </w:rPr>
        <w:t>乙方</w:t>
      </w:r>
      <w:r>
        <w:rPr>
          <w:rFonts w:hint="eastAsia" w:ascii="仿宋_GB2312" w:hAnsi="仿宋_GB2312" w:eastAsia="仿宋_GB2312" w:cs="仿宋_GB2312"/>
          <w:bCs/>
          <w:color w:val="auto"/>
          <w:sz w:val="30"/>
          <w:szCs w:val="30"/>
          <w:highlight w:val="none"/>
          <w:lang w:val="en-US" w:eastAsia="zh-CN"/>
        </w:rPr>
        <w:t>自行解决</w:t>
      </w:r>
      <w:r>
        <w:rPr>
          <w:rFonts w:hint="eastAsia" w:ascii="仿宋_GB2312" w:hAnsi="仿宋_GB2312" w:eastAsia="仿宋_GB2312" w:cs="仿宋_GB2312"/>
          <w:bCs/>
          <w:color w:val="auto"/>
          <w:sz w:val="30"/>
          <w:szCs w:val="30"/>
          <w:highlight w:val="none"/>
        </w:rPr>
        <w:t>监理人员的办公场所（施工现场办公室、办公桌、椅子、网线端口）和食宿</w:t>
      </w:r>
      <w:r>
        <w:rPr>
          <w:rFonts w:hint="eastAsia" w:ascii="仿宋_GB2312" w:hAnsi="仿宋_GB2312" w:eastAsia="仿宋_GB2312" w:cs="仿宋_GB2312"/>
          <w:bCs/>
          <w:color w:val="auto"/>
          <w:sz w:val="30"/>
          <w:szCs w:val="30"/>
          <w:highlight w:val="none"/>
          <w:lang w:val="en-US" w:eastAsia="zh-CN"/>
        </w:rPr>
        <w:t>等问题。</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lang w:val="en-US" w:eastAsia="zh-CN"/>
        </w:rPr>
      </w:pPr>
      <w:r>
        <w:rPr>
          <w:rFonts w:hint="eastAsia" w:ascii="仿宋_GB2312" w:hAnsi="仿宋_GB2312" w:eastAsia="仿宋_GB2312" w:cs="仿宋_GB2312"/>
          <w:bCs/>
          <w:color w:val="auto"/>
          <w:sz w:val="30"/>
          <w:szCs w:val="30"/>
          <w:highlight w:val="none"/>
        </w:rPr>
        <w:t>乙方发出的监理工作指令必须经与甲方协商一致后方可实施。</w:t>
      </w:r>
    </w:p>
    <w:p>
      <w:pPr>
        <w:numPr>
          <w:ilvl w:val="0"/>
          <w:numId w:val="28"/>
        </w:numPr>
        <w:spacing w:line="500" w:lineRule="exact"/>
        <w:ind w:left="0" w:firstLine="400" w:firstLineChars="0"/>
        <w:jc w:val="both"/>
        <w:rPr>
          <w:rFonts w:hint="eastAsia" w:ascii="仿宋_GB2312" w:hAnsi="仿宋_GB2312" w:eastAsia="仿宋_GB2312" w:cs="仿宋_GB2312"/>
          <w:bCs/>
          <w:color w:val="auto"/>
          <w:sz w:val="30"/>
          <w:szCs w:val="30"/>
          <w:highlight w:val="none"/>
          <w:lang w:val="en-US" w:eastAsia="zh-CN"/>
        </w:rPr>
      </w:pPr>
      <w:r>
        <w:rPr>
          <w:rFonts w:hint="eastAsia" w:ascii="仿宋_GB2312" w:hAnsi="仿宋_GB2312" w:eastAsia="仿宋_GB2312" w:cs="仿宋_GB2312"/>
          <w:bCs/>
          <w:color w:val="auto"/>
          <w:sz w:val="30"/>
          <w:szCs w:val="30"/>
          <w:highlight w:val="none"/>
        </w:rPr>
        <w:t>合同签订后6个月内委托人未向监理人发出开始监理通知，视为合同无需继续履行、合同自动终止，监理人不得再向甲方要求任何补偿、赔偿及支付任何费用。合同终止后，按本合同条款4.2退回履约担保。</w:t>
      </w:r>
    </w:p>
    <w:p>
      <w:pPr>
        <w:spacing w:line="500" w:lineRule="exact"/>
        <w:ind w:left="0" w:firstLine="600" w:firstLineChars="200"/>
        <w:jc w:val="both"/>
        <w:rPr>
          <w:rFonts w:hint="default" w:ascii="仿宋_GB2312" w:hAnsi="仿宋_GB2312" w:eastAsia="仿宋_GB2312" w:cs="仿宋_GB2312"/>
          <w:bCs/>
          <w:color w:val="auto"/>
          <w:sz w:val="30"/>
          <w:szCs w:val="30"/>
          <w:highlight w:val="none"/>
        </w:rPr>
      </w:pPr>
    </w:p>
    <w:p>
      <w:pPr>
        <w:tabs>
          <w:tab w:val="left" w:pos="5811"/>
        </w:tabs>
        <w:spacing w:line="360" w:lineRule="auto"/>
        <w:ind w:firstLine="480"/>
        <w:jc w:val="both"/>
        <w:rPr>
          <w:rFonts w:hint="eastAsia" w:ascii="仿宋_GB2312" w:eastAsia="仿宋_GB2312"/>
          <w:color w:val="auto"/>
          <w:sz w:val="28"/>
          <w:szCs w:val="28"/>
          <w:highlight w:val="none"/>
          <w:lang w:val="en-US" w:eastAsia="zh-CN"/>
        </w:rPr>
      </w:pPr>
    </w:p>
    <w:p>
      <w:pPr>
        <w:pStyle w:val="84"/>
        <w:numPr>
          <w:ilvl w:val="0"/>
          <w:numId w:val="0"/>
        </w:numPr>
        <w:ind w:firstLine="0" w:firstLineChars="0"/>
        <w:rPr>
          <w:rFonts w:hint="default"/>
          <w:highlight w:val="none"/>
          <w:lang w:val="en-US" w:eastAsia="zh-CN"/>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0" w:firstLineChars="0"/>
        <w:rPr>
          <w:rFonts w:hint="default"/>
          <w:highlight w:val="none"/>
        </w:rPr>
      </w:pPr>
    </w:p>
    <w:p>
      <w:pPr>
        <w:pStyle w:val="84"/>
        <w:ind w:firstLine="800"/>
        <w:rPr>
          <w:rFonts w:ascii="方正小标宋简体" w:hAnsi="方正小标宋简体" w:eastAsia="方正小标宋简体" w:cs="方正小标宋简体"/>
          <w:sz w:val="40"/>
          <w:szCs w:val="40"/>
          <w:highlight w:val="none"/>
        </w:rPr>
      </w:pPr>
      <w:r>
        <w:rPr>
          <w:rFonts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7456" behindDoc="0" locked="0" layoutInCell="1" allowOverlap="1">
                <wp:simplePos x="0" y="0"/>
                <wp:positionH relativeFrom="column">
                  <wp:posOffset>2325370</wp:posOffset>
                </wp:positionH>
                <wp:positionV relativeFrom="paragraph">
                  <wp:posOffset>354330</wp:posOffset>
                </wp:positionV>
                <wp:extent cx="958850" cy="0"/>
                <wp:effectExtent l="0" t="4445" r="0" b="5080"/>
                <wp:wrapNone/>
                <wp:docPr id="21" name="自选图形 13"/>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3" o:spid="_x0000_s1026" o:spt="32" type="#_x0000_t32" style="position:absolute;left:0pt;margin-left:183.1pt;margin-top:27.9pt;height:0pt;width:75.5pt;z-index:251667456;mso-width-relative:page;mso-height-relative:page;" filled="f" stroked="t" coordsize="21600,21600" o:gfxdata="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r74H61gAAAAkBAAAPAAAAAAAAAAEAIAAAACIAAABkcnMvZG93bnJldi54bWxQ&#10;SwECFAAUAAAACACHTuJAzBzHPvkBAADyAwAADgAAAAAAAAABACAAAAAlAQAAZHJzL2Uyb0RvYy54&#10;bWxQSwUGAAAAAAYABgBZAQAAkAUAAAAA&#10;">
                <v:fill on="f" focussize="0,0"/>
                <v:stroke color="#000000" joinstyle="round"/>
                <v:imagedata o:title=""/>
                <o:lock v:ext="edit" aspectratio="f"/>
              </v:shape>
            </w:pict>
          </mc:Fallback>
        </mc:AlternateContent>
      </w:r>
    </w:p>
    <w:p>
      <w:pPr>
        <w:pStyle w:val="2"/>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rPr>
        <mc:AlternateContent>
          <mc:Choice Requires="wps">
            <w:drawing>
              <wp:anchor distT="0" distB="0" distL="114300" distR="114300" simplePos="0" relativeHeight="251668480" behindDoc="0" locked="0" layoutInCell="1" allowOverlap="1">
                <wp:simplePos x="0" y="0"/>
                <wp:positionH relativeFrom="column">
                  <wp:posOffset>2306320</wp:posOffset>
                </wp:positionH>
                <wp:positionV relativeFrom="paragraph">
                  <wp:posOffset>596265</wp:posOffset>
                </wp:positionV>
                <wp:extent cx="958850" cy="0"/>
                <wp:effectExtent l="0" t="4445" r="0" b="5080"/>
                <wp:wrapNone/>
                <wp:docPr id="20" name="自选图形 12"/>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2" o:spid="_x0000_s1026" o:spt="32" type="#_x0000_t32" style="position:absolute;left:0pt;margin-left:181.6pt;margin-top:46.95pt;height:0pt;width:75.5pt;z-index:251668480;mso-width-relative:page;mso-height-relative:page;" filled="f" stroked="t" coordsize="21600,21600" o:gfxdata="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LvWqxHXAAAACQEAAA8AAAAAAAAAAQAgAAAAIgAAAGRycy9kb3ducmV2LnhtbFBL&#10;AQIUABQAAAAIAIdO4kAO6uOF9wEAAPIDAAAOAAAAAAAAAAEAIAAAACYBAABkcnMvZTJvRG9jLnht&#10;bFBLBQYAAAAABgAGAFkBAACPBQ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color w:val="auto"/>
          <w:sz w:val="40"/>
          <w:szCs w:val="40"/>
          <w:highlight w:val="none"/>
          <w:lang w:val="en-US" w:eastAsia="zh-CN"/>
        </w:rPr>
        <w:t xml:space="preserve">     </w:t>
      </w:r>
      <w:r>
        <w:rPr>
          <w:rFonts w:hint="eastAsia" w:ascii="方正小标宋简体" w:hAnsi="方正小标宋简体" w:eastAsia="方正小标宋简体" w:cs="方正小标宋简体"/>
          <w:color w:val="auto"/>
          <w:sz w:val="40"/>
          <w:szCs w:val="40"/>
          <w:highlight w:val="none"/>
        </w:rPr>
        <w:t>第六章</w:t>
      </w:r>
    </w:p>
    <w:p>
      <w:pPr>
        <w:pStyle w:val="582"/>
        <w:rPr>
          <w:rFonts w:hint="eastAsia" w:ascii="方正小标宋简体" w:hAnsi="方正小标宋简体" w:eastAsia="方正小标宋简体" w:cs="方正小标宋简体"/>
          <w:color w:val="auto"/>
          <w:sz w:val="40"/>
          <w:szCs w:val="40"/>
          <w:highlight w:val="none"/>
        </w:rPr>
      </w:pPr>
    </w:p>
    <w:p>
      <w:pPr>
        <w:pStyle w:val="2"/>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lang w:val="en-US" w:eastAsia="zh-CN"/>
        </w:rPr>
        <w:t xml:space="preserve">    </w:t>
      </w:r>
      <w:r>
        <w:rPr>
          <w:rFonts w:hint="eastAsia" w:ascii="方正小标宋简体" w:hAnsi="方正小标宋简体" w:eastAsia="方正小标宋简体" w:cs="方正小标宋简体"/>
          <w:color w:val="auto"/>
          <w:sz w:val="40"/>
          <w:szCs w:val="40"/>
          <w:highlight w:val="none"/>
        </w:rPr>
        <w:t>合同</w:t>
      </w:r>
    </w:p>
    <w:p>
      <w:pPr>
        <w:adjustRightInd w:val="0"/>
        <w:snapToGrid w:val="0"/>
        <w:spacing w:before="156" w:beforeLines="50" w:after="156" w:afterLines="50" w:line="600" w:lineRule="exact"/>
        <w:jc w:val="center"/>
        <w:rPr>
          <w:rFonts w:ascii="方正小标宋简体" w:eastAsia="方正小标宋简体"/>
          <w:color w:val="auto"/>
          <w:sz w:val="44"/>
          <w:szCs w:val="44"/>
          <w:highlight w:val="none"/>
        </w:rPr>
      </w:pPr>
    </w:p>
    <w:p>
      <w:pPr>
        <w:rPr>
          <w:rFonts w:ascii="方正小标宋简体" w:eastAsia="方正小标宋简体"/>
          <w:color w:val="auto"/>
          <w:sz w:val="44"/>
          <w:szCs w:val="44"/>
          <w:highlight w:val="none"/>
        </w:rPr>
      </w:pPr>
    </w:p>
    <w:p>
      <w:pPr>
        <w:pStyle w:val="19"/>
        <w:rPr>
          <w:rFonts w:ascii="方正小标宋简体" w:eastAsia="方正小标宋简体"/>
          <w:sz w:val="44"/>
          <w:szCs w:val="44"/>
          <w:highlight w:val="none"/>
        </w:rPr>
      </w:pPr>
    </w:p>
    <w:p>
      <w:pPr>
        <w:adjustRightInd w:val="0"/>
        <w:snapToGrid w:val="0"/>
        <w:spacing w:line="360" w:lineRule="auto"/>
        <w:jc w:val="center"/>
        <w:rPr>
          <w:rFonts w:hint="eastAsia" w:ascii="仿宋_GB2312" w:hAnsi="仿宋_GB2312" w:eastAsia="仿宋_GB2312" w:cs="仿宋_GB2312"/>
          <w:b/>
          <w:bCs/>
          <w:color w:val="auto"/>
          <w:sz w:val="30"/>
          <w:szCs w:val="30"/>
          <w:highlight w:val="none"/>
          <w:lang w:eastAsia="zh-CN"/>
        </w:rPr>
      </w:pPr>
      <w:r>
        <w:rPr>
          <w:color w:val="auto"/>
          <w:highlight w:val="none"/>
        </w:rPr>
        <w:br w:type="page"/>
      </w:r>
    </w:p>
    <w:p>
      <w:pPr>
        <w:spacing w:after="156" w:afterLines="50"/>
        <w:rPr>
          <w:rFonts w:ascii="宋体" w:hAnsi="宋体"/>
          <w:color w:val="auto"/>
          <w:sz w:val="24"/>
          <w:highlight w:val="none"/>
        </w:rPr>
      </w:pPr>
      <w:r>
        <w:rPr>
          <w:rFonts w:hint="eastAsia" w:ascii="仿宋_GB2312" w:hAnsi="仿宋_GB2312" w:eastAsia="仿宋_GB2312" w:cs="仿宋_GB2312"/>
          <w:b/>
          <w:bCs/>
          <w:color w:val="auto"/>
          <w:sz w:val="30"/>
          <w:szCs w:val="30"/>
          <w:highlight w:val="none"/>
          <w:lang w:val="en-US" w:eastAsia="zh-CN"/>
        </w:rPr>
        <w:t xml:space="preserve">  </w:t>
      </w:r>
      <w:r>
        <w:rPr>
          <w:rFonts w:hint="eastAsia" w:ascii="宋体" w:hAnsi="宋体"/>
          <w:color w:val="auto"/>
          <w:sz w:val="24"/>
          <w:highlight w:val="none"/>
        </w:rPr>
        <w:t xml:space="preserve">                                                    </w:t>
      </w:r>
      <w:r>
        <w:rPr>
          <w:rFonts w:hint="eastAsia" w:ascii="宋体" w:hAnsi="宋体"/>
          <w:color w:val="auto"/>
          <w:sz w:val="24"/>
          <w:highlight w:val="none"/>
          <w:lang w:val="en-US" w:eastAsia="zh-CN"/>
        </w:rPr>
        <w:t xml:space="preserve">                                        </w:t>
      </w:r>
      <w:r>
        <w:rPr>
          <w:rFonts w:hint="eastAsia" w:ascii="宋体" w:hAnsi="宋体"/>
          <w:color w:val="auto"/>
          <w:sz w:val="24"/>
          <w:highlight w:val="none"/>
        </w:rPr>
        <w:t xml:space="preserve">  工程编号：</w:t>
      </w:r>
    </w:p>
    <w:p>
      <w:pPr>
        <w:spacing w:after="156" w:afterLines="50"/>
        <w:rPr>
          <w:rFonts w:ascii="宋体" w:hAnsi="宋体"/>
          <w:color w:val="auto"/>
          <w:sz w:val="24"/>
          <w:highlight w:val="none"/>
        </w:rPr>
      </w:pPr>
      <w:r>
        <w:rPr>
          <w:rFonts w:hint="eastAsia" w:ascii="宋体" w:hAnsi="宋体"/>
          <w:color w:val="auto"/>
          <w:sz w:val="24"/>
          <w:highlight w:val="none"/>
        </w:rPr>
        <w:t>合同编号：</w:t>
      </w:r>
    </w:p>
    <w:p>
      <w:pPr>
        <w:spacing w:after="156" w:afterLines="50"/>
        <w:jc w:val="center"/>
        <w:rPr>
          <w:rFonts w:ascii="宋体" w:hAnsi="宋体"/>
          <w:b/>
          <w:color w:val="auto"/>
          <w:sz w:val="48"/>
          <w:szCs w:val="48"/>
          <w:highlight w:val="none"/>
        </w:rPr>
      </w:pPr>
    </w:p>
    <w:p>
      <w:pPr>
        <w:spacing w:after="156" w:afterLines="50"/>
        <w:jc w:val="center"/>
        <w:rPr>
          <w:rFonts w:ascii="宋体" w:hAnsi="宋体"/>
          <w:b/>
          <w:color w:val="auto"/>
          <w:sz w:val="48"/>
          <w:szCs w:val="48"/>
          <w:highlight w:val="none"/>
        </w:rPr>
      </w:pPr>
      <w:r>
        <w:rPr>
          <w:rFonts w:hint="eastAsia" w:ascii="宋体" w:hAnsi="宋体"/>
          <w:b/>
          <w:color w:val="auto"/>
          <w:sz w:val="48"/>
          <w:szCs w:val="48"/>
          <w:highlight w:val="none"/>
        </w:rPr>
        <w:t>广州市净水有限公司建设工程</w:t>
      </w:r>
    </w:p>
    <w:p>
      <w:pPr>
        <w:spacing w:after="156" w:afterLines="50"/>
        <w:jc w:val="center"/>
        <w:rPr>
          <w:rFonts w:ascii="宋体" w:hAnsi="宋体"/>
          <w:b/>
          <w:color w:val="auto"/>
          <w:sz w:val="48"/>
          <w:szCs w:val="48"/>
          <w:highlight w:val="none"/>
        </w:rPr>
      </w:pPr>
    </w:p>
    <w:p>
      <w:pPr>
        <w:spacing w:after="156" w:afterLines="50"/>
        <w:jc w:val="center"/>
        <w:rPr>
          <w:rFonts w:ascii="宋体" w:hAnsi="宋体"/>
          <w:b/>
          <w:color w:val="auto"/>
          <w:sz w:val="48"/>
          <w:szCs w:val="48"/>
          <w:highlight w:val="none"/>
        </w:rPr>
      </w:pPr>
      <w:r>
        <w:rPr>
          <w:rFonts w:hint="eastAsia" w:ascii="宋体" w:hAnsi="宋体"/>
          <w:b/>
          <w:color w:val="auto"/>
          <w:sz w:val="48"/>
          <w:szCs w:val="48"/>
          <w:highlight w:val="none"/>
        </w:rPr>
        <w:t>监理合同</w:t>
      </w:r>
    </w:p>
    <w:p>
      <w:pPr>
        <w:spacing w:after="156" w:afterLines="50"/>
        <w:jc w:val="center"/>
        <w:rPr>
          <w:rFonts w:ascii="宋体" w:hAnsi="宋体"/>
          <w:b/>
          <w:color w:val="auto"/>
          <w:sz w:val="72"/>
          <w:szCs w:val="72"/>
          <w:highlight w:val="none"/>
        </w:rPr>
      </w:pPr>
    </w:p>
    <w:p>
      <w:pPr>
        <w:spacing w:after="156" w:afterLines="50"/>
        <w:ind w:left="537" w:leftChars="256"/>
        <w:jc w:val="center"/>
        <w:rPr>
          <w:rFonts w:ascii="宋体" w:hAnsi="宋体"/>
          <w:color w:val="auto"/>
          <w:sz w:val="32"/>
          <w:szCs w:val="32"/>
          <w:highlight w:val="none"/>
        </w:rPr>
      </w:pPr>
    </w:p>
    <w:p>
      <w:pPr>
        <w:spacing w:after="156" w:afterLines="50"/>
        <w:ind w:left="2161" w:leftChars="258" w:hanging="1620" w:hangingChars="450"/>
        <w:rPr>
          <w:rFonts w:ascii="宋体" w:hAnsi="宋体"/>
          <w:color w:val="auto"/>
          <w:sz w:val="36"/>
          <w:szCs w:val="36"/>
          <w:highlight w:val="none"/>
        </w:rPr>
      </w:pPr>
    </w:p>
    <w:p>
      <w:pPr>
        <w:spacing w:after="156" w:afterLines="50" w:line="360" w:lineRule="auto"/>
        <w:ind w:left="2337" w:leftChars="256" w:hanging="1800" w:hangingChars="500"/>
        <w:rPr>
          <w:rFonts w:hint="default" w:ascii="宋体" w:hAnsi="宋体"/>
          <w:color w:val="auto"/>
          <w:sz w:val="36"/>
          <w:szCs w:val="36"/>
          <w:highlight w:val="none"/>
          <w:lang w:val="en-US"/>
        </w:rPr>
      </w:pPr>
      <w:r>
        <w:rPr>
          <w:rFonts w:hint="eastAsia" w:ascii="宋体" w:hAnsi="宋体"/>
          <w:color w:val="auto"/>
          <w:sz w:val="36"/>
          <w:szCs w:val="36"/>
          <w:highlight w:val="none"/>
        </w:rPr>
        <w:t>计划名称：</w:t>
      </w:r>
      <w:r>
        <w:rPr>
          <w:rFonts w:hint="eastAsia" w:ascii="宋体" w:hAnsi="宋体"/>
          <w:color w:val="auto"/>
          <w:sz w:val="36"/>
          <w:szCs w:val="36"/>
          <w:highlight w:val="none"/>
          <w:lang w:val="en-US" w:eastAsia="zh-CN"/>
        </w:rPr>
        <w:t>化龙堆存污泥综合处理处置项目</w:t>
      </w:r>
    </w:p>
    <w:p>
      <w:pPr>
        <w:spacing w:after="156" w:afterLines="50" w:line="360" w:lineRule="auto"/>
        <w:ind w:left="2337" w:leftChars="256" w:hanging="1800" w:hangingChars="500"/>
        <w:rPr>
          <w:rFonts w:ascii="宋体" w:hAnsi="宋体"/>
          <w:color w:val="auto"/>
          <w:sz w:val="36"/>
          <w:szCs w:val="36"/>
          <w:highlight w:val="none"/>
        </w:rPr>
      </w:pPr>
      <w:r>
        <w:rPr>
          <w:rFonts w:hint="eastAsia" w:ascii="宋体" w:hAnsi="宋体"/>
          <w:color w:val="auto"/>
          <w:sz w:val="36"/>
          <w:szCs w:val="36"/>
          <w:highlight w:val="none"/>
        </w:rPr>
        <w:t>工程名称：</w:t>
      </w:r>
      <w:r>
        <w:rPr>
          <w:rFonts w:hint="eastAsia" w:ascii="宋体" w:hAnsi="宋体"/>
          <w:color w:val="auto"/>
          <w:sz w:val="36"/>
          <w:szCs w:val="36"/>
          <w:highlight w:val="none"/>
          <w:lang w:val="en-US" w:eastAsia="zh-CN"/>
        </w:rPr>
        <w:t>化龙堆存污泥综合处理处置项目废弃烟囱爆破拆除工程监理</w:t>
      </w:r>
    </w:p>
    <w:p>
      <w:pPr>
        <w:spacing w:after="156" w:afterLines="50" w:line="360" w:lineRule="auto"/>
        <w:ind w:left="2337" w:leftChars="256" w:hanging="1800" w:hangingChars="500"/>
        <w:rPr>
          <w:rFonts w:ascii="宋体" w:hAnsi="宋体"/>
          <w:color w:val="auto"/>
          <w:sz w:val="36"/>
          <w:szCs w:val="36"/>
          <w:highlight w:val="none"/>
        </w:rPr>
      </w:pPr>
    </w:p>
    <w:p>
      <w:pPr>
        <w:spacing w:after="156" w:afterLines="50"/>
        <w:ind w:left="537" w:leftChars="256"/>
        <w:rPr>
          <w:rFonts w:ascii="宋体" w:hAnsi="宋体"/>
          <w:color w:val="auto"/>
          <w:sz w:val="36"/>
          <w:szCs w:val="36"/>
          <w:highlight w:val="none"/>
        </w:rPr>
      </w:pPr>
      <w:r>
        <w:rPr>
          <w:rFonts w:hint="eastAsia" w:ascii="宋体" w:hAnsi="宋体"/>
          <w:color w:val="auto"/>
          <w:sz w:val="36"/>
          <w:szCs w:val="36"/>
          <w:highlight w:val="none"/>
        </w:rPr>
        <w:t xml:space="preserve">委托人：广州市净水有限公司 </w:t>
      </w:r>
    </w:p>
    <w:p>
      <w:pPr>
        <w:spacing w:after="156" w:afterLines="50"/>
        <w:ind w:left="537" w:leftChars="256"/>
        <w:rPr>
          <w:rFonts w:ascii="宋体" w:hAnsi="宋体"/>
          <w:color w:val="auto"/>
          <w:sz w:val="36"/>
          <w:szCs w:val="36"/>
          <w:highlight w:val="none"/>
        </w:rPr>
      </w:pPr>
      <w:r>
        <w:rPr>
          <w:rFonts w:hint="eastAsia" w:ascii="宋体" w:hAnsi="宋体"/>
          <w:color w:val="auto"/>
          <w:sz w:val="36"/>
          <w:szCs w:val="36"/>
          <w:highlight w:val="none"/>
        </w:rPr>
        <w:t>监理人：</w:t>
      </w:r>
    </w:p>
    <w:p>
      <w:pPr>
        <w:ind w:firstLine="540" w:firstLineChars="150"/>
        <w:rPr>
          <w:rFonts w:hint="eastAsia" w:ascii="宋体" w:hAnsi="宋体"/>
          <w:color w:val="auto"/>
          <w:sz w:val="36"/>
          <w:szCs w:val="36"/>
          <w:highlight w:val="none"/>
        </w:rPr>
      </w:pPr>
    </w:p>
    <w:p>
      <w:pPr>
        <w:ind w:firstLine="540" w:firstLineChars="150"/>
        <w:rPr>
          <w:rFonts w:ascii="宋体" w:hAnsi="宋体"/>
          <w:color w:val="auto"/>
          <w:sz w:val="36"/>
          <w:szCs w:val="36"/>
          <w:highlight w:val="none"/>
        </w:rPr>
      </w:pPr>
      <w:r>
        <w:rPr>
          <w:rFonts w:hint="eastAsia" w:ascii="宋体" w:hAnsi="宋体"/>
          <w:color w:val="auto"/>
          <w:sz w:val="36"/>
          <w:szCs w:val="36"/>
          <w:highlight w:val="none"/>
        </w:rPr>
        <w:t>签订日期：</w:t>
      </w:r>
    </w:p>
    <w:p>
      <w:pPr>
        <w:spacing w:line="480" w:lineRule="auto"/>
        <w:rPr>
          <w:rFonts w:ascii="宋体" w:hAnsi="宋体" w:cs="宋体"/>
          <w:color w:val="auto"/>
          <w:sz w:val="28"/>
          <w:szCs w:val="28"/>
          <w:highlight w:val="none"/>
        </w:rPr>
      </w:pPr>
      <w:r>
        <w:rPr>
          <w:rFonts w:ascii="宋体" w:hAnsi="宋体"/>
          <w:color w:val="auto"/>
          <w:sz w:val="36"/>
          <w:szCs w:val="36"/>
          <w:highlight w:val="none"/>
        </w:rPr>
        <w:br w:type="page"/>
      </w:r>
      <w:r>
        <w:rPr>
          <w:rFonts w:hint="eastAsia" w:ascii="宋体" w:hAnsi="宋体" w:cs="宋体"/>
          <w:color w:val="auto"/>
          <w:sz w:val="28"/>
          <w:szCs w:val="28"/>
          <w:highlight w:val="none"/>
        </w:rPr>
        <w:t>第一节   合同协议书</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第二节   通用合同条款</w:t>
      </w:r>
    </w:p>
    <w:p>
      <w:p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第三节   专用合同条款</w:t>
      </w:r>
    </w:p>
    <w:p>
      <w:pPr>
        <w:numPr>
          <w:ilvl w:val="0"/>
          <w:numId w:val="29"/>
        </w:numPr>
        <w:spacing w:line="360" w:lineRule="auto"/>
        <w:rPr>
          <w:rFonts w:ascii="宋体" w:hAnsi="宋体" w:cs="宋体"/>
          <w:color w:val="auto"/>
          <w:sz w:val="28"/>
          <w:szCs w:val="28"/>
          <w:highlight w:val="none"/>
        </w:rPr>
      </w:pPr>
      <w:r>
        <w:rPr>
          <w:rFonts w:hint="eastAsia" w:ascii="宋体" w:hAnsi="宋体" w:cs="宋体"/>
          <w:color w:val="auto"/>
          <w:sz w:val="28"/>
          <w:szCs w:val="28"/>
          <w:highlight w:val="none"/>
        </w:rPr>
        <w:t xml:space="preserve">  合同附件</w:t>
      </w:r>
    </w:p>
    <w:p>
      <w:pPr>
        <w:spacing w:line="560" w:lineRule="exact"/>
        <w:rPr>
          <w:rFonts w:ascii="宋体" w:hAnsi="宋体" w:cs="宋体"/>
          <w:color w:val="auto"/>
          <w:sz w:val="24"/>
          <w:szCs w:val="24"/>
          <w:highlight w:val="none"/>
        </w:rPr>
      </w:pPr>
      <w:r>
        <w:rPr>
          <w:rFonts w:hint="eastAsia" w:ascii="宋体" w:hAnsi="宋体" w:cs="宋体"/>
          <w:color w:val="auto"/>
          <w:sz w:val="24"/>
          <w:szCs w:val="24"/>
          <w:highlight w:val="none"/>
        </w:rPr>
        <w:t>附件一：履约担保（格式）</w:t>
      </w:r>
    </w:p>
    <w:p>
      <w:pPr>
        <w:spacing w:before="156" w:beforeLines="50" w:line="560" w:lineRule="exact"/>
        <w:outlineLvl w:val="1"/>
        <w:rPr>
          <w:rFonts w:ascii="宋体" w:hAnsi="宋体" w:cs="宋体"/>
          <w:color w:val="auto"/>
          <w:sz w:val="24"/>
          <w:szCs w:val="24"/>
          <w:highlight w:val="none"/>
        </w:rPr>
      </w:pPr>
      <w:r>
        <w:rPr>
          <w:rFonts w:hint="eastAsia" w:ascii="宋体" w:hAnsi="宋体" w:cs="宋体"/>
          <w:color w:val="auto"/>
          <w:sz w:val="24"/>
          <w:szCs w:val="24"/>
          <w:highlight w:val="none"/>
        </w:rPr>
        <w:t>附件二：预付款担保（格式）</w:t>
      </w:r>
    </w:p>
    <w:p>
      <w:pPr>
        <w:spacing w:line="560" w:lineRule="exact"/>
        <w:rPr>
          <w:rFonts w:ascii="宋体" w:hAnsi="宋体" w:cs="宋体"/>
          <w:color w:val="auto"/>
          <w:sz w:val="24"/>
          <w:szCs w:val="24"/>
          <w:highlight w:val="none"/>
        </w:rPr>
      </w:pPr>
      <w:r>
        <w:rPr>
          <w:rFonts w:hint="eastAsia" w:ascii="宋体" w:hAnsi="宋体" w:cs="宋体"/>
          <w:color w:val="auto"/>
          <w:sz w:val="24"/>
          <w:szCs w:val="24"/>
          <w:highlight w:val="none"/>
        </w:rPr>
        <w:t>附件三：</w:t>
      </w:r>
      <w:r>
        <w:rPr>
          <w:rFonts w:hint="eastAsia" w:ascii="宋体" w:hAnsi="宋体" w:cs="宋体"/>
          <w:color w:val="auto"/>
          <w:sz w:val="24"/>
          <w:szCs w:val="24"/>
          <w:highlight w:val="none"/>
          <w:lang w:val="en-US" w:eastAsia="zh-CN"/>
        </w:rPr>
        <w:t>成交通知书</w:t>
      </w:r>
    </w:p>
    <w:p>
      <w:pPr>
        <w:spacing w:line="560" w:lineRule="exact"/>
        <w:rPr>
          <w:rFonts w:ascii="宋体" w:hAnsi="宋体" w:cs="宋体"/>
          <w:color w:val="auto"/>
          <w:sz w:val="24"/>
          <w:szCs w:val="24"/>
          <w:highlight w:val="none"/>
        </w:rPr>
      </w:pPr>
      <w:r>
        <w:rPr>
          <w:rFonts w:hint="eastAsia" w:ascii="宋体" w:hAnsi="宋体" w:cs="宋体"/>
          <w:color w:val="auto"/>
          <w:sz w:val="24"/>
          <w:szCs w:val="24"/>
          <w:highlight w:val="none"/>
        </w:rPr>
        <w:t>附件四：监理服务收费报价计算表</w:t>
      </w:r>
    </w:p>
    <w:p>
      <w:pPr>
        <w:spacing w:line="560" w:lineRule="exact"/>
        <w:rPr>
          <w:rFonts w:ascii="宋体" w:hAnsi="宋体" w:cs="宋体"/>
          <w:color w:val="auto"/>
          <w:sz w:val="24"/>
          <w:szCs w:val="24"/>
          <w:highlight w:val="none"/>
        </w:rPr>
      </w:pPr>
      <w:r>
        <w:rPr>
          <w:rFonts w:hint="eastAsia" w:ascii="宋体" w:hAnsi="宋体" w:cs="宋体"/>
          <w:color w:val="auto"/>
          <w:sz w:val="24"/>
          <w:szCs w:val="24"/>
          <w:highlight w:val="none"/>
        </w:rPr>
        <w:t>附件五：监理服务的形式、范围与内容</w:t>
      </w:r>
    </w:p>
    <w:p>
      <w:pPr>
        <w:pStyle w:val="78"/>
        <w:spacing w:line="560" w:lineRule="exact"/>
        <w:rPr>
          <w:rFonts w:cs="宋体"/>
          <w:color w:val="auto"/>
          <w:highlight w:val="none"/>
        </w:rPr>
      </w:pPr>
      <w:r>
        <w:rPr>
          <w:rFonts w:hint="eastAsia" w:cs="宋体"/>
          <w:color w:val="auto"/>
          <w:highlight w:val="none"/>
        </w:rPr>
        <w:t>附件六：安全监理协议书</w:t>
      </w:r>
    </w:p>
    <w:p>
      <w:pPr>
        <w:pStyle w:val="78"/>
        <w:spacing w:line="560" w:lineRule="exact"/>
        <w:rPr>
          <w:rFonts w:cs="宋体"/>
          <w:color w:val="auto"/>
          <w:highlight w:val="none"/>
        </w:rPr>
      </w:pPr>
      <w:r>
        <w:rPr>
          <w:rFonts w:hint="eastAsia" w:cs="宋体"/>
          <w:color w:val="auto"/>
          <w:highlight w:val="none"/>
        </w:rPr>
        <w:t>附件七：廉洁协议</w:t>
      </w:r>
    </w:p>
    <w:p>
      <w:pPr>
        <w:pStyle w:val="78"/>
        <w:spacing w:line="560" w:lineRule="exact"/>
        <w:rPr>
          <w:rFonts w:cs="宋体"/>
          <w:color w:val="auto"/>
          <w:highlight w:val="none"/>
        </w:rPr>
      </w:pPr>
      <w:r>
        <w:rPr>
          <w:rFonts w:hint="eastAsia" w:cs="宋体"/>
          <w:color w:val="auto"/>
          <w:highlight w:val="none"/>
        </w:rPr>
        <w:t>附件八：本项目的监理组织机构（与</w:t>
      </w:r>
      <w:r>
        <w:rPr>
          <w:rFonts w:hint="eastAsia" w:cs="宋体"/>
          <w:color w:val="auto"/>
          <w:highlight w:val="none"/>
          <w:lang w:val="en-US" w:eastAsia="zh-CN"/>
        </w:rPr>
        <w:t>响应</w:t>
      </w:r>
      <w:r>
        <w:rPr>
          <w:rFonts w:hint="eastAsia" w:cs="宋体"/>
          <w:color w:val="auto"/>
          <w:highlight w:val="none"/>
        </w:rPr>
        <w:t>文件一致）</w:t>
      </w:r>
    </w:p>
    <w:p>
      <w:pPr>
        <w:pStyle w:val="78"/>
        <w:spacing w:line="560" w:lineRule="exact"/>
        <w:rPr>
          <w:rFonts w:cs="宋体"/>
          <w:color w:val="auto"/>
          <w:highlight w:val="none"/>
        </w:rPr>
      </w:pPr>
      <w:r>
        <w:rPr>
          <w:rFonts w:hint="eastAsia" w:cs="宋体"/>
          <w:color w:val="auto"/>
          <w:highlight w:val="none"/>
        </w:rPr>
        <w:t>附件九：拟投入本项目的主要监理人员汇总表（与</w:t>
      </w:r>
      <w:r>
        <w:rPr>
          <w:rFonts w:hint="eastAsia" w:cs="宋体"/>
          <w:color w:val="auto"/>
          <w:highlight w:val="none"/>
          <w:lang w:val="en-US" w:eastAsia="zh-CN"/>
        </w:rPr>
        <w:t>响应</w:t>
      </w:r>
      <w:r>
        <w:rPr>
          <w:rFonts w:hint="eastAsia" w:cs="宋体"/>
          <w:color w:val="auto"/>
          <w:highlight w:val="none"/>
        </w:rPr>
        <w:t>文件一致）</w:t>
      </w:r>
    </w:p>
    <w:p>
      <w:pPr>
        <w:pStyle w:val="78"/>
        <w:spacing w:line="560" w:lineRule="exact"/>
        <w:rPr>
          <w:rFonts w:cs="宋体"/>
          <w:color w:val="auto"/>
          <w:highlight w:val="none"/>
        </w:rPr>
      </w:pPr>
      <w:r>
        <w:rPr>
          <w:rFonts w:hint="eastAsia" w:cs="宋体"/>
          <w:color w:val="auto"/>
          <w:highlight w:val="none"/>
        </w:rPr>
        <w:t>附件十：拟投入本项目的其他监理人员汇总表（与</w:t>
      </w:r>
      <w:r>
        <w:rPr>
          <w:rFonts w:hint="eastAsia" w:cs="宋体"/>
          <w:color w:val="auto"/>
          <w:highlight w:val="none"/>
          <w:lang w:val="en-US" w:eastAsia="zh-CN"/>
        </w:rPr>
        <w:t>响应</w:t>
      </w:r>
      <w:r>
        <w:rPr>
          <w:rFonts w:hint="eastAsia" w:cs="宋体"/>
          <w:color w:val="auto"/>
          <w:highlight w:val="none"/>
        </w:rPr>
        <w:t>文件一致）</w:t>
      </w:r>
    </w:p>
    <w:p>
      <w:pPr>
        <w:pStyle w:val="78"/>
        <w:rPr>
          <w:rFonts w:hint="eastAsia" w:ascii="黑体" w:hAnsi="黑体" w:eastAsia="黑体"/>
          <w:color w:val="auto"/>
          <w:sz w:val="28"/>
          <w:highlight w:val="none"/>
          <w:lang w:eastAsia="zh-CN"/>
        </w:rPr>
      </w:pPr>
      <w:r>
        <w:rPr>
          <w:rFonts w:ascii="黑体" w:hAnsi="黑体" w:eastAsia="黑体"/>
          <w:color w:val="auto"/>
          <w:sz w:val="28"/>
          <w:highlight w:val="none"/>
        </w:rPr>
        <w:br w:type="page"/>
      </w:r>
    </w:p>
    <w:p>
      <w:pPr>
        <w:pStyle w:val="78"/>
        <w:contextualSpacing/>
        <w:rPr>
          <w:rFonts w:hint="eastAsia" w:ascii="黑体" w:hAnsi="黑体" w:eastAsia="黑体"/>
          <w:color w:val="auto"/>
          <w:sz w:val="28"/>
          <w:highlight w:val="none"/>
        </w:rPr>
      </w:pPr>
      <w:r>
        <w:rPr>
          <w:rFonts w:ascii="黑体" w:hAnsi="黑体" w:eastAsia="黑体"/>
          <w:color w:val="auto"/>
          <w:sz w:val="28"/>
          <w:highlight w:val="none"/>
        </w:rPr>
        <w:t>附件</w:t>
      </w:r>
      <w:r>
        <w:rPr>
          <w:rFonts w:hint="eastAsia" w:ascii="黑体" w:hAnsi="黑体" w:eastAsia="黑体"/>
          <w:color w:val="auto"/>
          <w:sz w:val="28"/>
          <w:highlight w:val="none"/>
        </w:rPr>
        <w:t>十</w:t>
      </w:r>
      <w:r>
        <w:rPr>
          <w:rFonts w:hint="eastAsia" w:ascii="黑体" w:hAnsi="黑体" w:eastAsia="黑体"/>
          <w:color w:val="auto"/>
          <w:sz w:val="28"/>
          <w:highlight w:val="none"/>
          <w:lang w:val="en-US" w:eastAsia="zh-CN"/>
        </w:rPr>
        <w:t>一</w:t>
      </w:r>
      <w:r>
        <w:rPr>
          <w:rFonts w:ascii="黑体" w:hAnsi="黑体" w:eastAsia="黑体"/>
          <w:color w:val="auto"/>
          <w:sz w:val="28"/>
          <w:highlight w:val="none"/>
        </w:rPr>
        <w:t>：</w:t>
      </w:r>
      <w:r>
        <w:rPr>
          <w:rFonts w:hint="eastAsia" w:ascii="黑体" w:hAnsi="黑体" w:eastAsia="黑体"/>
          <w:color w:val="auto"/>
          <w:sz w:val="28"/>
          <w:highlight w:val="none"/>
        </w:rPr>
        <w:t>广州市净水有限公司工程计量结算条件及实施指引（修订版）</w:t>
      </w:r>
    </w:p>
    <w:p>
      <w:pPr>
        <w:pStyle w:val="78"/>
        <w:contextualSpacing/>
        <w:rPr>
          <w:rFonts w:ascii="黑体" w:hAnsi="黑体" w:eastAsia="黑体"/>
          <w:color w:val="auto"/>
          <w:sz w:val="28"/>
          <w:highlight w:val="none"/>
        </w:rPr>
      </w:pPr>
      <w:r>
        <w:rPr>
          <w:rFonts w:ascii="黑体" w:hAnsi="黑体" w:eastAsia="黑体"/>
          <w:color w:val="auto"/>
          <w:sz w:val="28"/>
          <w:highlight w:val="none"/>
        </w:rPr>
        <w:t>附件</w:t>
      </w:r>
      <w:r>
        <w:rPr>
          <w:rFonts w:hint="eastAsia" w:ascii="黑体" w:hAnsi="黑体" w:eastAsia="黑体"/>
          <w:color w:val="auto"/>
          <w:sz w:val="28"/>
          <w:highlight w:val="none"/>
        </w:rPr>
        <w:t>十</w:t>
      </w:r>
      <w:r>
        <w:rPr>
          <w:rFonts w:hint="eastAsia" w:ascii="黑体" w:hAnsi="黑体" w:eastAsia="黑体"/>
          <w:color w:val="auto"/>
          <w:sz w:val="28"/>
          <w:highlight w:val="none"/>
          <w:lang w:val="en-US" w:eastAsia="zh-CN"/>
        </w:rPr>
        <w:t>二</w:t>
      </w:r>
      <w:r>
        <w:rPr>
          <w:rFonts w:ascii="黑体" w:hAnsi="黑体" w:eastAsia="黑体"/>
          <w:color w:val="auto"/>
          <w:sz w:val="28"/>
          <w:highlight w:val="none"/>
        </w:rPr>
        <w:t>：</w:t>
      </w:r>
      <w:r>
        <w:rPr>
          <w:rFonts w:hint="eastAsia" w:ascii="黑体" w:hAnsi="黑体" w:eastAsia="黑体"/>
          <w:color w:val="auto"/>
          <w:sz w:val="28"/>
          <w:highlight w:val="none"/>
        </w:rPr>
        <w:t>《关于规范工程项目结算审查工作的通知》（穗污治[2006]178号，另卷）</w:t>
      </w:r>
    </w:p>
    <w:p>
      <w:pPr>
        <w:pStyle w:val="78"/>
        <w:contextualSpacing/>
        <w:rPr>
          <w:rFonts w:ascii="黑体" w:hAnsi="黑体" w:eastAsia="黑体"/>
          <w:color w:val="auto"/>
          <w:sz w:val="28"/>
          <w:highlight w:val="none"/>
        </w:rPr>
      </w:pPr>
    </w:p>
    <w:p>
      <w:pPr>
        <w:pStyle w:val="78"/>
        <w:contextualSpacing/>
        <w:rPr>
          <w:rFonts w:ascii="黑体" w:hAnsi="黑体" w:eastAsia="黑体"/>
          <w:color w:val="auto"/>
          <w:sz w:val="28"/>
          <w:highlight w:val="none"/>
        </w:rPr>
      </w:pPr>
      <w:r>
        <w:rPr>
          <w:rFonts w:hint="eastAsia" w:ascii="黑体" w:hAnsi="黑体" w:eastAsia="黑体"/>
          <w:color w:val="auto"/>
          <w:sz w:val="28"/>
          <w:highlight w:val="none"/>
        </w:rPr>
        <w:t>附件十</w:t>
      </w:r>
      <w:r>
        <w:rPr>
          <w:rFonts w:hint="eastAsia" w:ascii="黑体" w:hAnsi="黑体" w:eastAsia="黑体"/>
          <w:color w:val="auto"/>
          <w:sz w:val="28"/>
          <w:highlight w:val="none"/>
          <w:lang w:val="en-US" w:eastAsia="zh-CN"/>
        </w:rPr>
        <w:t>三</w:t>
      </w:r>
      <w:r>
        <w:rPr>
          <w:rFonts w:hint="eastAsia" w:ascii="黑体" w:hAnsi="黑体" w:eastAsia="黑体"/>
          <w:color w:val="auto"/>
          <w:sz w:val="28"/>
          <w:highlight w:val="none"/>
        </w:rPr>
        <w:t>：《关于印发〈广州市污水治理工程监理造价审核管理规定及实施指引〉的补充通知（穗污治[2007] 352号）》及其补充通知（另卷）</w:t>
      </w:r>
    </w:p>
    <w:p>
      <w:pPr>
        <w:pStyle w:val="78"/>
        <w:contextualSpacing/>
        <w:rPr>
          <w:rFonts w:ascii="黑体" w:hAnsi="黑体" w:eastAsia="黑体"/>
          <w:color w:val="auto"/>
          <w:sz w:val="28"/>
          <w:highlight w:val="none"/>
        </w:rPr>
      </w:pPr>
    </w:p>
    <w:p>
      <w:pPr>
        <w:pStyle w:val="78"/>
        <w:contextualSpacing/>
        <w:rPr>
          <w:rFonts w:ascii="黑体" w:hAnsi="黑体" w:eastAsia="黑体"/>
          <w:color w:val="auto"/>
          <w:sz w:val="28"/>
          <w:highlight w:val="none"/>
        </w:rPr>
      </w:pPr>
      <w:r>
        <w:rPr>
          <w:rFonts w:hint="eastAsia" w:ascii="黑体" w:hAnsi="黑体" w:eastAsia="黑体"/>
          <w:color w:val="auto"/>
          <w:sz w:val="28"/>
          <w:highlight w:val="none"/>
        </w:rPr>
        <w:t>附件十</w:t>
      </w:r>
      <w:r>
        <w:rPr>
          <w:rFonts w:hint="eastAsia" w:ascii="黑体" w:hAnsi="黑体" w:eastAsia="黑体"/>
          <w:color w:val="auto"/>
          <w:sz w:val="28"/>
          <w:highlight w:val="none"/>
          <w:lang w:val="en-US" w:eastAsia="zh-CN"/>
        </w:rPr>
        <w:t>四</w:t>
      </w:r>
      <w:r>
        <w:rPr>
          <w:rFonts w:hint="eastAsia" w:ascii="黑体" w:hAnsi="黑体" w:eastAsia="黑体"/>
          <w:color w:val="auto"/>
          <w:sz w:val="28"/>
          <w:highlight w:val="none"/>
        </w:rPr>
        <w:t>：《关于印发&lt;广州市污水治理工程变更设计管理规定暂行)&gt;》的通知(穗污治[2006]289号)（另卷）</w:t>
      </w:r>
    </w:p>
    <w:p>
      <w:pPr>
        <w:pStyle w:val="78"/>
        <w:contextualSpacing/>
        <w:rPr>
          <w:rFonts w:ascii="黑体" w:hAnsi="黑体" w:eastAsia="黑体"/>
          <w:color w:val="auto"/>
          <w:sz w:val="28"/>
          <w:highlight w:val="none"/>
        </w:rPr>
      </w:pPr>
    </w:p>
    <w:p>
      <w:pPr>
        <w:pStyle w:val="78"/>
        <w:contextualSpacing/>
        <w:rPr>
          <w:rFonts w:ascii="黑体" w:hAnsi="黑体" w:eastAsia="黑体"/>
          <w:color w:val="auto"/>
          <w:sz w:val="28"/>
          <w:highlight w:val="none"/>
        </w:rPr>
      </w:pPr>
      <w:r>
        <w:rPr>
          <w:rFonts w:hint="eastAsia"/>
          <w:color w:val="auto"/>
          <w:highlight w:val="none"/>
        </w:rPr>
        <w:t>[注：以上附件</w:t>
      </w:r>
      <w:r>
        <w:rPr>
          <w:rFonts w:hint="eastAsia"/>
          <w:color w:val="auto"/>
          <w:highlight w:val="none"/>
          <w:lang w:val="en-US" w:eastAsia="zh-CN"/>
        </w:rPr>
        <w:t>十一</w:t>
      </w:r>
      <w:r>
        <w:rPr>
          <w:rFonts w:hint="eastAsia"/>
          <w:color w:val="auto"/>
          <w:highlight w:val="none"/>
        </w:rPr>
        <w:t>至十</w:t>
      </w:r>
      <w:r>
        <w:rPr>
          <w:rFonts w:hint="eastAsia"/>
          <w:color w:val="auto"/>
          <w:highlight w:val="none"/>
          <w:lang w:val="en-US" w:eastAsia="zh-CN"/>
        </w:rPr>
        <w:t>四</w:t>
      </w:r>
      <w:r>
        <w:rPr>
          <w:rFonts w:hint="eastAsia"/>
          <w:color w:val="auto"/>
          <w:highlight w:val="none"/>
        </w:rPr>
        <w:t>如有更新，按更新后的规定执行。以上规定监理人需无条件执行。]</w:t>
      </w:r>
    </w:p>
    <w:p>
      <w:pPr>
        <w:pStyle w:val="78"/>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p>
    <w:p>
      <w:pPr>
        <w:spacing w:line="234" w:lineRule="exact"/>
        <w:rPr>
          <w:rFonts w:eastAsia="Times New Roman"/>
          <w:color w:val="auto"/>
          <w:highlight w:val="none"/>
        </w:rPr>
      </w:pPr>
    </w:p>
    <w:p>
      <w:pPr>
        <w:spacing w:line="320" w:lineRule="exact"/>
        <w:jc w:val="center"/>
        <w:rPr>
          <w:rFonts w:ascii="黑体" w:hAnsi="黑体" w:eastAsia="黑体"/>
          <w:color w:val="auto"/>
          <w:sz w:val="28"/>
          <w:highlight w:val="none"/>
        </w:rPr>
      </w:pPr>
      <w:r>
        <w:rPr>
          <w:rFonts w:hint="eastAsia" w:ascii="黑体" w:hAnsi="黑体" w:eastAsia="黑体"/>
          <w:color w:val="auto"/>
          <w:sz w:val="28"/>
          <w:highlight w:val="none"/>
        </w:rPr>
        <w:t xml:space="preserve">第一节  </w:t>
      </w:r>
      <w:r>
        <w:rPr>
          <w:rFonts w:ascii="黑体" w:hAnsi="黑体" w:eastAsia="黑体"/>
          <w:color w:val="auto"/>
          <w:sz w:val="28"/>
          <w:highlight w:val="none"/>
        </w:rPr>
        <w:t>合同协议书</w:t>
      </w:r>
    </w:p>
    <w:p>
      <w:pPr>
        <w:spacing w:line="200" w:lineRule="exact"/>
        <w:rPr>
          <w:rFonts w:eastAsia="Times New Roman"/>
          <w:color w:val="auto"/>
          <w:highlight w:val="none"/>
        </w:rPr>
      </w:pPr>
    </w:p>
    <w:p>
      <w:pPr>
        <w:spacing w:line="200" w:lineRule="exact"/>
        <w:rPr>
          <w:color w:val="auto"/>
          <w:highlight w:val="none"/>
        </w:rPr>
      </w:pPr>
    </w:p>
    <w:p>
      <w:pPr>
        <w:spacing w:line="360" w:lineRule="auto"/>
        <w:rPr>
          <w:color w:val="auto"/>
          <w:highlight w:val="none"/>
          <w:u w:val="single"/>
        </w:rPr>
      </w:pPr>
      <w:r>
        <w:rPr>
          <w:rFonts w:hint="eastAsia"/>
          <w:color w:val="auto"/>
          <w:highlight w:val="none"/>
        </w:rPr>
        <w:t xml:space="preserve">       </w:t>
      </w:r>
      <w:r>
        <w:rPr>
          <w:rFonts w:hint="eastAsia"/>
          <w:color w:val="auto"/>
          <w:sz w:val="21"/>
          <w:szCs w:val="21"/>
          <w:highlight w:val="none"/>
          <w:u w:val="single"/>
        </w:rPr>
        <w:t>广州市净水有限公司</w:t>
      </w:r>
      <w:r>
        <w:rPr>
          <w:rFonts w:ascii="宋体" w:hAnsi="宋体"/>
          <w:color w:val="auto"/>
          <w:sz w:val="21"/>
          <w:szCs w:val="21"/>
          <w:highlight w:val="none"/>
        </w:rPr>
        <w:t>（委托人名称，以下简称“委托人”）为实施</w:t>
      </w:r>
      <w:r>
        <w:rPr>
          <w:rFonts w:hint="eastAsia"/>
          <w:color w:val="auto"/>
          <w:sz w:val="21"/>
          <w:szCs w:val="21"/>
          <w:highlight w:val="none"/>
          <w:u w:val="single"/>
        </w:rPr>
        <w:t xml:space="preserve"> 化龙堆存污泥综合处理处置项目</w:t>
      </w:r>
      <w:r>
        <w:rPr>
          <w:rFonts w:hint="eastAsia"/>
          <w:color w:val="auto"/>
          <w:sz w:val="21"/>
          <w:szCs w:val="21"/>
          <w:highlight w:val="none"/>
          <w:u w:val="single"/>
          <w:lang w:eastAsia="zh-CN"/>
        </w:rPr>
        <w:t>废弃</w:t>
      </w:r>
      <w:r>
        <w:rPr>
          <w:rFonts w:hint="eastAsia"/>
          <w:color w:val="auto"/>
          <w:sz w:val="21"/>
          <w:szCs w:val="21"/>
          <w:highlight w:val="none"/>
          <w:u w:val="single"/>
        </w:rPr>
        <w:t>烟囱爆破拆除工程</w:t>
      </w:r>
      <w:r>
        <w:rPr>
          <w:rFonts w:ascii="宋体" w:hAnsi="宋体"/>
          <w:color w:val="auto"/>
          <w:sz w:val="21"/>
          <w:szCs w:val="21"/>
          <w:highlight w:val="none"/>
        </w:rPr>
        <w:t>（项目名称），</w:t>
      </w:r>
      <w:r>
        <w:rPr>
          <w:rFonts w:hint="eastAsia" w:ascii="宋体" w:hAnsi="宋体"/>
          <w:color w:val="auto"/>
          <w:sz w:val="21"/>
          <w:szCs w:val="21"/>
          <w:highlight w:val="none"/>
          <w:lang w:val="en-US" w:eastAsia="zh-CN"/>
        </w:rPr>
        <w:t>经公开询价委托</w:t>
      </w:r>
      <w:r>
        <w:rPr>
          <w:rFonts w:hint="eastAsia" w:ascii="宋体" w:hAnsi="宋体"/>
          <w:color w:val="auto"/>
          <w:sz w:val="21"/>
          <w:szCs w:val="21"/>
          <w:highlight w:val="none"/>
          <w:u w:val="single"/>
        </w:rPr>
        <w:t xml:space="preserve">                 </w:t>
      </w:r>
      <w:r>
        <w:rPr>
          <w:rFonts w:ascii="宋体" w:hAnsi="宋体"/>
          <w:color w:val="auto"/>
          <w:sz w:val="21"/>
          <w:szCs w:val="21"/>
          <w:highlight w:val="none"/>
        </w:rPr>
        <w:t>（监理人名称，以下简称“监理人”）</w:t>
      </w:r>
      <w:r>
        <w:rPr>
          <w:rFonts w:hint="eastAsia" w:ascii="宋体" w:hAnsi="宋体"/>
          <w:color w:val="auto"/>
          <w:sz w:val="21"/>
          <w:szCs w:val="21"/>
          <w:highlight w:val="none"/>
          <w:lang w:val="en-US" w:eastAsia="zh-CN"/>
        </w:rPr>
        <w:t>承接本</w:t>
      </w:r>
      <w:r>
        <w:rPr>
          <w:rFonts w:ascii="宋体" w:hAnsi="宋体"/>
          <w:color w:val="auto"/>
          <w:sz w:val="21"/>
          <w:szCs w:val="21"/>
          <w:highlight w:val="none"/>
        </w:rPr>
        <w:t>项目监理</w:t>
      </w:r>
      <w:r>
        <w:rPr>
          <w:rFonts w:hint="eastAsia" w:ascii="宋体" w:hAnsi="宋体"/>
          <w:color w:val="auto"/>
          <w:sz w:val="21"/>
          <w:szCs w:val="21"/>
          <w:highlight w:val="none"/>
          <w:lang w:val="en-US" w:eastAsia="zh-CN"/>
        </w:rPr>
        <w:t>工作</w:t>
      </w:r>
      <w:r>
        <w:rPr>
          <w:rFonts w:ascii="宋体" w:hAnsi="宋体"/>
          <w:color w:val="auto"/>
          <w:sz w:val="21"/>
          <w:szCs w:val="21"/>
          <w:highlight w:val="none"/>
        </w:rPr>
        <w:t>。委托人和监理人共同达成如下协议。</w:t>
      </w:r>
    </w:p>
    <w:p>
      <w:pPr>
        <w:numPr>
          <w:ilvl w:val="0"/>
          <w:numId w:val="30"/>
        </w:numPr>
        <w:spacing w:line="360" w:lineRule="auto"/>
        <w:ind w:left="426" w:right="1514"/>
        <w:rPr>
          <w:rFonts w:ascii="宋体" w:hAnsi="宋体"/>
          <w:color w:val="auto"/>
          <w:sz w:val="21"/>
          <w:szCs w:val="21"/>
          <w:highlight w:val="none"/>
        </w:rPr>
      </w:pPr>
      <w:r>
        <w:rPr>
          <w:rFonts w:hint="eastAsia" w:ascii="宋体" w:hAnsi="宋体"/>
          <w:color w:val="auto"/>
          <w:sz w:val="21"/>
          <w:szCs w:val="21"/>
          <w:highlight w:val="none"/>
        </w:rPr>
        <w:t>下列文件均为本合同的组成部分，且优先解释顺序如下：</w:t>
      </w:r>
      <w:r>
        <w:rPr>
          <w:rFonts w:ascii="宋体" w:hAnsi="宋体"/>
          <w:color w:val="auto"/>
          <w:sz w:val="21"/>
          <w:szCs w:val="21"/>
          <w:highlight w:val="none"/>
        </w:rPr>
        <w:t>：</w:t>
      </w:r>
    </w:p>
    <w:p>
      <w:pPr>
        <w:spacing w:line="384" w:lineRule="auto"/>
        <w:ind w:left="743" w:leftChars="354" w:firstLine="123" w:firstLineChars="59"/>
        <w:rPr>
          <w:rFonts w:ascii="宋体" w:hAnsi="宋体" w:cs="宋体"/>
          <w:color w:val="auto"/>
          <w:sz w:val="21"/>
          <w:szCs w:val="21"/>
          <w:highlight w:val="none"/>
        </w:rPr>
      </w:pPr>
      <w:r>
        <w:rPr>
          <w:rFonts w:hint="eastAsia" w:ascii="宋体" w:hAnsi="宋体"/>
          <w:color w:val="auto"/>
          <w:sz w:val="21"/>
          <w:szCs w:val="21"/>
          <w:highlight w:val="none"/>
        </w:rPr>
        <w:t>（1）在实施过程中双方共同签署的补充与修正文件</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（2）本合同协议书</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成交通知书</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（4）本合同专用条款</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（5）合同附件</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（6）本合同通用条款</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（7）标准、规范及有关技术文件</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（8）</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文件（包括补充、修改、澄清文件、答疑纪要等）</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（9）</w:t>
      </w:r>
      <w:r>
        <w:rPr>
          <w:rFonts w:hint="eastAsia" w:ascii="宋体" w:hAnsi="宋体"/>
          <w:color w:val="auto"/>
          <w:sz w:val="21"/>
          <w:szCs w:val="21"/>
          <w:highlight w:val="none"/>
          <w:lang w:val="en-US" w:eastAsia="zh-CN"/>
        </w:rPr>
        <w:t>响应</w:t>
      </w:r>
      <w:r>
        <w:rPr>
          <w:rFonts w:hint="eastAsia" w:ascii="宋体" w:hAnsi="宋体"/>
          <w:color w:val="auto"/>
          <w:sz w:val="21"/>
          <w:szCs w:val="21"/>
          <w:highlight w:val="none"/>
        </w:rPr>
        <w:t>文件及其附件</w:t>
      </w:r>
    </w:p>
    <w:p>
      <w:pPr>
        <w:spacing w:line="384"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（10）双方约定的其他合同文件</w:t>
      </w:r>
    </w:p>
    <w:p>
      <w:pPr>
        <w:numPr>
          <w:ilvl w:val="0"/>
          <w:numId w:val="0"/>
        </w:numPr>
        <w:tabs>
          <w:tab w:val="left" w:pos="709"/>
        </w:tabs>
        <w:spacing w:line="360" w:lineRule="auto"/>
        <w:ind w:right="4" w:firstLine="420" w:firstLineChars="200"/>
        <w:rPr>
          <w:rFonts w:ascii="宋体" w:hAnsi="宋体"/>
          <w:color w:val="auto"/>
          <w:sz w:val="21"/>
          <w:highlight w:val="none"/>
        </w:rPr>
      </w:pPr>
      <w:r>
        <w:rPr>
          <w:rFonts w:hint="eastAsia" w:ascii="宋体" w:hAnsi="宋体"/>
          <w:color w:val="auto"/>
          <w:sz w:val="21"/>
          <w:highlight w:val="none"/>
        </w:rPr>
        <w:t>上述各项合同文件包括合同当事人就该项合同文件所作出的补充和修改，同类文件相应内容不一致的，应以最新签署的为准。在合同订立及履行过程中形成的与合同有关的文件均构成合同文件组成部分，并根据其性质确定优先解释顺序</w:t>
      </w:r>
      <w:r>
        <w:rPr>
          <w:rFonts w:ascii="宋体" w:hAnsi="宋体"/>
          <w:color w:val="auto"/>
          <w:sz w:val="21"/>
          <w:highlight w:val="none"/>
        </w:rPr>
        <w:t>。</w:t>
      </w:r>
    </w:p>
    <w:p>
      <w:pPr>
        <w:numPr>
          <w:ilvl w:val="0"/>
          <w:numId w:val="30"/>
        </w:numPr>
        <w:tabs>
          <w:tab w:val="left" w:pos="709"/>
        </w:tabs>
        <w:spacing w:line="360" w:lineRule="auto"/>
        <w:ind w:right="4" w:firstLine="420"/>
        <w:rPr>
          <w:rFonts w:ascii="宋体" w:hAnsi="宋体"/>
          <w:color w:val="auto"/>
          <w:sz w:val="21"/>
          <w:highlight w:val="none"/>
          <w:u w:val="single"/>
        </w:rPr>
      </w:pPr>
      <w:r>
        <w:rPr>
          <w:rFonts w:hint="eastAsia" w:ascii="宋体" w:hAnsi="宋体" w:cs="宋体"/>
          <w:color w:val="auto"/>
          <w:kern w:val="2"/>
          <w:sz w:val="21"/>
          <w:szCs w:val="21"/>
          <w:highlight w:val="none"/>
        </w:rPr>
        <w:t>本项目的监理费</w:t>
      </w:r>
      <w:r>
        <w:rPr>
          <w:rFonts w:hint="eastAsia" w:ascii="宋体" w:hAnsi="宋体" w:cs="宋体"/>
          <w:color w:val="auto"/>
          <w:kern w:val="2"/>
          <w:sz w:val="21"/>
          <w:szCs w:val="21"/>
          <w:highlight w:val="none"/>
          <w:lang w:val="en-US" w:eastAsia="zh-CN"/>
        </w:rPr>
        <w:t>以</w:t>
      </w:r>
      <w:r>
        <w:rPr>
          <w:rFonts w:hint="eastAsia" w:ascii="宋体" w:hAnsi="宋体" w:cs="宋体"/>
          <w:color w:val="auto"/>
          <w:kern w:val="2"/>
          <w:sz w:val="21"/>
          <w:szCs w:val="21"/>
          <w:highlight w:val="none"/>
        </w:rPr>
        <w:t>总价包干</w:t>
      </w:r>
      <w:r>
        <w:rPr>
          <w:rFonts w:hint="eastAsia" w:ascii="宋体" w:hAnsi="宋体" w:cs="宋体"/>
          <w:color w:val="auto"/>
          <w:kern w:val="2"/>
          <w:sz w:val="21"/>
          <w:szCs w:val="21"/>
          <w:highlight w:val="none"/>
          <w:lang w:val="en-US" w:eastAsia="zh-CN"/>
        </w:rPr>
        <w:t>形式，</w:t>
      </w:r>
      <w:r>
        <w:rPr>
          <w:rFonts w:ascii="宋体" w:hAnsi="宋体"/>
          <w:color w:val="auto"/>
          <w:sz w:val="21"/>
          <w:highlight w:val="none"/>
        </w:rPr>
        <w:t>合同</w:t>
      </w:r>
      <w:r>
        <w:rPr>
          <w:rFonts w:hint="eastAsia" w:ascii="宋体" w:hAnsi="宋体"/>
          <w:color w:val="auto"/>
          <w:sz w:val="21"/>
          <w:highlight w:val="none"/>
        </w:rPr>
        <w:t>暂定</w:t>
      </w:r>
      <w:r>
        <w:rPr>
          <w:rFonts w:ascii="宋体" w:hAnsi="宋体"/>
          <w:color w:val="auto"/>
          <w:sz w:val="21"/>
          <w:highlight w:val="none"/>
        </w:rPr>
        <w:t>价</w:t>
      </w:r>
      <w:r>
        <w:rPr>
          <w:rFonts w:hint="eastAsia" w:ascii="宋体" w:hAnsi="宋体"/>
          <w:color w:val="auto"/>
          <w:sz w:val="21"/>
          <w:highlight w:val="none"/>
          <w:lang w:val="en-US" w:eastAsia="zh-CN"/>
        </w:rPr>
        <w:t>为</w:t>
      </w:r>
      <w:r>
        <w:rPr>
          <w:rFonts w:ascii="宋体" w:hAnsi="宋体"/>
          <w:color w:val="auto"/>
          <w:sz w:val="21"/>
          <w:highlight w:val="none"/>
        </w:rPr>
        <w:t>：人民币（大写）</w:t>
      </w:r>
      <w:r>
        <w:rPr>
          <w:rFonts w:hint="eastAsia" w:ascii="宋体" w:hAnsi="宋体"/>
          <w:color w:val="auto"/>
          <w:sz w:val="21"/>
          <w:highlight w:val="none"/>
          <w:u w:val="single"/>
        </w:rPr>
        <w:t xml:space="preserve">            </w:t>
      </w:r>
      <w:r>
        <w:rPr>
          <w:rFonts w:ascii="宋体" w:hAnsi="宋体"/>
          <w:color w:val="auto"/>
          <w:sz w:val="21"/>
          <w:highlight w:val="none"/>
        </w:rPr>
        <w:t>（¥</w:t>
      </w:r>
      <w:r>
        <w:rPr>
          <w:rFonts w:hint="eastAsia" w:ascii="宋体" w:hAnsi="宋体"/>
          <w:color w:val="auto"/>
          <w:sz w:val="21"/>
          <w:highlight w:val="none"/>
          <w:u w:val="single"/>
        </w:rPr>
        <w:t xml:space="preserve">           </w:t>
      </w:r>
      <w:r>
        <w:rPr>
          <w:rFonts w:ascii="宋体" w:hAnsi="宋体"/>
          <w:color w:val="auto"/>
          <w:sz w:val="21"/>
          <w:highlight w:val="none"/>
        </w:rPr>
        <w:t>）。</w:t>
      </w:r>
    </w:p>
    <w:p>
      <w:pPr>
        <w:numPr>
          <w:ilvl w:val="0"/>
          <w:numId w:val="30"/>
        </w:numPr>
        <w:tabs>
          <w:tab w:val="left" w:pos="709"/>
        </w:tabs>
        <w:autoSpaceDE w:val="0"/>
        <w:autoSpaceDN w:val="0"/>
        <w:ind w:firstLine="420" w:firstLineChars="0"/>
        <w:rPr>
          <w:rFonts w:hint="eastAsia" w:ascii="宋体" w:hAnsi="宋体" w:cs="宋体"/>
          <w:color w:val="auto"/>
          <w:sz w:val="24"/>
          <w:szCs w:val="24"/>
          <w:highlight w:val="none"/>
        </w:rPr>
      </w:pPr>
      <w:r>
        <w:rPr>
          <w:rFonts w:hint="eastAsia" w:ascii="宋体" w:hAnsi="宋体" w:cs="宋体"/>
          <w:color w:val="auto"/>
          <w:sz w:val="24"/>
          <w:szCs w:val="24"/>
          <w:highlight w:val="none"/>
        </w:rPr>
        <w:t>本合同约定的价格为含税价价格，税率为</w:t>
      </w:r>
      <w:r>
        <w:rPr>
          <w:rFonts w:hint="eastAsia" w:ascii="宋体" w:hAnsi="宋体" w:cs="宋体"/>
          <w:color w:val="auto"/>
          <w:sz w:val="24"/>
          <w:szCs w:val="24"/>
          <w:highlight w:val="none"/>
          <w:u w:val="single"/>
        </w:rPr>
        <w:t xml:space="preserve">   </w:t>
      </w:r>
      <w:r>
        <w:rPr>
          <w:rFonts w:hint="eastAsia" w:ascii="宋体" w:hAnsi="宋体" w:cs="宋体"/>
          <w:color w:val="auto"/>
          <w:sz w:val="24"/>
          <w:szCs w:val="24"/>
          <w:highlight w:val="none"/>
        </w:rPr>
        <w:t>%，合同履行期间国家税率调整或监理人开票的实际税率与前述税率不一致的，不含税价不变，价税合计按实际税率相应调整，以开具发票的时间为准。</w:t>
      </w:r>
    </w:p>
    <w:p>
      <w:pPr>
        <w:numPr>
          <w:ilvl w:val="0"/>
          <w:numId w:val="30"/>
        </w:numPr>
        <w:tabs>
          <w:tab w:val="left" w:pos="709"/>
        </w:tabs>
        <w:autoSpaceDE w:val="0"/>
        <w:autoSpaceDN w:val="0"/>
        <w:adjustRightInd/>
        <w:spacing w:line="440" w:lineRule="exact"/>
        <w:ind w:firstLine="42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监理人</w:t>
      </w:r>
      <w:r>
        <w:rPr>
          <w:rFonts w:hint="eastAsia" w:ascii="宋体" w:hAnsi="宋体" w:eastAsia="宋体" w:cs="宋体"/>
          <w:color w:val="auto"/>
          <w:sz w:val="24"/>
          <w:szCs w:val="24"/>
          <w:highlight w:val="none"/>
        </w:rPr>
        <w:t>提交的发票被作废或红冲的，在</w:t>
      </w:r>
      <w:r>
        <w:rPr>
          <w:rFonts w:hint="eastAsia" w:ascii="宋体" w:hAnsi="宋体" w:eastAsia="宋体" w:cs="宋体"/>
          <w:color w:val="auto"/>
          <w:sz w:val="24"/>
          <w:szCs w:val="24"/>
          <w:highlight w:val="none"/>
          <w:lang w:val="en-US" w:eastAsia="zh-CN"/>
        </w:rPr>
        <w:t>监理人</w:t>
      </w:r>
      <w:r>
        <w:rPr>
          <w:rFonts w:hint="eastAsia" w:ascii="宋体" w:hAnsi="宋体" w:eastAsia="宋体" w:cs="宋体"/>
          <w:color w:val="auto"/>
          <w:sz w:val="24"/>
          <w:szCs w:val="24"/>
          <w:highlight w:val="none"/>
        </w:rPr>
        <w:t>更换有效发票前，</w:t>
      </w:r>
      <w:r>
        <w:rPr>
          <w:rFonts w:hint="eastAsia" w:ascii="宋体" w:hAnsi="宋体" w:eastAsia="宋体" w:cs="宋体"/>
          <w:color w:val="auto"/>
          <w:sz w:val="24"/>
          <w:szCs w:val="24"/>
          <w:highlight w:val="none"/>
          <w:lang w:val="en-US" w:eastAsia="zh-CN"/>
        </w:rPr>
        <w:t>委托人</w:t>
      </w:r>
      <w:r>
        <w:rPr>
          <w:rFonts w:hint="eastAsia" w:ascii="宋体" w:hAnsi="宋体" w:eastAsia="宋体" w:cs="宋体"/>
          <w:color w:val="auto"/>
          <w:sz w:val="24"/>
          <w:szCs w:val="24"/>
          <w:highlight w:val="none"/>
        </w:rPr>
        <w:t>有权要求退回该发票对应的已支付款项并不再给予支付后续的全部合同款项，由此造成</w:t>
      </w:r>
      <w:r>
        <w:rPr>
          <w:rFonts w:hint="eastAsia" w:ascii="宋体" w:hAnsi="宋体" w:eastAsia="宋体" w:cs="宋体"/>
          <w:color w:val="auto"/>
          <w:sz w:val="24"/>
          <w:szCs w:val="24"/>
          <w:highlight w:val="none"/>
          <w:lang w:val="en-US" w:eastAsia="zh-CN"/>
        </w:rPr>
        <w:t>委托人</w:t>
      </w:r>
      <w:r>
        <w:rPr>
          <w:rFonts w:hint="eastAsia" w:ascii="宋体" w:hAnsi="宋体" w:eastAsia="宋体" w:cs="宋体"/>
          <w:color w:val="auto"/>
          <w:sz w:val="24"/>
          <w:szCs w:val="24"/>
          <w:highlight w:val="none"/>
        </w:rPr>
        <w:t>损失的，由</w:t>
      </w:r>
      <w:r>
        <w:rPr>
          <w:rFonts w:hint="eastAsia" w:ascii="宋体" w:hAnsi="宋体" w:eastAsia="宋体" w:cs="宋体"/>
          <w:color w:val="auto"/>
          <w:sz w:val="24"/>
          <w:szCs w:val="24"/>
          <w:highlight w:val="none"/>
          <w:lang w:val="en-US" w:eastAsia="zh-CN"/>
        </w:rPr>
        <w:t>监理人</w:t>
      </w:r>
      <w:r>
        <w:rPr>
          <w:rFonts w:hint="eastAsia" w:ascii="宋体" w:hAnsi="宋体" w:eastAsia="宋体" w:cs="宋体"/>
          <w:color w:val="auto"/>
          <w:sz w:val="24"/>
          <w:szCs w:val="24"/>
          <w:highlight w:val="none"/>
        </w:rPr>
        <w:t>承担赔偿责任。</w:t>
      </w:r>
    </w:p>
    <w:p>
      <w:pPr>
        <w:numPr>
          <w:ilvl w:val="0"/>
          <w:numId w:val="0"/>
        </w:numPr>
        <w:tabs>
          <w:tab w:val="left" w:pos="709"/>
        </w:tabs>
        <w:autoSpaceDE w:val="0"/>
        <w:autoSpaceDN w:val="0"/>
        <w:ind w:firstLine="0" w:firstLineChars="0"/>
        <w:rPr>
          <w:rFonts w:hint="eastAsia" w:ascii="宋体" w:hAnsi="宋体" w:cs="宋体"/>
          <w:color w:val="auto"/>
          <w:sz w:val="24"/>
          <w:szCs w:val="24"/>
          <w:highlight w:val="none"/>
        </w:rPr>
      </w:pPr>
    </w:p>
    <w:p>
      <w:pPr>
        <w:tabs>
          <w:tab w:val="left" w:pos="709"/>
        </w:tabs>
        <w:spacing w:line="360" w:lineRule="auto"/>
        <w:ind w:left="420" w:right="4"/>
        <w:rPr>
          <w:rFonts w:ascii="宋体" w:hAnsi="宋体"/>
          <w:color w:val="auto"/>
          <w:sz w:val="21"/>
          <w:highlight w:val="none"/>
        </w:rPr>
      </w:pPr>
      <w:r>
        <w:rPr>
          <w:rFonts w:hint="eastAsia" w:ascii="宋体" w:hAnsi="宋体"/>
          <w:color w:val="auto"/>
          <w:sz w:val="21"/>
          <w:highlight w:val="none"/>
          <w:lang w:val="en-US" w:eastAsia="zh-CN"/>
        </w:rPr>
        <w:t>5</w:t>
      </w:r>
      <w:r>
        <w:rPr>
          <w:rFonts w:ascii="宋体" w:hAnsi="宋体"/>
          <w:color w:val="auto"/>
          <w:sz w:val="21"/>
          <w:highlight w:val="none"/>
        </w:rPr>
        <w:t>.</w:t>
      </w:r>
      <w:r>
        <w:rPr>
          <w:rFonts w:ascii="宋体" w:hAnsi="宋体"/>
          <w:color w:val="auto"/>
          <w:sz w:val="21"/>
          <w:highlight w:val="none"/>
        </w:rPr>
        <w:tab/>
      </w:r>
      <w:r>
        <w:rPr>
          <w:rFonts w:ascii="宋体" w:hAnsi="宋体"/>
          <w:color w:val="auto"/>
          <w:sz w:val="21"/>
          <w:highlight w:val="none"/>
        </w:rPr>
        <w:t>总监理工程师：</w:t>
      </w:r>
      <w:r>
        <w:rPr>
          <w:rFonts w:hint="eastAsia" w:ascii="宋体" w:hAnsi="宋体"/>
          <w:color w:val="auto"/>
          <w:sz w:val="21"/>
          <w:highlight w:val="none"/>
          <w:u w:val="single"/>
        </w:rPr>
        <w:t xml:space="preserve">                  ，监理证号：                 </w:t>
      </w:r>
      <w:r>
        <w:rPr>
          <w:rFonts w:ascii="宋体" w:hAnsi="宋体"/>
          <w:color w:val="auto"/>
          <w:sz w:val="21"/>
          <w:highlight w:val="none"/>
        </w:rPr>
        <w:t>。</w:t>
      </w:r>
    </w:p>
    <w:p>
      <w:pPr>
        <w:tabs>
          <w:tab w:val="left" w:pos="709"/>
        </w:tabs>
        <w:spacing w:line="360" w:lineRule="auto"/>
        <w:ind w:left="0" w:leftChars="0" w:right="4" w:firstLine="420" w:firstLineChars="200"/>
        <w:rPr>
          <w:rFonts w:ascii="宋体" w:hAnsi="宋体"/>
          <w:color w:val="auto"/>
          <w:sz w:val="21"/>
          <w:highlight w:val="none"/>
        </w:rPr>
      </w:pPr>
      <w:r>
        <w:rPr>
          <w:rFonts w:hint="eastAsia" w:ascii="宋体" w:hAnsi="宋体"/>
          <w:color w:val="auto"/>
          <w:sz w:val="21"/>
          <w:highlight w:val="none"/>
          <w:lang w:val="en-US" w:eastAsia="zh-CN"/>
        </w:rPr>
        <w:t>6</w:t>
      </w:r>
      <w:r>
        <w:rPr>
          <w:rFonts w:ascii="宋体" w:hAnsi="宋体"/>
          <w:color w:val="auto"/>
          <w:sz w:val="21"/>
          <w:highlight w:val="none"/>
        </w:rPr>
        <w:t>.</w:t>
      </w:r>
      <w:r>
        <w:rPr>
          <w:rFonts w:ascii="宋体" w:hAnsi="宋体"/>
          <w:color w:val="auto"/>
          <w:sz w:val="21"/>
          <w:highlight w:val="none"/>
        </w:rPr>
        <w:tab/>
      </w:r>
      <w:r>
        <w:rPr>
          <w:rFonts w:ascii="宋体" w:hAnsi="宋体"/>
          <w:color w:val="auto"/>
          <w:sz w:val="21"/>
          <w:highlight w:val="none"/>
        </w:rPr>
        <w:t>监理工作质量符合的标准和要求：</w:t>
      </w:r>
      <w:r>
        <w:rPr>
          <w:rFonts w:hint="eastAsia" w:ascii="宋体" w:hAnsi="宋体"/>
          <w:color w:val="auto"/>
          <w:sz w:val="21"/>
          <w:highlight w:val="none"/>
          <w:u w:val="single"/>
        </w:rPr>
        <w:t>按照《建设工程施工监理规范》中规定的监理内容，并结合本工程具体情况对工程实施全过程监理，一次性竣工验收合格。</w:t>
      </w:r>
    </w:p>
    <w:p>
      <w:pPr>
        <w:numPr>
          <w:ilvl w:val="0"/>
          <w:numId w:val="0"/>
        </w:numPr>
        <w:tabs>
          <w:tab w:val="left" w:pos="709"/>
        </w:tabs>
        <w:spacing w:line="360" w:lineRule="auto"/>
        <w:ind w:left="400" w:firstLine="0"/>
        <w:rPr>
          <w:rFonts w:eastAsia="Times New Roman"/>
          <w:color w:val="auto"/>
          <w:sz w:val="21"/>
          <w:highlight w:val="none"/>
        </w:rPr>
      </w:pPr>
      <w:r>
        <w:rPr>
          <w:rFonts w:hint="eastAsia" w:ascii="宋体" w:hAnsi="宋体"/>
          <w:color w:val="auto"/>
          <w:sz w:val="21"/>
          <w:highlight w:val="none"/>
          <w:lang w:val="en-US" w:eastAsia="zh-CN"/>
        </w:rPr>
        <w:t>7.</w:t>
      </w:r>
      <w:r>
        <w:rPr>
          <w:rFonts w:ascii="宋体" w:hAnsi="宋体"/>
          <w:color w:val="auto"/>
          <w:sz w:val="21"/>
          <w:highlight w:val="none"/>
        </w:rPr>
        <w:t>监理人承诺按合同约定承担工程的监理工作。</w:t>
      </w:r>
      <w:r>
        <w:rPr>
          <w:rFonts w:hint="eastAsia" w:ascii="宋体" w:hAnsi="宋体" w:cs="宋体"/>
          <w:color w:val="auto"/>
          <w:sz w:val="21"/>
          <w:szCs w:val="21"/>
          <w:highlight w:val="none"/>
          <w:u w:val="single"/>
        </w:rPr>
        <w:t>监理人向委托人承诺，按照本合同的规定，承担本合同约定的监理业务。</w:t>
      </w:r>
    </w:p>
    <w:p>
      <w:pPr>
        <w:numPr>
          <w:ilvl w:val="0"/>
          <w:numId w:val="0"/>
        </w:numPr>
        <w:spacing w:line="360" w:lineRule="auto"/>
        <w:ind w:left="0" w:firstLine="420" w:firstLineChars="200"/>
        <w:rPr>
          <w:rFonts w:eastAsia="Times New Roman"/>
          <w:color w:val="auto"/>
          <w:sz w:val="21"/>
          <w:highlight w:val="none"/>
        </w:rPr>
      </w:pPr>
      <w:r>
        <w:rPr>
          <w:rFonts w:hint="eastAsia" w:ascii="宋体" w:hAnsi="宋体"/>
          <w:color w:val="auto"/>
          <w:sz w:val="21"/>
          <w:highlight w:val="none"/>
          <w:lang w:val="en-US" w:eastAsia="zh-CN"/>
        </w:rPr>
        <w:t>8.</w:t>
      </w:r>
      <w:r>
        <w:rPr>
          <w:rFonts w:ascii="宋体" w:hAnsi="宋体"/>
          <w:color w:val="auto"/>
          <w:sz w:val="21"/>
          <w:highlight w:val="none"/>
        </w:rPr>
        <w:t>委托人承诺按合同约定的条件、时间和方式向监理人支付合</w:t>
      </w:r>
      <w:r>
        <w:rPr>
          <w:rFonts w:ascii="宋体" w:hAnsi="宋体"/>
          <w:color w:val="auto"/>
          <w:sz w:val="21"/>
          <w:szCs w:val="21"/>
          <w:highlight w:val="none"/>
        </w:rPr>
        <w:t>同价款。</w:t>
      </w:r>
      <w:r>
        <w:rPr>
          <w:rFonts w:hint="eastAsia" w:ascii="宋体" w:hAnsi="宋体" w:cs="宋体"/>
          <w:color w:val="auto"/>
          <w:sz w:val="21"/>
          <w:szCs w:val="21"/>
          <w:highlight w:val="none"/>
          <w:u w:val="single"/>
        </w:rPr>
        <w:t>委托人向监理人承诺按照本合同注明的期限、方式、币种，向监理人支付报酬。监理人应在收款前，向委托人出具等额合法有效的增值税专用发票，发票抬头为广州市净水有限公司。</w:t>
      </w:r>
    </w:p>
    <w:p>
      <w:pPr>
        <w:tabs>
          <w:tab w:val="left" w:pos="709"/>
          <w:tab w:val="left" w:pos="4140"/>
          <w:tab w:val="left" w:pos="4560"/>
          <w:tab w:val="left" w:pos="4980"/>
        </w:tabs>
        <w:spacing w:line="360" w:lineRule="auto"/>
        <w:ind w:firstLine="420" w:firstLineChars="200"/>
        <w:rPr>
          <w:rFonts w:ascii="宋体" w:hAnsi="宋体"/>
          <w:color w:val="auto"/>
          <w:sz w:val="21"/>
          <w:highlight w:val="none"/>
        </w:rPr>
      </w:pPr>
      <w:r>
        <w:rPr>
          <w:rFonts w:hint="eastAsia" w:eastAsia="宋体"/>
          <w:color w:val="auto"/>
          <w:sz w:val="21"/>
          <w:highlight w:val="none"/>
          <w:lang w:val="en-US" w:eastAsia="zh-CN"/>
        </w:rPr>
        <w:t>9.</w:t>
      </w:r>
      <w:r>
        <w:rPr>
          <w:rFonts w:ascii="宋体" w:hAnsi="宋体"/>
          <w:color w:val="auto"/>
          <w:sz w:val="21"/>
          <w:highlight w:val="none"/>
        </w:rPr>
        <w:t>监理人计划开始监理日期：按照委托人在开始监理通知中载明的开始监理日期为准。监理服务期限</w:t>
      </w:r>
      <w:r>
        <w:rPr>
          <w:rFonts w:hint="eastAsia" w:ascii="宋体" w:hAnsi="宋体"/>
          <w:color w:val="auto"/>
          <w:sz w:val="21"/>
          <w:highlight w:val="none"/>
        </w:rPr>
        <w:t>：自开始监理日期，至工程竣工验收合格、缺陷责任期届满之日并完成结算止</w:t>
      </w:r>
      <w:r>
        <w:rPr>
          <w:rFonts w:ascii="宋体" w:hAnsi="宋体"/>
          <w:color w:val="auto"/>
          <w:sz w:val="21"/>
          <w:highlight w:val="none"/>
        </w:rPr>
        <w:t>。</w:t>
      </w:r>
    </w:p>
    <w:p>
      <w:pPr>
        <w:spacing w:line="240" w:lineRule="auto"/>
        <w:ind w:firstLine="420" w:firstLineChars="200"/>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rPr>
        <w:t>10.</w:t>
      </w:r>
      <w:r>
        <w:rPr>
          <w:rFonts w:hint="eastAsia" w:ascii="宋体" w:hAnsi="宋体" w:eastAsia="宋体" w:cs="宋体"/>
          <w:color w:val="auto"/>
          <w:kern w:val="2"/>
          <w:sz w:val="21"/>
          <w:szCs w:val="21"/>
          <w:highlight w:val="none"/>
        </w:rPr>
        <w:t>合同签订后</w:t>
      </w:r>
      <w:r>
        <w:rPr>
          <w:rFonts w:hint="eastAsia" w:ascii="宋体" w:hAnsi="宋体" w:eastAsia="宋体" w:cs="宋体"/>
          <w:color w:val="auto"/>
          <w:kern w:val="2"/>
          <w:sz w:val="21"/>
          <w:szCs w:val="21"/>
          <w:highlight w:val="none"/>
          <w:lang w:val="en-US" w:eastAsia="zh-CN"/>
        </w:rPr>
        <w:t>6</w:t>
      </w:r>
      <w:r>
        <w:rPr>
          <w:rFonts w:hint="eastAsia" w:ascii="宋体" w:hAnsi="宋体" w:eastAsia="宋体" w:cs="宋体"/>
          <w:color w:val="auto"/>
          <w:kern w:val="2"/>
          <w:sz w:val="21"/>
          <w:szCs w:val="21"/>
          <w:highlight w:val="none"/>
        </w:rPr>
        <w:t>个月内</w:t>
      </w:r>
      <w:r>
        <w:rPr>
          <w:rFonts w:hint="eastAsia" w:ascii="宋体" w:hAnsi="宋体" w:eastAsia="宋体" w:cs="宋体"/>
          <w:color w:val="auto"/>
          <w:kern w:val="2"/>
          <w:sz w:val="21"/>
          <w:szCs w:val="21"/>
          <w:highlight w:val="none"/>
          <w:lang w:val="en-US" w:eastAsia="zh-CN"/>
        </w:rPr>
        <w:t>委托</w:t>
      </w:r>
      <w:r>
        <w:rPr>
          <w:rFonts w:hint="eastAsia" w:ascii="宋体" w:hAnsi="宋体" w:cs="宋体"/>
          <w:color w:val="auto"/>
          <w:kern w:val="2"/>
          <w:sz w:val="21"/>
          <w:szCs w:val="21"/>
          <w:highlight w:val="none"/>
          <w:lang w:val="en-US" w:eastAsia="zh-CN"/>
        </w:rPr>
        <w:t>人</w:t>
      </w:r>
      <w:r>
        <w:rPr>
          <w:rFonts w:hint="eastAsia" w:ascii="宋体" w:hAnsi="宋体" w:eastAsia="宋体" w:cs="宋体"/>
          <w:color w:val="auto"/>
          <w:kern w:val="2"/>
          <w:sz w:val="21"/>
          <w:szCs w:val="21"/>
          <w:highlight w:val="none"/>
        </w:rPr>
        <w:t>未</w:t>
      </w:r>
      <w:r>
        <w:rPr>
          <w:rFonts w:hint="eastAsia" w:ascii="宋体" w:hAnsi="宋体" w:eastAsia="宋体" w:cs="宋体"/>
          <w:color w:val="auto"/>
          <w:kern w:val="2"/>
          <w:sz w:val="21"/>
          <w:szCs w:val="21"/>
          <w:highlight w:val="none"/>
          <w:lang w:val="en-US" w:eastAsia="zh-CN"/>
        </w:rPr>
        <w:t>向监理人发出</w:t>
      </w:r>
      <w:r>
        <w:rPr>
          <w:rFonts w:hint="eastAsia" w:ascii="宋体" w:hAnsi="宋体" w:cs="宋体"/>
          <w:color w:val="auto"/>
          <w:kern w:val="2"/>
          <w:sz w:val="21"/>
          <w:szCs w:val="21"/>
          <w:highlight w:val="none"/>
        </w:rPr>
        <w:t>开始监理通知</w:t>
      </w:r>
      <w:r>
        <w:rPr>
          <w:rFonts w:hint="eastAsia" w:ascii="宋体" w:hAnsi="宋体" w:eastAsia="宋体" w:cs="宋体"/>
          <w:color w:val="auto"/>
          <w:kern w:val="2"/>
          <w:sz w:val="21"/>
          <w:szCs w:val="21"/>
          <w:highlight w:val="none"/>
        </w:rPr>
        <w:t>，视为合同无需继续履行、合同自动终止，</w:t>
      </w:r>
      <w:r>
        <w:rPr>
          <w:rFonts w:hint="eastAsia" w:ascii="宋体" w:hAnsi="宋体" w:cs="宋体"/>
          <w:color w:val="auto"/>
          <w:kern w:val="2"/>
          <w:sz w:val="21"/>
          <w:szCs w:val="21"/>
          <w:highlight w:val="none"/>
          <w:lang w:val="en-US" w:eastAsia="zh-CN"/>
        </w:rPr>
        <w:t>监理人</w:t>
      </w:r>
      <w:r>
        <w:rPr>
          <w:rFonts w:hint="eastAsia" w:ascii="宋体" w:hAnsi="宋体" w:eastAsia="宋体" w:cs="宋体"/>
          <w:color w:val="auto"/>
          <w:kern w:val="2"/>
          <w:sz w:val="21"/>
          <w:szCs w:val="21"/>
          <w:highlight w:val="none"/>
        </w:rPr>
        <w:t>不得再向甲方要求任何补偿、赔偿及支付任何费用。合同终止后，按本合同条款</w:t>
      </w:r>
      <w:r>
        <w:rPr>
          <w:rFonts w:hint="eastAsia" w:ascii="宋体" w:hAnsi="宋体" w:cs="宋体"/>
          <w:color w:val="auto"/>
          <w:kern w:val="2"/>
          <w:sz w:val="21"/>
          <w:szCs w:val="21"/>
          <w:highlight w:val="none"/>
          <w:lang w:eastAsia="zh-CN"/>
        </w:rPr>
        <w:t>4</w:t>
      </w:r>
      <w:r>
        <w:rPr>
          <w:rFonts w:hint="eastAsia" w:ascii="宋体" w:hAnsi="宋体" w:cs="宋体"/>
          <w:color w:val="auto"/>
          <w:kern w:val="2"/>
          <w:sz w:val="21"/>
          <w:szCs w:val="21"/>
          <w:highlight w:val="none"/>
          <w:lang w:val="en-US" w:eastAsia="zh-CN"/>
        </w:rPr>
        <w:t>.2</w:t>
      </w:r>
      <w:r>
        <w:rPr>
          <w:rFonts w:hint="eastAsia" w:ascii="宋体" w:hAnsi="宋体" w:eastAsia="宋体" w:cs="宋体"/>
          <w:color w:val="auto"/>
          <w:kern w:val="2"/>
          <w:sz w:val="21"/>
          <w:szCs w:val="21"/>
          <w:highlight w:val="none"/>
        </w:rPr>
        <w:t>退回履约担保。</w:t>
      </w:r>
    </w:p>
    <w:p>
      <w:pPr>
        <w:tabs>
          <w:tab w:val="left" w:pos="709"/>
          <w:tab w:val="left" w:pos="2720"/>
          <w:tab w:val="left" w:pos="3460"/>
          <w:tab w:val="left" w:pos="5140"/>
          <w:tab w:val="left" w:pos="5500"/>
        </w:tabs>
        <w:spacing w:line="360" w:lineRule="auto"/>
        <w:ind w:firstLine="420" w:firstLineChars="200"/>
        <w:rPr>
          <w:rFonts w:ascii="宋体" w:hAnsi="宋体"/>
          <w:color w:val="auto"/>
          <w:sz w:val="21"/>
          <w:highlight w:val="none"/>
        </w:rPr>
      </w:pPr>
      <w:r>
        <w:rPr>
          <w:rFonts w:hint="eastAsia" w:ascii="宋体" w:hAnsi="宋体"/>
          <w:color w:val="auto"/>
          <w:sz w:val="21"/>
          <w:highlight w:val="none"/>
          <w:lang w:val="en-US" w:eastAsia="zh-CN"/>
        </w:rPr>
        <w:t>11.</w:t>
      </w:r>
      <w:r>
        <w:rPr>
          <w:rFonts w:ascii="宋体" w:hAnsi="宋体"/>
          <w:color w:val="auto"/>
          <w:sz w:val="21"/>
          <w:highlight w:val="none"/>
          <w:u w:val="single"/>
        </w:rPr>
        <w:t>本合同协议书</w:t>
      </w:r>
      <w:r>
        <w:rPr>
          <w:rFonts w:hint="eastAsia" w:ascii="宋体" w:hAnsi="宋体"/>
          <w:color w:val="auto"/>
          <w:sz w:val="21"/>
          <w:highlight w:val="none"/>
          <w:u w:val="single"/>
        </w:rPr>
        <w:t>正本</w:t>
      </w:r>
      <w:r>
        <w:rPr>
          <w:rFonts w:ascii="宋体" w:hAnsi="宋体"/>
          <w:color w:val="auto"/>
          <w:sz w:val="21"/>
          <w:highlight w:val="none"/>
          <w:u w:val="single"/>
        </w:rPr>
        <w:t>一式</w:t>
      </w:r>
      <w:r>
        <w:rPr>
          <w:rFonts w:hint="eastAsia" w:ascii="宋体" w:hAnsi="宋体"/>
          <w:color w:val="auto"/>
          <w:sz w:val="21"/>
          <w:highlight w:val="none"/>
          <w:u w:val="single"/>
          <w:lang w:val="en-US" w:eastAsia="zh-CN"/>
        </w:rPr>
        <w:t xml:space="preserve">   </w:t>
      </w:r>
      <w:r>
        <w:rPr>
          <w:rFonts w:hint="eastAsia" w:ascii="宋体" w:hAnsi="宋体"/>
          <w:color w:val="auto"/>
          <w:w w:val="98"/>
          <w:sz w:val="21"/>
          <w:highlight w:val="none"/>
          <w:u w:val="single"/>
        </w:rPr>
        <w:t xml:space="preserve"> </w:t>
      </w:r>
      <w:r>
        <w:rPr>
          <w:rFonts w:ascii="宋体" w:hAnsi="宋体"/>
          <w:color w:val="auto"/>
          <w:sz w:val="21"/>
          <w:highlight w:val="none"/>
          <w:u w:val="single"/>
        </w:rPr>
        <w:t>份，合同双方各执</w:t>
      </w:r>
      <w:r>
        <w:rPr>
          <w:rFonts w:hint="eastAsia" w:ascii="宋体" w:hAnsi="宋体"/>
          <w:color w:val="auto"/>
          <w:sz w:val="21"/>
          <w:highlight w:val="none"/>
          <w:u w:val="single"/>
        </w:rPr>
        <w:t xml:space="preserve"> 一 </w:t>
      </w:r>
      <w:r>
        <w:rPr>
          <w:rFonts w:ascii="宋体" w:hAnsi="宋体"/>
          <w:color w:val="auto"/>
          <w:sz w:val="21"/>
          <w:highlight w:val="none"/>
          <w:u w:val="single"/>
        </w:rPr>
        <w:t>份</w:t>
      </w:r>
      <w:r>
        <w:rPr>
          <w:rFonts w:hint="eastAsia" w:ascii="宋体" w:hAnsi="宋体"/>
          <w:color w:val="auto"/>
          <w:sz w:val="21"/>
          <w:highlight w:val="none"/>
          <w:u w:val="single"/>
        </w:rPr>
        <w:t>；副本</w:t>
      </w:r>
      <w:r>
        <w:rPr>
          <w:rFonts w:hint="eastAsia" w:ascii="宋体" w:hAnsi="宋体"/>
          <w:color w:val="auto"/>
          <w:sz w:val="21"/>
          <w:highlight w:val="none"/>
          <w:u w:val="single"/>
          <w:lang w:val="en-US" w:eastAsia="zh-CN"/>
        </w:rPr>
        <w:t xml:space="preserve">   </w:t>
      </w:r>
      <w:r>
        <w:rPr>
          <w:rFonts w:hint="eastAsia" w:ascii="宋体" w:hAnsi="宋体"/>
          <w:color w:val="auto"/>
          <w:sz w:val="21"/>
          <w:highlight w:val="none"/>
          <w:u w:val="single"/>
        </w:rPr>
        <w:t>份，委托人执</w:t>
      </w:r>
      <w:r>
        <w:rPr>
          <w:rFonts w:hint="eastAsia" w:ascii="宋体" w:hAnsi="宋体"/>
          <w:color w:val="auto"/>
          <w:sz w:val="21"/>
          <w:highlight w:val="none"/>
          <w:u w:val="single"/>
          <w:lang w:val="en-US" w:eastAsia="zh-CN"/>
        </w:rPr>
        <w:t xml:space="preserve">   </w:t>
      </w:r>
      <w:r>
        <w:rPr>
          <w:rFonts w:hint="eastAsia" w:ascii="宋体" w:hAnsi="宋体"/>
          <w:color w:val="auto"/>
          <w:sz w:val="21"/>
          <w:highlight w:val="none"/>
          <w:u w:val="single"/>
        </w:rPr>
        <w:t>份，监理人执</w:t>
      </w:r>
      <w:r>
        <w:rPr>
          <w:rFonts w:hint="eastAsia" w:ascii="宋体" w:hAnsi="宋体"/>
          <w:color w:val="auto"/>
          <w:sz w:val="21"/>
          <w:highlight w:val="none"/>
          <w:u w:val="single"/>
          <w:lang w:val="en-US" w:eastAsia="zh-CN"/>
        </w:rPr>
        <w:t xml:space="preserve">    </w:t>
      </w:r>
      <w:r>
        <w:rPr>
          <w:rFonts w:hint="eastAsia" w:ascii="宋体" w:hAnsi="宋体"/>
          <w:color w:val="auto"/>
          <w:sz w:val="21"/>
          <w:highlight w:val="none"/>
          <w:u w:val="single"/>
        </w:rPr>
        <w:t>份。正本与副本不一致时，以正本为准</w:t>
      </w:r>
      <w:r>
        <w:rPr>
          <w:rFonts w:ascii="宋体" w:hAnsi="宋体"/>
          <w:color w:val="auto"/>
          <w:sz w:val="21"/>
          <w:highlight w:val="none"/>
          <w:u w:val="single"/>
        </w:rPr>
        <w:t>。</w:t>
      </w:r>
    </w:p>
    <w:p>
      <w:pPr>
        <w:tabs>
          <w:tab w:val="left" w:pos="1000"/>
          <w:tab w:val="left" w:pos="2720"/>
          <w:tab w:val="left" w:pos="3460"/>
          <w:tab w:val="left" w:pos="3580"/>
          <w:tab w:val="left" w:pos="4140"/>
          <w:tab w:val="left" w:pos="4560"/>
          <w:tab w:val="left" w:pos="4980"/>
          <w:tab w:val="left" w:pos="5140"/>
          <w:tab w:val="left" w:pos="5500"/>
          <w:tab w:val="left" w:pos="5880"/>
        </w:tabs>
        <w:spacing w:line="20" w:lineRule="exact"/>
        <w:ind w:left="360"/>
        <w:rPr>
          <w:rFonts w:eastAsia="Times New Roman"/>
          <w:color w:val="auto"/>
          <w:sz w:val="1"/>
          <w:highlight w:val="none"/>
        </w:rPr>
      </w:pP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p>
    <w:p>
      <w:pPr>
        <w:numPr>
          <w:ilvl w:val="0"/>
          <w:numId w:val="0"/>
        </w:numPr>
        <w:tabs>
          <w:tab w:val="left" w:pos="709"/>
        </w:tabs>
        <w:spacing w:line="256" w:lineRule="exact"/>
        <w:ind w:left="0" w:firstLine="420" w:firstLineChars="200"/>
        <w:rPr>
          <w:rFonts w:eastAsia="Times New Roman"/>
          <w:color w:val="auto"/>
          <w:sz w:val="21"/>
          <w:highlight w:val="none"/>
        </w:rPr>
      </w:pPr>
      <w:r>
        <w:rPr>
          <w:rFonts w:hint="eastAsia" w:ascii="宋体" w:hAnsi="宋体"/>
          <w:color w:val="auto"/>
          <w:sz w:val="21"/>
          <w:highlight w:val="none"/>
          <w:lang w:val="en-US" w:eastAsia="zh-CN"/>
        </w:rPr>
        <w:t>12.</w:t>
      </w:r>
      <w:r>
        <w:rPr>
          <w:rFonts w:ascii="宋体" w:hAnsi="宋体"/>
          <w:color w:val="auto"/>
          <w:sz w:val="21"/>
          <w:highlight w:val="none"/>
        </w:rPr>
        <w:t>合同未尽事宜，双方另行签订补充协议。补充协议是合同的组成部分。</w:t>
      </w:r>
    </w:p>
    <w:p>
      <w:pPr>
        <w:spacing w:line="200" w:lineRule="exact"/>
        <w:rPr>
          <w:rFonts w:eastAsia="Times New Roman"/>
          <w:color w:val="auto"/>
          <w:highlight w:val="none"/>
        </w:rPr>
      </w:pPr>
    </w:p>
    <w:p>
      <w:pPr>
        <w:tabs>
          <w:tab w:val="left" w:pos="1520"/>
          <w:tab w:val="left" w:pos="2260"/>
          <w:tab w:val="left" w:pos="2560"/>
          <w:tab w:val="left" w:pos="2880"/>
          <w:tab w:val="left" w:pos="4245"/>
          <w:tab w:val="left" w:pos="5720"/>
          <w:tab w:val="left" w:pos="6660"/>
          <w:tab w:val="left" w:pos="6980"/>
          <w:tab w:val="left" w:pos="7500"/>
          <w:tab w:val="left" w:pos="7600"/>
        </w:tabs>
        <w:spacing w:line="360" w:lineRule="auto"/>
        <w:rPr>
          <w:rFonts w:ascii="宋体" w:hAnsi="宋体"/>
          <w:color w:val="auto"/>
          <w:sz w:val="21"/>
          <w:highlight w:val="none"/>
        </w:rPr>
      </w:pPr>
      <w:r>
        <w:rPr>
          <w:rFonts w:ascii="宋体" w:hAnsi="宋体"/>
          <w:color w:val="auto"/>
          <w:sz w:val="21"/>
          <w:highlight w:val="none"/>
        </w:rPr>
        <w:t>委托人：</w:t>
      </w:r>
      <w:r>
        <w:rPr>
          <w:rFonts w:hint="eastAsia" w:ascii="宋体" w:hAnsi="宋体"/>
          <w:color w:val="auto"/>
          <w:sz w:val="21"/>
          <w:highlight w:val="none"/>
        </w:rPr>
        <w:t xml:space="preserve">               </w:t>
      </w:r>
      <w:r>
        <w:rPr>
          <w:rFonts w:ascii="宋体" w:hAnsi="宋体"/>
          <w:color w:val="auto"/>
          <w:sz w:val="21"/>
          <w:highlight w:val="none"/>
        </w:rPr>
        <w:t>（盖单位章）</w:t>
      </w:r>
      <w:r>
        <w:rPr>
          <w:rFonts w:ascii="宋体" w:hAnsi="宋体"/>
          <w:color w:val="auto"/>
          <w:w w:val="99"/>
          <w:sz w:val="21"/>
          <w:highlight w:val="none"/>
        </w:rPr>
        <w:tab/>
      </w:r>
      <w:r>
        <w:rPr>
          <w:rFonts w:ascii="宋体" w:hAnsi="宋体"/>
          <w:color w:val="auto"/>
          <w:sz w:val="21"/>
          <w:highlight w:val="none"/>
        </w:rPr>
        <w:t>监理人：</w:t>
      </w:r>
      <w:r>
        <w:rPr>
          <w:rFonts w:hint="eastAsia" w:ascii="宋体" w:hAnsi="宋体"/>
          <w:color w:val="auto"/>
          <w:sz w:val="21"/>
          <w:highlight w:val="none"/>
        </w:rPr>
        <w:t xml:space="preserve">               </w:t>
      </w:r>
      <w:r>
        <w:rPr>
          <w:rFonts w:ascii="宋体" w:hAnsi="宋体"/>
          <w:color w:val="auto"/>
          <w:sz w:val="21"/>
          <w:highlight w:val="none"/>
        </w:rPr>
        <w:t>（盖单位章）</w:t>
      </w:r>
    </w:p>
    <w:p>
      <w:pPr>
        <w:tabs>
          <w:tab w:val="left" w:pos="1200"/>
          <w:tab w:val="left" w:pos="1300"/>
          <w:tab w:val="left" w:pos="2260"/>
          <w:tab w:val="left" w:pos="2560"/>
          <w:tab w:val="left" w:pos="2880"/>
          <w:tab w:val="left" w:pos="3100"/>
          <w:tab w:val="left" w:pos="3300"/>
          <w:tab w:val="left" w:pos="3520"/>
          <w:tab w:val="left" w:pos="4660"/>
          <w:tab w:val="left" w:pos="5500"/>
          <w:tab w:val="left" w:pos="5620"/>
          <w:tab w:val="left" w:pos="6660"/>
          <w:tab w:val="left" w:pos="6980"/>
          <w:tab w:val="left" w:pos="7500"/>
          <w:tab w:val="left" w:pos="7600"/>
          <w:tab w:val="left" w:pos="7920"/>
          <w:tab w:val="left" w:pos="8140"/>
        </w:tabs>
        <w:spacing w:line="360" w:lineRule="auto"/>
        <w:rPr>
          <w:rFonts w:eastAsia="Times New Roman"/>
          <w:color w:val="auto"/>
          <w:sz w:val="1"/>
          <w:highlight w:val="none"/>
        </w:rPr>
      </w:pPr>
      <w:r>
        <w:rPr>
          <w:rFonts w:eastAsia="Times New Roman"/>
          <w:color w:val="auto"/>
          <w:sz w:val="1"/>
          <w:highlight w:val="none"/>
        </w:rPr>
        <w:tab/>
      </w:r>
    </w:p>
    <w:p>
      <w:pPr>
        <w:tabs>
          <w:tab w:val="left" w:pos="3002"/>
          <w:tab w:val="left" w:pos="3422"/>
          <w:tab w:val="left" w:pos="4247"/>
          <w:tab w:val="left" w:pos="7600"/>
          <w:tab w:val="left" w:pos="7920"/>
          <w:tab w:val="left" w:pos="8140"/>
        </w:tabs>
        <w:spacing w:line="360" w:lineRule="auto"/>
        <w:rPr>
          <w:rFonts w:ascii="宋体" w:hAnsi="宋体"/>
          <w:color w:val="auto"/>
          <w:sz w:val="21"/>
          <w:highlight w:val="none"/>
        </w:rPr>
      </w:pPr>
      <w:r>
        <w:rPr>
          <w:rFonts w:ascii="宋体" w:hAnsi="宋体"/>
          <w:color w:val="auto"/>
          <w:sz w:val="21"/>
          <w:highlight w:val="none"/>
        </w:rPr>
        <w:t>法定代表人或其委托代理人：</w:t>
      </w:r>
      <w:r>
        <w:rPr>
          <w:rFonts w:ascii="宋体" w:hAnsi="宋体"/>
          <w:color w:val="auto"/>
          <w:w w:val="99"/>
          <w:sz w:val="21"/>
          <w:highlight w:val="none"/>
        </w:rPr>
        <w:tab/>
      </w:r>
      <w:r>
        <w:rPr>
          <w:rFonts w:ascii="宋体" w:hAnsi="宋体"/>
          <w:color w:val="auto"/>
          <w:sz w:val="21"/>
          <w:highlight w:val="none"/>
        </w:rPr>
        <w:t>（签字）</w:t>
      </w:r>
      <w:r>
        <w:rPr>
          <w:rFonts w:ascii="宋体" w:hAnsi="宋体"/>
          <w:color w:val="auto"/>
          <w:sz w:val="21"/>
          <w:highlight w:val="none"/>
        </w:rPr>
        <w:tab/>
      </w:r>
      <w:r>
        <w:rPr>
          <w:rFonts w:ascii="宋体" w:hAnsi="宋体"/>
          <w:color w:val="auto"/>
          <w:sz w:val="21"/>
          <w:highlight w:val="none"/>
        </w:rPr>
        <w:t>法定代表人或其委托代理人：</w:t>
      </w:r>
      <w:r>
        <w:rPr>
          <w:rFonts w:hint="eastAsia"/>
          <w:color w:val="auto"/>
          <w:sz w:val="24"/>
          <w:highlight w:val="none"/>
        </w:rPr>
        <w:t xml:space="preserve">     </w:t>
      </w:r>
      <w:r>
        <w:rPr>
          <w:rFonts w:ascii="宋体" w:hAnsi="宋体"/>
          <w:color w:val="auto"/>
          <w:sz w:val="21"/>
          <w:highlight w:val="none"/>
        </w:rPr>
        <w:t>（签字）</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rPr>
          <w:rFonts w:ascii="宋体" w:hAnsi="宋体"/>
          <w:color w:val="auto"/>
          <w:sz w:val="21"/>
          <w:szCs w:val="21"/>
          <w:highlight w:val="none"/>
        </w:rPr>
      </w:pPr>
      <w:r>
        <w:rPr>
          <w:rFonts w:hint="eastAsia" w:ascii="宋体" w:hAnsi="宋体"/>
          <w:color w:val="auto"/>
          <w:sz w:val="21"/>
          <w:szCs w:val="21"/>
          <w:highlight w:val="none"/>
        </w:rPr>
        <w:t>住所地：                                 住所地：</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rPr>
          <w:rFonts w:ascii="宋体" w:hAnsi="宋体"/>
          <w:color w:val="auto"/>
          <w:sz w:val="21"/>
          <w:szCs w:val="21"/>
          <w:highlight w:val="none"/>
        </w:rPr>
      </w:pPr>
      <w:r>
        <w:rPr>
          <w:rFonts w:hint="eastAsia" w:ascii="宋体" w:hAnsi="宋体"/>
          <w:color w:val="auto"/>
          <w:sz w:val="21"/>
          <w:szCs w:val="21"/>
          <w:highlight w:val="none"/>
        </w:rPr>
        <w:t>开户银行：                               开户银行：</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rPr>
          <w:rFonts w:ascii="宋体" w:hAnsi="宋体"/>
          <w:color w:val="auto"/>
          <w:sz w:val="21"/>
          <w:szCs w:val="21"/>
          <w:highlight w:val="none"/>
        </w:rPr>
      </w:pPr>
      <w:r>
        <w:rPr>
          <w:rFonts w:hint="eastAsia" w:ascii="宋体" w:hAnsi="宋体"/>
          <w:color w:val="auto"/>
          <w:sz w:val="21"/>
          <w:szCs w:val="21"/>
          <w:highlight w:val="none"/>
        </w:rPr>
        <w:t>账号：                                   账号：</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rPr>
          <w:rFonts w:ascii="宋体" w:hAnsi="宋体"/>
          <w:color w:val="auto"/>
          <w:sz w:val="21"/>
          <w:szCs w:val="21"/>
          <w:highlight w:val="none"/>
        </w:rPr>
      </w:pPr>
      <w:r>
        <w:rPr>
          <w:rFonts w:hint="eastAsia" w:ascii="宋体" w:hAnsi="宋体"/>
          <w:color w:val="auto"/>
          <w:sz w:val="21"/>
          <w:szCs w:val="21"/>
          <w:highlight w:val="none"/>
        </w:rPr>
        <w:t>邮编：                                   邮编：</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rPr>
          <w:rFonts w:ascii="宋体" w:hAnsi="宋体"/>
          <w:color w:val="auto"/>
          <w:sz w:val="21"/>
          <w:szCs w:val="21"/>
          <w:highlight w:val="none"/>
        </w:rPr>
      </w:pPr>
      <w:r>
        <w:rPr>
          <w:rFonts w:hint="eastAsia" w:ascii="宋体" w:hAnsi="宋体"/>
          <w:color w:val="auto"/>
          <w:sz w:val="21"/>
          <w:szCs w:val="21"/>
          <w:highlight w:val="none"/>
        </w:rPr>
        <w:t>电话：                                   电话：</w:t>
      </w:r>
    </w:p>
    <w:p>
      <w:pPr>
        <w:tabs>
          <w:tab w:val="left" w:pos="1731"/>
          <w:tab w:val="left" w:pos="2260"/>
          <w:tab w:val="left" w:pos="2560"/>
          <w:tab w:val="left" w:pos="2880"/>
          <w:tab w:val="left" w:pos="3100"/>
          <w:tab w:val="left" w:pos="3300"/>
          <w:tab w:val="left" w:pos="4980"/>
          <w:tab w:val="left" w:pos="5500"/>
          <w:tab w:val="left" w:pos="5720"/>
          <w:tab w:val="left" w:pos="6660"/>
          <w:tab w:val="left" w:pos="6980"/>
          <w:tab w:val="left" w:pos="7600"/>
          <w:tab w:val="left" w:pos="7920"/>
        </w:tabs>
        <w:spacing w:line="360" w:lineRule="auto"/>
        <w:ind w:firstLine="735" w:firstLineChars="350"/>
        <w:rPr>
          <w:rFonts w:ascii="宋体" w:hAnsi="宋体"/>
          <w:color w:val="auto"/>
          <w:sz w:val="21"/>
          <w:szCs w:val="21"/>
          <w:highlight w:val="none"/>
        </w:rPr>
      </w:pPr>
      <w:r>
        <w:rPr>
          <w:rFonts w:ascii="宋体" w:hAnsi="宋体"/>
          <w:color w:val="auto"/>
          <w:sz w:val="21"/>
          <w:szCs w:val="21"/>
          <w:highlight w:val="none"/>
        </w:rPr>
        <w:t>年</w:t>
      </w:r>
      <w:r>
        <w:rPr>
          <w:rFonts w:hint="eastAsia" w:ascii="宋体" w:hAnsi="宋体"/>
          <w:color w:val="auto"/>
          <w:w w:val="95"/>
          <w:sz w:val="21"/>
          <w:szCs w:val="21"/>
          <w:highlight w:val="none"/>
        </w:rPr>
        <w:t xml:space="preserve">        </w:t>
      </w:r>
      <w:r>
        <w:rPr>
          <w:rFonts w:ascii="宋体" w:hAnsi="宋体"/>
          <w:color w:val="auto"/>
          <w:sz w:val="21"/>
          <w:szCs w:val="21"/>
          <w:highlight w:val="none"/>
        </w:rPr>
        <w:t>月</w:t>
      </w:r>
      <w:r>
        <w:rPr>
          <w:rFonts w:hint="eastAsia" w:ascii="宋体" w:hAnsi="宋体"/>
          <w:color w:val="auto"/>
          <w:sz w:val="21"/>
          <w:szCs w:val="21"/>
          <w:highlight w:val="none"/>
        </w:rPr>
        <w:t xml:space="preserve">          </w:t>
      </w:r>
      <w:r>
        <w:rPr>
          <w:rFonts w:ascii="宋体" w:hAnsi="宋体"/>
          <w:color w:val="auto"/>
          <w:sz w:val="21"/>
          <w:szCs w:val="21"/>
          <w:highlight w:val="none"/>
        </w:rPr>
        <w:t>日</w:t>
      </w:r>
      <w:r>
        <w:rPr>
          <w:rFonts w:hint="eastAsia" w:ascii="宋体" w:hAnsi="宋体"/>
          <w:color w:val="auto"/>
          <w:sz w:val="21"/>
          <w:szCs w:val="21"/>
          <w:highlight w:val="none"/>
        </w:rPr>
        <w:t xml:space="preserve"> </w:t>
      </w:r>
      <w:r>
        <w:rPr>
          <w:rFonts w:eastAsia="Times New Roman"/>
          <w:color w:val="auto"/>
          <w:sz w:val="21"/>
          <w:szCs w:val="21"/>
          <w:highlight w:val="none"/>
        </w:rPr>
        <w:tab/>
      </w:r>
      <w:r>
        <w:rPr>
          <w:rFonts w:ascii="宋体" w:hAnsi="宋体"/>
          <w:color w:val="auto"/>
          <w:sz w:val="21"/>
          <w:szCs w:val="21"/>
          <w:highlight w:val="none"/>
        </w:rPr>
        <w:t>年</w:t>
      </w:r>
      <w:r>
        <w:rPr>
          <w:rFonts w:hint="eastAsia" w:ascii="宋体" w:hAnsi="宋体"/>
          <w:color w:val="auto"/>
          <w:w w:val="95"/>
          <w:sz w:val="21"/>
          <w:szCs w:val="21"/>
          <w:highlight w:val="none"/>
        </w:rPr>
        <w:t xml:space="preserve">          </w:t>
      </w:r>
      <w:r>
        <w:rPr>
          <w:rFonts w:ascii="宋体" w:hAnsi="宋体"/>
          <w:color w:val="auto"/>
          <w:sz w:val="21"/>
          <w:szCs w:val="21"/>
          <w:highlight w:val="none"/>
        </w:rPr>
        <w:t>月</w:t>
      </w:r>
      <w:r>
        <w:rPr>
          <w:rFonts w:hint="eastAsia" w:ascii="宋体" w:hAnsi="宋体"/>
          <w:color w:val="auto"/>
          <w:sz w:val="21"/>
          <w:szCs w:val="21"/>
          <w:highlight w:val="none"/>
        </w:rPr>
        <w:t xml:space="preserve">          </w:t>
      </w:r>
      <w:r>
        <w:rPr>
          <w:rFonts w:ascii="宋体" w:hAnsi="宋体"/>
          <w:color w:val="auto"/>
          <w:sz w:val="21"/>
          <w:szCs w:val="21"/>
          <w:highlight w:val="none"/>
        </w:rPr>
        <w:t>日</w:t>
      </w:r>
    </w:p>
    <w:p>
      <w:pPr>
        <w:rPr>
          <w:rFonts w:ascii="宋体" w:hAnsi="宋体"/>
          <w:color w:val="auto"/>
          <w:sz w:val="36"/>
          <w:szCs w:val="36"/>
          <w:highlight w:val="none"/>
        </w:rPr>
      </w:pPr>
      <w:r>
        <w:rPr>
          <w:rFonts w:ascii="宋体" w:hAnsi="宋体"/>
          <w:color w:val="auto"/>
          <w:sz w:val="21"/>
          <w:highlight w:val="none"/>
        </w:rPr>
        <w:br w:type="page"/>
      </w:r>
    </w:p>
    <w:p>
      <w:pPr>
        <w:spacing w:line="366" w:lineRule="exact"/>
        <w:jc w:val="center"/>
        <w:rPr>
          <w:rFonts w:ascii="黑体" w:hAnsi="黑体" w:eastAsia="黑体"/>
          <w:b/>
          <w:color w:val="auto"/>
          <w:sz w:val="32"/>
          <w:highlight w:val="none"/>
        </w:rPr>
      </w:pPr>
      <w:r>
        <w:rPr>
          <w:rFonts w:ascii="黑体" w:hAnsi="黑体" w:eastAsia="黑体"/>
          <w:b/>
          <w:color w:val="auto"/>
          <w:sz w:val="32"/>
          <w:highlight w:val="none"/>
        </w:rPr>
        <w:t>第</w:t>
      </w:r>
      <w:r>
        <w:rPr>
          <w:rFonts w:hint="eastAsia" w:ascii="黑体" w:hAnsi="黑体" w:eastAsia="黑体"/>
          <w:b/>
          <w:color w:val="auto"/>
          <w:sz w:val="32"/>
          <w:highlight w:val="none"/>
        </w:rPr>
        <w:t>二</w:t>
      </w:r>
      <w:r>
        <w:rPr>
          <w:rFonts w:ascii="黑体" w:hAnsi="黑体" w:eastAsia="黑体"/>
          <w:b/>
          <w:color w:val="auto"/>
          <w:sz w:val="32"/>
          <w:highlight w:val="none"/>
        </w:rPr>
        <w:t>节通用合同条款</w:t>
      </w:r>
    </w:p>
    <w:p>
      <w:pPr>
        <w:spacing w:line="200" w:lineRule="exact"/>
        <w:rPr>
          <w:rFonts w:eastAsia="Times New Roman"/>
          <w:color w:val="auto"/>
          <w:highlight w:val="none"/>
        </w:rPr>
      </w:pPr>
    </w:p>
    <w:p>
      <w:pPr>
        <w:spacing w:line="383" w:lineRule="exact"/>
        <w:rPr>
          <w:rFonts w:eastAsia="Times New Roman"/>
          <w:color w:val="auto"/>
          <w:highlight w:val="none"/>
        </w:rPr>
      </w:pPr>
    </w:p>
    <w:p>
      <w:pPr>
        <w:numPr>
          <w:ilvl w:val="0"/>
          <w:numId w:val="31"/>
        </w:numPr>
        <w:spacing w:line="390" w:lineRule="exact"/>
        <w:ind w:left="426" w:hanging="426"/>
        <w:rPr>
          <w:rFonts w:eastAsia="Times New Roman"/>
          <w:b/>
          <w:color w:val="auto"/>
          <w:sz w:val="32"/>
          <w:highlight w:val="none"/>
        </w:rPr>
      </w:pPr>
      <w:r>
        <w:rPr>
          <w:rFonts w:ascii="黑体" w:hAnsi="黑体" w:eastAsia="黑体"/>
          <w:b/>
          <w:color w:val="auto"/>
          <w:sz w:val="32"/>
          <w:highlight w:val="none"/>
        </w:rPr>
        <w:t>一般约定</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eastAsia="Times New Roman"/>
          <w:color w:val="auto"/>
          <w:sz w:val="28"/>
          <w:highlight w:val="none"/>
        </w:rPr>
        <w:t xml:space="preserve">1.1 </w:t>
      </w:r>
      <w:r>
        <w:rPr>
          <w:rFonts w:ascii="黑体" w:hAnsi="黑体" w:eastAsia="黑体"/>
          <w:color w:val="auto"/>
          <w:sz w:val="28"/>
          <w:highlight w:val="none"/>
        </w:rPr>
        <w:t>词语定义</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通用合同条款、专用合同条款中的下列词语应具有本款所赋予的含义。</w:t>
      </w:r>
    </w:p>
    <w:p>
      <w:pPr>
        <w:spacing w:line="360" w:lineRule="auto"/>
        <w:ind w:firstLine="424" w:firstLineChars="202"/>
        <w:rPr>
          <w:rFonts w:ascii="宋体" w:hAnsi="宋体"/>
          <w:b/>
          <w:color w:val="auto"/>
          <w:sz w:val="21"/>
          <w:highlight w:val="none"/>
        </w:rPr>
      </w:pPr>
      <w:r>
        <w:rPr>
          <w:rFonts w:ascii="宋体" w:hAnsi="宋体"/>
          <w:b/>
          <w:color w:val="auto"/>
          <w:sz w:val="21"/>
          <w:highlight w:val="none"/>
        </w:rPr>
        <w:t>1.1.1 合同</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1.1.1.1 合同文件（或称合同）：指合同协议书、中标通知书、投标函和投标函附录、专用合同条款、通用合同条款、委托人要求、</w:t>
      </w:r>
      <w:r>
        <w:rPr>
          <w:rFonts w:hint="eastAsia" w:ascii="宋体" w:hAnsi="宋体"/>
          <w:color w:val="auto"/>
          <w:sz w:val="21"/>
          <w:szCs w:val="21"/>
          <w:highlight w:val="none"/>
        </w:rPr>
        <w:t>监理服务收费报价计算表</w:t>
      </w:r>
      <w:r>
        <w:rPr>
          <w:rFonts w:ascii="宋体" w:hAnsi="宋体"/>
          <w:color w:val="auto"/>
          <w:sz w:val="21"/>
          <w:szCs w:val="21"/>
          <w:highlight w:val="none"/>
        </w:rPr>
        <w:t>、监理大纲，以及其他构成合同组成部分的文件。</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1.1.1.2 合同协议书：指委托人和监理人共同签署的合同协议书。</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1.1.1.3 中标通知书：指委托人通知监理人中标的函件。</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1.1.1.4 投标函：指由监理人填写并签署的，名为“投标函”的函件。</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1.1.1.5 投标函附录：指由监理人填写并签署的、附在投标函后，名为“投标函附录”的函件。</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1.1.1.6 委托人要求：指合同文件中名为“委托人要求”的文件。</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1.1.1.7 监理大纲：指监理人在投标文件中的监理大纲。</w:t>
      </w:r>
    </w:p>
    <w:p>
      <w:pPr>
        <w:pStyle w:val="26"/>
        <w:ind w:firstLine="420" w:firstLineChars="200"/>
        <w:rPr>
          <w:rFonts w:ascii="宋体" w:hAnsi="宋体"/>
          <w:color w:val="auto"/>
          <w:sz w:val="21"/>
          <w:szCs w:val="21"/>
          <w:highlight w:val="none"/>
        </w:rPr>
      </w:pPr>
      <w:r>
        <w:rPr>
          <w:rFonts w:ascii="宋体" w:hAnsi="宋体"/>
          <w:color w:val="auto"/>
          <w:sz w:val="21"/>
          <w:szCs w:val="21"/>
          <w:highlight w:val="none"/>
        </w:rPr>
        <w:t>1.1.1.8 监理报酬清单：指监理人投标文件中的</w:t>
      </w:r>
      <w:r>
        <w:rPr>
          <w:rFonts w:hint="eastAsia"/>
          <w:color w:val="auto"/>
          <w:highlight w:val="none"/>
        </w:rPr>
        <w:t>监理服务收费报价计算表</w:t>
      </w:r>
      <w:r>
        <w:rPr>
          <w:rFonts w:ascii="宋体" w:hAnsi="宋体"/>
          <w:color w:val="auto"/>
          <w:sz w:val="21"/>
          <w:szCs w:val="21"/>
          <w:highlight w:val="none"/>
        </w:rPr>
        <w:t>。</w:t>
      </w:r>
    </w:p>
    <w:p>
      <w:pPr>
        <w:spacing w:line="360" w:lineRule="auto"/>
        <w:ind w:firstLine="424" w:firstLineChars="202"/>
        <w:rPr>
          <w:rFonts w:ascii="宋体" w:hAnsi="宋体"/>
          <w:color w:val="auto"/>
          <w:sz w:val="21"/>
          <w:szCs w:val="21"/>
          <w:highlight w:val="none"/>
        </w:rPr>
      </w:pPr>
      <w:r>
        <w:rPr>
          <w:rFonts w:ascii="宋体" w:hAnsi="宋体"/>
          <w:color w:val="auto"/>
          <w:sz w:val="21"/>
          <w:szCs w:val="21"/>
          <w:highlight w:val="none"/>
        </w:rPr>
        <w:t>1.1.1.9 其他合同文件：指经合同双方当事人确认构成合同文件的其他文件。</w:t>
      </w:r>
    </w:p>
    <w:p>
      <w:pPr>
        <w:spacing w:line="360" w:lineRule="auto"/>
        <w:ind w:firstLine="424" w:firstLineChars="202"/>
        <w:rPr>
          <w:rFonts w:ascii="宋体" w:hAnsi="宋体"/>
          <w:b/>
          <w:color w:val="auto"/>
          <w:sz w:val="21"/>
          <w:highlight w:val="none"/>
        </w:rPr>
      </w:pPr>
      <w:r>
        <w:rPr>
          <w:rFonts w:ascii="宋体" w:hAnsi="宋体"/>
          <w:b/>
          <w:color w:val="auto"/>
          <w:sz w:val="21"/>
          <w:highlight w:val="none"/>
        </w:rPr>
        <w:t>1.1.2 合同当事人和人员</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1.1.2.1 合同当事人：指委托人和（或）监理人。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1.1.2.2 委托人：指与监理人签订合同协议书的当事人，及其合法继承人。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1.1.2.3 监理人：指与委托人签订合同协议书的当事人，及其合法继承人。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1.1.2.4 委托人代表：指由委托人任命，并在授权范围和期限内代表委托人行使权利和履行义务的全权负责人。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1.1.2.5 总监理工程师：指由监理人任命，代表监理人行使权利和履行义务的全权负责人。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 xml:space="preserve">1.1.2.6 </w:t>
      </w:r>
      <w:r>
        <w:rPr>
          <w:rFonts w:hint="eastAsia" w:ascii="宋体" w:hAnsi="宋体"/>
          <w:color w:val="auto"/>
          <w:sz w:val="21"/>
          <w:highlight w:val="none"/>
        </w:rPr>
        <w:t>承包人</w:t>
      </w:r>
      <w:r>
        <w:rPr>
          <w:rFonts w:ascii="宋体" w:hAnsi="宋体"/>
          <w:color w:val="auto"/>
          <w:sz w:val="21"/>
          <w:highlight w:val="none"/>
        </w:rPr>
        <w:t>：指在本工程监理范围内，与委托人签订勘察、设计、施工承包合同的当事人。</w:t>
      </w:r>
    </w:p>
    <w:p>
      <w:pPr>
        <w:spacing w:line="360" w:lineRule="auto"/>
        <w:ind w:firstLine="424" w:firstLineChars="202"/>
        <w:rPr>
          <w:rFonts w:ascii="宋体" w:hAnsi="宋体"/>
          <w:b/>
          <w:color w:val="auto"/>
          <w:sz w:val="21"/>
          <w:highlight w:val="none"/>
        </w:rPr>
      </w:pPr>
      <w:r>
        <w:rPr>
          <w:rFonts w:ascii="宋体" w:hAnsi="宋体"/>
          <w:b/>
          <w:color w:val="auto"/>
          <w:sz w:val="21"/>
          <w:highlight w:val="none"/>
        </w:rPr>
        <w:t>1.1.3 工程和监理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1.1.3.1 工程：指永久工程和（或）临时工程。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1.1.3.2 监理服务：指监理人接受委托人的委托，依照法律、规范标准和监理合同等，对建设工程设计或施工等阶段进行质量控制、进度控制、投资控制、合同管理、信息管理、组织协调和安全监理、环保监理的服务活动。</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1.1.3.3 监理资料：是委托人按合同约定向监理人提供的，用于完成监理范围与内容所需要的资料。</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1.1.3.4 监理文件：指监理人按合同约定向委托人提交的监理大纲、监理规划、监理实施细则、监理日志、监理报告、工程质量评估报告、事故处理文件、监理工作总结和其他文件等，包括阶段性文件和最终文件，且应当采用合同中双方约定的格式和载体。</w:t>
      </w:r>
    </w:p>
    <w:p>
      <w:pPr>
        <w:spacing w:line="360" w:lineRule="auto"/>
        <w:ind w:firstLine="424" w:firstLineChars="202"/>
        <w:rPr>
          <w:rFonts w:ascii="宋体" w:hAnsi="宋体"/>
          <w:b/>
          <w:color w:val="auto"/>
          <w:sz w:val="21"/>
          <w:highlight w:val="none"/>
        </w:rPr>
      </w:pPr>
      <w:r>
        <w:rPr>
          <w:rFonts w:ascii="宋体" w:hAnsi="宋体"/>
          <w:b/>
          <w:color w:val="auto"/>
          <w:sz w:val="21"/>
          <w:highlight w:val="none"/>
        </w:rPr>
        <w:t>1.1.4 日期</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1.1.4.1 开始监理通知：指委托人按第 6.1 款通知监理人开始监理的函件。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1.1.4.2 开始监理日期：指委托人按第 6.1 款发出的开始监理通知中写明的开始监理日期。</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1.1.4.3 监理服务期限：指监理人在投标函中承诺的完成合同监理服务所需的期限，包括按第 6.2 款和第 6.3.2 项约定所作的调整。</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1.1.4.4 完成监理日期：指第 1.1.4.3 目约定监理服务期限届满时的日期。</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1.1.4.5 基准日：指</w:t>
      </w:r>
      <w:r>
        <w:rPr>
          <w:rFonts w:hint="eastAsia" w:ascii="宋体" w:hAnsi="宋体"/>
          <w:color w:val="auto"/>
          <w:sz w:val="21"/>
          <w:highlight w:val="none"/>
          <w:lang w:val="en-US" w:eastAsia="zh-CN"/>
        </w:rPr>
        <w:t>采购响应</w:t>
      </w:r>
      <w:r>
        <w:rPr>
          <w:rFonts w:ascii="宋体" w:hAnsi="宋体"/>
          <w:color w:val="auto"/>
          <w:sz w:val="21"/>
          <w:highlight w:val="none"/>
        </w:rPr>
        <w:t>截止时间前 28 天的日期。</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1.1.4.6 天：除特别指明外，指日历天。合同中按天计算时间的，开始当天不计入，从次日开始计算。期限最后一天的截止时间为当天 24:00。</w:t>
      </w:r>
    </w:p>
    <w:p>
      <w:pPr>
        <w:spacing w:line="360" w:lineRule="auto"/>
        <w:ind w:firstLine="424" w:firstLineChars="202"/>
        <w:rPr>
          <w:rFonts w:ascii="宋体" w:hAnsi="宋体"/>
          <w:b/>
          <w:color w:val="auto"/>
          <w:sz w:val="21"/>
          <w:highlight w:val="none"/>
        </w:rPr>
      </w:pPr>
      <w:r>
        <w:rPr>
          <w:rFonts w:ascii="宋体" w:hAnsi="宋体"/>
          <w:b/>
          <w:color w:val="auto"/>
          <w:sz w:val="21"/>
          <w:highlight w:val="none"/>
        </w:rPr>
        <w:t>1.1.5 合同价格和费用</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1.1.5.1 签约合同价：指签订合同时合同协议书中写明的监理报酬总金额。</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1.1.5.2 合同价格：指监理人按合同约定完成了全部监理工作后，委托人应付给监理人的金额，包括在履行合同过程中按合同约定进行的变更和调整。</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1.1.5.3 费用：指为履行合同所发生的或将要发生的所有合理开支，包括管理费和应分摊的其他费用，但不包括利润。</w:t>
      </w:r>
    </w:p>
    <w:p>
      <w:pPr>
        <w:spacing w:line="360" w:lineRule="auto"/>
        <w:ind w:firstLine="424" w:firstLineChars="202"/>
        <w:rPr>
          <w:rFonts w:ascii="宋体" w:hAnsi="宋体"/>
          <w:b/>
          <w:color w:val="auto"/>
          <w:sz w:val="21"/>
          <w:highlight w:val="none"/>
        </w:rPr>
      </w:pPr>
      <w:r>
        <w:rPr>
          <w:rFonts w:ascii="宋体" w:hAnsi="宋体"/>
          <w:b/>
          <w:color w:val="auto"/>
          <w:sz w:val="21"/>
          <w:highlight w:val="none"/>
        </w:rPr>
        <w:t>1.1.6 其他</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1.1.6.1 书面形式：指合同文件、信件和数据电文（包括电报、电传、传真、电子数据交换和电子邮件）等可以有形地表现所载内容的形式。</w:t>
      </w:r>
    </w:p>
    <w:p>
      <w:pPr>
        <w:spacing w:line="360" w:lineRule="auto"/>
        <w:rPr>
          <w:rFonts w:ascii="黑体" w:hAnsi="黑体" w:eastAsia="黑体"/>
          <w:color w:val="auto"/>
          <w:sz w:val="28"/>
          <w:highlight w:val="none"/>
        </w:rPr>
      </w:pPr>
      <w:r>
        <w:rPr>
          <w:rFonts w:ascii="黑体" w:hAnsi="黑体" w:eastAsia="黑体"/>
          <w:color w:val="auto"/>
          <w:sz w:val="28"/>
          <w:highlight w:val="none"/>
        </w:rPr>
        <w:t>1.2 语言文字</w:t>
      </w:r>
    </w:p>
    <w:p>
      <w:pPr>
        <w:spacing w:line="360" w:lineRule="auto"/>
        <w:ind w:firstLine="319" w:firstLineChars="152"/>
        <w:rPr>
          <w:rFonts w:ascii="宋体" w:hAnsi="宋体"/>
          <w:color w:val="auto"/>
          <w:sz w:val="21"/>
          <w:highlight w:val="none"/>
        </w:rPr>
      </w:pPr>
      <w:r>
        <w:rPr>
          <w:rFonts w:ascii="宋体" w:hAnsi="宋体"/>
          <w:color w:val="auto"/>
          <w:sz w:val="21"/>
          <w:highlight w:val="none"/>
        </w:rPr>
        <w:t>合同使用的语言文字为中文。专用术语使用外文的，应附有中文注释。</w:t>
      </w:r>
    </w:p>
    <w:p>
      <w:pPr>
        <w:spacing w:line="360" w:lineRule="auto"/>
        <w:rPr>
          <w:rFonts w:ascii="黑体" w:hAnsi="黑体" w:eastAsia="黑体"/>
          <w:color w:val="auto"/>
          <w:sz w:val="28"/>
          <w:highlight w:val="none"/>
        </w:rPr>
      </w:pPr>
      <w:r>
        <w:rPr>
          <w:rFonts w:ascii="黑体" w:hAnsi="黑体" w:eastAsia="黑体"/>
          <w:color w:val="auto"/>
          <w:sz w:val="28"/>
          <w:highlight w:val="none"/>
        </w:rPr>
        <w:t>1.3 适用法律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适用于合同的法律包括中华人民共和国法律、行政法规、部门规章，以及工程所在地的地方法规、自治条例、单行条例和地方政府规章。</w:t>
      </w:r>
    </w:p>
    <w:p>
      <w:pPr>
        <w:spacing w:line="360" w:lineRule="auto"/>
        <w:ind w:firstLine="424" w:firstLineChars="202"/>
        <w:rPr>
          <w:rFonts w:ascii="宋体" w:hAnsi="宋体"/>
          <w:color w:val="auto"/>
          <w:sz w:val="21"/>
          <w:highlight w:val="none"/>
        </w:rPr>
      </w:pPr>
      <w:r>
        <w:rPr>
          <w:rFonts w:ascii="宋体" w:hAnsi="宋体"/>
          <w:color w:val="auto"/>
          <w:sz w:val="21"/>
          <w:highlight w:val="none"/>
        </w:rPr>
        <w:t>本合同适用的其他规范性文件，可在专用合同条款中约定。</w:t>
      </w:r>
    </w:p>
    <w:p>
      <w:pPr>
        <w:spacing w:line="360" w:lineRule="auto"/>
        <w:rPr>
          <w:rFonts w:ascii="黑体" w:hAnsi="黑体" w:eastAsia="黑体"/>
          <w:color w:val="auto"/>
          <w:sz w:val="28"/>
          <w:highlight w:val="none"/>
        </w:rPr>
      </w:pPr>
      <w:r>
        <w:rPr>
          <w:rFonts w:ascii="黑体" w:hAnsi="黑体" w:eastAsia="黑体"/>
          <w:color w:val="auto"/>
          <w:sz w:val="28"/>
          <w:highlight w:val="none"/>
        </w:rPr>
        <w:t>1.4 合同文件的优先顺序</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组成合同的各项文件应互相解释，互为说明。除专用合同条款另有约定外，解释合同文件的优先顺序如下：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（1）合同协议书；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w:t>
      </w:r>
      <w:r>
        <w:rPr>
          <w:rFonts w:hint="default" w:ascii="宋体" w:hAnsi="宋体"/>
          <w:color w:val="auto"/>
          <w:sz w:val="21"/>
          <w:highlight w:val="none"/>
          <w:lang w:val="en-US"/>
        </w:rPr>
        <w:t>中标</w:t>
      </w:r>
      <w:r>
        <w:rPr>
          <w:rFonts w:ascii="宋体" w:hAnsi="宋体"/>
          <w:color w:val="auto"/>
          <w:sz w:val="21"/>
          <w:highlight w:val="none"/>
        </w:rPr>
        <w:t>通知书；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（3）投标函及投标函附录；</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（4）专用合同条款；</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（5）通用合同条款；</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（6）委托人要求；</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（7）监理报酬清单；</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（8）监理大纲；</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（9）其他合同文件。</w:t>
      </w:r>
    </w:p>
    <w:p>
      <w:pPr>
        <w:spacing w:line="360" w:lineRule="auto"/>
        <w:rPr>
          <w:rFonts w:ascii="黑体" w:hAnsi="黑体" w:eastAsia="黑体"/>
          <w:color w:val="auto"/>
          <w:sz w:val="28"/>
          <w:highlight w:val="none"/>
        </w:rPr>
      </w:pPr>
      <w:r>
        <w:rPr>
          <w:rFonts w:ascii="黑体" w:hAnsi="黑体" w:eastAsia="黑体"/>
          <w:color w:val="auto"/>
          <w:sz w:val="28"/>
          <w:highlight w:val="none"/>
        </w:rPr>
        <w:t>1.5 合同协议书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监理人按</w:t>
      </w:r>
      <w:r>
        <w:rPr>
          <w:rFonts w:hint="eastAsia" w:ascii="宋体" w:hAnsi="宋体"/>
          <w:color w:val="auto"/>
          <w:sz w:val="21"/>
          <w:szCs w:val="21"/>
          <w:highlight w:val="none"/>
          <w:lang w:val="en-US" w:eastAsia="zh-CN"/>
        </w:rPr>
        <w:t>成交通知书</w:t>
      </w:r>
      <w:r>
        <w:rPr>
          <w:rFonts w:ascii="宋体" w:hAnsi="宋体"/>
          <w:color w:val="auto"/>
          <w:sz w:val="21"/>
          <w:highlight w:val="none"/>
        </w:rPr>
        <w:t>规定的时间与委托人签订合同协议书。除法律另有规定或合同另有约定外，委托人和监理人的法定代表人或其委托代理人在合同协议书上签字并盖单位章后，合同生效。</w:t>
      </w:r>
    </w:p>
    <w:p>
      <w:pPr>
        <w:spacing w:line="360" w:lineRule="auto"/>
        <w:rPr>
          <w:rFonts w:ascii="黑体" w:hAnsi="黑体" w:eastAsia="黑体"/>
          <w:color w:val="auto"/>
          <w:sz w:val="28"/>
          <w:highlight w:val="none"/>
        </w:rPr>
      </w:pPr>
      <w:r>
        <w:rPr>
          <w:rFonts w:ascii="黑体" w:hAnsi="黑体" w:eastAsia="黑体"/>
          <w:color w:val="auto"/>
          <w:sz w:val="28"/>
          <w:highlight w:val="none"/>
        </w:rPr>
        <w:t>1.6 文件的提供和照管</w:t>
      </w:r>
    </w:p>
    <w:p>
      <w:pPr>
        <w:spacing w:line="360" w:lineRule="auto"/>
        <w:ind w:firstLine="422" w:firstLineChars="201"/>
        <w:rPr>
          <w:rFonts w:ascii="宋体" w:hAnsi="宋体"/>
          <w:b/>
          <w:color w:val="auto"/>
          <w:sz w:val="21"/>
          <w:highlight w:val="none"/>
        </w:rPr>
      </w:pPr>
      <w:r>
        <w:rPr>
          <w:rFonts w:ascii="宋体" w:hAnsi="宋体"/>
          <w:b/>
          <w:color w:val="auto"/>
          <w:sz w:val="21"/>
          <w:highlight w:val="none"/>
        </w:rPr>
        <w:t>1.6.1 监理文件的提供</w:t>
      </w:r>
    </w:p>
    <w:p>
      <w:pPr>
        <w:spacing w:line="360" w:lineRule="auto"/>
        <w:ind w:firstLine="422" w:firstLineChars="201"/>
        <w:rPr>
          <w:rFonts w:ascii="宋体" w:hAnsi="宋体"/>
          <w:color w:val="auto"/>
          <w:sz w:val="21"/>
          <w:highlight w:val="none"/>
        </w:rPr>
      </w:pPr>
      <w:r>
        <w:rPr>
          <w:rFonts w:ascii="宋体" w:hAnsi="宋体"/>
          <w:color w:val="auto"/>
          <w:sz w:val="21"/>
          <w:highlight w:val="none"/>
        </w:rPr>
        <w:t>除专用合同条款另有约定外，监理人应在合理的期限内按照合同约定的数量向委托人提供监理文件。合同约定监理文件应经委托人批复的，委托人应当在合同约定的期限内批复或提出修改意见。</w:t>
      </w:r>
    </w:p>
    <w:p>
      <w:pPr>
        <w:spacing w:line="169" w:lineRule="exact"/>
        <w:ind w:firstLine="422" w:firstLineChars="201"/>
        <w:rPr>
          <w:rFonts w:eastAsia="Times New Roman"/>
          <w:color w:val="auto"/>
          <w:highlight w:val="none"/>
        </w:rPr>
      </w:pPr>
    </w:p>
    <w:p>
      <w:pPr>
        <w:spacing w:line="360" w:lineRule="auto"/>
        <w:ind w:firstLine="422" w:firstLineChars="201"/>
        <w:rPr>
          <w:rFonts w:ascii="宋体" w:hAnsi="宋体"/>
          <w:b/>
          <w:color w:val="auto"/>
          <w:sz w:val="21"/>
          <w:highlight w:val="none"/>
        </w:rPr>
      </w:pPr>
      <w:r>
        <w:rPr>
          <w:rFonts w:ascii="宋体" w:hAnsi="宋体"/>
          <w:b/>
          <w:color w:val="auto"/>
          <w:sz w:val="21"/>
          <w:highlight w:val="none"/>
        </w:rPr>
        <w:t>1.6.2 委托人提供的文件</w:t>
      </w:r>
    </w:p>
    <w:p>
      <w:pPr>
        <w:spacing w:line="360" w:lineRule="auto"/>
        <w:ind w:firstLine="422" w:firstLineChars="201"/>
        <w:rPr>
          <w:rFonts w:ascii="宋体" w:hAnsi="宋体"/>
          <w:color w:val="auto"/>
          <w:sz w:val="21"/>
          <w:highlight w:val="none"/>
        </w:rPr>
      </w:pPr>
      <w:r>
        <w:rPr>
          <w:rFonts w:ascii="宋体" w:hAnsi="宋体"/>
          <w:color w:val="auto"/>
          <w:sz w:val="21"/>
          <w:highlight w:val="none"/>
        </w:rPr>
        <w:t>按专用合同条款约定由委托人提供的文件，包括规范标准、承包合同、勘察文件、设计文件等，委托人应按约定的数量和期限交给监理人。由于委托人未按时提供文件造成监理服务期限延误的，按第 6.2 款约定执行。</w:t>
      </w:r>
    </w:p>
    <w:p>
      <w:pPr>
        <w:spacing w:line="360" w:lineRule="auto"/>
        <w:ind w:firstLine="422" w:firstLineChars="201"/>
        <w:rPr>
          <w:rFonts w:ascii="宋体" w:hAnsi="宋体"/>
          <w:b/>
          <w:color w:val="auto"/>
          <w:sz w:val="21"/>
          <w:highlight w:val="none"/>
        </w:rPr>
      </w:pPr>
      <w:r>
        <w:rPr>
          <w:rFonts w:ascii="宋体" w:hAnsi="宋体"/>
          <w:b/>
          <w:color w:val="auto"/>
          <w:sz w:val="21"/>
          <w:highlight w:val="none"/>
        </w:rPr>
        <w:t>1.6.3 文件错误的通知</w:t>
      </w:r>
    </w:p>
    <w:p>
      <w:pPr>
        <w:spacing w:line="360" w:lineRule="auto"/>
        <w:ind w:firstLine="422" w:firstLineChars="201"/>
        <w:rPr>
          <w:rFonts w:ascii="宋体" w:hAnsi="宋体"/>
          <w:color w:val="auto"/>
          <w:sz w:val="21"/>
          <w:highlight w:val="none"/>
        </w:rPr>
      </w:pPr>
      <w:r>
        <w:rPr>
          <w:rFonts w:ascii="宋体" w:hAnsi="宋体"/>
          <w:color w:val="auto"/>
          <w:sz w:val="21"/>
          <w:highlight w:val="none"/>
        </w:rPr>
        <w:t>任何一方当事人发现文件中存在的明显错误或疏忽，均应及时通知对方当事人，并应立即采取适当的措施防止损失扩大。</w:t>
      </w:r>
    </w:p>
    <w:p>
      <w:pPr>
        <w:spacing w:line="360" w:lineRule="auto"/>
        <w:ind w:firstLine="422" w:firstLineChars="201"/>
        <w:rPr>
          <w:rFonts w:ascii="宋体" w:hAnsi="宋体"/>
          <w:b/>
          <w:color w:val="auto"/>
          <w:sz w:val="21"/>
          <w:highlight w:val="none"/>
        </w:rPr>
      </w:pPr>
      <w:r>
        <w:rPr>
          <w:rFonts w:ascii="宋体" w:hAnsi="宋体"/>
          <w:b/>
          <w:color w:val="auto"/>
          <w:sz w:val="21"/>
          <w:highlight w:val="none"/>
        </w:rPr>
        <w:t>1.6.4 文件的照管</w:t>
      </w:r>
    </w:p>
    <w:p>
      <w:pPr>
        <w:spacing w:line="360" w:lineRule="auto"/>
        <w:ind w:firstLine="422" w:firstLineChars="201"/>
        <w:rPr>
          <w:rFonts w:ascii="宋体" w:hAnsi="宋体"/>
          <w:color w:val="auto"/>
          <w:sz w:val="21"/>
          <w:highlight w:val="none"/>
        </w:rPr>
      </w:pPr>
      <w:r>
        <w:rPr>
          <w:rFonts w:ascii="宋体" w:hAnsi="宋体"/>
          <w:color w:val="auto"/>
          <w:sz w:val="21"/>
          <w:highlight w:val="none"/>
        </w:rPr>
        <w:t>监理人应在现场保留一份合同文件、监理文件、委托人要求中的所列文件、以及其他根据合同收发的往来信函，以备委托人和行政管理部门查阅使用。</w:t>
      </w:r>
    </w:p>
    <w:p>
      <w:pPr>
        <w:spacing w:line="360" w:lineRule="auto"/>
        <w:rPr>
          <w:rFonts w:ascii="黑体" w:hAnsi="黑体" w:eastAsia="黑体"/>
          <w:color w:val="auto"/>
          <w:sz w:val="28"/>
          <w:highlight w:val="none"/>
        </w:rPr>
      </w:pPr>
      <w:r>
        <w:rPr>
          <w:rFonts w:ascii="黑体" w:hAnsi="黑体" w:eastAsia="黑体"/>
          <w:color w:val="auto"/>
          <w:sz w:val="28"/>
          <w:highlight w:val="none"/>
        </w:rPr>
        <w:t>1.7 联络</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1.7.1 与合同有关的通知、批准、证明、证书、指示、要求、请求、同意、意见、确定和决定等，均应采用书面形式。</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1.7.2 上述通知、批准、证明、证书、指示、要求、请求、同意、意见、确定和决定等来往函件，均应在合同约定的期限内送达指定的地点和指定的接收人，并办理签收手续。</w:t>
      </w:r>
    </w:p>
    <w:p>
      <w:pPr>
        <w:spacing w:line="360" w:lineRule="auto"/>
        <w:rPr>
          <w:rFonts w:ascii="黑体" w:hAnsi="黑体" w:eastAsia="黑体"/>
          <w:color w:val="auto"/>
          <w:sz w:val="28"/>
          <w:highlight w:val="none"/>
        </w:rPr>
      </w:pPr>
      <w:r>
        <w:rPr>
          <w:rFonts w:ascii="黑体" w:hAnsi="黑体" w:eastAsia="黑体"/>
          <w:color w:val="auto"/>
          <w:sz w:val="28"/>
          <w:highlight w:val="none"/>
        </w:rPr>
        <w:t>1.8 转让</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除专用合同条款另有约定外，未经对方当事人同意，一方当事人不得将合同权利全部或部分转让给第三人，也不得全部或部分转移合同义务。</w:t>
      </w:r>
    </w:p>
    <w:p>
      <w:pPr>
        <w:spacing w:line="360" w:lineRule="auto"/>
        <w:rPr>
          <w:rFonts w:ascii="黑体" w:hAnsi="黑体" w:eastAsia="黑体"/>
          <w:color w:val="auto"/>
          <w:sz w:val="28"/>
          <w:highlight w:val="none"/>
        </w:rPr>
      </w:pPr>
      <w:r>
        <w:rPr>
          <w:rFonts w:ascii="黑体" w:hAnsi="黑体" w:eastAsia="黑体"/>
          <w:color w:val="auto"/>
          <w:sz w:val="28"/>
          <w:highlight w:val="none"/>
        </w:rPr>
        <w:t>1.9 严禁贿赂</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合同双方当事人不得以贿赂或变相贿赂的方式，谋取不当利益或损害对方权益。因贿赂造成对方当事人损失的，行为人应当赔偿损失，并承担相应的法律责任。</w:t>
      </w:r>
    </w:p>
    <w:p>
      <w:pPr>
        <w:spacing w:line="360" w:lineRule="auto"/>
        <w:rPr>
          <w:rFonts w:ascii="黑体" w:hAnsi="黑体" w:eastAsia="黑体"/>
          <w:color w:val="auto"/>
          <w:sz w:val="28"/>
          <w:highlight w:val="none"/>
        </w:rPr>
      </w:pPr>
      <w:r>
        <w:rPr>
          <w:rFonts w:ascii="黑体" w:hAnsi="黑体" w:eastAsia="黑体"/>
          <w:color w:val="auto"/>
          <w:sz w:val="28"/>
          <w:highlight w:val="none"/>
        </w:rPr>
        <w:t>1.10 知识产权</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1.10.1 除专用合同条款另有约定外，监理人完成的监理工作成果，除署名权以外的著作权和其他知识产权均归委托人享有。</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1.10.2 监理人从事监理活动时不得侵犯他人的知识产权。因侵犯专利权或其他知识产权所引起的责任，由监理人自行承担。因委托人提供的监理资料导致侵权的，由委托人承担责任。</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1.10.3 监理人在投标文件中采用专利技术、专有技术的，相应的使用费视为已包含在投标报价之中。</w:t>
      </w:r>
    </w:p>
    <w:p>
      <w:pPr>
        <w:spacing w:line="360" w:lineRule="auto"/>
        <w:rPr>
          <w:rFonts w:ascii="黑体" w:hAnsi="黑体" w:eastAsia="黑体"/>
          <w:color w:val="auto"/>
          <w:sz w:val="28"/>
          <w:highlight w:val="none"/>
        </w:rPr>
      </w:pPr>
      <w:r>
        <w:rPr>
          <w:rFonts w:ascii="黑体" w:hAnsi="黑体" w:eastAsia="黑体"/>
          <w:color w:val="auto"/>
          <w:sz w:val="28"/>
          <w:highlight w:val="none"/>
        </w:rPr>
        <w:t>1.11 文件及信息的保密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未经对方同意，任何一方当事人不得将有关文件、技术秘密、需要保密的资料和信息泄露给他人或公开发表与引用。</w:t>
      </w:r>
    </w:p>
    <w:p>
      <w:pPr>
        <w:spacing w:line="360" w:lineRule="auto"/>
        <w:rPr>
          <w:rFonts w:ascii="黑体" w:hAnsi="黑体" w:eastAsia="黑体"/>
          <w:color w:val="auto"/>
          <w:sz w:val="28"/>
          <w:highlight w:val="none"/>
        </w:rPr>
      </w:pPr>
      <w:r>
        <w:rPr>
          <w:rFonts w:ascii="黑体" w:hAnsi="黑体" w:eastAsia="黑体"/>
          <w:color w:val="auto"/>
          <w:sz w:val="28"/>
          <w:highlight w:val="none"/>
        </w:rPr>
        <w:t>1.12 委托人要求</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1.12.1 监理人应认真阅读、复核委托人要求，发现错误的，应及时书面通知委托人。无论是否存在错误，委托人均有权修改委托人要求，并在修改后 3 日内通知监理人。除专用合同条款另有约定外，由此导致监理人费用增加和(或)周期延误的，委托人应当相应地增加费用和(或)延长周期。</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1.12.2 如果委托人要求违反法律规定，监理人应在发现后及时书面通知委托人，要求其改正。委托人收到通知书后不予改正或不予答复的，监理人有权拒绝履行合同义务，直至解除合同；由此引起的监理人的全部损失由委托人承担。</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1.12.3 委托人要求采用国外规范和标准进行监理时，应由委托人负责提供该规范和标准的外国文本和中文译本，提供的时间、份数和其他要求在专用合同条款中约定。</w:t>
      </w:r>
    </w:p>
    <w:p>
      <w:pPr>
        <w:numPr>
          <w:ilvl w:val="0"/>
          <w:numId w:val="31"/>
        </w:numPr>
        <w:spacing w:line="390" w:lineRule="exact"/>
        <w:ind w:left="426" w:hanging="426"/>
        <w:rPr>
          <w:rFonts w:eastAsia="Times New Roman"/>
          <w:b/>
          <w:color w:val="auto"/>
          <w:sz w:val="32"/>
          <w:highlight w:val="none"/>
        </w:rPr>
      </w:pPr>
      <w:r>
        <w:rPr>
          <w:rFonts w:ascii="黑体" w:hAnsi="黑体" w:eastAsia="黑体"/>
          <w:color w:val="auto"/>
          <w:sz w:val="32"/>
          <w:highlight w:val="none"/>
        </w:rPr>
        <w:t>委托人</w:t>
      </w:r>
      <w:r>
        <w:rPr>
          <w:rFonts w:ascii="黑体" w:hAnsi="黑体" w:eastAsia="黑体"/>
          <w:b/>
          <w:color w:val="auto"/>
          <w:sz w:val="32"/>
          <w:highlight w:val="none"/>
        </w:rPr>
        <w:t>义务</w:t>
      </w: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2.1 遵守法律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委托人在履行合同过程中应遵守法律，并保证监理人免于承担因委托人违反法律而引起的任何责任。</w:t>
      </w:r>
    </w:p>
    <w:p>
      <w:pPr>
        <w:spacing w:line="360" w:lineRule="auto"/>
        <w:rPr>
          <w:rFonts w:ascii="黑体" w:hAnsi="黑体" w:eastAsia="黑体"/>
          <w:color w:val="auto"/>
          <w:sz w:val="28"/>
          <w:highlight w:val="none"/>
        </w:rPr>
      </w:pPr>
      <w:r>
        <w:rPr>
          <w:rFonts w:ascii="黑体" w:hAnsi="黑体" w:eastAsia="黑体"/>
          <w:color w:val="auto"/>
          <w:sz w:val="28"/>
          <w:highlight w:val="none"/>
        </w:rPr>
        <w:t>2.2 发出开始监理通知</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委托人应按第 6.1 款的约定向监理人发出开始监理通知。</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除专用合同条款另有约定外，委托人应为监理人的现场人员，在施工期间提供办公房间、办公桌椅、互联网接口、冷暖设施、生活设施、进出现场交通服务和其他便利条件。</w:t>
      </w:r>
    </w:p>
    <w:p>
      <w:pPr>
        <w:spacing w:line="360" w:lineRule="auto"/>
        <w:rPr>
          <w:rFonts w:ascii="黑体" w:hAnsi="黑体" w:eastAsia="黑体"/>
          <w:color w:val="auto"/>
          <w:sz w:val="28"/>
          <w:highlight w:val="none"/>
        </w:rPr>
      </w:pPr>
      <w:r>
        <w:rPr>
          <w:rFonts w:ascii="黑体" w:hAnsi="黑体" w:eastAsia="黑体"/>
          <w:color w:val="auto"/>
          <w:sz w:val="28"/>
          <w:highlight w:val="none"/>
        </w:rPr>
        <w:t>2.3 办理证件和批件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法律规定和（或）合同约定由委托人负责办理的工程建设项目必须履行的各类审批、核准或备案手续，委托人应当按时办理，监理人应给予必要的协助。</w:t>
      </w:r>
    </w:p>
    <w:p>
      <w:pPr>
        <w:spacing w:line="360" w:lineRule="auto"/>
        <w:ind w:firstLine="424" w:firstLineChars="202"/>
        <w:rPr>
          <w:rFonts w:ascii="宋体" w:hAnsi="宋体"/>
          <w:color w:val="auto"/>
          <w:sz w:val="21"/>
          <w:highlight w:val="none"/>
        </w:rPr>
      </w:pPr>
      <w:r>
        <w:rPr>
          <w:rFonts w:ascii="宋体" w:hAnsi="宋体"/>
          <w:color w:val="auto"/>
          <w:sz w:val="21"/>
          <w:highlight w:val="none"/>
        </w:rPr>
        <w:t>法律规定和（或）合同约定由监理人负责办理的监理所需的证件和批件，委托人应给予必要的协助。</w:t>
      </w:r>
    </w:p>
    <w:p>
      <w:pPr>
        <w:spacing w:line="360" w:lineRule="auto"/>
        <w:rPr>
          <w:rFonts w:ascii="黑体" w:hAnsi="黑体" w:eastAsia="黑体"/>
          <w:color w:val="auto"/>
          <w:sz w:val="28"/>
          <w:highlight w:val="none"/>
        </w:rPr>
      </w:pPr>
      <w:r>
        <w:rPr>
          <w:rFonts w:ascii="黑体" w:hAnsi="黑体" w:eastAsia="黑体"/>
          <w:color w:val="auto"/>
          <w:sz w:val="28"/>
          <w:highlight w:val="none"/>
        </w:rPr>
        <w:t>2.4 支付合同价款</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委托人应按合同约定向监理人及时支付合同价款。</w:t>
      </w:r>
    </w:p>
    <w:p>
      <w:pPr>
        <w:spacing w:line="360" w:lineRule="auto"/>
        <w:rPr>
          <w:rFonts w:ascii="黑体" w:hAnsi="黑体" w:eastAsia="黑体"/>
          <w:color w:val="auto"/>
          <w:sz w:val="28"/>
          <w:highlight w:val="none"/>
        </w:rPr>
      </w:pPr>
      <w:r>
        <w:rPr>
          <w:rFonts w:ascii="黑体" w:hAnsi="黑体" w:eastAsia="黑体"/>
          <w:color w:val="auto"/>
          <w:sz w:val="28"/>
          <w:highlight w:val="none"/>
        </w:rPr>
        <w:t>2.5 提供监理资料</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委托人应按第 1.6.2 项的约定向监理人提供监理资料。</w:t>
      </w:r>
    </w:p>
    <w:p>
      <w:pPr>
        <w:spacing w:line="360" w:lineRule="auto"/>
        <w:rPr>
          <w:rFonts w:ascii="黑体" w:hAnsi="黑体" w:eastAsia="黑体"/>
          <w:color w:val="auto"/>
          <w:sz w:val="28"/>
          <w:highlight w:val="none"/>
        </w:rPr>
      </w:pPr>
      <w:r>
        <w:rPr>
          <w:rFonts w:ascii="黑体" w:hAnsi="黑体" w:eastAsia="黑体"/>
          <w:color w:val="auto"/>
          <w:sz w:val="28"/>
          <w:highlight w:val="none"/>
        </w:rPr>
        <w:t>2.6 其他义务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委托人应履行合同约定的其他义务。</w:t>
      </w:r>
    </w:p>
    <w:p>
      <w:pPr>
        <w:numPr>
          <w:ilvl w:val="0"/>
          <w:numId w:val="32"/>
        </w:numPr>
        <w:tabs>
          <w:tab w:val="left" w:pos="426"/>
        </w:tabs>
        <w:spacing w:line="390" w:lineRule="exact"/>
        <w:ind w:left="760" w:hanging="760"/>
        <w:rPr>
          <w:rFonts w:eastAsia="Times New Roman"/>
          <w:b/>
          <w:color w:val="auto"/>
          <w:sz w:val="32"/>
          <w:highlight w:val="none"/>
        </w:rPr>
      </w:pPr>
      <w:r>
        <w:rPr>
          <w:rFonts w:ascii="黑体" w:hAnsi="黑体" w:eastAsia="黑体"/>
          <w:color w:val="auto"/>
          <w:sz w:val="32"/>
          <w:highlight w:val="none"/>
        </w:rPr>
        <w:t>委托人</w:t>
      </w:r>
      <w:r>
        <w:rPr>
          <w:rFonts w:ascii="黑体" w:hAnsi="黑体" w:eastAsia="黑体"/>
          <w:b/>
          <w:color w:val="auto"/>
          <w:sz w:val="32"/>
          <w:highlight w:val="none"/>
        </w:rPr>
        <w:t>管理</w:t>
      </w:r>
    </w:p>
    <w:p>
      <w:pPr>
        <w:spacing w:line="210"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3.1 委托人代表</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3.1.1 除专用合同条款另有约定外，委托人应在合同签订后 14 天内，将委托人代表的姓名、职务、联系方式、授权范围和授权期限书面通知监理人，由委托人代表在其授权范围和授权期限内，代表委托人行使权利、履行义务和处理合同履行中的具体事宜。委托人代表在授权范围内的行为由委托人承担法律责任。</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3.1.2 委托人代表违反法律法规、违背职业道德守则或者不按合同约定履行职责及义务，导致合同无法继续正常履行的，监理人有权通知委托人更换委托人代表。委托人收到通知后 7 天内，应当核实完毕并将处理结果通知监理人。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3.1.3 委托人更换委托人代表的，应提前 14 天将更换人员的姓名、职务、联系方式、授权范围和授权期限书面通知监理人。委托人代表超过 2 天不能履行职责的，应委派代表代行其职责，并通知监理人。</w:t>
      </w:r>
    </w:p>
    <w:p>
      <w:pPr>
        <w:spacing w:line="360" w:lineRule="auto"/>
        <w:rPr>
          <w:rFonts w:ascii="黑体" w:hAnsi="黑体" w:eastAsia="黑体"/>
          <w:color w:val="auto"/>
          <w:sz w:val="28"/>
          <w:highlight w:val="none"/>
        </w:rPr>
      </w:pPr>
      <w:r>
        <w:rPr>
          <w:rFonts w:ascii="黑体" w:hAnsi="黑体" w:eastAsia="黑体"/>
          <w:color w:val="auto"/>
          <w:sz w:val="28"/>
          <w:highlight w:val="none"/>
        </w:rPr>
        <w:t>3.2 委托人的指示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3.2.1 委托人应按合同约定向监理人发出指示，委托人的指示应盖有委托人单位章，并由委托人代表签字确认。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3.2.2 监理人收到委托人作出的指示后应遵照执行。指示构成变更的，应按第 8 条执行。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3.2.3 在紧急情况下，委托人代表或其授权人员可以当场签发临时书面指示，监理人应遵照执行。委托人代表应在临时书面指示发出后 24 小时内发出书面确认函，逾期未发出书面确认函的，该临时书面指示应被视为委托人的正式指示。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3.2.4 由于委托人未能按合同约定发出指示、指示延误或指示错误而导致监理人费用增加和（或）周期延误的，委托人应承担由此增加的费用和（或）周期延误。</w:t>
      </w:r>
    </w:p>
    <w:p>
      <w:pPr>
        <w:spacing w:line="360" w:lineRule="auto"/>
        <w:rPr>
          <w:rFonts w:ascii="黑体" w:hAnsi="黑体" w:eastAsia="黑体"/>
          <w:color w:val="auto"/>
          <w:sz w:val="28"/>
          <w:highlight w:val="none"/>
        </w:rPr>
      </w:pPr>
      <w:r>
        <w:rPr>
          <w:rFonts w:ascii="黑体" w:hAnsi="黑体" w:eastAsia="黑体"/>
          <w:color w:val="auto"/>
          <w:sz w:val="28"/>
          <w:highlight w:val="none"/>
        </w:rPr>
        <w:t>3.3 决定或答复</w:t>
      </w:r>
    </w:p>
    <w:p>
      <w:pPr>
        <w:spacing w:line="283" w:lineRule="exact"/>
        <w:rPr>
          <w:rFonts w:eastAsia="Times New Roman"/>
          <w:color w:val="auto"/>
          <w:highlight w:val="none"/>
        </w:rPr>
      </w:pPr>
    </w:p>
    <w:p>
      <w:pPr>
        <w:spacing w:line="360" w:lineRule="auto"/>
        <w:ind w:firstLine="424" w:firstLineChars="202"/>
        <w:rPr>
          <w:rFonts w:ascii="宋体" w:hAnsi="宋体"/>
          <w:color w:val="auto"/>
          <w:sz w:val="21"/>
          <w:highlight w:val="none"/>
        </w:rPr>
      </w:pPr>
      <w:r>
        <w:rPr>
          <w:rFonts w:ascii="宋体" w:hAnsi="宋体"/>
          <w:color w:val="auto"/>
          <w:sz w:val="21"/>
          <w:highlight w:val="none"/>
        </w:rPr>
        <w:t>3.3.1 委托人在法律允许的范围内有权对监理人的监理工作和/或监理文件作出处理决定，监理人应按照委托人的决定执行，涉及监理服务期限或监理报酬等问题按第 8 条的约定处理。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3.3.2 委托人应在专用合同条款约定的时间之内，对监理人书面提出的事项作出书面答复；逾期没有做出答复的，视为已获得委托人的批准。</w:t>
      </w:r>
    </w:p>
    <w:p>
      <w:pPr>
        <w:numPr>
          <w:ilvl w:val="0"/>
          <w:numId w:val="33"/>
        </w:numPr>
        <w:tabs>
          <w:tab w:val="left" w:pos="400"/>
        </w:tabs>
        <w:spacing w:line="390" w:lineRule="exact"/>
        <w:ind w:left="426" w:hanging="426"/>
        <w:rPr>
          <w:rFonts w:eastAsia="Times New Roman"/>
          <w:b/>
          <w:color w:val="auto"/>
          <w:sz w:val="32"/>
          <w:highlight w:val="none"/>
        </w:rPr>
      </w:pPr>
      <w:r>
        <w:rPr>
          <w:rFonts w:ascii="黑体" w:hAnsi="黑体" w:eastAsia="黑体"/>
          <w:b/>
          <w:color w:val="auto"/>
          <w:sz w:val="32"/>
          <w:highlight w:val="none"/>
        </w:rPr>
        <w:t>监理人义务</w:t>
      </w:r>
    </w:p>
    <w:p>
      <w:pPr>
        <w:spacing w:line="360" w:lineRule="auto"/>
        <w:rPr>
          <w:rFonts w:ascii="黑体" w:hAnsi="黑体" w:eastAsia="黑体"/>
          <w:color w:val="auto"/>
          <w:sz w:val="28"/>
          <w:highlight w:val="none"/>
        </w:rPr>
      </w:pPr>
      <w:r>
        <w:rPr>
          <w:rFonts w:ascii="黑体" w:hAnsi="黑体" w:eastAsia="黑体"/>
          <w:color w:val="auto"/>
          <w:sz w:val="28"/>
          <w:highlight w:val="none"/>
        </w:rPr>
        <w:t>4.1 监理人的一般义务</w:t>
      </w:r>
    </w:p>
    <w:p>
      <w:pPr>
        <w:spacing w:line="360" w:lineRule="auto"/>
        <w:ind w:firstLine="422" w:firstLineChars="201"/>
        <w:rPr>
          <w:rFonts w:ascii="宋体" w:hAnsi="宋体"/>
          <w:b/>
          <w:color w:val="auto"/>
          <w:sz w:val="21"/>
          <w:highlight w:val="none"/>
        </w:rPr>
      </w:pPr>
      <w:r>
        <w:rPr>
          <w:rFonts w:ascii="宋体" w:hAnsi="宋体"/>
          <w:b/>
          <w:color w:val="auto"/>
          <w:sz w:val="21"/>
          <w:highlight w:val="none"/>
        </w:rPr>
        <w:t>4.1.1 遵守法律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监理人在履行合同过程中应遵守法律，并保证委托人免于承担因监理人违反法律而引起的任何责任。</w:t>
      </w:r>
    </w:p>
    <w:p>
      <w:pPr>
        <w:spacing w:line="360" w:lineRule="auto"/>
        <w:ind w:firstLine="422" w:firstLineChars="201"/>
        <w:rPr>
          <w:rFonts w:ascii="宋体" w:hAnsi="宋体"/>
          <w:b/>
          <w:color w:val="auto"/>
          <w:sz w:val="21"/>
          <w:highlight w:val="none"/>
        </w:rPr>
      </w:pPr>
      <w:r>
        <w:rPr>
          <w:rFonts w:ascii="宋体" w:hAnsi="宋体"/>
          <w:b/>
          <w:color w:val="auto"/>
          <w:sz w:val="21"/>
          <w:highlight w:val="none"/>
        </w:rPr>
        <w:t>4.1.2 依法纳税</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监理人应按有关法律规定纳税，应缴纳的税金（含增值税）包括在合同价格之中。</w:t>
      </w:r>
    </w:p>
    <w:p>
      <w:pPr>
        <w:spacing w:line="360" w:lineRule="auto"/>
        <w:ind w:firstLine="422" w:firstLineChars="201"/>
        <w:rPr>
          <w:rFonts w:ascii="宋体" w:hAnsi="宋体"/>
          <w:b/>
          <w:color w:val="auto"/>
          <w:sz w:val="21"/>
          <w:highlight w:val="none"/>
        </w:rPr>
      </w:pPr>
      <w:r>
        <w:rPr>
          <w:rFonts w:ascii="宋体" w:hAnsi="宋体"/>
          <w:b/>
          <w:color w:val="auto"/>
          <w:sz w:val="21"/>
          <w:highlight w:val="none"/>
        </w:rPr>
        <w:t>4.1.3 完成全部监理工作</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监理人应按合同约定以及委托人要求，完成合同约定的全部工作，并对工作中的任何缺陷进行整改，使其满足合同约定的目的。</w:t>
      </w:r>
    </w:p>
    <w:p>
      <w:pPr>
        <w:spacing w:line="360" w:lineRule="auto"/>
        <w:ind w:firstLine="422" w:firstLineChars="201"/>
        <w:rPr>
          <w:rFonts w:ascii="宋体" w:hAnsi="宋体"/>
          <w:b/>
          <w:color w:val="auto"/>
          <w:sz w:val="21"/>
          <w:highlight w:val="none"/>
        </w:rPr>
      </w:pPr>
      <w:r>
        <w:rPr>
          <w:rFonts w:ascii="宋体" w:hAnsi="宋体"/>
          <w:b/>
          <w:color w:val="auto"/>
          <w:sz w:val="21"/>
          <w:highlight w:val="none"/>
        </w:rPr>
        <w:t>4.1.4 其他义务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监理人应履行合同约定的其他义务。</w:t>
      </w:r>
    </w:p>
    <w:p>
      <w:pPr>
        <w:spacing w:line="360" w:lineRule="auto"/>
        <w:rPr>
          <w:rFonts w:ascii="黑体" w:hAnsi="黑体" w:eastAsia="黑体"/>
          <w:color w:val="auto"/>
          <w:sz w:val="28"/>
          <w:highlight w:val="none"/>
        </w:rPr>
      </w:pPr>
      <w:r>
        <w:rPr>
          <w:rFonts w:ascii="黑体" w:hAnsi="黑体" w:eastAsia="黑体"/>
          <w:color w:val="auto"/>
          <w:sz w:val="28"/>
          <w:highlight w:val="none"/>
        </w:rPr>
        <w:t>4.2 履约保证金</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除专用合同条款另有约定外，履约保证金自合同生效之日起生效，在委托人签发竣工验收证书之日起 28 日后失效。如果监理人不履行合同约定的义务或其履行不符合合同的约定，委托人有权扣划相应金额的履约保证金。</w:t>
      </w:r>
    </w:p>
    <w:p>
      <w:pPr>
        <w:spacing w:line="360" w:lineRule="auto"/>
        <w:rPr>
          <w:rFonts w:ascii="黑体" w:hAnsi="黑体" w:eastAsia="黑体"/>
          <w:color w:val="auto"/>
          <w:sz w:val="28"/>
          <w:highlight w:val="none"/>
        </w:rPr>
      </w:pPr>
      <w:r>
        <w:rPr>
          <w:rFonts w:ascii="黑体" w:hAnsi="黑体" w:eastAsia="黑体"/>
          <w:color w:val="auto"/>
          <w:sz w:val="28"/>
          <w:highlight w:val="none"/>
        </w:rPr>
        <w:t>4.3 联合体</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4.3.1 联合体各方应共同与委托人签订合同。联合体各方应为履行合同承担连带责任。</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4.3.2 联合体协议经委托人确认后作为合同附件。在履行合同过程中，未经委托人同意，不得修改联合体协议。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4.3.3 联合体牵头人或联合体授权的代表负责与委托人联系，并接受指示，负责组织联合体各成员全面履行合同。</w:t>
      </w:r>
    </w:p>
    <w:p>
      <w:pPr>
        <w:spacing w:line="360" w:lineRule="auto"/>
        <w:rPr>
          <w:rFonts w:ascii="黑体" w:hAnsi="黑体" w:eastAsia="黑体"/>
          <w:color w:val="auto"/>
          <w:sz w:val="28"/>
          <w:highlight w:val="none"/>
        </w:rPr>
      </w:pPr>
      <w:r>
        <w:rPr>
          <w:rFonts w:ascii="黑体" w:hAnsi="黑体" w:eastAsia="黑体"/>
          <w:color w:val="auto"/>
          <w:sz w:val="28"/>
          <w:highlight w:val="none"/>
        </w:rPr>
        <w:t>4.4 总监理工程师</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4.4.1 监理人应按合同协议书的约定指派总监理工程师，并在约定的期限内到职。监理人更换总监理工程师应事先征得委托人同意，并应在更换 14 天前将拟更换的总监理工程师的姓名和详细资料提交委托人。总监理工程师 2 天内不能履行职责的，应事先征得委托人同意，并委派代表代行其职责。</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4.4.2 总监理工程师应按合同约定以及委托人要求，负责组织合同工作的实施。在情况紧急且无法与委托人取得联系时，可采取保证工程和人员生命财产安全的紧急措施，并在采取措施后 24 小时内向委托人提交书面报告。</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4.4.3 监理人为履行合同发出的一切函件均应盖有监理人单位章或由监理人授权的项目机构章，并由监理人的总监理工程师签字确认。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4.4.4 按照专用合同条款约定，总监理工程师可以授权其下属人员履行其某项职责，但事先应将这些人员的姓名和授权范围书面通知委托人和</w:t>
      </w:r>
      <w:r>
        <w:rPr>
          <w:rFonts w:hint="eastAsia" w:ascii="宋体" w:hAnsi="宋体"/>
          <w:color w:val="auto"/>
          <w:sz w:val="21"/>
          <w:highlight w:val="none"/>
        </w:rPr>
        <w:t>承包人，并取得委托人同意</w:t>
      </w:r>
      <w:r>
        <w:rPr>
          <w:rFonts w:ascii="宋体" w:hAnsi="宋体"/>
          <w:color w:val="auto"/>
          <w:sz w:val="21"/>
          <w:highlight w:val="none"/>
        </w:rPr>
        <w:t>。</w:t>
      </w:r>
    </w:p>
    <w:p>
      <w:pPr>
        <w:spacing w:line="360" w:lineRule="auto"/>
        <w:rPr>
          <w:rFonts w:ascii="黑体" w:hAnsi="黑体" w:eastAsia="黑体"/>
          <w:color w:val="auto"/>
          <w:sz w:val="28"/>
          <w:highlight w:val="none"/>
        </w:rPr>
      </w:pPr>
      <w:r>
        <w:rPr>
          <w:rFonts w:ascii="黑体" w:hAnsi="黑体" w:eastAsia="黑体"/>
          <w:color w:val="auto"/>
          <w:sz w:val="28"/>
          <w:highlight w:val="none"/>
        </w:rPr>
        <w:t>4.5 监理人员的管理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4.5.1 监理人应在接到开始监理通知之日起 7 天内，向委托人提交监理项目机构以及人员安排的报告，其内容应包括项目机构设置、主要监理人员和作业人员的名单及资格条件。主要监理人员应相对稳定，更换主要监理人员的，应取得委托人的同意,并向委托人提交继任人员的资格、管理经验等资料。总监理工程师的更换，应按照本章第 4.4.1 项规定执行。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4.5.2 除专用合同条款另有约定外，主要监理人员包括总监理工程师、专业监理工程师等；其他人员包括各专业的监理员、资料员等。</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4.5.3 监理人应保证其主要监理人员在合同期限内的任何时候，都能按时参加委托人组织的工作会议。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4.5.4 国家规定应当持证上岗的工作人员均应持有相应的资格证明，委托人有权随时检查。委托人认为有必要时，可以进行现场考核。</w:t>
      </w:r>
    </w:p>
    <w:p>
      <w:pPr>
        <w:spacing w:line="360" w:lineRule="auto"/>
        <w:rPr>
          <w:rFonts w:ascii="黑体" w:hAnsi="黑体" w:eastAsia="黑体"/>
          <w:color w:val="auto"/>
          <w:sz w:val="28"/>
          <w:highlight w:val="none"/>
        </w:rPr>
      </w:pPr>
      <w:r>
        <w:rPr>
          <w:rFonts w:ascii="黑体" w:hAnsi="黑体" w:eastAsia="黑体"/>
          <w:color w:val="auto"/>
          <w:sz w:val="28"/>
          <w:highlight w:val="none"/>
        </w:rPr>
        <w:t>4.6 撤换总监理工程师和其他人员</w:t>
      </w:r>
    </w:p>
    <w:p>
      <w:pPr>
        <w:spacing w:line="360" w:lineRule="auto"/>
        <w:ind w:firstLine="424" w:firstLineChars="202"/>
        <w:rPr>
          <w:rFonts w:ascii="宋体" w:hAnsi="宋体"/>
          <w:color w:val="auto"/>
          <w:sz w:val="21"/>
          <w:highlight w:val="none"/>
        </w:rPr>
      </w:pPr>
      <w:r>
        <w:rPr>
          <w:rFonts w:ascii="宋体" w:hAnsi="宋体"/>
          <w:color w:val="auto"/>
          <w:sz w:val="21"/>
          <w:highlight w:val="none"/>
        </w:rPr>
        <w:t>监理人应对其总监理工程师和其他人员进行有效管理。委托人要求撤换不能胜任本职工作、行为不端或玩忽职守的总监理工程师和其他人员的，监理人应予以撤换。</w:t>
      </w:r>
    </w:p>
    <w:p>
      <w:pPr>
        <w:spacing w:line="360" w:lineRule="auto"/>
        <w:rPr>
          <w:rFonts w:ascii="黑体" w:hAnsi="黑体" w:eastAsia="黑体"/>
          <w:color w:val="auto"/>
          <w:sz w:val="28"/>
          <w:highlight w:val="none"/>
        </w:rPr>
      </w:pPr>
      <w:r>
        <w:rPr>
          <w:rFonts w:ascii="黑体" w:hAnsi="黑体" w:eastAsia="黑体"/>
          <w:color w:val="auto"/>
          <w:sz w:val="28"/>
          <w:highlight w:val="none"/>
        </w:rPr>
        <w:t>4.7 保障人员的合法权益</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4.7.1 监理人应与其雇佣的人员签订劳动合同，并按时发放工资。</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4.7.2 监理人应按劳动法的规定安排工作时间，保证其雇佣人员享有休息和休假的权利。因监理需要占用休假日或延长工作时间的，应不超过法律规定的限度，并按法律规定给予补休或付酬。</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4.7.3 监理人应按有关法律规定和合同约定，为其雇佣人员办理保险。</w:t>
      </w:r>
    </w:p>
    <w:p>
      <w:pPr>
        <w:spacing w:line="360" w:lineRule="auto"/>
        <w:rPr>
          <w:rFonts w:ascii="黑体" w:hAnsi="黑体" w:eastAsia="黑体"/>
          <w:color w:val="auto"/>
          <w:sz w:val="28"/>
          <w:highlight w:val="none"/>
        </w:rPr>
      </w:pPr>
      <w:r>
        <w:rPr>
          <w:rFonts w:ascii="黑体" w:hAnsi="黑体" w:eastAsia="黑体"/>
          <w:color w:val="auto"/>
          <w:sz w:val="28"/>
          <w:highlight w:val="none"/>
        </w:rPr>
        <w:t>4.8 合同价款应专款专用</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委托人按合同约定支付给监理人的各项价款，应专用于合同监理工作。</w:t>
      </w:r>
    </w:p>
    <w:p>
      <w:pPr>
        <w:numPr>
          <w:ilvl w:val="0"/>
          <w:numId w:val="34"/>
        </w:numPr>
        <w:spacing w:line="390" w:lineRule="exact"/>
        <w:ind w:left="426" w:hanging="426"/>
        <w:rPr>
          <w:rFonts w:eastAsia="Times New Roman"/>
          <w:b/>
          <w:color w:val="auto"/>
          <w:sz w:val="32"/>
          <w:highlight w:val="none"/>
        </w:rPr>
      </w:pPr>
      <w:r>
        <w:rPr>
          <w:rFonts w:ascii="黑体" w:hAnsi="黑体" w:eastAsia="黑体"/>
          <w:b/>
          <w:color w:val="auto"/>
          <w:sz w:val="32"/>
          <w:highlight w:val="none"/>
        </w:rPr>
        <w:t>监理要求</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5.1 监理范围</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5.1.1 本合同的监理范围包括工程范围、阶段范围和工作范围，具体监理范围应当根据三者之间的关联内容进行确定。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5.1.2 工程范围指所监理工程的建设内容，具体范围在专用合同条款中约定。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5.1.3 阶段范围指工程建设程序中的勘察阶段、设计阶段、施工阶段、缺陷责任期及保修阶段中的一个或者多个阶段，具体范围在专用合同条款中约定。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5.1.4 工作范围指监理工作中的质量控制、进度控制、投资控制、合同管理、信息管理、组织协调和安全监理、环保监理中的一项或者多项工作，具体范围在专用合同条款中约定。</w:t>
      </w:r>
    </w:p>
    <w:p>
      <w:pPr>
        <w:spacing w:line="360" w:lineRule="auto"/>
        <w:rPr>
          <w:rFonts w:ascii="黑体" w:hAnsi="黑体" w:eastAsia="黑体"/>
          <w:color w:val="auto"/>
          <w:sz w:val="28"/>
          <w:highlight w:val="none"/>
        </w:rPr>
      </w:pPr>
      <w:r>
        <w:rPr>
          <w:rFonts w:ascii="黑体" w:hAnsi="黑体" w:eastAsia="黑体"/>
          <w:color w:val="auto"/>
          <w:sz w:val="28"/>
          <w:highlight w:val="none"/>
        </w:rPr>
        <w:t>5.2 监理依据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除专用合同条款另有约定外，本工程的监理依据如下：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（1）适用的法律、行政法规及部门规章；</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（2）与工程有关的规范、标准、规程；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（3）工程勘察文件、设计文件及其他文件；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（4）本工程监理的委托合同及补充合同；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（5）委托人签订的勘察、设计和施工承包合同；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（6）合同履行中与监理服务有关的来往函件；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（7）其他监理依据。</w:t>
      </w:r>
    </w:p>
    <w:p>
      <w:pPr>
        <w:spacing w:line="360" w:lineRule="auto"/>
        <w:rPr>
          <w:rFonts w:ascii="黑体" w:hAnsi="黑体" w:eastAsia="黑体"/>
          <w:color w:val="auto"/>
          <w:sz w:val="28"/>
          <w:highlight w:val="none"/>
        </w:rPr>
      </w:pPr>
      <w:r>
        <w:rPr>
          <w:rFonts w:ascii="黑体" w:hAnsi="黑体" w:eastAsia="黑体"/>
          <w:color w:val="auto"/>
          <w:sz w:val="28"/>
          <w:highlight w:val="none"/>
        </w:rPr>
        <w:t>5.3 监理内容</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除专用条件另有约定外，监理工作内容包括：</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（1）收到工程设计文件后编制监理规划，并在第一次工地会议 7 天前报委托人。根据有关规定和监理工作需要，编制监理实施细则；</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（2）熟悉工程设计文件，并参加由委托人主持的图纸会审和设计交底会议；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（3）参加由委托人主持的第一次工地会议；主持监理例会并根据工程需要主持或参加专题会议；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（4）审查施工</w:t>
      </w:r>
      <w:r>
        <w:rPr>
          <w:rFonts w:hint="eastAsia" w:ascii="宋体" w:hAnsi="宋体"/>
          <w:color w:val="auto"/>
          <w:sz w:val="21"/>
          <w:highlight w:val="none"/>
        </w:rPr>
        <w:t>承包人</w:t>
      </w:r>
      <w:r>
        <w:rPr>
          <w:rFonts w:ascii="宋体" w:hAnsi="宋体"/>
          <w:color w:val="auto"/>
          <w:sz w:val="21"/>
          <w:highlight w:val="none"/>
        </w:rPr>
        <w:t>提交的施工组织设计，重点审查其中的质量安全技术措施、专项施工方案与工程建设强制性标准的符合性；</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（5）检查施工</w:t>
      </w:r>
      <w:r>
        <w:rPr>
          <w:rFonts w:hint="eastAsia" w:ascii="宋体" w:hAnsi="宋体"/>
          <w:color w:val="auto"/>
          <w:sz w:val="21"/>
          <w:highlight w:val="none"/>
        </w:rPr>
        <w:t>承包人</w:t>
      </w:r>
      <w:r>
        <w:rPr>
          <w:rFonts w:ascii="宋体" w:hAnsi="宋体"/>
          <w:color w:val="auto"/>
          <w:sz w:val="21"/>
          <w:highlight w:val="none"/>
        </w:rPr>
        <w:t>工程质量、安全生产管理制度及组织机构和人员资格；</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（6）检查施工</w:t>
      </w:r>
      <w:r>
        <w:rPr>
          <w:rFonts w:hint="eastAsia" w:ascii="宋体" w:hAnsi="宋体"/>
          <w:color w:val="auto"/>
          <w:sz w:val="21"/>
          <w:highlight w:val="none"/>
        </w:rPr>
        <w:t>承包人</w:t>
      </w:r>
      <w:r>
        <w:rPr>
          <w:rFonts w:ascii="宋体" w:hAnsi="宋体"/>
          <w:color w:val="auto"/>
          <w:sz w:val="21"/>
          <w:highlight w:val="none"/>
        </w:rPr>
        <w:t>专职安全生产管理人员的配备情况；</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（7）审查施工</w:t>
      </w:r>
      <w:r>
        <w:rPr>
          <w:rFonts w:hint="eastAsia" w:ascii="宋体" w:hAnsi="宋体"/>
          <w:color w:val="auto"/>
          <w:sz w:val="21"/>
          <w:highlight w:val="none"/>
        </w:rPr>
        <w:t>承包人</w:t>
      </w:r>
      <w:r>
        <w:rPr>
          <w:rFonts w:ascii="宋体" w:hAnsi="宋体"/>
          <w:color w:val="auto"/>
          <w:sz w:val="21"/>
          <w:highlight w:val="none"/>
        </w:rPr>
        <w:t>提交的施工进度计划，核查</w:t>
      </w:r>
      <w:r>
        <w:rPr>
          <w:rFonts w:hint="eastAsia" w:ascii="宋体" w:hAnsi="宋体"/>
          <w:color w:val="auto"/>
          <w:sz w:val="21"/>
          <w:highlight w:val="none"/>
        </w:rPr>
        <w:t>承包人</w:t>
      </w:r>
      <w:r>
        <w:rPr>
          <w:rFonts w:ascii="宋体" w:hAnsi="宋体"/>
          <w:color w:val="auto"/>
          <w:sz w:val="21"/>
          <w:highlight w:val="none"/>
        </w:rPr>
        <w:t>对施工进度计划的调整；</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（8）检查施工</w:t>
      </w:r>
      <w:r>
        <w:rPr>
          <w:rFonts w:hint="eastAsia" w:ascii="宋体" w:hAnsi="宋体"/>
          <w:color w:val="auto"/>
          <w:sz w:val="21"/>
          <w:highlight w:val="none"/>
        </w:rPr>
        <w:t>承包人</w:t>
      </w:r>
      <w:r>
        <w:rPr>
          <w:rFonts w:ascii="宋体" w:hAnsi="宋体"/>
          <w:color w:val="auto"/>
          <w:sz w:val="21"/>
          <w:highlight w:val="none"/>
        </w:rPr>
        <w:t>的试验室；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（9）审核施工分包人资质条件；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（10）查验施工</w:t>
      </w:r>
      <w:r>
        <w:rPr>
          <w:rFonts w:hint="eastAsia" w:ascii="宋体" w:hAnsi="宋体"/>
          <w:color w:val="auto"/>
          <w:sz w:val="21"/>
          <w:highlight w:val="none"/>
        </w:rPr>
        <w:t>承包人</w:t>
      </w:r>
      <w:r>
        <w:rPr>
          <w:rFonts w:ascii="宋体" w:hAnsi="宋体"/>
          <w:color w:val="auto"/>
          <w:sz w:val="21"/>
          <w:highlight w:val="none"/>
        </w:rPr>
        <w:t>的施工测量放线成果；</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（11）审查工程开工条件，对条件具备的签发开工令；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（12）审查施工</w:t>
      </w:r>
      <w:r>
        <w:rPr>
          <w:rFonts w:hint="eastAsia" w:ascii="宋体" w:hAnsi="宋体"/>
          <w:color w:val="auto"/>
          <w:sz w:val="21"/>
          <w:highlight w:val="none"/>
        </w:rPr>
        <w:t>承包人</w:t>
      </w:r>
      <w:r>
        <w:rPr>
          <w:rFonts w:ascii="宋体" w:hAnsi="宋体"/>
          <w:color w:val="auto"/>
          <w:sz w:val="21"/>
          <w:highlight w:val="none"/>
        </w:rPr>
        <w:t>报送的工程材料、构配件、设备质量证明文件的有效性和符合性，并按规定对用于工程的材料采取平行检验或见证取样方式进行抽检；</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（13）审核施工</w:t>
      </w:r>
      <w:r>
        <w:rPr>
          <w:rFonts w:hint="eastAsia" w:ascii="宋体" w:hAnsi="宋体"/>
          <w:color w:val="auto"/>
          <w:sz w:val="21"/>
          <w:highlight w:val="none"/>
        </w:rPr>
        <w:t>承包人</w:t>
      </w:r>
      <w:r>
        <w:rPr>
          <w:rFonts w:ascii="宋体" w:hAnsi="宋体"/>
          <w:color w:val="auto"/>
          <w:sz w:val="21"/>
          <w:highlight w:val="none"/>
        </w:rPr>
        <w:t>提交的工程款支付申请，签发或出具工程款支付证书，并报委托人审核、批准</w:t>
      </w:r>
      <w:r>
        <w:rPr>
          <w:rFonts w:hint="eastAsia" w:ascii="宋体" w:hAnsi="宋体" w:cs="宋体"/>
          <w:color w:val="auto"/>
          <w:sz w:val="21"/>
          <w:highlight w:val="none"/>
        </w:rPr>
        <w:t>，</w:t>
      </w:r>
      <w:r>
        <w:rPr>
          <w:rFonts w:hint="eastAsia" w:ascii="宋体" w:hAnsi="宋体" w:cs="宋体"/>
          <w:color w:val="auto"/>
          <w:sz w:val="21"/>
          <w:szCs w:val="21"/>
          <w:highlight w:val="none"/>
        </w:rPr>
        <w:t>做好现场签证的发生与计量工作</w:t>
      </w:r>
      <w:r>
        <w:rPr>
          <w:rFonts w:ascii="宋体" w:hAnsi="宋体"/>
          <w:color w:val="auto"/>
          <w:sz w:val="21"/>
          <w:highlight w:val="none"/>
        </w:rPr>
        <w:t>；</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（14）在巡视、旁站和检验过程中，发现工程质量、施工安全存在事故隐患的，要求施工</w:t>
      </w:r>
      <w:r>
        <w:rPr>
          <w:rFonts w:hint="eastAsia" w:ascii="宋体" w:hAnsi="宋体"/>
          <w:color w:val="auto"/>
          <w:sz w:val="21"/>
          <w:highlight w:val="none"/>
        </w:rPr>
        <w:t>承包人</w:t>
      </w:r>
      <w:r>
        <w:rPr>
          <w:rFonts w:ascii="宋体" w:hAnsi="宋体"/>
          <w:color w:val="auto"/>
          <w:sz w:val="21"/>
          <w:highlight w:val="none"/>
        </w:rPr>
        <w:t>整改并报委托人；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（15）经委托人同意，签发工程暂停令和复工令；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（16）审查施工</w:t>
      </w:r>
      <w:r>
        <w:rPr>
          <w:rFonts w:hint="eastAsia" w:ascii="宋体" w:hAnsi="宋体"/>
          <w:color w:val="auto"/>
          <w:sz w:val="21"/>
          <w:highlight w:val="none"/>
        </w:rPr>
        <w:t>承包人</w:t>
      </w:r>
      <w:r>
        <w:rPr>
          <w:rFonts w:ascii="宋体" w:hAnsi="宋体"/>
          <w:color w:val="auto"/>
          <w:sz w:val="21"/>
          <w:highlight w:val="none"/>
        </w:rPr>
        <w:t>提交的采用新材料、新工艺、新技术、新设备的论证材料及相关验收标准；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（17）验收隐蔽工程、分部分项工程；</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（18）审查</w:t>
      </w:r>
      <w:r>
        <w:rPr>
          <w:rFonts w:hint="eastAsia" w:ascii="宋体" w:hAnsi="宋体"/>
          <w:color w:val="auto"/>
          <w:sz w:val="21"/>
          <w:highlight w:val="none"/>
        </w:rPr>
        <w:t>施工承包人</w:t>
      </w:r>
      <w:r>
        <w:rPr>
          <w:rFonts w:ascii="宋体" w:hAnsi="宋体"/>
          <w:color w:val="auto"/>
          <w:sz w:val="21"/>
          <w:highlight w:val="none"/>
        </w:rPr>
        <w:t>提交的工程变更申请，协调处理施工进度调整、费用索赔、合同争议等事项；</w:t>
      </w:r>
    </w:p>
    <w:p>
      <w:pPr>
        <w:spacing w:line="360" w:lineRule="auto"/>
        <w:ind w:firstLine="424" w:firstLineChars="202"/>
        <w:rPr>
          <w:rFonts w:ascii="宋体" w:hAnsi="宋体" w:cs="宋体"/>
          <w:color w:val="auto"/>
          <w:sz w:val="21"/>
          <w:szCs w:val="21"/>
          <w:highlight w:val="none"/>
        </w:rPr>
      </w:pPr>
      <w:r>
        <w:rPr>
          <w:rFonts w:ascii="宋体" w:hAnsi="宋体"/>
          <w:color w:val="auto"/>
          <w:sz w:val="21"/>
          <w:highlight w:val="none"/>
        </w:rPr>
        <w:t>（19）审查</w:t>
      </w:r>
      <w:r>
        <w:rPr>
          <w:rFonts w:hint="eastAsia" w:ascii="宋体" w:hAnsi="宋体"/>
          <w:color w:val="auto"/>
          <w:sz w:val="21"/>
          <w:highlight w:val="none"/>
        </w:rPr>
        <w:t>施工承包人</w:t>
      </w:r>
      <w:r>
        <w:rPr>
          <w:rFonts w:ascii="宋体" w:hAnsi="宋体"/>
          <w:color w:val="auto"/>
          <w:sz w:val="21"/>
          <w:highlight w:val="none"/>
        </w:rPr>
        <w:t>提交的竣工验收申请，编写工程质量评估报告</w:t>
      </w:r>
      <w:r>
        <w:rPr>
          <w:rFonts w:hint="eastAsia" w:ascii="宋体" w:hAnsi="宋体" w:cs="宋体"/>
          <w:color w:val="auto"/>
          <w:sz w:val="21"/>
          <w:szCs w:val="21"/>
          <w:highlight w:val="none"/>
        </w:rPr>
        <w:t>，并对工程质量进行竣工预验收；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（20）参加工程竣工验收，签署竣工验收意见；</w:t>
      </w:r>
    </w:p>
    <w:p>
      <w:pPr>
        <w:spacing w:line="360" w:lineRule="auto"/>
        <w:ind w:firstLine="424" w:firstLineChars="202"/>
        <w:rPr>
          <w:rFonts w:ascii="宋体" w:hAnsi="宋体" w:cs="宋体"/>
          <w:color w:val="auto"/>
          <w:sz w:val="21"/>
          <w:szCs w:val="21"/>
          <w:highlight w:val="none"/>
        </w:rPr>
      </w:pPr>
      <w:r>
        <w:rPr>
          <w:rFonts w:hint="eastAsia" w:ascii="宋体" w:hAnsi="宋体" w:cs="宋体"/>
          <w:color w:val="auto"/>
          <w:sz w:val="21"/>
          <w:szCs w:val="21"/>
          <w:highlight w:val="none"/>
        </w:rPr>
        <w:t>（21）缺陷责任期阶段，对工程质量缺陷原因进行调查分析并确定责任归属，对委托人提出的工程质量缺陷进行检查和记录，对施工承包人进行修复的工程质量进行验收。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w:t>
      </w:r>
      <w:r>
        <w:rPr>
          <w:rFonts w:hint="eastAsia" w:ascii="宋体" w:hAnsi="宋体"/>
          <w:color w:val="auto"/>
          <w:sz w:val="21"/>
          <w:highlight w:val="none"/>
        </w:rPr>
        <w:t>2</w:t>
      </w:r>
      <w:r>
        <w:rPr>
          <w:rFonts w:ascii="宋体" w:hAnsi="宋体"/>
          <w:color w:val="auto"/>
          <w:sz w:val="21"/>
          <w:highlight w:val="none"/>
        </w:rPr>
        <w:t>）审查</w:t>
      </w:r>
      <w:r>
        <w:rPr>
          <w:rFonts w:hint="eastAsia" w:ascii="宋体" w:hAnsi="宋体"/>
          <w:color w:val="auto"/>
          <w:sz w:val="21"/>
          <w:highlight w:val="none"/>
        </w:rPr>
        <w:t>施工承包人</w:t>
      </w:r>
      <w:r>
        <w:rPr>
          <w:rFonts w:ascii="宋体" w:hAnsi="宋体"/>
          <w:color w:val="auto"/>
          <w:sz w:val="21"/>
          <w:highlight w:val="none"/>
        </w:rPr>
        <w:t>提交的竣工结算申请并报委托人；</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w:t>
      </w:r>
      <w:r>
        <w:rPr>
          <w:rFonts w:hint="eastAsia" w:ascii="宋体" w:hAnsi="宋体"/>
          <w:color w:val="auto"/>
          <w:sz w:val="21"/>
          <w:highlight w:val="none"/>
        </w:rPr>
        <w:t>3</w:t>
      </w:r>
      <w:r>
        <w:rPr>
          <w:rFonts w:ascii="宋体" w:hAnsi="宋体"/>
          <w:color w:val="auto"/>
          <w:sz w:val="21"/>
          <w:highlight w:val="none"/>
        </w:rPr>
        <w:t>）编制、整理工程监理归档文件并报委托人。</w:t>
      </w:r>
    </w:p>
    <w:p>
      <w:pPr>
        <w:spacing w:line="360" w:lineRule="auto"/>
        <w:rPr>
          <w:rFonts w:ascii="黑体" w:hAnsi="黑体" w:eastAsia="黑体"/>
          <w:color w:val="auto"/>
          <w:sz w:val="28"/>
          <w:highlight w:val="none"/>
        </w:rPr>
      </w:pPr>
      <w:r>
        <w:rPr>
          <w:rFonts w:ascii="黑体" w:hAnsi="黑体" w:eastAsia="黑体"/>
          <w:color w:val="auto"/>
          <w:sz w:val="28"/>
          <w:highlight w:val="none"/>
        </w:rPr>
        <w:t>5.4 监理文件要求</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5.4.1 监理文件的编制应符合法律、规范标准的强制性规定和委托人要求，相关的监理依据应当完整准确，文件内容和相应数据应当真实可靠。</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5.4.2 监理文件的深度应满足本阶段相应监理工作的规定要求，满足委托人的下步工作需要，并应符合国家和行业现行规定。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5.4.3 本工程监理文件的具体类别、编制要求、编制内容、提交时间和份数等，在专用合同条款中约定。</w:t>
      </w:r>
    </w:p>
    <w:p>
      <w:pPr>
        <w:numPr>
          <w:ilvl w:val="0"/>
          <w:numId w:val="35"/>
        </w:numPr>
        <w:tabs>
          <w:tab w:val="left" w:pos="426"/>
        </w:tabs>
        <w:spacing w:line="390" w:lineRule="exact"/>
        <w:ind w:left="760" w:hanging="760"/>
        <w:rPr>
          <w:rFonts w:eastAsia="Times New Roman"/>
          <w:b/>
          <w:color w:val="auto"/>
          <w:sz w:val="32"/>
          <w:highlight w:val="none"/>
        </w:rPr>
      </w:pPr>
      <w:r>
        <w:rPr>
          <w:rFonts w:ascii="黑体" w:hAnsi="黑体" w:eastAsia="黑体"/>
          <w:b/>
          <w:color w:val="auto"/>
          <w:sz w:val="32"/>
          <w:highlight w:val="none"/>
        </w:rPr>
        <w:t>开始监理和完成监理</w:t>
      </w:r>
    </w:p>
    <w:p>
      <w:pPr>
        <w:spacing w:line="209"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6.1 开始监理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6.1.1 符合专用合同条款约定的开始监理条件的，委托人应提前 7 天向监理人发出开始监理通知。监理服务期限自开始监理通知中载明的开始监理日期起计算。</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6.1.2 除专用合同条款另有约定外，因委托人原因造成合同签订之日起 90 天内未能发出开始监理通知的，</w:t>
      </w:r>
      <w:r>
        <w:rPr>
          <w:rFonts w:hint="eastAsia" w:ascii="宋体" w:hAnsi="宋体"/>
          <w:color w:val="auto"/>
          <w:sz w:val="21"/>
          <w:highlight w:val="none"/>
        </w:rPr>
        <w:t>监理人有权与委托人协商调整价格或者解除合同</w:t>
      </w:r>
      <w:r>
        <w:rPr>
          <w:rFonts w:ascii="宋体" w:hAnsi="宋体"/>
          <w:color w:val="auto"/>
          <w:sz w:val="21"/>
          <w:highlight w:val="none"/>
        </w:rPr>
        <w:t>。委托人应当承担由此增加的费用和（或）周期延误。</w:t>
      </w:r>
    </w:p>
    <w:p>
      <w:pPr>
        <w:spacing w:line="360" w:lineRule="auto"/>
        <w:rPr>
          <w:rFonts w:ascii="黑体" w:hAnsi="黑体" w:eastAsia="黑体"/>
          <w:color w:val="auto"/>
          <w:sz w:val="28"/>
          <w:highlight w:val="none"/>
        </w:rPr>
      </w:pPr>
      <w:r>
        <w:rPr>
          <w:rFonts w:ascii="黑体" w:hAnsi="黑体" w:eastAsia="黑体"/>
          <w:color w:val="auto"/>
          <w:sz w:val="28"/>
          <w:highlight w:val="none"/>
        </w:rPr>
        <w:t>6.2 监理周期延误</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在履行合同过程中，由于下列原因造成监理服务期限延误的，委托人应当延长监理服务期限并增加监理报酬，具体方法在专用合同条款中约定。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（1）合同变更；</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（2）因委托人原因导致的监理工作暂停；</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（3）未按合同约定及时支付监理报酬；</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（4）未及时履行合同约定的相关义务；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（5）由于</w:t>
      </w:r>
      <w:r>
        <w:rPr>
          <w:rFonts w:hint="eastAsia" w:ascii="宋体" w:hAnsi="宋体"/>
          <w:color w:val="auto"/>
          <w:sz w:val="21"/>
          <w:highlight w:val="none"/>
        </w:rPr>
        <w:t>承包人</w:t>
      </w:r>
      <w:r>
        <w:rPr>
          <w:rFonts w:ascii="宋体" w:hAnsi="宋体"/>
          <w:color w:val="auto"/>
          <w:sz w:val="21"/>
          <w:highlight w:val="none"/>
        </w:rPr>
        <w:t>延误、行政管理造成的监理服务期延误；</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（6）造成监理服务期限延误的其他原因。</w:t>
      </w:r>
    </w:p>
    <w:p>
      <w:pPr>
        <w:spacing w:line="360" w:lineRule="auto"/>
        <w:rPr>
          <w:rFonts w:ascii="黑体" w:hAnsi="黑体" w:eastAsia="黑体"/>
          <w:color w:val="auto"/>
          <w:sz w:val="28"/>
          <w:highlight w:val="none"/>
        </w:rPr>
      </w:pPr>
      <w:r>
        <w:rPr>
          <w:rFonts w:ascii="黑体" w:hAnsi="黑体" w:eastAsia="黑体"/>
          <w:color w:val="auto"/>
          <w:sz w:val="28"/>
          <w:highlight w:val="none"/>
        </w:rPr>
        <w:t>6.3 完成监理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6.3.1 监理人应当根据法律、规范标准、合同约定和委托人要求实施和完成监理，并编制和移交监理文件。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6.3.2 根据委托人要求或者基于专业能力判断，监理人认为能够提前完成监理的，可向委托人递交一份提前完成监理建议书，包括实施方案、提前时间、监理报酬变动等内容。除专用合同条款另有约定之外，委托人接受建议书的，不因提前完成监理而减少监理报酬；增加监理报酬的，所增费用由委托人承担。</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6.3.3 缺陷修复监理指缺陷责任期间，监理人对</w:t>
      </w:r>
      <w:r>
        <w:rPr>
          <w:rFonts w:hint="eastAsia" w:ascii="宋体" w:hAnsi="宋体"/>
          <w:color w:val="auto"/>
          <w:sz w:val="21"/>
          <w:highlight w:val="none"/>
        </w:rPr>
        <w:t>承包人</w:t>
      </w:r>
      <w:r>
        <w:rPr>
          <w:rFonts w:ascii="宋体" w:hAnsi="宋体"/>
          <w:color w:val="auto"/>
          <w:sz w:val="21"/>
          <w:highlight w:val="none"/>
        </w:rPr>
        <w:t>修复质量缺陷进行的监理。缺陷修复监理的责任由监理人负责。</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6.3.4 委托人应当及时接收监理人提交的监理文件。如无正当理由拒收的，视为委托人已经接收监理文件。接收监理文件时，委托人应向监理人出具文件签收凭证，凭证内容包括文件名称、文件内容、文件形式、份数、提交和接收日期、提交人与接收人的亲笔签名等。</w:t>
      </w:r>
    </w:p>
    <w:p>
      <w:pPr>
        <w:spacing w:line="360" w:lineRule="auto"/>
        <w:ind w:firstLine="424" w:firstLineChars="202"/>
        <w:rPr>
          <w:rFonts w:ascii="宋体" w:hAnsi="宋体"/>
          <w:color w:val="auto"/>
          <w:sz w:val="21"/>
          <w:highlight w:val="none"/>
        </w:rPr>
      </w:pPr>
      <w:r>
        <w:rPr>
          <w:rFonts w:ascii="宋体" w:hAnsi="宋体"/>
          <w:color w:val="auto"/>
          <w:sz w:val="21"/>
          <w:highlight w:val="none"/>
        </w:rPr>
        <w:t>6.3.5 除专用合同条款另有约定外，监理文件包括纸质文件和电子文件两种形式，两者若有不一致时，应以纸质文件为准。纸质文件应当加盖单位章和总监理工程师的注册执业印章，具体份数、纸幅、装订格式等要求，应在专用合同条款中约定；电子文件应使用光盘和 U 盘分别贮存。</w:t>
      </w:r>
    </w:p>
    <w:p>
      <w:pPr>
        <w:numPr>
          <w:ilvl w:val="0"/>
          <w:numId w:val="36"/>
        </w:numPr>
        <w:tabs>
          <w:tab w:val="left" w:pos="426"/>
        </w:tabs>
        <w:spacing w:line="390" w:lineRule="exact"/>
        <w:ind w:left="760" w:hanging="760"/>
        <w:rPr>
          <w:rFonts w:eastAsia="Times New Roman"/>
          <w:b/>
          <w:color w:val="auto"/>
          <w:sz w:val="32"/>
          <w:highlight w:val="none"/>
        </w:rPr>
      </w:pPr>
      <w:r>
        <w:rPr>
          <w:rFonts w:ascii="黑体" w:hAnsi="黑体" w:eastAsia="黑体"/>
          <w:b/>
          <w:color w:val="auto"/>
          <w:sz w:val="32"/>
          <w:highlight w:val="none"/>
        </w:rPr>
        <w:t>监理责任与保险</w:t>
      </w:r>
    </w:p>
    <w:p>
      <w:pPr>
        <w:spacing w:line="209"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7.1 监理责任主体</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7.1.1 监理人应运用一切合理的专业技术、知识技能和项目经验，按照职业道德准则和行业公认标准尽其全部职责，勤勉、谨慎、公正地履行其在本合同项下的责任和义务。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7.1.2 监理责任为监理单位项目负责人终身责任制。总监理工程师应当按照法律法规、有关技术标准、设计文件和工程承包合同进行监理，对施工质量承担监理责任。</w:t>
      </w:r>
    </w:p>
    <w:p>
      <w:pPr>
        <w:spacing w:line="360" w:lineRule="auto"/>
        <w:ind w:firstLine="424" w:firstLineChars="202"/>
        <w:rPr>
          <w:rFonts w:ascii="宋体" w:hAnsi="宋体"/>
          <w:color w:val="auto"/>
          <w:sz w:val="21"/>
          <w:highlight w:val="none"/>
        </w:rPr>
      </w:pPr>
      <w:r>
        <w:rPr>
          <w:rFonts w:ascii="宋体" w:hAnsi="宋体"/>
          <w:color w:val="auto"/>
          <w:sz w:val="21"/>
          <w:highlight w:val="none"/>
        </w:rPr>
        <w:t>7.1.3 总监理工程师应当在办理工程质量监督手续前签署工程质量终身责任承诺书，连同法定代表人出具的授权书，报工程质量监督机构备案。</w:t>
      </w:r>
    </w:p>
    <w:p>
      <w:pPr>
        <w:spacing w:line="360" w:lineRule="auto"/>
        <w:rPr>
          <w:rFonts w:ascii="黑体" w:hAnsi="黑体" w:eastAsia="黑体"/>
          <w:color w:val="auto"/>
          <w:sz w:val="28"/>
          <w:highlight w:val="none"/>
        </w:rPr>
      </w:pPr>
      <w:r>
        <w:rPr>
          <w:rFonts w:ascii="黑体" w:hAnsi="黑体" w:eastAsia="黑体"/>
          <w:color w:val="auto"/>
          <w:sz w:val="28"/>
          <w:highlight w:val="none"/>
        </w:rPr>
        <w:t>7.2 监理责任保险</w:t>
      </w:r>
    </w:p>
    <w:p>
      <w:pPr>
        <w:spacing w:line="360" w:lineRule="auto"/>
        <w:ind w:firstLine="424" w:firstLineChars="202"/>
        <w:rPr>
          <w:rFonts w:ascii="宋体" w:hAnsi="宋体"/>
          <w:color w:val="auto"/>
          <w:sz w:val="21"/>
          <w:highlight w:val="none"/>
        </w:rPr>
      </w:pPr>
      <w:r>
        <w:rPr>
          <w:rFonts w:ascii="宋体" w:hAnsi="宋体"/>
          <w:color w:val="auto"/>
          <w:sz w:val="21"/>
          <w:highlight w:val="none"/>
        </w:rPr>
        <w:t>除专用合同条款另有约定外，建议监理人根据工程情况对监理责任进行保险，并在合同履行期间保持足额、有效。</w:t>
      </w:r>
    </w:p>
    <w:p>
      <w:pPr>
        <w:numPr>
          <w:ilvl w:val="0"/>
          <w:numId w:val="37"/>
        </w:numPr>
        <w:spacing w:line="390" w:lineRule="exact"/>
        <w:ind w:left="426" w:hanging="426"/>
        <w:rPr>
          <w:rFonts w:eastAsia="Times New Roman"/>
          <w:b/>
          <w:color w:val="auto"/>
          <w:sz w:val="32"/>
          <w:highlight w:val="none"/>
        </w:rPr>
      </w:pPr>
      <w:r>
        <w:rPr>
          <w:rFonts w:ascii="黑体" w:hAnsi="黑体" w:eastAsia="黑体"/>
          <w:b/>
          <w:color w:val="auto"/>
          <w:sz w:val="32"/>
          <w:highlight w:val="none"/>
        </w:rPr>
        <w:t>合同变更</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8.1 变更情形</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8.1.1 合同履行中发生下述情形时，合同一方均可向对方提出变更请求，经双方协商一致后进行变更，监理服务期限和监理报酬的调整方法在专用合同条款中约定。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（1）监理范围发生变化；</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（2）除不可抗力外，非监理人的原因引起的周期延误；</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（3）非监理人的原因，对工程同一部分重复进行监理；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（4）非监理人的原因，对工程暂停监理及恢复监理。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8.1.2 基准日后，因颁布新的或修订原有法律、法规、规范和标准等引发合同变更情形的，按照上述约定进行调整。</w:t>
      </w:r>
    </w:p>
    <w:p>
      <w:pPr>
        <w:spacing w:line="360" w:lineRule="auto"/>
        <w:rPr>
          <w:rFonts w:ascii="黑体" w:hAnsi="黑体" w:eastAsia="黑体"/>
          <w:color w:val="auto"/>
          <w:sz w:val="28"/>
          <w:highlight w:val="none"/>
        </w:rPr>
      </w:pPr>
      <w:r>
        <w:rPr>
          <w:rFonts w:ascii="黑体" w:hAnsi="黑体" w:eastAsia="黑体"/>
          <w:color w:val="auto"/>
          <w:sz w:val="28"/>
          <w:highlight w:val="none"/>
        </w:rPr>
        <w:t>8.2 合理化建议</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8.2.1 合同履行中，监理人可对委托人要求提出合理化建议。合理化建议应以书面形式提交委托人，被委托人采纳并构成变更的，执行第 8.1 款约定。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8.2.2 监理人提出的合理化建议降低了工程投资、缩短了施工期限或者提高了工程经济效益的，委托人应按专用合同条款中的约定给予奖励。</w:t>
      </w:r>
    </w:p>
    <w:p>
      <w:pPr>
        <w:numPr>
          <w:ilvl w:val="0"/>
          <w:numId w:val="38"/>
        </w:numPr>
        <w:tabs>
          <w:tab w:val="left" w:pos="426"/>
        </w:tabs>
        <w:spacing w:line="390" w:lineRule="exact"/>
        <w:ind w:left="760" w:hanging="760"/>
        <w:rPr>
          <w:rFonts w:eastAsia="Times New Roman"/>
          <w:b/>
          <w:color w:val="auto"/>
          <w:sz w:val="32"/>
          <w:highlight w:val="none"/>
        </w:rPr>
      </w:pPr>
      <w:r>
        <w:rPr>
          <w:rFonts w:ascii="黑体" w:hAnsi="黑体" w:eastAsia="黑体"/>
          <w:b/>
          <w:color w:val="auto"/>
          <w:sz w:val="32"/>
          <w:highlight w:val="none"/>
        </w:rPr>
        <w:t>合同价格与支付</w:t>
      </w:r>
    </w:p>
    <w:p>
      <w:pPr>
        <w:spacing w:line="209"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9.1 合同价格</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9.1.1 本合同的价款确定方式、调整方式和风险范围划分，在专用合同条款中约定。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9.1.2 除专用合同条款另有约定外，合同价格应当包括收集资料、踏勘现场、制订纲要、实施监理、编制监理文件等全部费用和国家规定的增值税税金。</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9.1.3 委托人要求监理人进行外出考察、试验检测、专项咨询或专家评审时，相应费用不含在合同价格之中，由委托人另行支付。</w:t>
      </w:r>
    </w:p>
    <w:p>
      <w:pPr>
        <w:spacing w:line="360" w:lineRule="auto"/>
        <w:rPr>
          <w:rFonts w:ascii="黑体" w:hAnsi="黑体" w:eastAsia="黑体"/>
          <w:color w:val="auto"/>
          <w:sz w:val="28"/>
          <w:highlight w:val="none"/>
        </w:rPr>
      </w:pPr>
      <w:r>
        <w:rPr>
          <w:rFonts w:ascii="黑体" w:hAnsi="黑体" w:eastAsia="黑体"/>
          <w:color w:val="auto"/>
          <w:sz w:val="28"/>
          <w:highlight w:val="none"/>
        </w:rPr>
        <w:t>9.2 预付款</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9.2.1 预付款应专用于本工程的监理。预付款的额度、支付方式及抵扣方式在专用合同条款中约定。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9.2.2 委托人应在收到预付款支付申请后 28 天内，将预付款支付给监理人；监理人应当提供等额的增值税发票。</w:t>
      </w:r>
    </w:p>
    <w:p>
      <w:pPr>
        <w:spacing w:line="360" w:lineRule="auto"/>
        <w:rPr>
          <w:rFonts w:ascii="黑体" w:hAnsi="黑体" w:eastAsia="黑体"/>
          <w:color w:val="auto"/>
          <w:sz w:val="28"/>
          <w:highlight w:val="none"/>
        </w:rPr>
      </w:pPr>
      <w:r>
        <w:rPr>
          <w:rFonts w:ascii="黑体" w:hAnsi="黑体" w:eastAsia="黑体"/>
          <w:color w:val="auto"/>
          <w:sz w:val="28"/>
          <w:highlight w:val="none"/>
        </w:rPr>
        <w:t>9.3 中期支付</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9.3.1 监理人应按委托人批准或专用合同条款约定的格式及份数，向委托人提交中期支付申请，并附相应的支持性证明文件。</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9.3.2 委托人应在收到中期支付申请后的 28 天内，将应付款项支付给监理人；监理人应当提供等额的增值税发票。委托人未能在前述时间内完成审批或不予答复的，视为委托人同意中期支付申请。委托人不按期支付的，按专用合同条款的约定支付逾期付款违约金。</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9.3.3 中期支付涉及政府投资资金的，按照国库集中支付等国家相关规定和专用合同条款的约定执行。</w:t>
      </w:r>
    </w:p>
    <w:p>
      <w:pPr>
        <w:spacing w:line="360" w:lineRule="auto"/>
        <w:rPr>
          <w:rFonts w:ascii="黑体" w:hAnsi="黑体" w:eastAsia="黑体"/>
          <w:color w:val="auto"/>
          <w:sz w:val="28"/>
          <w:highlight w:val="none"/>
        </w:rPr>
      </w:pPr>
      <w:r>
        <w:rPr>
          <w:rFonts w:ascii="黑体" w:hAnsi="黑体" w:eastAsia="黑体"/>
          <w:color w:val="auto"/>
          <w:sz w:val="28"/>
          <w:highlight w:val="none"/>
        </w:rPr>
        <w:t>9.4 费用结算</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9.4.1 合同工作完成后，监理人可按专用合同条款约定的份数和期限，向委托人提交监理费用结算申请，并提供相关证明材料。</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9.4.2 委托人应在收到费用结算申请后的 28 天内，将应付款项支付给监理人；监理人应当提供等额的增值税发票。委托人未能在前述时间内完成审批或不予答复的，视为委托人同意费用结算申请。委托人不按期支付的，按专用合同条款的约定支付逾期付款违约金。</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9.4.3 委托人对费用结算申请内容有异议的，有权要求监理人进行修正和提供补充资料，由监理人重新提交。监理人对此有异议的，按第 12 条的约定执行。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9.4.4 最终结清付款涉及政府投资资金的，按第 9.3.3 项的约定执行。</w:t>
      </w:r>
    </w:p>
    <w:p>
      <w:pPr>
        <w:numPr>
          <w:ilvl w:val="0"/>
          <w:numId w:val="39"/>
        </w:numPr>
        <w:tabs>
          <w:tab w:val="left" w:pos="567"/>
        </w:tabs>
        <w:spacing w:line="390" w:lineRule="exact"/>
        <w:ind w:left="920" w:hanging="920"/>
        <w:rPr>
          <w:rFonts w:eastAsia="Times New Roman"/>
          <w:b/>
          <w:color w:val="auto"/>
          <w:sz w:val="32"/>
          <w:highlight w:val="none"/>
        </w:rPr>
      </w:pPr>
      <w:r>
        <w:rPr>
          <w:rFonts w:ascii="黑体" w:hAnsi="黑体" w:eastAsia="黑体"/>
          <w:b/>
          <w:color w:val="auto"/>
          <w:sz w:val="32"/>
          <w:highlight w:val="none"/>
        </w:rPr>
        <w:t>不可抗力</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10.1 不可抗力的确认</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10.1.1 不可抗力是指监理人和委托人在订立合同时不可预见，在履行合同过程中不可避免发生并不能克服的自然灾害和社会性突发事件，如地震、海啸、瘟疫、水灾、骚乱、暴动、战争和专用合同条款约定的其他情形。</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10.1.2 不可抗力发生后，委托人和监理人应及时认真统计所造成的损失，收集不可抗力造成损失的证据。合同双方对是否属于不可抗力或其损失的意见不一致的，由合同双方协商确定。</w:t>
      </w:r>
    </w:p>
    <w:p>
      <w:pPr>
        <w:spacing w:line="360" w:lineRule="auto"/>
        <w:rPr>
          <w:rFonts w:ascii="黑体" w:hAnsi="黑体" w:eastAsia="黑体"/>
          <w:color w:val="auto"/>
          <w:sz w:val="28"/>
          <w:highlight w:val="none"/>
        </w:rPr>
      </w:pPr>
      <w:r>
        <w:rPr>
          <w:rFonts w:ascii="黑体" w:hAnsi="黑体" w:eastAsia="黑体"/>
          <w:color w:val="auto"/>
          <w:sz w:val="28"/>
          <w:highlight w:val="none"/>
        </w:rPr>
        <w:t>10.2 不可抗力的通知</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10.2.1 合同一方当事人遇到不可抗力事件，使其履行合同义务受到阻碍时，应立即通知合同另一方当事人，书面说明不可抗力和受阻碍的详细情况，并提供必要的证明。</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10.2.2 如不可抗力持续发生，合同一方当事人应及时向合同另一方当事人提交中间报告，说明不可抗力和履行合同受阻的情况，并于不可抗力事件结束后 28 天内提交最终报告及有关资料。</w:t>
      </w:r>
    </w:p>
    <w:p>
      <w:pPr>
        <w:spacing w:line="360" w:lineRule="auto"/>
        <w:rPr>
          <w:rFonts w:ascii="黑体" w:hAnsi="黑体" w:eastAsia="黑体"/>
          <w:color w:val="auto"/>
          <w:sz w:val="28"/>
          <w:highlight w:val="none"/>
        </w:rPr>
      </w:pPr>
      <w:r>
        <w:rPr>
          <w:rFonts w:ascii="黑体" w:hAnsi="黑体" w:eastAsia="黑体"/>
          <w:color w:val="auto"/>
          <w:sz w:val="28"/>
          <w:highlight w:val="none"/>
        </w:rPr>
        <w:t>10.3 不可抗力后果及其处理</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10.3.1 不可抗力引起的后果及其损失，应由合同当事人依据法律规定各自承担。不可抗力发生前已完成的监理工作，应当按照合同约定进行支付。</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10.3.2 不可抗力发生后，合同当事人应当采取有效措施避免损失进一步扩大，如未采取有效措施致使损失扩大的，应当自行承担扩大部分的损失。</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10.3.3 因一方当事人迟延履行合同义务，致使迟延履行期间遭遇不可抗力的，应由该当事人承担全部损失。</w:t>
      </w:r>
    </w:p>
    <w:p>
      <w:pPr>
        <w:numPr>
          <w:ilvl w:val="0"/>
          <w:numId w:val="40"/>
        </w:numPr>
        <w:spacing w:line="390" w:lineRule="exact"/>
        <w:ind w:left="567" w:hanging="567"/>
        <w:rPr>
          <w:rFonts w:eastAsia="Times New Roman"/>
          <w:b/>
          <w:color w:val="auto"/>
          <w:sz w:val="32"/>
          <w:highlight w:val="none"/>
        </w:rPr>
      </w:pPr>
      <w:r>
        <w:rPr>
          <w:rFonts w:ascii="黑体" w:hAnsi="黑体" w:eastAsia="黑体"/>
          <w:b/>
          <w:color w:val="auto"/>
          <w:sz w:val="32"/>
          <w:highlight w:val="none"/>
        </w:rPr>
        <w:t>违约</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11.1 监理人违约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11.1.1 合同履行中发生下列情况之一的，属监理人违约：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（1）监理文件不符合规范标准以及合同约定；</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（2）监理人转让监理工作；</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（3）监理人未按合同约定实施监理并造成工程损失；</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（4）监理人无法履行或停止履行合同；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（5）监理人不履行合同约定的其他义务。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11.1.2 监理人发生违约情况时，委托人可向监理人发出整改通知，要求其在限定期限内纠正；逾期仍不纠正的，委托人有权解除合同并向监理人发出解除合同通知。监理人应当承担由于违约所造成的费用增加、周期延误和委托人损失等。</w:t>
      </w:r>
    </w:p>
    <w:p>
      <w:pPr>
        <w:spacing w:line="360" w:lineRule="auto"/>
        <w:rPr>
          <w:rFonts w:ascii="黑体" w:hAnsi="黑体" w:eastAsia="黑体"/>
          <w:color w:val="auto"/>
          <w:sz w:val="28"/>
          <w:highlight w:val="none"/>
        </w:rPr>
      </w:pPr>
      <w:r>
        <w:rPr>
          <w:rFonts w:ascii="黑体" w:hAnsi="黑体" w:eastAsia="黑体"/>
          <w:color w:val="auto"/>
          <w:sz w:val="28"/>
          <w:highlight w:val="none"/>
        </w:rPr>
        <w:t>1</w:t>
      </w:r>
      <w:r>
        <w:rPr>
          <w:rFonts w:hint="eastAsia" w:ascii="黑体" w:hAnsi="黑体" w:eastAsia="黑体"/>
          <w:color w:val="auto"/>
          <w:sz w:val="28"/>
          <w:highlight w:val="none"/>
        </w:rPr>
        <w:t>1</w:t>
      </w:r>
      <w:r>
        <w:rPr>
          <w:rFonts w:ascii="黑体" w:hAnsi="黑体" w:eastAsia="黑体"/>
          <w:color w:val="auto"/>
          <w:sz w:val="28"/>
          <w:highlight w:val="none"/>
        </w:rPr>
        <w:t>.2 委托人违约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w:t>
      </w:r>
      <w:r>
        <w:rPr>
          <w:rFonts w:hint="eastAsia" w:ascii="宋体" w:hAnsi="宋体"/>
          <w:color w:val="auto"/>
          <w:sz w:val="21"/>
          <w:highlight w:val="none"/>
        </w:rPr>
        <w:t>1</w:t>
      </w:r>
      <w:r>
        <w:rPr>
          <w:rFonts w:ascii="宋体" w:hAnsi="宋体"/>
          <w:color w:val="auto"/>
          <w:sz w:val="21"/>
          <w:highlight w:val="none"/>
        </w:rPr>
        <w:t>.2.1 合同履行中发生下列情况之一的，属委托人违约：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（1）委托人未按合同约定支付监理报酬；</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（2）委托人原因造成监理停止；</w:t>
      </w:r>
    </w:p>
    <w:p>
      <w:pPr>
        <w:spacing w:line="360" w:lineRule="auto"/>
        <w:ind w:firstLine="424" w:firstLineChars="202"/>
        <w:rPr>
          <w:rFonts w:ascii="宋体" w:hAnsi="宋体"/>
          <w:color w:val="auto"/>
          <w:sz w:val="21"/>
          <w:highlight w:val="none"/>
        </w:rPr>
      </w:pPr>
      <w:r>
        <w:rPr>
          <w:rFonts w:ascii="宋体" w:hAnsi="宋体"/>
          <w:color w:val="auto"/>
          <w:sz w:val="21"/>
          <w:highlight w:val="none"/>
        </w:rPr>
        <w:t>（3）委托人无法履行或停止履行合同；</w:t>
      </w:r>
    </w:p>
    <w:p>
      <w:pPr>
        <w:spacing w:line="360" w:lineRule="auto"/>
        <w:ind w:firstLine="424" w:firstLineChars="202"/>
        <w:rPr>
          <w:rFonts w:ascii="宋体" w:hAnsi="宋体"/>
          <w:color w:val="auto"/>
          <w:sz w:val="21"/>
          <w:highlight w:val="none"/>
        </w:rPr>
      </w:pPr>
      <w:r>
        <w:rPr>
          <w:rFonts w:ascii="宋体" w:hAnsi="宋体"/>
          <w:color w:val="auto"/>
          <w:sz w:val="21"/>
          <w:highlight w:val="none"/>
        </w:rPr>
        <w:t>（4）委托人不履行合同约定的其他义务。</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11.2.2 委托人发生违约情况时，监理人可向委托人发出暂停监理通知，要求其在限定期限内纠正；逾期仍不纠正的，监理人有权解除合同并向委托人发出解除合同通知。委托人应当承担由于违约所造成的费用增加、周期延误和监理人损失等。</w:t>
      </w:r>
    </w:p>
    <w:p>
      <w:pPr>
        <w:spacing w:line="360" w:lineRule="auto"/>
        <w:rPr>
          <w:rFonts w:ascii="黑体" w:hAnsi="黑体" w:eastAsia="黑体"/>
          <w:color w:val="auto"/>
          <w:sz w:val="28"/>
          <w:highlight w:val="none"/>
        </w:rPr>
      </w:pPr>
      <w:r>
        <w:rPr>
          <w:rFonts w:ascii="黑体" w:hAnsi="黑体" w:eastAsia="黑体"/>
          <w:color w:val="auto"/>
          <w:sz w:val="28"/>
          <w:highlight w:val="none"/>
        </w:rPr>
        <w:t>11.3 第三人造成的违约</w:t>
      </w:r>
    </w:p>
    <w:p>
      <w:pPr>
        <w:spacing w:line="360" w:lineRule="auto"/>
        <w:ind w:firstLine="424" w:firstLineChars="202"/>
        <w:rPr>
          <w:rFonts w:ascii="宋体" w:hAnsi="宋体"/>
          <w:color w:val="auto"/>
          <w:sz w:val="21"/>
          <w:highlight w:val="none"/>
        </w:rPr>
      </w:pPr>
      <w:r>
        <w:rPr>
          <w:rFonts w:ascii="宋体" w:hAnsi="宋体"/>
          <w:color w:val="auto"/>
          <w:sz w:val="21"/>
          <w:highlight w:val="none"/>
        </w:rPr>
        <w:t>在履行合同过程中，一方当事人因第三人的原因造成违约的，应当向对方当事人承担违约责任。一方当事人和第三人之间的纠纷，依照法律规定或者按照约定解决。</w:t>
      </w:r>
    </w:p>
    <w:p>
      <w:pPr>
        <w:numPr>
          <w:ilvl w:val="0"/>
          <w:numId w:val="41"/>
        </w:numPr>
        <w:tabs>
          <w:tab w:val="left" w:pos="426"/>
        </w:tabs>
        <w:spacing w:line="390" w:lineRule="exact"/>
        <w:ind w:left="920" w:hanging="920"/>
        <w:rPr>
          <w:rFonts w:eastAsia="Times New Roman"/>
          <w:b/>
          <w:color w:val="auto"/>
          <w:sz w:val="32"/>
          <w:highlight w:val="none"/>
        </w:rPr>
      </w:pPr>
      <w:r>
        <w:rPr>
          <w:rFonts w:ascii="黑体" w:hAnsi="黑体" w:eastAsia="黑体"/>
          <w:b/>
          <w:color w:val="auto"/>
          <w:sz w:val="32"/>
          <w:highlight w:val="none"/>
        </w:rPr>
        <w:t>争议的解决</w:t>
      </w:r>
    </w:p>
    <w:p>
      <w:pPr>
        <w:spacing w:line="200" w:lineRule="exact"/>
        <w:rPr>
          <w:rFonts w:eastAsia="Times New Roman"/>
          <w:color w:val="auto"/>
          <w:highlight w:val="none"/>
        </w:rPr>
      </w:pPr>
    </w:p>
    <w:p>
      <w:pPr>
        <w:spacing w:line="360" w:lineRule="auto"/>
        <w:ind w:firstLine="424" w:firstLineChars="202"/>
        <w:rPr>
          <w:rFonts w:ascii="宋体" w:hAnsi="宋体"/>
          <w:color w:val="auto"/>
          <w:sz w:val="21"/>
          <w:highlight w:val="none"/>
        </w:rPr>
      </w:pPr>
      <w:r>
        <w:rPr>
          <w:rFonts w:ascii="宋体" w:hAnsi="宋体"/>
          <w:color w:val="auto"/>
          <w:sz w:val="21"/>
          <w:highlight w:val="none"/>
        </w:rPr>
        <w:t>委托人和监理人在履行合同中发生争议的，可以友好协商解决。合同当事人友好协商解决不成的，可在专用合同条款中约定下列一种方式解决：</w:t>
      </w:r>
    </w:p>
    <w:p>
      <w:pPr>
        <w:spacing w:line="360" w:lineRule="auto"/>
        <w:ind w:firstLine="424" w:firstLineChars="202"/>
        <w:rPr>
          <w:rFonts w:ascii="宋体" w:hAnsi="宋体"/>
          <w:color w:val="auto"/>
          <w:sz w:val="21"/>
          <w:highlight w:val="none"/>
        </w:rPr>
      </w:pPr>
      <w:r>
        <w:rPr>
          <w:rFonts w:ascii="宋体" w:hAnsi="宋体"/>
          <w:color w:val="auto"/>
          <w:sz w:val="21"/>
          <w:highlight w:val="none"/>
        </w:rPr>
        <w:t>（1）向约定的仲裁委员会申请仲裁；</w:t>
      </w:r>
    </w:p>
    <w:p>
      <w:pPr>
        <w:spacing w:line="360" w:lineRule="auto"/>
        <w:ind w:firstLine="424" w:firstLineChars="202"/>
        <w:rPr>
          <w:rFonts w:ascii="宋体" w:hAnsi="宋体"/>
          <w:color w:val="auto"/>
          <w:sz w:val="21"/>
          <w:highlight w:val="none"/>
        </w:rPr>
      </w:pPr>
      <w:r>
        <w:rPr>
          <w:rFonts w:ascii="宋体" w:hAnsi="宋体"/>
          <w:color w:val="auto"/>
          <w:sz w:val="21"/>
          <w:highlight w:val="none"/>
        </w:rPr>
        <w:t>（2）向</w:t>
      </w:r>
      <w:r>
        <w:rPr>
          <w:rFonts w:hint="eastAsia" w:ascii="宋体" w:hAnsi="宋体"/>
          <w:color w:val="auto"/>
          <w:sz w:val="21"/>
          <w:highlight w:val="none"/>
          <w:lang w:val="en-US" w:eastAsia="zh-CN"/>
        </w:rPr>
        <w:t>甲方所在地</w:t>
      </w:r>
      <w:r>
        <w:rPr>
          <w:rFonts w:ascii="宋体" w:hAnsi="宋体"/>
          <w:color w:val="auto"/>
          <w:sz w:val="21"/>
          <w:highlight w:val="none"/>
        </w:rPr>
        <w:t>的人民法院提起诉讼。</w:t>
      </w:r>
    </w:p>
    <w:p>
      <w:pPr>
        <w:spacing w:line="360" w:lineRule="auto"/>
        <w:ind w:firstLine="424" w:firstLineChars="202"/>
        <w:rPr>
          <w:rFonts w:ascii="宋体" w:hAnsi="宋体"/>
          <w:color w:val="auto"/>
          <w:sz w:val="21"/>
          <w:highlight w:val="none"/>
        </w:rPr>
      </w:pPr>
    </w:p>
    <w:p>
      <w:pPr>
        <w:rPr>
          <w:rFonts w:ascii="宋体" w:hAnsi="宋体"/>
          <w:color w:val="auto"/>
          <w:sz w:val="21"/>
          <w:highlight w:val="none"/>
        </w:rPr>
      </w:pPr>
      <w:r>
        <w:rPr>
          <w:rFonts w:ascii="宋体" w:hAnsi="宋体"/>
          <w:color w:val="auto"/>
          <w:sz w:val="21"/>
          <w:highlight w:val="none"/>
        </w:rPr>
        <w:br w:type="page"/>
      </w:r>
    </w:p>
    <w:p>
      <w:pPr>
        <w:spacing w:line="360" w:lineRule="auto"/>
        <w:jc w:val="center"/>
        <w:rPr>
          <w:rFonts w:ascii="黑体" w:hAnsi="黑体" w:eastAsia="黑体"/>
          <w:b/>
          <w:color w:val="auto"/>
          <w:sz w:val="31"/>
          <w:highlight w:val="none"/>
        </w:rPr>
      </w:pPr>
      <w:r>
        <w:rPr>
          <w:rFonts w:ascii="黑体" w:hAnsi="黑体" w:eastAsia="黑体"/>
          <w:b/>
          <w:color w:val="auto"/>
          <w:sz w:val="31"/>
          <w:highlight w:val="none"/>
        </w:rPr>
        <w:t>第</w:t>
      </w:r>
      <w:r>
        <w:rPr>
          <w:rFonts w:hint="eastAsia" w:ascii="黑体" w:hAnsi="黑体" w:eastAsia="黑体"/>
          <w:b/>
          <w:color w:val="auto"/>
          <w:sz w:val="31"/>
          <w:highlight w:val="none"/>
        </w:rPr>
        <w:t>三</w:t>
      </w:r>
      <w:r>
        <w:rPr>
          <w:rFonts w:ascii="黑体" w:hAnsi="黑体" w:eastAsia="黑体"/>
          <w:b/>
          <w:color w:val="auto"/>
          <w:sz w:val="31"/>
          <w:highlight w:val="none"/>
        </w:rPr>
        <w:t>节专用合同条款</w:t>
      </w:r>
    </w:p>
    <w:p>
      <w:pPr>
        <w:spacing w:line="360" w:lineRule="auto"/>
        <w:ind w:firstLine="420" w:firstLineChars="200"/>
        <w:rPr>
          <w:rFonts w:ascii="黑体" w:hAnsi="黑体" w:eastAsia="黑体"/>
          <w:b/>
          <w:color w:val="auto"/>
          <w:sz w:val="31"/>
          <w:highlight w:val="none"/>
        </w:rPr>
      </w:pPr>
      <w:r>
        <w:rPr>
          <w:rFonts w:hint="eastAsia"/>
          <w:color w:val="auto"/>
          <w:highlight w:val="none"/>
        </w:rPr>
        <w:t>本专用合同条款对本合同通用合同条款中有需要进行定义、解释或具体约定的条款内容进行补充、删除或修改，其条款序号与通用合同条款中的一一对应，并且专用合同条款较通用合同条款具优先解释权。专用合同条款中缺号的条款表示按通用合同条款中对应的条款执行。</w:t>
      </w:r>
    </w:p>
    <w:p>
      <w:pPr>
        <w:spacing w:line="390" w:lineRule="exact"/>
        <w:rPr>
          <w:rFonts w:eastAsia="Times New Roman"/>
          <w:b/>
          <w:color w:val="auto"/>
          <w:sz w:val="32"/>
          <w:highlight w:val="none"/>
        </w:rPr>
      </w:pPr>
      <w:r>
        <w:rPr>
          <w:rFonts w:hint="eastAsia" w:ascii="黑体" w:hAnsi="黑体" w:eastAsia="黑体"/>
          <w:b/>
          <w:color w:val="auto"/>
          <w:sz w:val="32"/>
          <w:highlight w:val="none"/>
        </w:rPr>
        <w:t>1.</w:t>
      </w:r>
      <w:r>
        <w:rPr>
          <w:rFonts w:ascii="黑体" w:hAnsi="黑体" w:eastAsia="黑体"/>
          <w:b/>
          <w:color w:val="auto"/>
          <w:sz w:val="32"/>
          <w:highlight w:val="none"/>
        </w:rPr>
        <w:t>一般约定</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eastAsia="Times New Roman"/>
          <w:color w:val="auto"/>
          <w:sz w:val="28"/>
          <w:highlight w:val="none"/>
        </w:rPr>
        <w:t xml:space="preserve">1.1 </w:t>
      </w:r>
      <w:r>
        <w:rPr>
          <w:rFonts w:ascii="黑体" w:hAnsi="黑体" w:eastAsia="黑体"/>
          <w:color w:val="auto"/>
          <w:sz w:val="28"/>
          <w:highlight w:val="none"/>
        </w:rPr>
        <w:t>词语定义</w:t>
      </w:r>
    </w:p>
    <w:p>
      <w:pPr>
        <w:spacing w:line="360" w:lineRule="auto"/>
        <w:ind w:firstLine="424" w:firstLineChars="202"/>
        <w:rPr>
          <w:rFonts w:ascii="宋体" w:hAnsi="宋体"/>
          <w:b/>
          <w:color w:val="auto"/>
          <w:sz w:val="21"/>
          <w:highlight w:val="none"/>
        </w:rPr>
      </w:pPr>
      <w:r>
        <w:rPr>
          <w:rFonts w:hint="eastAsia" w:ascii="宋体" w:hAnsi="宋体"/>
          <w:b/>
          <w:color w:val="auto"/>
          <w:sz w:val="21"/>
          <w:highlight w:val="none"/>
        </w:rPr>
        <w:t>1.1.1 合同</w:t>
      </w:r>
    </w:p>
    <w:p>
      <w:pPr>
        <w:spacing w:line="360" w:lineRule="auto"/>
        <w:ind w:firstLine="424" w:firstLineChars="202"/>
        <w:rPr>
          <w:rFonts w:ascii="宋体" w:hAnsi="宋体"/>
          <w:b/>
          <w:color w:val="auto"/>
          <w:sz w:val="21"/>
          <w:highlight w:val="none"/>
        </w:rPr>
      </w:pPr>
      <w:r>
        <w:rPr>
          <w:rFonts w:hint="eastAsia" w:ascii="宋体" w:hAnsi="宋体"/>
          <w:b/>
          <w:color w:val="auto"/>
          <w:sz w:val="21"/>
          <w:highlight w:val="none"/>
        </w:rPr>
        <w:t>1.1.1.1 合同文件（或称合同）：指合同双方当事人为实施、完成合同所订立的全部合同文件。合同文件由合同协议书第1条所列的文件组成。</w:t>
      </w:r>
    </w:p>
    <w:p>
      <w:pPr>
        <w:spacing w:line="360" w:lineRule="auto"/>
        <w:ind w:firstLine="424" w:firstLineChars="202"/>
        <w:rPr>
          <w:rFonts w:ascii="宋体" w:hAnsi="宋体"/>
          <w:b/>
          <w:color w:val="auto"/>
          <w:sz w:val="21"/>
          <w:highlight w:val="none"/>
        </w:rPr>
      </w:pPr>
      <w:r>
        <w:rPr>
          <w:rFonts w:ascii="宋体" w:hAnsi="宋体"/>
          <w:b/>
          <w:color w:val="auto"/>
          <w:sz w:val="21"/>
          <w:highlight w:val="none"/>
        </w:rPr>
        <w:t>1.1.2 合同当事人和人员</w:t>
      </w:r>
    </w:p>
    <w:p>
      <w:pPr>
        <w:spacing w:line="360" w:lineRule="auto"/>
        <w:ind w:firstLine="424" w:firstLineChars="202"/>
        <w:rPr>
          <w:rFonts w:ascii="宋体" w:hAnsi="宋体"/>
          <w:color w:val="auto"/>
          <w:sz w:val="21"/>
          <w:highlight w:val="none"/>
          <w:u w:val="single"/>
        </w:rPr>
      </w:pPr>
      <w:r>
        <w:rPr>
          <w:rFonts w:ascii="宋体" w:hAnsi="宋体"/>
          <w:color w:val="auto"/>
          <w:sz w:val="21"/>
          <w:highlight w:val="none"/>
        </w:rPr>
        <w:t>1.1.2.2 委托人：</w:t>
      </w:r>
      <w:r>
        <w:rPr>
          <w:rFonts w:hint="eastAsia" w:ascii="宋体" w:hAnsi="宋体"/>
          <w:color w:val="auto"/>
          <w:sz w:val="21"/>
          <w:highlight w:val="none"/>
          <w:u w:val="single"/>
        </w:rPr>
        <w:t>指承担直接投资责任和委托监理业务的一方以及其合法继承人。</w:t>
      </w:r>
    </w:p>
    <w:p>
      <w:pPr>
        <w:spacing w:line="360" w:lineRule="auto"/>
        <w:ind w:firstLine="424" w:firstLineChars="202"/>
        <w:rPr>
          <w:rFonts w:ascii="宋体" w:hAnsi="宋体"/>
          <w:color w:val="auto"/>
          <w:sz w:val="21"/>
          <w:highlight w:val="none"/>
          <w:u w:val="single"/>
        </w:rPr>
      </w:pPr>
      <w:r>
        <w:rPr>
          <w:rFonts w:ascii="宋体" w:hAnsi="宋体"/>
          <w:color w:val="auto"/>
          <w:sz w:val="21"/>
          <w:highlight w:val="none"/>
        </w:rPr>
        <w:t>1.1.2.3 监理人：</w:t>
      </w:r>
      <w:r>
        <w:rPr>
          <w:rFonts w:hint="eastAsia" w:ascii="宋体" w:hAnsi="宋体"/>
          <w:color w:val="auto"/>
          <w:sz w:val="21"/>
          <w:highlight w:val="none"/>
          <w:u w:val="single"/>
        </w:rPr>
        <w:t>指承担监理业务和监理责任的一方，以及其合法继承人。</w:t>
      </w:r>
    </w:p>
    <w:p>
      <w:pPr>
        <w:spacing w:line="360" w:lineRule="auto"/>
        <w:ind w:firstLine="424" w:firstLineChars="202"/>
        <w:rPr>
          <w:rFonts w:ascii="宋体" w:hAnsi="宋体"/>
          <w:color w:val="auto"/>
          <w:sz w:val="21"/>
          <w:highlight w:val="none"/>
          <w:u w:val="single"/>
        </w:rPr>
      </w:pPr>
      <w:r>
        <w:rPr>
          <w:rFonts w:ascii="宋体" w:hAnsi="宋体"/>
          <w:color w:val="auto"/>
          <w:sz w:val="21"/>
          <w:highlight w:val="none"/>
        </w:rPr>
        <w:t>1.1.2.5 总监理工程师：</w:t>
      </w:r>
      <w:r>
        <w:rPr>
          <w:rFonts w:hint="eastAsia" w:ascii="宋体" w:hAnsi="宋体"/>
          <w:color w:val="auto"/>
          <w:sz w:val="21"/>
          <w:highlight w:val="none"/>
          <w:u w:val="single"/>
        </w:rPr>
        <w:t>指经委托人同意，监理人派到监理机构全面履行本合同的全权负责人。</w:t>
      </w:r>
    </w:p>
    <w:p>
      <w:pPr>
        <w:spacing w:line="360" w:lineRule="auto"/>
        <w:ind w:firstLine="424" w:firstLineChars="202"/>
        <w:rPr>
          <w:rFonts w:ascii="宋体" w:hAnsi="宋体"/>
          <w:color w:val="auto"/>
          <w:sz w:val="21"/>
          <w:highlight w:val="none"/>
          <w:u w:val="single"/>
        </w:rPr>
      </w:pPr>
      <w:r>
        <w:rPr>
          <w:rFonts w:ascii="宋体" w:hAnsi="宋体"/>
          <w:color w:val="auto"/>
          <w:sz w:val="21"/>
          <w:highlight w:val="none"/>
        </w:rPr>
        <w:t xml:space="preserve">1.1.2.6 </w:t>
      </w:r>
      <w:r>
        <w:rPr>
          <w:rFonts w:hint="eastAsia" w:ascii="宋体" w:hAnsi="宋体"/>
          <w:color w:val="auto"/>
          <w:sz w:val="21"/>
          <w:highlight w:val="none"/>
        </w:rPr>
        <w:t>承包人</w:t>
      </w:r>
      <w:r>
        <w:rPr>
          <w:rFonts w:ascii="宋体" w:hAnsi="宋体"/>
          <w:color w:val="auto"/>
          <w:sz w:val="21"/>
          <w:highlight w:val="none"/>
        </w:rPr>
        <w:t>：</w:t>
      </w:r>
      <w:r>
        <w:rPr>
          <w:rFonts w:hint="eastAsia" w:ascii="宋体" w:hAnsi="宋体"/>
          <w:color w:val="auto"/>
          <w:sz w:val="21"/>
          <w:highlight w:val="none"/>
          <w:u w:val="single"/>
        </w:rPr>
        <w:t>指除监理人以外，委托人就工程建设有关事宜签订合同的当事人。</w:t>
      </w:r>
    </w:p>
    <w:p>
      <w:pPr>
        <w:spacing w:line="360" w:lineRule="auto"/>
        <w:ind w:firstLine="424" w:firstLineChars="202"/>
        <w:rPr>
          <w:rFonts w:ascii="宋体" w:hAnsi="宋体"/>
          <w:color w:val="auto"/>
          <w:sz w:val="21"/>
          <w:highlight w:val="none"/>
          <w:u w:val="single"/>
        </w:rPr>
      </w:pPr>
    </w:p>
    <w:p>
      <w:pPr>
        <w:spacing w:line="360" w:lineRule="auto"/>
        <w:ind w:firstLine="424" w:firstLineChars="202"/>
        <w:rPr>
          <w:rFonts w:ascii="宋体" w:hAnsi="宋体"/>
          <w:b/>
          <w:color w:val="auto"/>
          <w:sz w:val="21"/>
          <w:highlight w:val="none"/>
        </w:rPr>
      </w:pPr>
      <w:r>
        <w:rPr>
          <w:rFonts w:ascii="宋体" w:hAnsi="宋体"/>
          <w:b/>
          <w:color w:val="auto"/>
          <w:sz w:val="21"/>
          <w:highlight w:val="none"/>
        </w:rPr>
        <w:t>1.1.3 工程和监理</w:t>
      </w:r>
    </w:p>
    <w:p>
      <w:pPr>
        <w:spacing w:line="360" w:lineRule="auto"/>
        <w:ind w:firstLine="424" w:firstLineChars="202"/>
        <w:rPr>
          <w:rFonts w:ascii="宋体" w:hAnsi="宋体"/>
          <w:b/>
          <w:color w:val="auto"/>
          <w:sz w:val="21"/>
          <w:highlight w:val="none"/>
        </w:rPr>
      </w:pPr>
      <w:r>
        <w:rPr>
          <w:rFonts w:ascii="宋体" w:hAnsi="宋体"/>
          <w:color w:val="auto"/>
          <w:sz w:val="21"/>
          <w:highlight w:val="none"/>
        </w:rPr>
        <w:t>1.1.3.1 工程：</w:t>
      </w:r>
      <w:r>
        <w:rPr>
          <w:rFonts w:hint="eastAsia" w:ascii="宋体" w:hAnsi="宋体"/>
          <w:color w:val="auto"/>
          <w:sz w:val="21"/>
          <w:highlight w:val="none"/>
          <w:u w:val="single"/>
        </w:rPr>
        <w:t>指委托人委托实施监理的工程。</w:t>
      </w:r>
    </w:p>
    <w:p>
      <w:pPr>
        <w:spacing w:line="360" w:lineRule="auto"/>
        <w:ind w:firstLine="424" w:firstLineChars="202"/>
        <w:rPr>
          <w:rFonts w:ascii="宋体" w:hAnsi="宋体"/>
          <w:b/>
          <w:color w:val="auto"/>
          <w:sz w:val="21"/>
          <w:highlight w:val="none"/>
        </w:rPr>
      </w:pPr>
      <w:r>
        <w:rPr>
          <w:rFonts w:ascii="宋体" w:hAnsi="宋体"/>
          <w:b/>
          <w:color w:val="auto"/>
          <w:sz w:val="21"/>
          <w:highlight w:val="none"/>
        </w:rPr>
        <w:t>1.1.</w:t>
      </w:r>
      <w:r>
        <w:rPr>
          <w:rFonts w:hint="eastAsia" w:ascii="宋体" w:hAnsi="宋体"/>
          <w:b/>
          <w:color w:val="auto"/>
          <w:sz w:val="21"/>
          <w:highlight w:val="none"/>
        </w:rPr>
        <w:t>7补充词语定义</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 xml:space="preserve">.1 </w:t>
      </w:r>
      <w:r>
        <w:rPr>
          <w:rFonts w:hint="eastAsia" w:ascii="宋体" w:hAnsi="宋体"/>
          <w:color w:val="auto"/>
          <w:sz w:val="21"/>
          <w:highlight w:val="none"/>
        </w:rPr>
        <w:t>监理机构：指监理人派驻本工程现场实施监理业务的组织。</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2</w:t>
      </w:r>
      <w:r>
        <w:rPr>
          <w:rFonts w:hint="eastAsia" w:ascii="宋体" w:hAnsi="宋体"/>
          <w:color w:val="auto"/>
          <w:sz w:val="21"/>
          <w:highlight w:val="none"/>
        </w:rPr>
        <w:t>专业监理工程师：指根据项目监理岗位职责分工和</w:t>
      </w:r>
      <w:r>
        <w:rPr>
          <w:color w:val="auto"/>
          <w:highlight w:val="none"/>
        </w:rPr>
        <w:fldChar w:fldCharType="begin"/>
      </w:r>
      <w:r>
        <w:rPr>
          <w:color w:val="auto"/>
          <w:highlight w:val="none"/>
        </w:rPr>
        <w:instrText xml:space="preserve"> HYPERLINK "http://baike.baidu.com/view/77639.htm" \t "_blank" </w:instrText>
      </w:r>
      <w:r>
        <w:rPr>
          <w:color w:val="auto"/>
          <w:highlight w:val="none"/>
        </w:rPr>
        <w:fldChar w:fldCharType="separate"/>
      </w:r>
      <w:r>
        <w:rPr>
          <w:rFonts w:hint="eastAsia" w:ascii="宋体" w:hAnsi="宋体"/>
          <w:color w:val="auto"/>
          <w:sz w:val="21"/>
          <w:highlight w:val="none"/>
        </w:rPr>
        <w:t>总监理工程师</w:t>
      </w:r>
      <w:r>
        <w:rPr>
          <w:rFonts w:hint="eastAsia" w:ascii="宋体" w:hAnsi="宋体"/>
          <w:color w:val="auto"/>
          <w:sz w:val="21"/>
          <w:highlight w:val="none"/>
        </w:rPr>
        <w:fldChar w:fldCharType="end"/>
      </w:r>
      <w:r>
        <w:rPr>
          <w:rFonts w:hint="eastAsia" w:ascii="宋体" w:hAnsi="宋体"/>
          <w:color w:val="auto"/>
          <w:sz w:val="21"/>
          <w:highlight w:val="none"/>
        </w:rPr>
        <w:t>的指令，负责实施某一专业或某一方面的监理工作，具有相应监理文件签发权的专业人员。</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3</w:t>
      </w:r>
      <w:r>
        <w:rPr>
          <w:rFonts w:hint="eastAsia" w:ascii="宋体" w:hAnsi="宋体"/>
          <w:color w:val="auto"/>
          <w:sz w:val="21"/>
          <w:highlight w:val="none"/>
        </w:rPr>
        <w:t>造价工程师：指监理人委派常驻施工现场负责合同工程工程造价专业技术的专业人员。造价工程师由监理人提名，经委托人同意后任命并书面通知承包人。监理人经招标确定的，监理人提名的造价工程师应与监理人投标时确定的人选一致。本合同中特指注册造价工程师。</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4</w:t>
      </w:r>
      <w:r>
        <w:rPr>
          <w:rFonts w:hint="eastAsia" w:ascii="宋体" w:hAnsi="宋体"/>
          <w:color w:val="auto"/>
          <w:sz w:val="21"/>
          <w:highlight w:val="none"/>
        </w:rPr>
        <w:t>工程监理的正常工作：指双方在专用合同条款中约定，委托人委托的监理工程范围和内容。</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5</w:t>
      </w:r>
      <w:r>
        <w:rPr>
          <w:rFonts w:hint="eastAsia" w:ascii="宋体" w:hAnsi="宋体"/>
          <w:color w:val="auto"/>
          <w:sz w:val="21"/>
          <w:highlight w:val="none"/>
        </w:rPr>
        <w:t>工程监理的附加工作：指①委托人委托监理范围以外，通过双方书面协议另外增加的工作内容；②由于委托人或承包人原因，使监理工作受到阻碍或延误，因增加工作量或持续时间而增加的工作。</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6</w:t>
      </w:r>
      <w:r>
        <w:rPr>
          <w:rFonts w:hint="eastAsia" w:ascii="宋体" w:hAnsi="宋体"/>
          <w:color w:val="auto"/>
          <w:sz w:val="21"/>
          <w:highlight w:val="none"/>
        </w:rPr>
        <w:t>工程监理的额外工作：指正常工作和附加工作以外或非监理人自己的原因而暂停或终止监理业务，其善后工作及恢复监理业务的工作。</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7</w:t>
      </w:r>
      <w:r>
        <w:rPr>
          <w:rFonts w:hint="eastAsia" w:ascii="宋体" w:hAnsi="宋体"/>
          <w:color w:val="auto"/>
          <w:sz w:val="21"/>
          <w:highlight w:val="none"/>
        </w:rPr>
        <w:t>日：指任何一天零时至第二天零时的时间段。</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8</w:t>
      </w:r>
      <w:r>
        <w:rPr>
          <w:rFonts w:hint="eastAsia" w:ascii="宋体" w:hAnsi="宋体"/>
          <w:color w:val="auto"/>
          <w:sz w:val="21"/>
          <w:highlight w:val="none"/>
        </w:rPr>
        <w:t>月：指根据公历从一个月份中任何一天开始到下一个月相应日期的前一天的时间段。</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9</w:t>
      </w:r>
      <w:r>
        <w:rPr>
          <w:rFonts w:hint="eastAsia" w:ascii="宋体" w:hAnsi="宋体"/>
          <w:color w:val="auto"/>
          <w:sz w:val="21"/>
          <w:highlight w:val="none"/>
        </w:rPr>
        <w:t>合同价款：指根据合同条款，用以支付监理人为完成监理及有关工作应付的总金额。</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10</w:t>
      </w:r>
      <w:r>
        <w:rPr>
          <w:rFonts w:hint="eastAsia" w:ascii="宋体" w:hAnsi="宋体"/>
          <w:color w:val="auto"/>
          <w:sz w:val="21"/>
          <w:highlight w:val="none"/>
        </w:rPr>
        <w:t>合同有效期：指自合同生效之日起至合同终止之日止。</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11</w:t>
      </w:r>
      <w:r>
        <w:rPr>
          <w:rFonts w:hint="eastAsia" w:ascii="宋体" w:hAnsi="宋体"/>
          <w:color w:val="auto"/>
          <w:sz w:val="21"/>
          <w:highlight w:val="none"/>
        </w:rPr>
        <w:t>书面文件：指任何与本合同有关的手写、双方确认的电话记录、双方确认的电子邮件或传真件、打印件盖有印章或由法定代表人或其授权人签名的文件。</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12</w:t>
      </w:r>
      <w:r>
        <w:rPr>
          <w:rFonts w:hint="eastAsia" w:ascii="宋体" w:hAnsi="宋体"/>
          <w:color w:val="auto"/>
          <w:sz w:val="21"/>
          <w:highlight w:val="none"/>
        </w:rPr>
        <w:t>履约保证金：指合同签订</w:t>
      </w:r>
      <w:r>
        <w:rPr>
          <w:rFonts w:hint="eastAsia" w:ascii="宋体" w:hAnsi="宋体"/>
          <w:color w:val="auto"/>
          <w:sz w:val="21"/>
          <w:highlight w:val="none"/>
          <w:lang w:val="en-US" w:eastAsia="zh-CN"/>
        </w:rPr>
        <w:t>后30天内</w:t>
      </w:r>
      <w:r>
        <w:rPr>
          <w:rFonts w:hint="eastAsia" w:ascii="宋体" w:hAnsi="宋体"/>
          <w:color w:val="auto"/>
          <w:sz w:val="21"/>
          <w:highlight w:val="none"/>
        </w:rPr>
        <w:t>，监理人应在委托人支付预付款前向委托人提交</w:t>
      </w:r>
      <w:r>
        <w:rPr>
          <w:rFonts w:hint="eastAsia" w:ascii="宋体" w:hAnsi="宋体"/>
          <w:color w:val="auto"/>
          <w:sz w:val="21"/>
          <w:highlight w:val="none"/>
          <w:lang w:val="en-US" w:eastAsia="zh-CN"/>
        </w:rPr>
        <w:t>履约担保</w:t>
      </w:r>
      <w:r>
        <w:rPr>
          <w:rFonts w:hint="eastAsia" w:ascii="宋体" w:hAnsi="宋体"/>
          <w:color w:val="auto"/>
          <w:sz w:val="21"/>
          <w:highlight w:val="none"/>
        </w:rPr>
        <w:t>。履约保证金的金额为合同暂定价的10%。</w:t>
      </w:r>
    </w:p>
    <w:p>
      <w:pPr>
        <w:spacing w:line="360" w:lineRule="auto"/>
        <w:ind w:firstLine="420" w:firstLineChars="200"/>
        <w:rPr>
          <w:rFonts w:ascii="宋体" w:hAnsi="宋体"/>
          <w:color w:val="auto"/>
          <w:sz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13</w:t>
      </w:r>
      <w:r>
        <w:rPr>
          <w:rFonts w:hint="eastAsia" w:ascii="宋体" w:hAnsi="宋体"/>
          <w:color w:val="auto"/>
          <w:sz w:val="21"/>
          <w:highlight w:val="none"/>
        </w:rPr>
        <w:t>设备安装：指本工程有关设备、系统的安装工作，包括按照所有设备、系统的设计图纸进行组装、就位和连接,以及为验明合同设备和系统的性能和功能，对单台设备和系统设备分部试运行。</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14工程变更：指合同实施过程中由于各种原因引起的设计变更、合同变更。包括工程量变更、工程项目的变更、进度计划变更、施工条件变更以及原招标文件和工程量清单中未包括的新增工程等。</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15开工日期：总监理工程师在开工令中写明的开始施工的日期。</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16完工日期：以</w:t>
      </w:r>
      <w:r>
        <w:rPr>
          <w:rFonts w:hint="eastAsia" w:ascii="宋体" w:hAnsi="宋体"/>
          <w:color w:val="auto"/>
          <w:sz w:val="21"/>
          <w:szCs w:val="21"/>
          <w:highlight w:val="none"/>
          <w:lang w:val="en-US" w:eastAsia="zh-CN"/>
        </w:rPr>
        <w:t>完工验收报告</w:t>
      </w:r>
      <w:r>
        <w:rPr>
          <w:rFonts w:hint="eastAsia" w:ascii="宋体" w:hAnsi="宋体"/>
          <w:color w:val="auto"/>
          <w:sz w:val="21"/>
          <w:szCs w:val="21"/>
          <w:highlight w:val="none"/>
        </w:rPr>
        <w:t>中记载的时间为准。</w:t>
      </w:r>
    </w:p>
    <w:p>
      <w:pPr>
        <w:adjustRightInd w:val="0"/>
        <w:snapToGrid w:val="0"/>
        <w:spacing w:line="360" w:lineRule="auto"/>
        <w:ind w:firstLine="420" w:firstLineChars="200"/>
        <w:rPr>
          <w:rFonts w:hint="eastAsia" w:ascii="宋体" w:hAnsi="宋体" w:eastAsia="宋体"/>
          <w:color w:val="auto"/>
          <w:sz w:val="21"/>
          <w:szCs w:val="21"/>
          <w:highlight w:val="none"/>
          <w:lang w:eastAsia="zh-CN"/>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17竣工验收：指承包人完成了全部合同工作后，由委托人组织</w:t>
      </w:r>
      <w:r>
        <w:rPr>
          <w:rFonts w:hint="eastAsia" w:ascii="宋体" w:hAnsi="宋体"/>
          <w:color w:val="auto"/>
          <w:sz w:val="21"/>
          <w:szCs w:val="21"/>
          <w:highlight w:val="none"/>
          <w:lang w:val="en-US" w:eastAsia="zh-CN"/>
        </w:rPr>
        <w:t>参建各单位</w:t>
      </w: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按如下流程组织</w:t>
      </w:r>
      <w:r>
        <w:rPr>
          <w:rFonts w:hint="eastAsia" w:ascii="宋体" w:hAnsi="宋体"/>
          <w:color w:val="auto"/>
          <w:sz w:val="21"/>
          <w:szCs w:val="21"/>
          <w:highlight w:val="none"/>
        </w:rPr>
        <w:t>竣工验收</w:t>
      </w:r>
      <w:r>
        <w:rPr>
          <w:rFonts w:hint="eastAsia" w:ascii="宋体" w:hAnsi="宋体"/>
          <w:color w:val="auto"/>
          <w:sz w:val="21"/>
          <w:szCs w:val="21"/>
          <w:highlight w:val="none"/>
          <w:lang w:val="en-US" w:eastAsia="zh-CN"/>
        </w:rPr>
        <w:t>.</w:t>
      </w:r>
    </w:p>
    <w:p>
      <w:pPr>
        <w:adjustRightInd w:val="0"/>
        <w:snapToGrid w:val="0"/>
        <w:spacing w:line="360" w:lineRule="auto"/>
        <w:ind w:firstLine="420" w:firstLineChars="200"/>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1）施工单位完成爆破拆除后，向建设单位提交验收申请，并附以下资料：施工方案及审批文件、爆破作业许可证、安全监测记录（如振动、噪声、粉尘监测数据）、隐蔽工程影像资料（如预拆除处理、炮孔布置）。</w:t>
      </w:r>
    </w:p>
    <w:p>
      <w:pPr>
        <w:adjustRightInd w:val="0"/>
        <w:snapToGrid w:val="0"/>
        <w:spacing w:line="360" w:lineRule="auto"/>
        <w:ind w:firstLine="420" w:firstLineChars="200"/>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2）业主组织参建各方进行现场安全检查、环境影响检查，以查证爆破作业是否符合设计和相关规范标准要求。</w:t>
      </w:r>
    </w:p>
    <w:p>
      <w:pPr>
        <w:adjustRightInd w:val="0"/>
        <w:snapToGrid w:val="0"/>
        <w:spacing w:line="360" w:lineRule="auto"/>
        <w:ind w:firstLine="420" w:firstLineChars="200"/>
        <w:rPr>
          <w:rFonts w:hint="eastAsia" w:ascii="宋体" w:hAnsi="宋体"/>
          <w:color w:val="auto"/>
          <w:sz w:val="21"/>
          <w:szCs w:val="21"/>
          <w:highlight w:val="none"/>
          <w:lang w:eastAsia="zh-CN"/>
        </w:rPr>
      </w:pPr>
      <w:r>
        <w:rPr>
          <w:rFonts w:hint="eastAsia" w:ascii="宋体" w:hAnsi="宋体"/>
          <w:color w:val="auto"/>
          <w:sz w:val="21"/>
          <w:szCs w:val="21"/>
          <w:highlight w:val="none"/>
          <w:lang w:eastAsia="zh-CN"/>
        </w:rPr>
        <w:t>3）业主组织参建各方召开验收会议，形成书面验收意见。</w:t>
      </w:r>
    </w:p>
    <w:p>
      <w:pPr>
        <w:adjustRightInd w:val="0"/>
        <w:snapToGrid w:val="0"/>
        <w:spacing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lang w:eastAsia="zh-CN"/>
        </w:rPr>
        <w:t>验收合格后，</w:t>
      </w:r>
      <w:r>
        <w:rPr>
          <w:rFonts w:hint="eastAsia" w:ascii="宋体" w:hAnsi="宋体"/>
          <w:color w:val="auto"/>
          <w:sz w:val="21"/>
          <w:szCs w:val="21"/>
          <w:highlight w:val="none"/>
          <w:lang w:val="en-US" w:eastAsia="zh-CN"/>
        </w:rPr>
        <w:t>参建各单位</w:t>
      </w:r>
      <w:r>
        <w:rPr>
          <w:rFonts w:hint="eastAsia" w:ascii="宋体" w:hAnsi="宋体"/>
          <w:color w:val="auto"/>
          <w:sz w:val="21"/>
          <w:szCs w:val="21"/>
          <w:highlight w:val="none"/>
          <w:lang w:eastAsia="zh-CN"/>
        </w:rPr>
        <w:t>办理验收报告手续，同步按业主要求整理上述验收资料归档。</w:t>
      </w:r>
    </w:p>
    <w:p>
      <w:pPr>
        <w:adjustRightInd w:val="0"/>
        <w:snapToGrid w:val="0"/>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w:t>
      </w:r>
      <w:r>
        <w:rPr>
          <w:rFonts w:hint="eastAsia" w:ascii="宋体" w:hAnsi="宋体"/>
          <w:color w:val="auto"/>
          <w:sz w:val="21"/>
          <w:szCs w:val="21"/>
          <w:highlight w:val="none"/>
        </w:rPr>
        <w:t>7</w:t>
      </w:r>
      <w:r>
        <w:rPr>
          <w:rFonts w:ascii="宋体" w:hAnsi="宋体"/>
          <w:color w:val="auto"/>
          <w:sz w:val="21"/>
          <w:szCs w:val="21"/>
          <w:highlight w:val="none"/>
        </w:rPr>
        <w:t>.</w:t>
      </w:r>
      <w:r>
        <w:rPr>
          <w:rFonts w:hint="eastAsia" w:ascii="宋体" w:hAnsi="宋体"/>
          <w:color w:val="auto"/>
          <w:sz w:val="21"/>
          <w:szCs w:val="21"/>
          <w:highlight w:val="none"/>
        </w:rPr>
        <w:t>18国家验收：指政府部门根据法律和政策等有关规定，针对委托人全面组织实施的整个工程在正式交付投运前的验收。</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1.2 语言文字</w:t>
      </w:r>
    </w:p>
    <w:p>
      <w:pPr>
        <w:adjustRightInd w:val="0"/>
        <w:snapToGrid w:val="0"/>
        <w:spacing w:line="360" w:lineRule="auto"/>
        <w:ind w:firstLine="420" w:firstLineChars="200"/>
        <w:rPr>
          <w:rFonts w:ascii="宋体" w:hAnsi="宋体"/>
          <w:color w:val="auto"/>
          <w:sz w:val="21"/>
          <w:highlight w:val="none"/>
          <w:u w:val="single"/>
        </w:rPr>
      </w:pPr>
      <w:r>
        <w:rPr>
          <w:rFonts w:ascii="宋体" w:hAnsi="宋体"/>
          <w:color w:val="auto"/>
          <w:sz w:val="21"/>
          <w:highlight w:val="none"/>
        </w:rPr>
        <w:t>合同使用的语言文字为中文。专用术语使用外文的，应附有中文注释。</w:t>
      </w:r>
      <w:r>
        <w:rPr>
          <w:rFonts w:hint="eastAsia" w:ascii="宋体" w:hAnsi="宋体"/>
          <w:color w:val="auto"/>
          <w:sz w:val="21"/>
          <w:highlight w:val="none"/>
          <w:u w:val="single"/>
        </w:rPr>
        <w:t>本合同文件使用汉语语言文字书写、解释和说明。如约定使用两种以上（含两种）语言文字时，汉语应为解释和说明本合同的标准语言文字。</w:t>
      </w:r>
    </w:p>
    <w:p>
      <w:pPr>
        <w:adjustRightInd w:val="0"/>
        <w:snapToGrid w:val="0"/>
        <w:spacing w:line="360" w:lineRule="auto"/>
        <w:rPr>
          <w:rFonts w:ascii="宋体" w:hAnsi="宋体"/>
          <w:color w:val="auto"/>
          <w:sz w:val="21"/>
          <w:highlight w:val="none"/>
        </w:rPr>
      </w:pPr>
      <w:r>
        <w:rPr>
          <w:rFonts w:ascii="黑体" w:hAnsi="黑体" w:eastAsia="黑体"/>
          <w:color w:val="auto"/>
          <w:sz w:val="28"/>
          <w:highlight w:val="none"/>
        </w:rPr>
        <w:t>1.3 适用法律</w:t>
      </w:r>
    </w:p>
    <w:p>
      <w:pPr>
        <w:adjustRightInd w:val="0"/>
        <w:snapToGrid w:val="0"/>
        <w:spacing w:line="360" w:lineRule="auto"/>
        <w:ind w:firstLine="420" w:firstLineChars="200"/>
        <w:rPr>
          <w:rFonts w:ascii="宋体" w:hAnsi="宋体"/>
          <w:color w:val="auto"/>
          <w:sz w:val="21"/>
          <w:szCs w:val="21"/>
          <w:highlight w:val="none"/>
        </w:rPr>
      </w:pPr>
      <w:r>
        <w:rPr>
          <w:rFonts w:ascii="宋体" w:hAnsi="宋体"/>
          <w:b/>
          <w:color w:val="auto"/>
          <w:sz w:val="21"/>
          <w:highlight w:val="none"/>
        </w:rPr>
        <w:t>1.</w:t>
      </w:r>
      <w:r>
        <w:rPr>
          <w:rFonts w:hint="eastAsia" w:ascii="宋体" w:hAnsi="宋体"/>
          <w:b/>
          <w:color w:val="auto"/>
          <w:sz w:val="21"/>
          <w:highlight w:val="none"/>
        </w:rPr>
        <w:t>3</w:t>
      </w:r>
      <w:r>
        <w:rPr>
          <w:rFonts w:ascii="宋体" w:hAnsi="宋体"/>
          <w:b/>
          <w:color w:val="auto"/>
          <w:sz w:val="21"/>
          <w:highlight w:val="none"/>
        </w:rPr>
        <w:t>.</w:t>
      </w:r>
      <w:r>
        <w:rPr>
          <w:rFonts w:hint="eastAsia" w:ascii="宋体" w:hAnsi="宋体"/>
          <w:b/>
          <w:color w:val="auto"/>
          <w:sz w:val="21"/>
          <w:highlight w:val="none"/>
        </w:rPr>
        <w:t>1</w:t>
      </w:r>
      <w:r>
        <w:rPr>
          <w:rFonts w:ascii="宋体" w:hAnsi="宋体"/>
          <w:b/>
          <w:color w:val="auto"/>
          <w:sz w:val="21"/>
          <w:highlight w:val="none"/>
        </w:rPr>
        <w:t xml:space="preserve"> </w:t>
      </w:r>
      <w:r>
        <w:rPr>
          <w:rFonts w:hint="eastAsia" w:ascii="宋体" w:hAnsi="宋体"/>
          <w:b/>
          <w:color w:val="auto"/>
          <w:sz w:val="21"/>
          <w:highlight w:val="none"/>
        </w:rPr>
        <w:t>本合同所称法律为中华人民共和国的现行法律、行政法规、部门规章、司法解释和合同工程所在地的地方性法规、地方政府规章、行政规范性文件</w:t>
      </w:r>
      <w:r>
        <w:rPr>
          <w:rFonts w:hint="eastAsia" w:ascii="宋体" w:hAnsi="宋体"/>
          <w:color w:val="auto"/>
          <w:sz w:val="21"/>
          <w:szCs w:val="21"/>
          <w:highlight w:val="none"/>
        </w:rPr>
        <w:t>。</w:t>
      </w:r>
    </w:p>
    <w:p>
      <w:pPr>
        <w:adjustRightInd w:val="0"/>
        <w:snapToGrid w:val="0"/>
        <w:spacing w:line="360" w:lineRule="auto"/>
        <w:ind w:firstLine="405"/>
        <w:rPr>
          <w:rFonts w:ascii="宋体" w:hAnsi="宋体"/>
          <w:b/>
          <w:color w:val="auto"/>
          <w:sz w:val="21"/>
          <w:highlight w:val="none"/>
        </w:rPr>
      </w:pPr>
      <w:r>
        <w:rPr>
          <w:rFonts w:ascii="宋体" w:hAnsi="宋体"/>
          <w:b/>
          <w:color w:val="auto"/>
          <w:sz w:val="21"/>
          <w:highlight w:val="none"/>
        </w:rPr>
        <w:t>1.</w:t>
      </w:r>
      <w:r>
        <w:rPr>
          <w:rFonts w:hint="eastAsia" w:ascii="宋体" w:hAnsi="宋体"/>
          <w:b/>
          <w:color w:val="auto"/>
          <w:sz w:val="21"/>
          <w:highlight w:val="none"/>
        </w:rPr>
        <w:t>3</w:t>
      </w:r>
      <w:r>
        <w:rPr>
          <w:rFonts w:ascii="宋体" w:hAnsi="宋体"/>
          <w:b/>
          <w:color w:val="auto"/>
          <w:sz w:val="21"/>
          <w:highlight w:val="none"/>
        </w:rPr>
        <w:t>.</w:t>
      </w:r>
      <w:r>
        <w:rPr>
          <w:rFonts w:hint="eastAsia" w:ascii="宋体" w:hAnsi="宋体"/>
          <w:b/>
          <w:color w:val="auto"/>
          <w:sz w:val="21"/>
          <w:highlight w:val="none"/>
        </w:rPr>
        <w:t>2</w:t>
      </w:r>
      <w:r>
        <w:rPr>
          <w:rFonts w:ascii="宋体" w:hAnsi="宋体"/>
          <w:b/>
          <w:color w:val="auto"/>
          <w:sz w:val="21"/>
          <w:highlight w:val="none"/>
        </w:rPr>
        <w:t xml:space="preserve"> </w:t>
      </w:r>
      <w:r>
        <w:rPr>
          <w:rFonts w:hint="eastAsia" w:ascii="宋体" w:hAnsi="宋体"/>
          <w:b/>
          <w:color w:val="auto"/>
          <w:sz w:val="21"/>
          <w:highlight w:val="none"/>
        </w:rPr>
        <w:t>本合同适用监理依据</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1.3.2.1本监理合同；</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1.3.2.2委托人和承包人签订的合同及补充协议或备忘录、委托人与建设管理人签订的建设管理合同；</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1.3.2.3经委托人审查认可的本工程正式的工程地质勘察报告、施工图纸、说明以及会审记录、有关工程洽商的技术、施工洽商记录、设计修改和变更文件；</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1.3.2.4广州地区现行的有关工程预结算定额和文件；</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1.3.2.5国家和广州地区现行的设计规范（规程）、建筑工程质量检验评定标准、施工和验收规范；</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1.3.2.6经委托人审批认可，由监理人编制的监理规划；</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1.3.2.7委托人发出的指令；</w:t>
      </w:r>
    </w:p>
    <w:p>
      <w:pPr>
        <w:adjustRightInd w:val="0"/>
        <w:snapToGrid w:val="0"/>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1.3.2.8委托人及委托人上级部门颁布的有关管理办法。</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1.4 合同文件的优先顺序</w:t>
      </w:r>
    </w:p>
    <w:p>
      <w:pPr>
        <w:adjustRightInd w:val="0"/>
        <w:snapToGrid w:val="0"/>
        <w:spacing w:line="312" w:lineRule="auto"/>
        <w:ind w:left="743" w:leftChars="354" w:firstLine="123" w:firstLineChars="59"/>
        <w:rPr>
          <w:rFonts w:ascii="宋体" w:hAnsi="宋体" w:cs="宋体"/>
          <w:color w:val="auto"/>
          <w:sz w:val="21"/>
          <w:szCs w:val="21"/>
          <w:highlight w:val="none"/>
        </w:rPr>
      </w:pPr>
      <w:r>
        <w:rPr>
          <w:rFonts w:hint="eastAsia" w:ascii="宋体" w:hAnsi="宋体"/>
          <w:color w:val="auto"/>
          <w:sz w:val="21"/>
          <w:szCs w:val="21"/>
          <w:highlight w:val="none"/>
        </w:rPr>
        <w:t>（1）在实施过程中双方共同签署的补充与修正文件</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（2）本合同协议书</w:t>
      </w:r>
    </w:p>
    <w:p>
      <w:pPr>
        <w:adjustRightInd w:val="0"/>
        <w:snapToGrid w:val="0"/>
        <w:spacing w:line="312" w:lineRule="auto"/>
        <w:ind w:left="743" w:leftChars="354" w:firstLine="123" w:firstLineChars="59"/>
        <w:rPr>
          <w:rFonts w:hint="default" w:ascii="宋体" w:hAnsi="宋体" w:eastAsia="宋体"/>
          <w:color w:val="auto"/>
          <w:sz w:val="21"/>
          <w:szCs w:val="21"/>
          <w:highlight w:val="none"/>
          <w:lang w:val="en-US" w:eastAsia="zh-CN"/>
        </w:rPr>
      </w:pPr>
      <w:r>
        <w:rPr>
          <w:rFonts w:hint="eastAsia" w:ascii="宋体" w:hAnsi="宋体"/>
          <w:color w:val="auto"/>
          <w:sz w:val="21"/>
          <w:szCs w:val="21"/>
          <w:highlight w:val="none"/>
        </w:rPr>
        <w:t>（3）</w:t>
      </w:r>
      <w:r>
        <w:rPr>
          <w:rFonts w:hint="eastAsia" w:ascii="宋体" w:hAnsi="宋体"/>
          <w:color w:val="auto"/>
          <w:sz w:val="21"/>
          <w:szCs w:val="21"/>
          <w:highlight w:val="none"/>
          <w:lang w:val="en-US" w:eastAsia="zh-CN"/>
        </w:rPr>
        <w:t>成交通知书</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（4）本合同专用条款</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（5）合同附件</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（6）本合同通用条款</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（7）标准、规范及有关技术文件</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（8）</w:t>
      </w:r>
      <w:r>
        <w:rPr>
          <w:rFonts w:hint="eastAsia" w:ascii="宋体" w:hAnsi="宋体"/>
          <w:color w:val="auto"/>
          <w:sz w:val="21"/>
          <w:szCs w:val="21"/>
          <w:highlight w:val="none"/>
          <w:lang w:val="en-US" w:eastAsia="zh-CN"/>
        </w:rPr>
        <w:t>采购</w:t>
      </w:r>
      <w:r>
        <w:rPr>
          <w:rFonts w:hint="eastAsia" w:ascii="宋体" w:hAnsi="宋体"/>
          <w:color w:val="auto"/>
          <w:sz w:val="21"/>
          <w:szCs w:val="21"/>
          <w:highlight w:val="none"/>
        </w:rPr>
        <w:t>文件（包括补充、修改、澄清文件、答疑纪要等）</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（9）</w:t>
      </w:r>
      <w:r>
        <w:rPr>
          <w:rFonts w:hint="eastAsia" w:ascii="宋体" w:hAnsi="宋体"/>
          <w:color w:val="auto"/>
          <w:sz w:val="21"/>
          <w:szCs w:val="21"/>
          <w:highlight w:val="none"/>
          <w:lang w:val="en-US" w:eastAsia="zh-CN"/>
        </w:rPr>
        <w:t>响应</w:t>
      </w:r>
      <w:r>
        <w:rPr>
          <w:rFonts w:hint="eastAsia" w:ascii="宋体" w:hAnsi="宋体"/>
          <w:color w:val="auto"/>
          <w:sz w:val="21"/>
          <w:szCs w:val="21"/>
          <w:highlight w:val="none"/>
        </w:rPr>
        <w:t>文件及其附件</w:t>
      </w:r>
    </w:p>
    <w:p>
      <w:pPr>
        <w:adjustRightInd w:val="0"/>
        <w:snapToGrid w:val="0"/>
        <w:spacing w:line="312" w:lineRule="auto"/>
        <w:ind w:left="743" w:leftChars="354" w:firstLine="123" w:firstLineChars="59"/>
        <w:rPr>
          <w:rFonts w:ascii="宋体" w:hAnsi="宋体"/>
          <w:color w:val="auto"/>
          <w:sz w:val="21"/>
          <w:szCs w:val="21"/>
          <w:highlight w:val="none"/>
        </w:rPr>
      </w:pPr>
      <w:r>
        <w:rPr>
          <w:rFonts w:hint="eastAsia" w:ascii="宋体" w:hAnsi="宋体"/>
          <w:color w:val="auto"/>
          <w:sz w:val="21"/>
          <w:szCs w:val="21"/>
          <w:highlight w:val="none"/>
        </w:rPr>
        <w:t>（10）双方约定的其他合同文件</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1.6 文件的提供和照管</w:t>
      </w:r>
    </w:p>
    <w:p>
      <w:pPr>
        <w:adjustRightInd w:val="0"/>
        <w:snapToGrid w:val="0"/>
        <w:spacing w:line="360" w:lineRule="auto"/>
        <w:ind w:firstLine="420" w:firstLineChars="200"/>
        <w:rPr>
          <w:rFonts w:ascii="宋体" w:hAnsi="宋体"/>
          <w:b/>
          <w:color w:val="auto"/>
          <w:sz w:val="21"/>
          <w:highlight w:val="none"/>
        </w:rPr>
      </w:pPr>
      <w:r>
        <w:rPr>
          <w:rFonts w:hint="eastAsia" w:ascii="宋体" w:hAnsi="宋体"/>
          <w:b/>
          <w:color w:val="auto"/>
          <w:sz w:val="21"/>
          <w:highlight w:val="none"/>
        </w:rPr>
        <w:t>1.6.1监理文件的提供</w:t>
      </w:r>
    </w:p>
    <w:p>
      <w:pPr>
        <w:adjustRightInd w:val="0"/>
        <w:snapToGrid w:val="0"/>
        <w:spacing w:line="360" w:lineRule="auto"/>
        <w:ind w:firstLine="420" w:firstLineChars="200"/>
        <w:rPr>
          <w:rFonts w:ascii="宋体" w:hAnsi="宋体"/>
          <w:bCs/>
          <w:color w:val="auto"/>
          <w:sz w:val="21"/>
          <w:highlight w:val="none"/>
        </w:rPr>
      </w:pPr>
      <w:r>
        <w:rPr>
          <w:rFonts w:hint="eastAsia" w:ascii="宋体" w:hAnsi="宋体"/>
          <w:bCs/>
          <w:color w:val="auto"/>
          <w:sz w:val="21"/>
          <w:highlight w:val="none"/>
        </w:rPr>
        <w:t>监理人应在合理的期限内按照国家、行业现行标准、规范、规定，《建设工程监理规范》及项目设计采购施工总承包合同约定向委托人提供监理文件。合同约定监理文件应经委托人批复的，委托人应当在合同约定的期限内批复或提出修改意见。</w:t>
      </w:r>
    </w:p>
    <w:p>
      <w:pPr>
        <w:adjustRightInd w:val="0"/>
        <w:snapToGrid w:val="0"/>
        <w:spacing w:line="360" w:lineRule="auto"/>
        <w:ind w:firstLine="420" w:firstLineChars="200"/>
        <w:rPr>
          <w:rFonts w:ascii="宋体" w:hAnsi="宋体"/>
          <w:b/>
          <w:color w:val="auto"/>
          <w:sz w:val="21"/>
          <w:highlight w:val="none"/>
        </w:rPr>
      </w:pPr>
      <w:r>
        <w:rPr>
          <w:rFonts w:ascii="宋体" w:hAnsi="宋体"/>
          <w:b/>
          <w:color w:val="auto"/>
          <w:sz w:val="21"/>
          <w:highlight w:val="none"/>
        </w:rPr>
        <w:t>1.6.2 委托人提供的文件</w:t>
      </w:r>
    </w:p>
    <w:p>
      <w:pPr>
        <w:adjustRightInd w:val="0"/>
        <w:snapToGrid w:val="0"/>
        <w:spacing w:line="360" w:lineRule="auto"/>
        <w:ind w:firstLine="420" w:firstLineChars="200"/>
        <w:rPr>
          <w:rFonts w:ascii="宋体" w:hAnsi="宋体"/>
          <w:color w:val="auto"/>
          <w:sz w:val="21"/>
          <w:highlight w:val="none"/>
        </w:rPr>
      </w:pPr>
      <w:r>
        <w:rPr>
          <w:rFonts w:hint="eastAsia" w:ascii="宋体" w:hAnsi="宋体"/>
          <w:color w:val="auto"/>
          <w:sz w:val="21"/>
          <w:highlight w:val="none"/>
        </w:rPr>
        <w:t>按照通用合同条款的规定外，委托人应在不影响监理人开展监理工作的时间内提供如下资料：</w:t>
      </w:r>
      <w:r>
        <w:rPr>
          <w:rFonts w:hint="eastAsia" w:ascii="宋体" w:hAnsi="宋体"/>
          <w:color w:val="auto"/>
          <w:sz w:val="21"/>
          <w:highlight w:val="none"/>
          <w:u w:val="single"/>
        </w:rPr>
        <w:t>与本工程合作的原材料、构配件、设备等生产厂家名录；提供与本工程有关的协作单位、配合单位的名录。</w:t>
      </w:r>
    </w:p>
    <w:p>
      <w:pPr>
        <w:tabs>
          <w:tab w:val="left" w:pos="760"/>
        </w:tabs>
        <w:adjustRightInd w:val="0"/>
        <w:snapToGrid w:val="0"/>
        <w:spacing w:line="360" w:lineRule="auto"/>
        <w:rPr>
          <w:rFonts w:ascii="黑体" w:hAnsi="黑体" w:eastAsia="黑体"/>
          <w:b/>
          <w:color w:val="auto"/>
          <w:sz w:val="32"/>
          <w:highlight w:val="none"/>
        </w:rPr>
      </w:pPr>
      <w:r>
        <w:rPr>
          <w:rFonts w:hint="eastAsia" w:ascii="黑体" w:hAnsi="黑体" w:eastAsia="黑体"/>
          <w:color w:val="auto"/>
          <w:sz w:val="32"/>
          <w:highlight w:val="none"/>
        </w:rPr>
        <w:t>2.</w:t>
      </w:r>
      <w:r>
        <w:rPr>
          <w:rFonts w:ascii="黑体" w:hAnsi="黑体" w:eastAsia="黑体"/>
          <w:color w:val="auto"/>
          <w:sz w:val="32"/>
          <w:highlight w:val="none"/>
        </w:rPr>
        <w:t>委托人</w:t>
      </w:r>
      <w:r>
        <w:rPr>
          <w:rFonts w:ascii="黑体" w:hAnsi="黑体" w:eastAsia="黑体"/>
          <w:b/>
          <w:color w:val="auto"/>
          <w:sz w:val="32"/>
          <w:highlight w:val="none"/>
        </w:rPr>
        <w:t>义务</w:t>
      </w:r>
    </w:p>
    <w:p>
      <w:pPr>
        <w:tabs>
          <w:tab w:val="left" w:pos="760"/>
        </w:tabs>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2.3 办理证件和批件</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委托人应当负责工程建设的所有外部关系的协调，为监理工作提供外部条件。根据需要，如将部分或全部协调工作委托监理人承担，则在专用合同条款中明确委托的工作和相应的报酬。本款所指的外部条件包括由委托人负责完善工程开工的前期条件，获得政府有关部门的批准文件，支付有关费用。具体内容如下(有关资料和副本提供给监理人)：</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1.1工程地质勘探资料及工程设计施工图纸；</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1.2规划报建资料：施工许可文件和制作施工标牌的需要的有关资料；</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1.3向有关部门缴纳施工报建中规定由委托人负担的费用；</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1.4场地条件：能满足工程开工，提供管线摸查、交通疏解、拆迁等信息；</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1.5选择总承包人或各专业工程承包人，并签订工程合同，并及时将有关资料和副本提供给监理人；</w:t>
      </w:r>
    </w:p>
    <w:p>
      <w:pPr>
        <w:adjustRightInd w:val="0"/>
        <w:snapToGrid w:val="0"/>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2</w:t>
      </w:r>
      <w:r>
        <w:rPr>
          <w:rFonts w:ascii="宋体" w:hAnsi="宋体" w:cs="宋体"/>
          <w:color w:val="auto"/>
          <w:sz w:val="21"/>
          <w:szCs w:val="21"/>
          <w:highlight w:val="none"/>
        </w:rPr>
        <w:t>.</w:t>
      </w:r>
      <w:r>
        <w:rPr>
          <w:rFonts w:hint="eastAsia" w:ascii="宋体" w:hAnsi="宋体" w:cs="宋体"/>
          <w:color w:val="auto"/>
          <w:sz w:val="21"/>
          <w:szCs w:val="21"/>
          <w:highlight w:val="none"/>
        </w:rPr>
        <w:t>3</w:t>
      </w:r>
      <w:r>
        <w:rPr>
          <w:rFonts w:ascii="宋体" w:hAnsi="宋体" w:cs="宋体"/>
          <w:color w:val="auto"/>
          <w:sz w:val="21"/>
          <w:szCs w:val="21"/>
          <w:highlight w:val="none"/>
        </w:rPr>
        <w:t>.</w:t>
      </w:r>
      <w:r>
        <w:rPr>
          <w:rFonts w:hint="eastAsia" w:ascii="宋体" w:hAnsi="宋体" w:cs="宋体"/>
          <w:color w:val="auto"/>
          <w:sz w:val="21"/>
          <w:szCs w:val="21"/>
          <w:highlight w:val="none"/>
        </w:rPr>
        <w:t>1.6用书面形式通知有关外部关系各方，明确监理人在工程建设监理过程的责权。</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2.5 提供监理资料</w:t>
      </w:r>
    </w:p>
    <w:p>
      <w:pPr>
        <w:adjustRightInd w:val="0"/>
        <w:snapToGrid w:val="0"/>
        <w:spacing w:line="360" w:lineRule="auto"/>
        <w:ind w:firstLine="420" w:firstLineChars="200"/>
        <w:rPr>
          <w:rFonts w:ascii="宋体" w:hAnsi="宋体"/>
          <w:color w:val="auto"/>
          <w:sz w:val="21"/>
          <w:highlight w:val="none"/>
          <w:u w:val="single"/>
        </w:rPr>
      </w:pPr>
      <w:r>
        <w:rPr>
          <w:rFonts w:hint="eastAsia" w:ascii="宋体" w:hAnsi="宋体"/>
          <w:color w:val="auto"/>
          <w:sz w:val="21"/>
          <w:highlight w:val="none"/>
          <w:u w:val="single"/>
        </w:rPr>
        <w:t>委托人应当在双方约定的时间内免费向监理人提供与工程有关的为监理工作所需要的工程资料。</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2.6 其他义务</w:t>
      </w:r>
    </w:p>
    <w:p>
      <w:pPr>
        <w:adjustRightInd w:val="0"/>
        <w:snapToGrid w:val="0"/>
        <w:spacing w:line="360" w:lineRule="auto"/>
        <w:ind w:firstLine="420" w:firstLineChars="200"/>
        <w:rPr>
          <w:rFonts w:ascii="宋体" w:hAnsi="宋体"/>
          <w:color w:val="auto"/>
          <w:sz w:val="21"/>
          <w:highlight w:val="none"/>
        </w:rPr>
      </w:pPr>
      <w:r>
        <w:rPr>
          <w:rFonts w:hint="eastAsia" w:ascii="宋体" w:hAnsi="宋体"/>
          <w:color w:val="auto"/>
          <w:sz w:val="21"/>
          <w:highlight w:val="none"/>
        </w:rPr>
        <w:t>2.6.1委托人应当将授予监理人的监理权利，以及监理人主要成员的职能分工、监理权限及时书面通知已选定的承包合同的承包人，并在与第三人签订的合同中予以明确。</w:t>
      </w:r>
    </w:p>
    <w:p>
      <w:pPr>
        <w:adjustRightInd w:val="0"/>
        <w:snapToGrid w:val="0"/>
        <w:spacing w:line="360" w:lineRule="auto"/>
        <w:rPr>
          <w:rFonts w:ascii="黑体" w:hAnsi="黑体" w:eastAsia="黑体"/>
          <w:b/>
          <w:color w:val="auto"/>
          <w:sz w:val="32"/>
          <w:highlight w:val="none"/>
        </w:rPr>
      </w:pPr>
      <w:r>
        <w:rPr>
          <w:rFonts w:hint="eastAsia" w:ascii="黑体" w:hAnsi="黑体" w:eastAsia="黑体"/>
          <w:color w:val="auto"/>
          <w:sz w:val="32"/>
          <w:highlight w:val="none"/>
        </w:rPr>
        <w:t>3.</w:t>
      </w:r>
      <w:r>
        <w:rPr>
          <w:rFonts w:ascii="黑体" w:hAnsi="黑体" w:eastAsia="黑体"/>
          <w:color w:val="auto"/>
          <w:sz w:val="32"/>
          <w:highlight w:val="none"/>
        </w:rPr>
        <w:t>委托人</w:t>
      </w:r>
      <w:r>
        <w:rPr>
          <w:rFonts w:ascii="黑体" w:hAnsi="黑体" w:eastAsia="黑体"/>
          <w:b/>
          <w:color w:val="auto"/>
          <w:sz w:val="32"/>
          <w:highlight w:val="none"/>
        </w:rPr>
        <w:t>管理</w:t>
      </w:r>
    </w:p>
    <w:p>
      <w:pPr>
        <w:adjustRightInd w:val="0"/>
        <w:snapToGrid w:val="0"/>
        <w:spacing w:line="360" w:lineRule="auto"/>
        <w:rPr>
          <w:color w:val="auto"/>
          <w:highlight w:val="none"/>
        </w:rPr>
      </w:pPr>
      <w:r>
        <w:rPr>
          <w:rFonts w:ascii="黑体" w:hAnsi="黑体" w:eastAsia="黑体"/>
          <w:color w:val="auto"/>
          <w:sz w:val="28"/>
          <w:highlight w:val="none"/>
        </w:rPr>
        <w:t>3.1 委托人代表</w:t>
      </w:r>
    </w:p>
    <w:p>
      <w:pPr>
        <w:adjustRightInd w:val="0"/>
        <w:snapToGrid w:val="0"/>
        <w:spacing w:line="360" w:lineRule="auto"/>
        <w:rPr>
          <w:rFonts w:ascii="黑体" w:hAnsi="黑体" w:eastAsia="黑体"/>
          <w:color w:val="auto"/>
          <w:sz w:val="28"/>
          <w:highlight w:val="none"/>
        </w:rPr>
      </w:pPr>
      <w:r>
        <w:rPr>
          <w:rFonts w:hint="eastAsia" w:eastAsia="黑体"/>
          <w:color w:val="auto"/>
          <w:highlight w:val="none"/>
        </w:rPr>
        <w:t xml:space="preserve">    3.1.2 删除通用合同条款3.1.2</w:t>
      </w:r>
    </w:p>
    <w:p>
      <w:pPr>
        <w:adjustRightInd w:val="0"/>
        <w:snapToGrid w:val="0"/>
        <w:spacing w:line="360" w:lineRule="auto"/>
        <w:ind w:firstLine="420" w:firstLineChars="200"/>
        <w:rPr>
          <w:rFonts w:ascii="宋体" w:hAnsi="宋体"/>
          <w:color w:val="auto"/>
          <w:sz w:val="21"/>
          <w:highlight w:val="none"/>
        </w:rPr>
      </w:pPr>
      <w:r>
        <w:rPr>
          <w:rFonts w:hint="eastAsia" w:ascii="宋体" w:hAnsi="宋体" w:cs="宋体"/>
          <w:color w:val="auto"/>
          <w:sz w:val="21"/>
          <w:szCs w:val="21"/>
          <w:highlight w:val="none"/>
        </w:rPr>
        <w:t>3.1.4</w:t>
      </w:r>
      <w:r>
        <w:rPr>
          <w:rFonts w:hint="eastAsia" w:ascii="宋体" w:hAnsi="宋体"/>
          <w:color w:val="auto"/>
          <w:sz w:val="21"/>
          <w:highlight w:val="none"/>
        </w:rPr>
        <w:t>委托人应当授权一名熟悉工程情况、能在规定时间内作出决定的常驻代表，负责与监理人联系。更换常驻代表，要提前通知监理人。委托人的常驻代表为</w:t>
      </w:r>
      <w:r>
        <w:rPr>
          <w:rFonts w:hint="eastAsia" w:ascii="宋体" w:hAnsi="宋体"/>
          <w:color w:val="auto"/>
          <w:sz w:val="21"/>
          <w:highlight w:val="none"/>
          <w:u w:val="single"/>
        </w:rPr>
        <w:t xml:space="preserve">          </w:t>
      </w:r>
      <w:r>
        <w:rPr>
          <w:rFonts w:hint="eastAsia" w:ascii="宋体" w:hAnsi="宋体"/>
          <w:color w:val="auto"/>
          <w:sz w:val="21"/>
          <w:highlight w:val="none"/>
        </w:rPr>
        <w:t>。</w:t>
      </w:r>
    </w:p>
    <w:p>
      <w:pPr>
        <w:adjustRightInd w:val="0"/>
        <w:snapToGrid w:val="0"/>
        <w:spacing w:line="360" w:lineRule="auto"/>
        <w:rPr>
          <w:rFonts w:ascii="黑体" w:hAnsi="黑体" w:eastAsia="黑体"/>
          <w:color w:val="auto"/>
          <w:sz w:val="28"/>
          <w:highlight w:val="none"/>
        </w:rPr>
      </w:pPr>
      <w:r>
        <w:rPr>
          <w:rFonts w:ascii="黑体" w:hAnsi="黑体" w:eastAsia="黑体"/>
          <w:color w:val="auto"/>
          <w:sz w:val="28"/>
          <w:highlight w:val="none"/>
        </w:rPr>
        <w:t>3.3 决定或答复</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3.3.2</w:t>
      </w:r>
      <w:r>
        <w:rPr>
          <w:rFonts w:hint="eastAsia" w:ascii="宋体" w:hAnsi="宋体"/>
          <w:color w:val="auto"/>
          <w:sz w:val="21"/>
          <w:highlight w:val="none"/>
        </w:rPr>
        <w:t>委托人按照下列约定的时间内就监理人书面提交并要求作出决定的一切事宜作出书面决定：委托人原则上应在5天内对监理人书面提交并要求作出决定的事宜作出书面答复，重大事件回复时间可以适当延长。若在特殊情况下在特殊时间要求的，委托人应根据情况按监理人要求的时间及时答复。</w:t>
      </w:r>
    </w:p>
    <w:p>
      <w:pPr>
        <w:tabs>
          <w:tab w:val="left" w:pos="760"/>
        </w:tabs>
        <w:spacing w:line="390" w:lineRule="exact"/>
        <w:rPr>
          <w:rFonts w:ascii="黑体" w:hAnsi="黑体" w:eastAsia="黑体"/>
          <w:b/>
          <w:color w:val="auto"/>
          <w:sz w:val="32"/>
          <w:highlight w:val="none"/>
        </w:rPr>
      </w:pPr>
      <w:r>
        <w:rPr>
          <w:rFonts w:hint="eastAsia" w:ascii="黑体" w:hAnsi="黑体" w:eastAsia="黑体"/>
          <w:b/>
          <w:color w:val="auto"/>
          <w:sz w:val="32"/>
          <w:highlight w:val="none"/>
        </w:rPr>
        <w:t>4.</w:t>
      </w:r>
      <w:r>
        <w:rPr>
          <w:rFonts w:ascii="黑体" w:hAnsi="黑体" w:eastAsia="黑体"/>
          <w:b/>
          <w:color w:val="auto"/>
          <w:sz w:val="32"/>
          <w:highlight w:val="none"/>
        </w:rPr>
        <w:t>监理人义务</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4.1 监理人的一般义务</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4.1.</w:t>
      </w:r>
      <w:r>
        <w:rPr>
          <w:rFonts w:hint="eastAsia" w:ascii="宋体" w:hAnsi="宋体"/>
          <w:color w:val="auto"/>
          <w:sz w:val="21"/>
          <w:highlight w:val="none"/>
        </w:rPr>
        <w:t>5</w:t>
      </w:r>
      <w:r>
        <w:rPr>
          <w:rFonts w:hint="eastAsia" w:ascii="宋体" w:hAnsi="宋体" w:cs="宋体"/>
          <w:color w:val="auto"/>
          <w:sz w:val="21"/>
          <w:szCs w:val="21"/>
          <w:highlight w:val="none"/>
        </w:rPr>
        <w:t>监理人按合同约定派出监理工作需要的监理机构及监理人员，向委托人报送委派的总监理工程师、专业监理工程师及其监理机构主要成员名单、监理规划，完成监理合同专用合同条款中约定的监理工作范围内的监理业务。在履行合同义务期间，应按合同约定定期向委托人报告监理工作。</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4.1.</w:t>
      </w:r>
      <w:r>
        <w:rPr>
          <w:rFonts w:hint="eastAsia" w:ascii="宋体" w:hAnsi="宋体"/>
          <w:color w:val="auto"/>
          <w:sz w:val="21"/>
          <w:highlight w:val="none"/>
        </w:rPr>
        <w:t>6</w:t>
      </w:r>
      <w:r>
        <w:rPr>
          <w:rFonts w:hint="eastAsia" w:ascii="宋体" w:hAnsi="宋体" w:cs="宋体"/>
          <w:color w:val="auto"/>
          <w:sz w:val="21"/>
          <w:szCs w:val="21"/>
          <w:highlight w:val="none"/>
        </w:rPr>
        <w:t xml:space="preserve">监理人使用委托人提供的设施和物品属委托人的财产。在监理工作完成或合同终止后 </w:t>
      </w:r>
      <w:r>
        <w:rPr>
          <w:rFonts w:hint="eastAsia" w:ascii="宋体" w:hAnsi="宋体" w:cs="宋体"/>
          <w:color w:val="auto"/>
          <w:sz w:val="21"/>
          <w:szCs w:val="21"/>
          <w:highlight w:val="none"/>
          <w:u w:val="single"/>
        </w:rPr>
        <w:t xml:space="preserve"> 7 </w:t>
      </w:r>
      <w:r>
        <w:rPr>
          <w:rFonts w:hint="eastAsia" w:ascii="宋体" w:hAnsi="宋体" w:cs="宋体"/>
          <w:color w:val="auto"/>
          <w:sz w:val="21"/>
          <w:szCs w:val="21"/>
          <w:highlight w:val="none"/>
        </w:rPr>
        <w:t>日内，应将其设施和剩余的物品移交给委托人。</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4.1.7在合同期内或合同终止后，未征得有关方同意，不得泄露与本工程、本合同业务有关的保密资料。合同双方对提供给对方的本工程、本合同业务活动的有关资料，如有保密要求的，要在提供的资料上注明保密等级，另一方应按密级为对方保密，如发生泄密，由责任方承担有关责任。</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4.1.8监理人驻地监理机构及其职员不得接受监理工程项目施工承包人的任何报酬或者经济利益。监理人不得参与可能与合同规定的与委托人的利益相冲突的任何活动。</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4.1.9监理人在监理过程中，不得泄露委托人申明的秘密，监理人亦不得泄露设计人、承包人等提供并申明的秘密。</w:t>
      </w:r>
    </w:p>
    <w:p>
      <w:pPr>
        <w:spacing w:line="360" w:lineRule="auto"/>
        <w:rPr>
          <w:rFonts w:ascii="黑体" w:hAnsi="黑体" w:eastAsia="黑体"/>
          <w:color w:val="auto"/>
          <w:sz w:val="28"/>
          <w:highlight w:val="none"/>
        </w:rPr>
      </w:pPr>
      <w:r>
        <w:rPr>
          <w:rFonts w:ascii="黑体" w:hAnsi="黑体" w:eastAsia="黑体"/>
          <w:color w:val="auto"/>
          <w:sz w:val="28"/>
          <w:highlight w:val="none"/>
        </w:rPr>
        <w:t>4.2 履约保证金</w:t>
      </w:r>
    </w:p>
    <w:p>
      <w:pPr>
        <w:numPr>
          <w:ilvl w:val="0"/>
          <w:numId w:val="0"/>
        </w:numPr>
        <w:spacing w:line="440" w:lineRule="exact"/>
        <w:ind w:firstLine="420" w:firstLineChars="200"/>
        <w:outlineLvl w:val="0"/>
        <w:rPr>
          <w:rFonts w:ascii="仿宋_GB2312" w:hAnsi="仿宋_GB2312" w:eastAsia="仿宋_GB2312" w:cs="仿宋_GB2312"/>
          <w:color w:val="auto"/>
          <w:sz w:val="28"/>
          <w:szCs w:val="28"/>
          <w:highlight w:val="none"/>
          <w:u w:val="single"/>
        </w:rPr>
      </w:pPr>
      <w:r>
        <w:rPr>
          <w:rFonts w:hint="eastAsia" w:ascii="宋体" w:hAnsi="宋体" w:cs="宋体"/>
          <w:color w:val="auto"/>
          <w:sz w:val="21"/>
          <w:szCs w:val="21"/>
          <w:highlight w:val="none"/>
        </w:rPr>
        <w:t>4.2.1</w:t>
      </w:r>
      <w:r>
        <w:rPr>
          <w:rFonts w:hint="eastAsia" w:ascii="仿宋_GB2312" w:hAnsi="仿宋_GB2312" w:eastAsia="仿宋_GB2312" w:cs="仿宋_GB2312"/>
          <w:color w:val="auto"/>
          <w:sz w:val="28"/>
          <w:szCs w:val="28"/>
          <w:highlight w:val="none"/>
        </w:rPr>
        <w:t>履约担保：</w:t>
      </w:r>
      <w:r>
        <w:rPr>
          <w:rFonts w:hint="eastAsia" w:ascii="仿宋_GB2312" w:hAnsi="仿宋_GB2312" w:eastAsia="仿宋_GB2312" w:cs="仿宋_GB2312"/>
          <w:bCs/>
          <w:color w:val="auto"/>
          <w:sz w:val="28"/>
          <w:szCs w:val="28"/>
          <w:highlight w:val="none"/>
        </w:rPr>
        <w:t>于</w:t>
      </w:r>
      <w:r>
        <w:rPr>
          <w:rFonts w:hint="eastAsia" w:ascii="仿宋_GB2312" w:hAnsi="仿宋_GB2312" w:eastAsia="仿宋_GB2312" w:cs="仿宋_GB2312"/>
          <w:color w:val="auto"/>
          <w:sz w:val="28"/>
          <w:szCs w:val="28"/>
          <w:highlight w:val="none"/>
        </w:rPr>
        <w:t>本合同签订后</w:t>
      </w:r>
      <w:r>
        <w:rPr>
          <w:rFonts w:hint="eastAsia" w:ascii="仿宋_GB2312" w:hAnsi="仿宋_GB2312" w:eastAsia="仿宋_GB2312" w:cs="仿宋_GB2312"/>
          <w:color w:val="auto"/>
          <w:sz w:val="28"/>
          <w:szCs w:val="28"/>
          <w:highlight w:val="none"/>
          <w:lang w:val="en-US" w:eastAsia="zh-CN"/>
        </w:rPr>
        <w:t>30</w:t>
      </w:r>
      <w:r>
        <w:rPr>
          <w:rFonts w:hint="eastAsia" w:ascii="仿宋_GB2312" w:hAnsi="仿宋_GB2312" w:eastAsia="仿宋_GB2312" w:cs="仿宋_GB2312"/>
          <w:color w:val="auto"/>
          <w:sz w:val="28"/>
          <w:szCs w:val="28"/>
          <w:highlight w:val="none"/>
        </w:rPr>
        <w:t>日内</w:t>
      </w:r>
      <w:r>
        <w:rPr>
          <w:rFonts w:hint="eastAsia" w:ascii="仿宋_GB2312" w:hAnsi="仿宋_GB2312" w:eastAsia="仿宋_GB2312" w:cs="仿宋_GB2312"/>
          <w:color w:val="auto"/>
          <w:sz w:val="28"/>
          <w:szCs w:val="28"/>
          <w:highlight w:val="none"/>
          <w:u w:val="single"/>
        </w:rPr>
        <w:t>按照合同暂定总价的10%提交履约担保，</w:t>
      </w:r>
      <w:r>
        <w:rPr>
          <w:rFonts w:hint="eastAsia" w:ascii="仿宋_GB2312" w:hAnsi="仿宋_GB2312" w:eastAsia="仿宋_GB2312" w:cs="仿宋_GB2312"/>
          <w:color w:val="auto"/>
          <w:sz w:val="28"/>
          <w:szCs w:val="28"/>
          <w:highlight w:val="none"/>
        </w:rPr>
        <w:t>金额为：（大写人民币：）未按时提供履约担保的，</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有权解除合同并要求</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支付</w:t>
      </w:r>
      <w:r>
        <w:rPr>
          <w:rFonts w:hint="eastAsia" w:ascii="仿宋_GB2312" w:hAnsi="仿宋_GB2312" w:eastAsia="仿宋_GB2312" w:cs="仿宋_GB2312"/>
          <w:color w:val="auto"/>
          <w:sz w:val="28"/>
          <w:szCs w:val="28"/>
          <w:highlight w:val="none"/>
          <w:u w:val="single"/>
        </w:rPr>
        <w:t>合同暂定总价20%</w:t>
      </w:r>
      <w:r>
        <w:rPr>
          <w:rFonts w:hint="eastAsia" w:ascii="仿宋_GB2312" w:hAnsi="仿宋_GB2312" w:eastAsia="仿宋_GB2312" w:cs="仿宋_GB2312"/>
          <w:color w:val="auto"/>
          <w:sz w:val="28"/>
          <w:szCs w:val="28"/>
          <w:highlight w:val="none"/>
        </w:rPr>
        <w:t>作为违约金。</w:t>
      </w:r>
    </w:p>
    <w:p>
      <w:pPr>
        <w:pStyle w:val="78"/>
        <w:spacing w:beforeAutospacing="0" w:afterAutospacing="0" w:line="440" w:lineRule="exact"/>
        <w:ind w:firstLine="480" w:firstLineChars="200"/>
        <w:rPr>
          <w:rFonts w:hint="eastAsia" w:ascii="仿宋_GB2312" w:hAnsi="仿宋_GB2312" w:eastAsia="仿宋_GB2312" w:cs="仿宋_GB2312"/>
          <w:sz w:val="28"/>
          <w:szCs w:val="28"/>
          <w:highlight w:val="none"/>
          <w:lang w:eastAsia="zh-CN"/>
        </w:rPr>
      </w:pPr>
      <w:r>
        <w:rPr>
          <w:rFonts w:hint="eastAsia" w:cs="宋体"/>
          <w:color w:val="auto"/>
          <w:sz w:val="24"/>
          <w:szCs w:val="24"/>
          <w:highlight w:val="none"/>
          <w:lang w:val="en-US" w:eastAsia="zh-CN"/>
        </w:rPr>
        <w:t>4.2.2</w:t>
      </w:r>
      <w:r>
        <w:rPr>
          <w:rFonts w:hint="eastAsia" w:ascii="宋体" w:hAnsi="宋体" w:cs="宋体"/>
          <w:color w:val="auto"/>
          <w:sz w:val="24"/>
          <w:szCs w:val="24"/>
          <w:highlight w:val="none"/>
        </w:rPr>
        <w:t>监理人应向委托人</w:t>
      </w:r>
      <w:r>
        <w:rPr>
          <w:rFonts w:hint="eastAsia" w:ascii="仿宋_GB2312" w:hAnsi="仿宋_GB2312" w:eastAsia="仿宋_GB2312" w:cs="仿宋_GB2312"/>
          <w:sz w:val="28"/>
          <w:szCs w:val="28"/>
          <w:highlight w:val="none"/>
        </w:rPr>
        <w:t>按以下任一种形式提供履约担保</w:t>
      </w:r>
      <w:r>
        <w:rPr>
          <w:rFonts w:hint="eastAsia" w:ascii="仿宋_GB2312" w:hAnsi="仿宋_GB2312" w:eastAsia="仿宋_GB2312" w:cs="仿宋_GB2312"/>
          <w:sz w:val="28"/>
          <w:szCs w:val="28"/>
          <w:highlight w:val="none"/>
          <w:lang w:eastAsia="zh-CN"/>
        </w:rPr>
        <w:t>：</w:t>
      </w:r>
    </w:p>
    <w:p>
      <w:pPr>
        <w:pStyle w:val="78"/>
        <w:spacing w:beforeAutospacing="0" w:afterAutospacing="0" w:line="440" w:lineRule="exact"/>
        <w:ind w:firstLine="560" w:firstLineChars="200"/>
        <w:rPr>
          <w:rFonts w:hint="eastAsia" w:ascii="仿宋_GB2312" w:hAnsi="仿宋_GB2312" w:eastAsia="仿宋_GB2312" w:cs="仿宋_GB2312"/>
          <w:sz w:val="28"/>
          <w:szCs w:val="28"/>
          <w:highlight w:val="none"/>
          <w:lang w:eastAsia="zh-CN"/>
        </w:rPr>
      </w:pPr>
      <w:r>
        <w:rPr>
          <w:rFonts w:hint="eastAsia" w:ascii="仿宋_GB2312" w:hAnsi="仿宋_GB2312" w:eastAsia="仿宋_GB2312" w:cs="仿宋_GB2312"/>
          <w:sz w:val="28"/>
          <w:szCs w:val="28"/>
          <w:highlight w:val="none"/>
        </w:rPr>
        <w:t>（1）符合</w:t>
      </w:r>
      <w:r>
        <w:rPr>
          <w:rFonts w:hint="eastAsia" w:ascii="仿宋_GB2312" w:hAnsi="仿宋_GB2312" w:eastAsia="仿宋_GB2312" w:cs="仿宋_GB2312"/>
          <w:sz w:val="28"/>
          <w:szCs w:val="28"/>
          <w:highlight w:val="none"/>
          <w:lang w:eastAsia="zh-CN"/>
        </w:rPr>
        <w:t>委托人</w:t>
      </w:r>
      <w:r>
        <w:rPr>
          <w:rFonts w:hint="eastAsia" w:ascii="仿宋_GB2312" w:hAnsi="仿宋_GB2312" w:eastAsia="仿宋_GB2312" w:cs="仿宋_GB2312"/>
          <w:sz w:val="28"/>
          <w:szCs w:val="28"/>
          <w:highlight w:val="none"/>
        </w:rPr>
        <w:t>要求（详见附件保函格式）的银行独立保函</w:t>
      </w:r>
      <w:r>
        <w:rPr>
          <w:rFonts w:hint="eastAsia" w:ascii="仿宋_GB2312" w:hAnsi="仿宋_GB2312" w:eastAsia="仿宋_GB2312" w:cs="仿宋_GB2312"/>
          <w:sz w:val="28"/>
          <w:szCs w:val="28"/>
          <w:highlight w:val="none"/>
          <w:lang w:eastAsia="zh-CN"/>
        </w:rPr>
        <w:t>；</w:t>
      </w:r>
    </w:p>
    <w:p>
      <w:pPr>
        <w:pStyle w:val="78"/>
        <w:numPr>
          <w:ilvl w:val="0"/>
          <w:numId w:val="0"/>
        </w:numPr>
        <w:spacing w:beforeAutospacing="0" w:afterAutospacing="0" w:line="4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（2）担保公司担保：项目所在地担保公司出具并经</w:t>
      </w:r>
      <w:r>
        <w:rPr>
          <w:rFonts w:hint="eastAsia" w:ascii="仿宋_GB2312" w:hAnsi="仿宋_GB2312" w:eastAsia="仿宋_GB2312" w:cs="仿宋_GB2312"/>
          <w:sz w:val="28"/>
          <w:szCs w:val="28"/>
          <w:highlight w:val="none"/>
          <w:lang w:eastAsia="zh-CN"/>
        </w:rPr>
        <w:t>委托人</w:t>
      </w:r>
      <w:r>
        <w:rPr>
          <w:rFonts w:hint="eastAsia" w:ascii="仿宋_GB2312" w:hAnsi="仿宋_GB2312" w:eastAsia="仿宋_GB2312" w:cs="仿宋_GB2312"/>
          <w:sz w:val="28"/>
          <w:szCs w:val="28"/>
          <w:highlight w:val="none"/>
        </w:rPr>
        <w:t>认可的无条件、不可撤销的连带担保；</w:t>
      </w:r>
    </w:p>
    <w:p>
      <w:pPr>
        <w:pStyle w:val="78"/>
        <w:numPr>
          <w:ilvl w:val="0"/>
          <w:numId w:val="0"/>
        </w:numPr>
        <w:spacing w:beforeAutospacing="0" w:afterAutospacing="0" w:line="440" w:lineRule="exact"/>
        <w:ind w:firstLine="560" w:firstLineChars="20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（3）保证保险：项目所在地保险公司出具并经</w:t>
      </w:r>
      <w:r>
        <w:rPr>
          <w:rFonts w:hint="eastAsia" w:ascii="仿宋_GB2312" w:hAnsi="仿宋_GB2312" w:eastAsia="仿宋_GB2312" w:cs="仿宋_GB2312"/>
          <w:sz w:val="28"/>
          <w:szCs w:val="28"/>
          <w:highlight w:val="none"/>
          <w:lang w:eastAsia="zh-CN"/>
        </w:rPr>
        <w:t>委托人</w:t>
      </w:r>
      <w:r>
        <w:rPr>
          <w:rFonts w:hint="eastAsia" w:ascii="仿宋_GB2312" w:hAnsi="仿宋_GB2312" w:eastAsia="仿宋_GB2312" w:cs="仿宋_GB2312"/>
          <w:sz w:val="28"/>
          <w:szCs w:val="28"/>
          <w:highlight w:val="none"/>
        </w:rPr>
        <w:t>认可的无条件、不可撤销的保证保险；</w:t>
      </w:r>
    </w:p>
    <w:p>
      <w:pPr>
        <w:pStyle w:val="78"/>
        <w:spacing w:beforeAutospacing="0" w:afterAutospacing="0" w:line="440" w:lineRule="exact"/>
        <w:ind w:firstLine="480"/>
        <w:rPr>
          <w:rFonts w:ascii="仿宋_GB2312" w:hAnsi="仿宋_GB2312" w:eastAsia="仿宋_GB2312" w:cs="仿宋_GB2312"/>
          <w:sz w:val="28"/>
          <w:szCs w:val="28"/>
          <w:highlight w:val="none"/>
        </w:rPr>
      </w:pPr>
      <w:r>
        <w:rPr>
          <w:rFonts w:hint="eastAsia" w:ascii="仿宋_GB2312" w:hAnsi="仿宋_GB2312" w:eastAsia="仿宋_GB2312" w:cs="仿宋_GB2312"/>
          <w:sz w:val="28"/>
          <w:szCs w:val="28"/>
          <w:highlight w:val="none"/>
        </w:rPr>
        <w:t>（4）现金转账至</w:t>
      </w:r>
      <w:r>
        <w:rPr>
          <w:rFonts w:hint="eastAsia" w:ascii="仿宋_GB2312" w:hAnsi="仿宋_GB2312" w:eastAsia="仿宋_GB2312" w:cs="仿宋_GB2312"/>
          <w:sz w:val="28"/>
          <w:szCs w:val="28"/>
          <w:highlight w:val="none"/>
          <w:lang w:eastAsia="zh-CN"/>
        </w:rPr>
        <w:t>委托人</w:t>
      </w:r>
      <w:r>
        <w:rPr>
          <w:rFonts w:hint="eastAsia" w:ascii="仿宋_GB2312" w:hAnsi="仿宋_GB2312" w:eastAsia="仿宋_GB2312" w:cs="仿宋_GB2312"/>
          <w:sz w:val="28"/>
          <w:szCs w:val="28"/>
          <w:highlight w:val="none"/>
        </w:rPr>
        <w:t>以下指定账户：</w:t>
      </w:r>
    </w:p>
    <w:p>
      <w:pPr>
        <w:tabs>
          <w:tab w:val="left" w:pos="1995"/>
        </w:tabs>
        <w:spacing w:line="44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户名：广州市净水有限公司</w:t>
      </w:r>
    </w:p>
    <w:p>
      <w:pPr>
        <w:tabs>
          <w:tab w:val="left" w:pos="1995"/>
        </w:tabs>
        <w:spacing w:line="44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账号：82010154900000342</w:t>
      </w:r>
    </w:p>
    <w:p>
      <w:pPr>
        <w:tabs>
          <w:tab w:val="left" w:pos="1995"/>
        </w:tabs>
        <w:spacing w:line="44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开户行：浦发银行广州分行</w:t>
      </w:r>
    </w:p>
    <w:p>
      <w:pPr>
        <w:spacing w:line="440" w:lineRule="exact"/>
        <w:ind w:firstLine="560" w:firstLineChars="200"/>
        <w:outlineLvl w:val="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4.2.3</w:t>
      </w:r>
      <w:r>
        <w:rPr>
          <w:rFonts w:hint="eastAsia" w:ascii="仿宋_GB2312" w:hAnsi="仿宋_GB2312" w:eastAsia="仿宋_GB2312" w:cs="仿宋_GB2312"/>
          <w:color w:val="auto"/>
          <w:sz w:val="28"/>
          <w:szCs w:val="28"/>
          <w:highlight w:val="none"/>
        </w:rPr>
        <w:t>履约担保的担保期限和返还</w:t>
      </w:r>
    </w:p>
    <w:p>
      <w:pPr>
        <w:spacing w:line="440" w:lineRule="exact"/>
        <w:ind w:firstLine="560" w:firstLineChars="200"/>
        <w:outlineLvl w:val="0"/>
        <w:rPr>
          <w:rFonts w:ascii="仿宋_GB2312" w:hAnsi="仿宋_GB2312" w:eastAsia="仿宋_GB2312" w:cs="仿宋_GB2312"/>
          <w:color w:val="auto"/>
          <w:sz w:val="28"/>
          <w:szCs w:val="28"/>
          <w:highlight w:val="none"/>
        </w:rPr>
      </w:pPr>
      <w:r>
        <w:rPr>
          <w:rFonts w:hint="eastAsia" w:hAnsi="仿宋_GB2312" w:cs="仿宋_GB2312"/>
          <w:color w:val="auto"/>
          <w:sz w:val="28"/>
          <w:szCs w:val="28"/>
          <w:highlight w:val="none"/>
        </w:rPr>
        <w:t>（1）</w:t>
      </w:r>
      <w:r>
        <w:rPr>
          <w:rFonts w:hint="eastAsia" w:ascii="仿宋_GB2312" w:hAnsi="仿宋_GB2312" w:eastAsia="仿宋_GB2312" w:cs="仿宋_GB2312"/>
          <w:color w:val="auto"/>
          <w:sz w:val="28"/>
          <w:szCs w:val="28"/>
          <w:highlight w:val="none"/>
        </w:rPr>
        <w:t>担保期限：从提供履约担保（或转账成功）之日起至项目完工验收止。</w:t>
      </w:r>
    </w:p>
    <w:p>
      <w:pPr>
        <w:spacing w:line="440" w:lineRule="exact"/>
        <w:ind w:firstLine="560" w:firstLineChars="200"/>
        <w:rPr>
          <w:rFonts w:ascii="仿宋_GB2312" w:hAnsi="仿宋_GB2312" w:eastAsia="仿宋_GB2312" w:cs="仿宋_GB2312"/>
          <w:color w:val="auto"/>
          <w:sz w:val="28"/>
          <w:szCs w:val="28"/>
          <w:highlight w:val="none"/>
        </w:rPr>
      </w:pPr>
      <w:r>
        <w:rPr>
          <w:rFonts w:hint="eastAsia" w:hAnsi="仿宋_GB2312" w:cs="仿宋_GB2312"/>
          <w:color w:val="auto"/>
          <w:sz w:val="28"/>
          <w:szCs w:val="28"/>
          <w:highlight w:val="none"/>
        </w:rPr>
        <w:t>（2）</w:t>
      </w:r>
      <w:r>
        <w:rPr>
          <w:rFonts w:hint="eastAsia" w:ascii="仿宋_GB2312" w:hAnsi="仿宋_GB2312" w:eastAsia="仿宋_GB2312" w:cs="仿宋_GB2312"/>
          <w:color w:val="auto"/>
          <w:sz w:val="28"/>
          <w:szCs w:val="28"/>
          <w:highlight w:val="none"/>
        </w:rPr>
        <w:t>履约银行保函、担保公司担保、保证保险在工程完工验收后，由</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提出申请，</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在28日内返还，不支付利息：</w:t>
      </w:r>
    </w:p>
    <w:p>
      <w:pPr>
        <w:spacing w:line="440" w:lineRule="exact"/>
        <w:ind w:firstLine="560" w:firstLineChars="200"/>
        <w:outlineLvl w:val="0"/>
        <w:rPr>
          <w:rFonts w:ascii="仿宋_GB2312" w:hAnsi="仿宋_GB2312" w:eastAsia="仿宋_GB2312" w:cs="仿宋_GB2312"/>
          <w:color w:val="auto"/>
          <w:sz w:val="28"/>
          <w:szCs w:val="28"/>
          <w:highlight w:val="none"/>
        </w:rPr>
      </w:pPr>
      <w:r>
        <w:rPr>
          <w:rFonts w:hint="eastAsia" w:hAnsi="仿宋_GB2312" w:cs="仿宋_GB2312"/>
          <w:color w:val="auto"/>
          <w:sz w:val="28"/>
          <w:szCs w:val="28"/>
          <w:highlight w:val="none"/>
        </w:rPr>
        <w:t>（3）</w:t>
      </w:r>
      <w:r>
        <w:rPr>
          <w:rFonts w:hint="eastAsia" w:ascii="仿宋_GB2312" w:hAnsi="仿宋_GB2312" w:eastAsia="仿宋_GB2312" w:cs="仿宋_GB2312"/>
          <w:color w:val="auto"/>
          <w:sz w:val="28"/>
          <w:szCs w:val="28"/>
          <w:highlight w:val="none"/>
        </w:rPr>
        <w:t>延长担保期限。</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应在履约担保有效期届满之日的7天前，向</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提交同样格式且更新日期后的有效担保替代原担保，否则，每逾期一天，</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应向</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支付违约金</w:t>
      </w:r>
      <w:r>
        <w:rPr>
          <w:rFonts w:hint="eastAsia" w:ascii="仿宋_GB2312" w:hAnsi="仿宋_GB2312" w:eastAsia="仿宋_GB2312" w:cs="仿宋_GB2312"/>
          <w:color w:val="auto"/>
          <w:sz w:val="28"/>
          <w:szCs w:val="28"/>
          <w:highlight w:val="none"/>
          <w:u w:val="single"/>
          <w:lang w:val="en-US" w:eastAsia="zh-CN"/>
        </w:rPr>
        <w:t>2</w:t>
      </w:r>
      <w:r>
        <w:rPr>
          <w:rFonts w:hint="eastAsia" w:ascii="仿宋_GB2312" w:hAnsi="仿宋_GB2312" w:eastAsia="仿宋_GB2312" w:cs="仿宋_GB2312"/>
          <w:color w:val="auto"/>
          <w:sz w:val="28"/>
          <w:szCs w:val="28"/>
          <w:highlight w:val="none"/>
          <w:u w:val="single"/>
        </w:rPr>
        <w:t>万元/天</w:t>
      </w:r>
      <w:r>
        <w:rPr>
          <w:rFonts w:hint="eastAsia" w:ascii="仿宋_GB2312" w:hAnsi="仿宋_GB2312" w:eastAsia="仿宋_GB2312" w:cs="仿宋_GB2312"/>
          <w:color w:val="auto"/>
          <w:sz w:val="28"/>
          <w:szCs w:val="28"/>
          <w:highlight w:val="none"/>
        </w:rPr>
        <w:t>，且</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有权提取全部履约担保金额并解除合同。</w:t>
      </w:r>
    </w:p>
    <w:p>
      <w:pPr>
        <w:pStyle w:val="78"/>
        <w:spacing w:beforeAutospacing="0" w:afterAutospacing="0" w:line="440" w:lineRule="exact"/>
        <w:ind w:firstLine="560" w:firstLineChars="200"/>
        <w:rPr>
          <w:rFonts w:ascii="仿宋_GB2312" w:hAnsi="仿宋_GB2312" w:eastAsia="仿宋_GB2312" w:cs="仿宋_GB2312"/>
          <w:color w:val="auto"/>
          <w:sz w:val="28"/>
          <w:szCs w:val="28"/>
          <w:highlight w:val="none"/>
          <w:u w:val="single"/>
        </w:rPr>
      </w:pPr>
      <w:r>
        <w:rPr>
          <w:rFonts w:hint="eastAsia" w:ascii="仿宋_GB2312" w:hAnsi="仿宋_GB2312" w:cs="仿宋_GB2312"/>
          <w:color w:val="auto"/>
          <w:sz w:val="28"/>
          <w:szCs w:val="28"/>
          <w:highlight w:val="none"/>
        </w:rPr>
        <w:t>（4）</w:t>
      </w:r>
      <w:r>
        <w:rPr>
          <w:rFonts w:hint="eastAsia" w:ascii="仿宋_GB2312" w:hAnsi="仿宋_GB2312" w:eastAsia="仿宋_GB2312" w:cs="仿宋_GB2312"/>
          <w:color w:val="auto"/>
          <w:sz w:val="28"/>
          <w:szCs w:val="28"/>
          <w:highlight w:val="none"/>
        </w:rPr>
        <w:t>现金履约保证金的退还：工程完工验收后，由</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提出申请，</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在</w:t>
      </w:r>
      <w:r>
        <w:rPr>
          <w:rFonts w:hint="eastAsia" w:ascii="仿宋_GB2312" w:hAnsi="仿宋_GB2312" w:eastAsia="仿宋_GB2312" w:cs="仿宋_GB2312"/>
          <w:color w:val="auto"/>
          <w:sz w:val="28"/>
          <w:szCs w:val="28"/>
          <w:highlight w:val="none"/>
          <w:u w:val="single"/>
        </w:rPr>
        <w:t>28日</w:t>
      </w:r>
      <w:r>
        <w:rPr>
          <w:rFonts w:hint="eastAsia" w:ascii="仿宋_GB2312" w:hAnsi="仿宋_GB2312" w:eastAsia="仿宋_GB2312" w:cs="仿宋_GB2312"/>
          <w:color w:val="auto"/>
          <w:sz w:val="28"/>
          <w:szCs w:val="28"/>
          <w:highlight w:val="none"/>
        </w:rPr>
        <w:t>内将剩余保证金（无息）返还。</w:t>
      </w:r>
    </w:p>
    <w:p>
      <w:pPr>
        <w:spacing w:line="440" w:lineRule="exact"/>
        <w:ind w:firstLine="560" w:firstLineChars="200"/>
        <w:rPr>
          <w:rFonts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lang w:val="en-US" w:eastAsia="zh-CN"/>
        </w:rPr>
        <w:t>4.2.4</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按本合同规定提取履约担保金额后，</w:t>
      </w:r>
      <w:r>
        <w:rPr>
          <w:rFonts w:hint="eastAsia" w:ascii="仿宋_GB2312" w:hAnsi="仿宋_GB2312" w:eastAsia="仿宋_GB2312" w:cs="仿宋_GB2312"/>
          <w:color w:val="auto"/>
          <w:sz w:val="28"/>
          <w:szCs w:val="28"/>
          <w:highlight w:val="none"/>
          <w:lang w:eastAsia="zh-CN"/>
        </w:rPr>
        <w:t>监理人</w:t>
      </w:r>
      <w:r>
        <w:rPr>
          <w:rFonts w:hint="eastAsia" w:ascii="仿宋_GB2312" w:hAnsi="仿宋_GB2312" w:eastAsia="仿宋_GB2312" w:cs="仿宋_GB2312"/>
          <w:color w:val="auto"/>
          <w:sz w:val="28"/>
          <w:szCs w:val="28"/>
          <w:highlight w:val="none"/>
        </w:rPr>
        <w:t>应在收到</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通知后</w:t>
      </w:r>
      <w:r>
        <w:rPr>
          <w:rFonts w:hint="eastAsia" w:ascii="仿宋_GB2312" w:hAnsi="仿宋_GB2312" w:eastAsia="仿宋_GB2312" w:cs="仿宋_GB2312"/>
          <w:color w:val="auto"/>
          <w:sz w:val="28"/>
          <w:szCs w:val="28"/>
          <w:highlight w:val="none"/>
          <w:u w:val="single"/>
        </w:rPr>
        <w:t xml:space="preserve"> 7 </w:t>
      </w:r>
      <w:r>
        <w:rPr>
          <w:rFonts w:hint="eastAsia" w:ascii="仿宋_GB2312" w:hAnsi="仿宋_GB2312" w:eastAsia="仿宋_GB2312" w:cs="仿宋_GB2312"/>
          <w:color w:val="auto"/>
          <w:sz w:val="28"/>
          <w:szCs w:val="28"/>
          <w:highlight w:val="none"/>
        </w:rPr>
        <w:t>日内补足数额，逾期未补足的，则</w:t>
      </w:r>
      <w:r>
        <w:rPr>
          <w:rFonts w:hint="eastAsia" w:ascii="仿宋_GB2312" w:hAnsi="仿宋_GB2312" w:eastAsia="仿宋_GB2312" w:cs="仿宋_GB2312"/>
          <w:color w:val="auto"/>
          <w:sz w:val="28"/>
          <w:szCs w:val="28"/>
          <w:highlight w:val="none"/>
          <w:lang w:eastAsia="zh-CN"/>
        </w:rPr>
        <w:t>委托人</w:t>
      </w:r>
      <w:r>
        <w:rPr>
          <w:rFonts w:hint="eastAsia" w:ascii="仿宋_GB2312" w:hAnsi="仿宋_GB2312" w:eastAsia="仿宋_GB2312" w:cs="仿宋_GB2312"/>
          <w:color w:val="auto"/>
          <w:sz w:val="28"/>
          <w:szCs w:val="28"/>
          <w:highlight w:val="none"/>
        </w:rPr>
        <w:t>有权提取履约担保的全部余额并解除合同。</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lang w:val="en-US" w:eastAsia="zh-CN"/>
        </w:rPr>
        <w:t>4.2.5</w:t>
      </w:r>
      <w:r>
        <w:rPr>
          <w:rFonts w:hint="eastAsia" w:ascii="宋体" w:hAnsi="宋体" w:cs="宋体"/>
          <w:color w:val="auto"/>
          <w:sz w:val="21"/>
          <w:szCs w:val="21"/>
          <w:highlight w:val="none"/>
        </w:rPr>
        <w:t>监理人未按合同约定履行合同义务和责任，需向委托人支付违约金、赔偿金及其他费用，或因监理人原因给委托人造成损失或导致第三方向委托人索赔的，委托人有权直接提取等额的履约担保金额。</w:t>
      </w:r>
    </w:p>
    <w:p>
      <w:pPr>
        <w:spacing w:line="360" w:lineRule="auto"/>
        <w:rPr>
          <w:rFonts w:ascii="黑体" w:hAnsi="黑体" w:eastAsia="黑体"/>
          <w:color w:val="auto"/>
          <w:sz w:val="28"/>
          <w:highlight w:val="none"/>
        </w:rPr>
      </w:pPr>
      <w:r>
        <w:rPr>
          <w:rFonts w:ascii="黑体" w:hAnsi="黑体" w:eastAsia="黑体"/>
          <w:color w:val="auto"/>
          <w:sz w:val="28"/>
          <w:highlight w:val="none"/>
        </w:rPr>
        <w:t>4.5 监理人员的管理</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4.5.2 除专用合同条款另有约定外，主要监理人员包括总监理工程师、专业监理工程师、造价工程师等；其他人员包括各专业的监理员、资料员等。</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5</w:t>
      </w:r>
      <w:r>
        <w:rPr>
          <w:rFonts w:hint="eastAsia" w:ascii="宋体" w:hAnsi="宋体" w:cs="宋体"/>
          <w:color w:val="auto"/>
          <w:sz w:val="21"/>
          <w:szCs w:val="21"/>
          <w:highlight w:val="none"/>
        </w:rPr>
        <w:t>监理人派驻到工程所在地履行监理服务的监理人员，必须符合法律法规规定的资质要求并能够适应监理合同规定的监理服务工作。监理人员的资质、配额见合同附件《本项目的监理组织机构》。</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6</w:t>
      </w:r>
      <w:r>
        <w:rPr>
          <w:rFonts w:hint="eastAsia" w:ascii="宋体" w:hAnsi="宋体" w:cs="宋体"/>
          <w:color w:val="auto"/>
          <w:sz w:val="21"/>
          <w:szCs w:val="21"/>
          <w:highlight w:val="none"/>
        </w:rPr>
        <w:t>监理人按合同约定派出监理工作需要的监理机构及监理人员（监理人员配备应该符合投标文件的要求），向委托人报送委派的总监理工程师及其监理机构主要成员名单（名单需经委托人按投标文件复核、确认）、监理规划，完成监理合同专用合同条款中约定的监理工程范围内的监理业务。在履行合同义务期间，应按合同约定定期向委托人报告监理工作。委托人有权根据工程进展和工程建设需要增加要求监理人增加监理人员，监理人须无条件服从。</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7</w:t>
      </w:r>
      <w:r>
        <w:rPr>
          <w:rFonts w:hint="eastAsia" w:ascii="宋体" w:hAnsi="宋体" w:cs="宋体"/>
          <w:color w:val="auto"/>
          <w:sz w:val="21"/>
          <w:szCs w:val="21"/>
          <w:highlight w:val="none"/>
        </w:rPr>
        <w:t>为了履行监理服务，监理人应向委托人及各有关单位提供监理机构名录及联系方式，并同时指定一名授权代表与委托人授权代表建立工作联系。</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8</w:t>
      </w:r>
      <w:r>
        <w:rPr>
          <w:rFonts w:hint="eastAsia" w:ascii="宋体" w:hAnsi="宋体" w:cs="宋体"/>
          <w:color w:val="auto"/>
          <w:sz w:val="21"/>
          <w:szCs w:val="21"/>
          <w:highlight w:val="none"/>
        </w:rPr>
        <w:t>为做好工程造价控制工作，监理人需委派出负责合同工程工程造价专业技术的注册造价工程师，监理人应在签订监理合同后将造价工程师任命书以书面形式通知委托人和承包人。造价工程师行使合同明文规定和必然隐含的职权，负责工程计量和计价，工程进度款的调整和核实，变更预算的审核、结算价款的审核、调整，签发支付证书，及时向承包人提供合同价款的核实、调整和通知等指令。造价工程师无权免除或变更合同规定的合同任何一方当事人在合同履行期间的权利、义务和责任。</w:t>
      </w:r>
    </w:p>
    <w:p>
      <w:pPr>
        <w:spacing w:line="360" w:lineRule="auto"/>
        <w:ind w:firstLine="420" w:firstLineChars="200"/>
        <w:rPr>
          <w:rFonts w:ascii="宋体" w:hAnsi="宋体"/>
          <w:color w:val="auto"/>
          <w:sz w:val="21"/>
          <w:highlight w:val="none"/>
        </w:rPr>
      </w:pPr>
      <w:r>
        <w:rPr>
          <w:rFonts w:ascii="宋体" w:hAnsi="宋体"/>
          <w:color w:val="auto"/>
          <w:sz w:val="21"/>
          <w:highlight w:val="none"/>
        </w:rPr>
        <w:t>4.5.</w:t>
      </w:r>
      <w:r>
        <w:rPr>
          <w:rFonts w:hint="eastAsia" w:ascii="宋体" w:hAnsi="宋体"/>
          <w:color w:val="auto"/>
          <w:sz w:val="21"/>
          <w:highlight w:val="none"/>
        </w:rPr>
        <w:t>9监理人不得更换其在</w:t>
      </w:r>
      <w:r>
        <w:rPr>
          <w:rFonts w:hint="eastAsia" w:ascii="宋体" w:hAnsi="宋体"/>
          <w:color w:val="auto"/>
          <w:sz w:val="21"/>
          <w:highlight w:val="none"/>
          <w:lang w:val="en-US" w:eastAsia="zh-CN"/>
        </w:rPr>
        <w:t>响应</w:t>
      </w:r>
      <w:r>
        <w:rPr>
          <w:rFonts w:hint="eastAsia" w:ascii="宋体" w:hAnsi="宋体"/>
          <w:color w:val="auto"/>
          <w:sz w:val="21"/>
          <w:highlight w:val="none"/>
        </w:rPr>
        <w:t>文件中承诺的总监理工程师及其他主要监理人员，但因重病（需持有县、区以上医院出具的两个月以上不能履行职责的证明）、身故更换的除外。</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监理人向委托人申请更换的，非突发情况应提前</w:t>
      </w:r>
      <w:r>
        <w:rPr>
          <w:rFonts w:hint="eastAsia" w:ascii="宋体" w:hAnsi="宋体" w:cs="宋体"/>
          <w:color w:val="auto"/>
          <w:sz w:val="21"/>
          <w:szCs w:val="21"/>
          <w:highlight w:val="none"/>
          <w:lang w:val="en-US" w:eastAsia="zh-CN"/>
        </w:rPr>
        <w:t>7</w:t>
      </w:r>
      <w:r>
        <w:rPr>
          <w:rFonts w:hint="eastAsia" w:ascii="宋体" w:hAnsi="宋体" w:cs="宋体"/>
          <w:color w:val="auto"/>
          <w:sz w:val="21"/>
          <w:szCs w:val="21"/>
          <w:highlight w:val="none"/>
        </w:rPr>
        <w:t>天提出申请，突发情况下，应在事件发生之日起3天内提出。无论是否经委托人同意，监理人更换人员应承担下列违约责任：因人员辞职（需提供辞职流程文件及社保停保证明）更换总监理工程师的，应支付违约金</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万元/人次，更换其他主要监理人员的，应支付违约金</w:t>
      </w:r>
      <w:r>
        <w:rPr>
          <w:rFonts w:hint="eastAsia" w:ascii="宋体" w:hAnsi="宋体" w:cs="宋体"/>
          <w:color w:val="auto"/>
          <w:sz w:val="21"/>
          <w:szCs w:val="21"/>
          <w:highlight w:val="none"/>
          <w:lang w:val="en-US" w:eastAsia="zh-CN"/>
        </w:rPr>
        <w:t>0.</w:t>
      </w:r>
      <w:r>
        <w:rPr>
          <w:rFonts w:hint="eastAsia" w:ascii="宋体" w:hAnsi="宋体" w:cs="宋体"/>
          <w:color w:val="auto"/>
          <w:sz w:val="21"/>
          <w:szCs w:val="21"/>
          <w:highlight w:val="none"/>
        </w:rPr>
        <w:t>5万元/人次；因其他原因更换总监理工程师的，应支付违约金</w:t>
      </w:r>
      <w:r>
        <w:rPr>
          <w:rFonts w:hint="eastAsia" w:ascii="宋体" w:hAnsi="宋体" w:cs="宋体"/>
          <w:color w:val="auto"/>
          <w:sz w:val="21"/>
          <w:szCs w:val="21"/>
          <w:highlight w:val="none"/>
          <w:lang w:val="en-US" w:eastAsia="zh-CN"/>
        </w:rPr>
        <w:t>2</w:t>
      </w:r>
      <w:r>
        <w:rPr>
          <w:rFonts w:hint="eastAsia" w:ascii="宋体" w:hAnsi="宋体" w:cs="宋体"/>
          <w:color w:val="auto"/>
          <w:sz w:val="21"/>
          <w:szCs w:val="21"/>
          <w:highlight w:val="none"/>
        </w:rPr>
        <w:t>万元/人次，更换其他主要监理人员的，应支付违约金1万元/人次。</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监理人更换的总监理工程师及其他主要监理人员的资质必须不低于原总监理工程师及其他主要监理人员。</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10</w:t>
      </w:r>
      <w:r>
        <w:rPr>
          <w:rFonts w:hint="eastAsia" w:ascii="宋体" w:hAnsi="宋体" w:cs="宋体"/>
          <w:color w:val="auto"/>
          <w:sz w:val="21"/>
          <w:szCs w:val="21"/>
          <w:highlight w:val="none"/>
        </w:rPr>
        <w:t>经委托人同意，除合同约定或依法规应由总监理工程师、造价工程师行使的职权外，总监理工程师、造价工程师可将其部分职权以书面形式授予其任命的总监理工程师、造价工程师代表，亦可将其授权撤回。任何此类任命或撤回，均应至少提前7 天以书面形式通知委托人和承包人。未将有关文件送交委托人和承包人之前，任何此类任命或撤回均为无效。</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11</w:t>
      </w:r>
      <w:r>
        <w:rPr>
          <w:rFonts w:hint="eastAsia" w:ascii="宋体" w:hAnsi="宋体" w:cs="宋体"/>
          <w:color w:val="auto"/>
          <w:sz w:val="21"/>
          <w:szCs w:val="21"/>
          <w:highlight w:val="none"/>
        </w:rPr>
        <w:t xml:space="preserve">经委托人同意并由总监理工程师任命的总监理工程师或造价工程师代表行使总监理工程师或造价工程师授予的职权，对总监理工程师或造价工程师负责。被授权代表在授予职权范围内工作，总监理工程师或造价工程师应予认可。 </w:t>
      </w:r>
    </w:p>
    <w:p>
      <w:pPr>
        <w:spacing w:line="360" w:lineRule="auto"/>
        <w:ind w:firstLine="420" w:firstLineChars="200"/>
        <w:rPr>
          <w:rFonts w:ascii="宋体" w:hAnsi="宋体" w:cs="宋体"/>
          <w:color w:val="auto"/>
          <w:sz w:val="21"/>
          <w:szCs w:val="21"/>
          <w:highlight w:val="none"/>
        </w:rPr>
      </w:pPr>
      <w:r>
        <w:rPr>
          <w:rFonts w:ascii="宋体" w:hAnsi="宋体"/>
          <w:color w:val="auto"/>
          <w:sz w:val="21"/>
          <w:highlight w:val="none"/>
        </w:rPr>
        <w:t>4.5.</w:t>
      </w:r>
      <w:r>
        <w:rPr>
          <w:rFonts w:hint="eastAsia" w:ascii="宋体" w:hAnsi="宋体"/>
          <w:color w:val="auto"/>
          <w:sz w:val="21"/>
          <w:highlight w:val="none"/>
        </w:rPr>
        <w:t>12</w:t>
      </w:r>
      <w:r>
        <w:rPr>
          <w:rFonts w:hint="eastAsia" w:ascii="宋体" w:hAnsi="宋体" w:cs="宋体"/>
          <w:color w:val="auto"/>
          <w:sz w:val="21"/>
          <w:szCs w:val="21"/>
          <w:highlight w:val="none"/>
        </w:rPr>
        <w:t>在监理合同有效期内，委托人有权要求监理人派驻造价人员驻委托人总部（或二级机构）配合委托人进行审价工作，该费用已包含在投标报价中。</w:t>
      </w:r>
    </w:p>
    <w:p>
      <w:pPr>
        <w:spacing w:line="360" w:lineRule="auto"/>
        <w:ind w:firstLine="420" w:firstLineChars="200"/>
        <w:rPr>
          <w:rFonts w:ascii="宋体" w:hAnsi="宋体" w:cs="宋体"/>
          <w:color w:val="auto"/>
          <w:sz w:val="21"/>
          <w:szCs w:val="21"/>
          <w:highlight w:val="none"/>
        </w:rPr>
      </w:pPr>
      <w:r>
        <w:rPr>
          <w:rFonts w:hint="eastAsia" w:ascii="宋体" w:hAnsi="宋体" w:cs="宋体"/>
          <w:color w:val="auto"/>
          <w:sz w:val="21"/>
          <w:szCs w:val="21"/>
          <w:highlight w:val="none"/>
        </w:rPr>
        <w:t>4.5.13监理人派驻至委托人总部（或二级机构）的造价人员在一个月（日历月）内，若5次无故迟到早退的（以委托人的考勤为准），委托人有权要求监理人支付违约金人民币0.5万元。</w:t>
      </w:r>
    </w:p>
    <w:p>
      <w:pPr>
        <w:spacing w:line="360" w:lineRule="auto"/>
        <w:rPr>
          <w:rFonts w:ascii="黑体" w:hAnsi="黑体" w:eastAsia="黑体"/>
          <w:color w:val="auto"/>
          <w:sz w:val="28"/>
          <w:highlight w:val="none"/>
        </w:rPr>
      </w:pPr>
      <w:r>
        <w:rPr>
          <w:rFonts w:ascii="黑体" w:hAnsi="黑体" w:eastAsia="黑体"/>
          <w:color w:val="auto"/>
          <w:sz w:val="28"/>
          <w:highlight w:val="none"/>
        </w:rPr>
        <w:t>4.6 撤换总监理工程师和其他人员</w:t>
      </w:r>
    </w:p>
    <w:p>
      <w:pPr>
        <w:spacing w:line="360" w:lineRule="auto"/>
        <w:ind w:firstLine="840" w:firstLineChars="400"/>
        <w:rPr>
          <w:rFonts w:ascii="宋体" w:hAnsi="宋体"/>
          <w:color w:val="auto"/>
          <w:sz w:val="21"/>
          <w:highlight w:val="none"/>
        </w:rPr>
      </w:pPr>
      <w:r>
        <w:rPr>
          <w:rFonts w:hint="eastAsia" w:ascii="宋体" w:hAnsi="宋体"/>
          <w:color w:val="auto"/>
          <w:sz w:val="21"/>
          <w:highlight w:val="none"/>
        </w:rPr>
        <w:t>委托人有权书面通知监理人要求撤换其认为不称职的、或无故缺勤累计10天以上、或擅自离开施工现场累计达到5次以上的派驻人员，通知中应当载明要求撤换的理由。监理人应在接到撤换通知后7天内向委托人提出书面的改进报告。如监理人没有提出改进报告，应在收到撤换通知后7天内撤换派驻人员。委托人收到改进报告后仍要求撤换的，监理人应在接到第二次撤换通知的7天内进行撤换，并将新任命的派驻人员的注册执业资格、管理经验等资料书面通知委托人，继任人员的资质、资历、学历、职称、业绩、实际工作能力应不低于被继任人员，继任人员继续履行本合同约定的职责。监理人无正当理由拒绝撤换总监理工程师的，应支付违约金</w:t>
      </w:r>
      <w:r>
        <w:rPr>
          <w:rFonts w:hint="eastAsia" w:ascii="宋体" w:hAnsi="宋体"/>
          <w:color w:val="auto"/>
          <w:sz w:val="21"/>
          <w:highlight w:val="none"/>
          <w:lang w:val="en-US" w:eastAsia="zh-CN"/>
        </w:rPr>
        <w:t>2.5</w:t>
      </w:r>
      <w:r>
        <w:rPr>
          <w:rFonts w:hint="eastAsia" w:ascii="宋体" w:hAnsi="宋体"/>
          <w:color w:val="auto"/>
          <w:sz w:val="21"/>
          <w:highlight w:val="none"/>
        </w:rPr>
        <w:t>万元/次；承包人无正当理由拒绝撤换其他主要监理人员的，应支付违约金</w:t>
      </w:r>
      <w:r>
        <w:rPr>
          <w:rFonts w:hint="eastAsia" w:ascii="宋体" w:hAnsi="宋体"/>
          <w:color w:val="auto"/>
          <w:sz w:val="21"/>
          <w:highlight w:val="none"/>
          <w:lang w:val="en-US" w:eastAsia="zh-CN"/>
        </w:rPr>
        <w:t>1</w:t>
      </w:r>
      <w:r>
        <w:rPr>
          <w:rFonts w:hint="eastAsia" w:ascii="宋体" w:hAnsi="宋体"/>
          <w:color w:val="auto"/>
          <w:sz w:val="21"/>
          <w:highlight w:val="none"/>
        </w:rPr>
        <w:t>万元/人次。</w:t>
      </w:r>
    </w:p>
    <w:p>
      <w:pPr>
        <w:spacing w:line="360" w:lineRule="auto"/>
        <w:ind w:firstLine="560" w:firstLineChars="200"/>
        <w:rPr>
          <w:rFonts w:ascii="黑体" w:hAnsi="黑体" w:eastAsia="黑体"/>
          <w:color w:val="auto"/>
          <w:sz w:val="28"/>
          <w:highlight w:val="none"/>
        </w:rPr>
      </w:pPr>
      <w:r>
        <w:rPr>
          <w:rFonts w:ascii="黑体" w:hAnsi="黑体" w:eastAsia="黑体"/>
          <w:color w:val="auto"/>
          <w:sz w:val="28"/>
          <w:highlight w:val="none"/>
        </w:rPr>
        <w:t>4.7 保障人员的合法权益</w:t>
      </w:r>
    </w:p>
    <w:p>
      <w:pPr>
        <w:spacing w:line="360" w:lineRule="auto"/>
        <w:ind w:firstLine="420" w:firstLineChars="200"/>
        <w:rPr>
          <w:rFonts w:ascii="宋体" w:hAnsi="宋体"/>
          <w:color w:val="auto"/>
          <w:sz w:val="21"/>
          <w:highlight w:val="none"/>
          <w:u w:val="single"/>
        </w:rPr>
      </w:pPr>
      <w:r>
        <w:rPr>
          <w:rFonts w:ascii="宋体" w:hAnsi="宋体" w:cs="宋体"/>
          <w:color w:val="auto"/>
          <w:sz w:val="21"/>
          <w:szCs w:val="21"/>
          <w:highlight w:val="none"/>
        </w:rPr>
        <w:t xml:space="preserve">4.7.3 </w:t>
      </w:r>
      <w:r>
        <w:rPr>
          <w:rFonts w:hint="eastAsia" w:ascii="宋体" w:hAnsi="宋体"/>
          <w:color w:val="auto"/>
          <w:sz w:val="21"/>
          <w:highlight w:val="none"/>
          <w:u w:val="single"/>
        </w:rPr>
        <w:t>监理人需给从事本工程监理工作的监理工作人员办理必要的保险。</w:t>
      </w:r>
    </w:p>
    <w:p>
      <w:pPr>
        <w:spacing w:line="390" w:lineRule="exact"/>
        <w:rPr>
          <w:rFonts w:eastAsia="Times New Roman"/>
          <w:b/>
          <w:color w:val="auto"/>
          <w:sz w:val="32"/>
          <w:highlight w:val="none"/>
        </w:rPr>
      </w:pPr>
      <w:r>
        <w:rPr>
          <w:rFonts w:hint="eastAsia" w:ascii="黑体" w:hAnsi="黑体" w:eastAsia="黑体"/>
          <w:b/>
          <w:color w:val="auto"/>
          <w:sz w:val="32"/>
          <w:highlight w:val="none"/>
        </w:rPr>
        <w:t>5.</w:t>
      </w:r>
      <w:r>
        <w:rPr>
          <w:rFonts w:ascii="黑体" w:hAnsi="黑体" w:eastAsia="黑体"/>
          <w:b/>
          <w:color w:val="auto"/>
          <w:sz w:val="32"/>
          <w:highlight w:val="none"/>
        </w:rPr>
        <w:t>监理要求</w:t>
      </w:r>
    </w:p>
    <w:p>
      <w:pPr>
        <w:spacing w:line="207" w:lineRule="exact"/>
        <w:rPr>
          <w:rFonts w:eastAsia="Times New Roman"/>
          <w:color w:val="auto"/>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5.1 监理范围</w:t>
      </w:r>
    </w:p>
    <w:p>
      <w:pPr>
        <w:spacing w:line="360" w:lineRule="auto"/>
        <w:ind w:firstLine="420" w:firstLineChars="200"/>
        <w:rPr>
          <w:rFonts w:ascii="宋体" w:hAnsi="宋体"/>
          <w:color w:val="auto"/>
          <w:sz w:val="21"/>
          <w:highlight w:val="none"/>
        </w:rPr>
      </w:pPr>
      <w:r>
        <w:rPr>
          <w:rFonts w:ascii="宋体" w:hAnsi="宋体"/>
          <w:color w:val="auto"/>
          <w:sz w:val="21"/>
          <w:highlight w:val="none"/>
        </w:rPr>
        <w:t>5.1.2 工程范围指所监理工程的建设内容</w:t>
      </w:r>
      <w:r>
        <w:rPr>
          <w:rFonts w:hint="eastAsia" w:ascii="宋体" w:hAnsi="宋体"/>
          <w:color w:val="auto"/>
          <w:sz w:val="21"/>
          <w:highlight w:val="none"/>
        </w:rPr>
        <w:t>,具体范围如下：</w:t>
      </w:r>
    </w:p>
    <w:p>
      <w:pPr>
        <w:spacing w:line="360" w:lineRule="auto"/>
        <w:ind w:firstLine="420" w:firstLineChars="200"/>
        <w:rPr>
          <w:rFonts w:ascii="宋体" w:hAnsi="宋体"/>
          <w:color w:val="auto"/>
          <w:kern w:val="2"/>
          <w:sz w:val="21"/>
          <w:szCs w:val="21"/>
          <w:highlight w:val="none"/>
        </w:rPr>
      </w:pPr>
      <w:r>
        <w:rPr>
          <w:rFonts w:ascii="宋体" w:hAnsi="宋体"/>
          <w:color w:val="auto"/>
          <w:sz w:val="21"/>
          <w:highlight w:val="none"/>
        </w:rPr>
        <w:t>5.1.2</w:t>
      </w:r>
      <w:r>
        <w:rPr>
          <w:rFonts w:hint="eastAsia" w:ascii="宋体" w:hAnsi="宋体"/>
          <w:color w:val="auto"/>
          <w:sz w:val="21"/>
          <w:highlight w:val="none"/>
        </w:rPr>
        <w:t>.1工程名称</w:t>
      </w:r>
      <w:r>
        <w:rPr>
          <w:rFonts w:hint="eastAsia" w:ascii="宋体" w:hAnsi="宋体"/>
          <w:color w:val="auto"/>
          <w:sz w:val="21"/>
          <w:highlight w:val="none"/>
          <w:u w:val="single"/>
        </w:rPr>
        <w:t>：化龙堆存污泥综合处理处置项目</w:t>
      </w:r>
      <w:r>
        <w:rPr>
          <w:rFonts w:hint="eastAsia" w:ascii="宋体" w:hAnsi="宋体"/>
          <w:color w:val="auto"/>
          <w:sz w:val="21"/>
          <w:highlight w:val="none"/>
          <w:u w:val="single"/>
          <w:lang w:val="en-US" w:eastAsia="zh-CN"/>
        </w:rPr>
        <w:t xml:space="preserve">废弃烟囱爆破拆除工程       </w:t>
      </w:r>
      <w:r>
        <w:rPr>
          <w:rFonts w:hint="eastAsia" w:ascii="宋体" w:hAnsi="宋体"/>
          <w:color w:val="auto"/>
          <w:sz w:val="21"/>
          <w:highlight w:val="none"/>
          <w:lang w:val="en-US" w:eastAsia="zh-CN"/>
        </w:rPr>
        <w:t xml:space="preserve"> </w:t>
      </w:r>
      <w:r>
        <w:rPr>
          <w:rFonts w:hint="eastAsia" w:ascii="宋体" w:hAnsi="宋体"/>
          <w:color w:val="auto"/>
          <w:sz w:val="21"/>
          <w:highlight w:val="none"/>
        </w:rPr>
        <w:t xml:space="preserve">   </w:t>
      </w:r>
      <w:r>
        <w:rPr>
          <w:rFonts w:hint="eastAsia" w:ascii="宋体" w:hAnsi="宋体"/>
          <w:color w:val="auto"/>
          <w:kern w:val="2"/>
          <w:sz w:val="21"/>
          <w:szCs w:val="21"/>
          <w:highlight w:val="none"/>
        </w:rPr>
        <w:t xml:space="preserve"> </w:t>
      </w:r>
    </w:p>
    <w:p>
      <w:pPr>
        <w:spacing w:line="360" w:lineRule="auto"/>
        <w:ind w:firstLine="420" w:firstLineChars="200"/>
        <w:rPr>
          <w:rFonts w:ascii="宋体" w:hAnsi="宋体"/>
          <w:color w:val="auto"/>
          <w:sz w:val="21"/>
          <w:highlight w:val="none"/>
        </w:rPr>
      </w:pPr>
      <w:r>
        <w:rPr>
          <w:rFonts w:ascii="宋体" w:hAnsi="宋体"/>
          <w:color w:val="auto"/>
          <w:sz w:val="21"/>
          <w:highlight w:val="none"/>
        </w:rPr>
        <w:t>5.1.2</w:t>
      </w:r>
      <w:r>
        <w:rPr>
          <w:rFonts w:hint="eastAsia" w:ascii="宋体" w:hAnsi="宋体"/>
          <w:color w:val="auto"/>
          <w:sz w:val="21"/>
          <w:highlight w:val="none"/>
        </w:rPr>
        <w:t>.2</w:t>
      </w:r>
      <w:r>
        <w:rPr>
          <w:rFonts w:hint="eastAsia" w:ascii="宋体" w:hAnsi="宋体" w:cs="宋体"/>
          <w:color w:val="auto"/>
          <w:kern w:val="2"/>
          <w:sz w:val="21"/>
          <w:szCs w:val="21"/>
          <w:highlight w:val="none"/>
        </w:rPr>
        <w:t>建设地点</w:t>
      </w:r>
      <w:r>
        <w:rPr>
          <w:rFonts w:hint="eastAsia" w:ascii="宋体" w:hAnsi="宋体" w:cs="宋体"/>
          <w:i w:val="0"/>
          <w:iCs w:val="0"/>
          <w:color w:val="auto"/>
          <w:kern w:val="2"/>
          <w:sz w:val="21"/>
          <w:szCs w:val="21"/>
          <w:highlight w:val="none"/>
          <w:u w:val="single"/>
        </w:rPr>
        <w:t>：广州市番禺区化龙镇</w:t>
      </w:r>
      <w:r>
        <w:rPr>
          <w:rFonts w:hint="eastAsia" w:ascii="宋体" w:hAnsi="宋体" w:cs="宋体"/>
          <w:i w:val="0"/>
          <w:iCs w:val="0"/>
          <w:color w:val="auto"/>
          <w:kern w:val="2"/>
          <w:sz w:val="21"/>
          <w:szCs w:val="21"/>
          <w:highlight w:val="none"/>
          <w:u w:val="single"/>
          <w:lang w:val="en-US" w:eastAsia="zh-CN"/>
        </w:rPr>
        <w:t xml:space="preserve">沙亭村       </w:t>
      </w:r>
      <w:r>
        <w:rPr>
          <w:rFonts w:hint="eastAsia"/>
          <w:color w:val="auto"/>
          <w:sz w:val="21"/>
          <w:szCs w:val="21"/>
          <w:highlight w:val="none"/>
        </w:rPr>
        <w:t xml:space="preserve"> </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5.1.2</w:t>
      </w:r>
      <w:r>
        <w:rPr>
          <w:rFonts w:hint="eastAsia" w:ascii="宋体" w:hAnsi="宋体"/>
          <w:color w:val="auto"/>
          <w:sz w:val="21"/>
          <w:highlight w:val="none"/>
        </w:rPr>
        <w:t>.3</w:t>
      </w:r>
      <w:r>
        <w:rPr>
          <w:rFonts w:hint="eastAsia" w:ascii="宋体" w:hAnsi="宋体" w:cs="宋体"/>
          <w:color w:val="auto"/>
          <w:kern w:val="2"/>
          <w:sz w:val="21"/>
          <w:szCs w:val="21"/>
          <w:highlight w:val="none"/>
        </w:rPr>
        <w:t>建设规模</w:t>
      </w:r>
      <w:r>
        <w:rPr>
          <w:rFonts w:hint="eastAsia" w:ascii="宋体" w:hAnsi="宋体" w:cs="宋体"/>
          <w:color w:val="auto"/>
          <w:kern w:val="2"/>
          <w:sz w:val="21"/>
          <w:szCs w:val="21"/>
          <w:highlight w:val="none"/>
          <w:u w:val="single"/>
        </w:rPr>
        <w:t>：位于化龙堆存污泥综合处理处置项目地块一的</w:t>
      </w:r>
      <w:r>
        <w:rPr>
          <w:rFonts w:hint="eastAsia" w:ascii="宋体" w:hAnsi="宋体" w:cs="宋体"/>
          <w:color w:val="auto"/>
          <w:kern w:val="2"/>
          <w:sz w:val="21"/>
          <w:szCs w:val="21"/>
          <w:highlight w:val="none"/>
          <w:u w:val="single"/>
          <w:lang w:val="en-US" w:eastAsia="zh-CN"/>
        </w:rPr>
        <w:t>砖砌</w:t>
      </w:r>
      <w:r>
        <w:rPr>
          <w:rFonts w:hint="eastAsia" w:ascii="宋体" w:hAnsi="宋体" w:cs="宋体"/>
          <w:color w:val="auto"/>
          <w:kern w:val="2"/>
          <w:sz w:val="21"/>
          <w:szCs w:val="21"/>
          <w:highlight w:val="none"/>
          <w:u w:val="single"/>
        </w:rPr>
        <w:t>烟囱高度56.4m，底部外径5.7m，壁厚1.09m</w:t>
      </w:r>
      <w:r>
        <w:rPr>
          <w:rFonts w:hint="eastAsia" w:ascii="宋体" w:hAnsi="宋体" w:cs="宋体"/>
          <w:color w:val="auto"/>
          <w:kern w:val="2"/>
          <w:sz w:val="21"/>
          <w:szCs w:val="21"/>
          <w:highlight w:val="none"/>
          <w:u w:val="single"/>
          <w:lang w:val="en-US" w:eastAsia="zh-CN"/>
        </w:rPr>
        <w:t xml:space="preserve">。      </w:t>
      </w:r>
      <w:r>
        <w:rPr>
          <w:rFonts w:hint="eastAsia" w:ascii="宋体" w:hAnsi="宋体" w:cs="宋体"/>
          <w:color w:val="auto"/>
          <w:kern w:val="2"/>
          <w:sz w:val="21"/>
          <w:szCs w:val="21"/>
          <w:highlight w:val="none"/>
          <w:lang w:val="en-US" w:eastAsia="zh-CN"/>
        </w:rPr>
        <w:t xml:space="preserve"> </w:t>
      </w:r>
      <w:r>
        <w:rPr>
          <w:rFonts w:hint="eastAsia" w:ascii="宋体" w:hAnsi="宋体"/>
          <w:color w:val="auto"/>
          <w:sz w:val="21"/>
          <w:szCs w:val="21"/>
          <w:highlight w:val="none"/>
        </w:rPr>
        <w:t xml:space="preserve"> </w:t>
      </w:r>
    </w:p>
    <w:p>
      <w:pPr>
        <w:spacing w:line="360" w:lineRule="auto"/>
        <w:ind w:firstLine="420" w:firstLineChars="200"/>
        <w:rPr>
          <w:rFonts w:ascii="宋体" w:hAnsi="宋体" w:cs="宋体"/>
          <w:color w:val="auto"/>
          <w:kern w:val="2"/>
          <w:sz w:val="21"/>
          <w:szCs w:val="21"/>
          <w:highlight w:val="none"/>
        </w:rPr>
      </w:pPr>
      <w:r>
        <w:rPr>
          <w:rFonts w:ascii="宋体" w:hAnsi="宋体"/>
          <w:color w:val="auto"/>
          <w:sz w:val="21"/>
          <w:highlight w:val="none"/>
        </w:rPr>
        <w:t>5.1.3</w:t>
      </w:r>
      <w:r>
        <w:rPr>
          <w:rFonts w:hint="eastAsia" w:ascii="宋体" w:hAnsi="宋体"/>
          <w:color w:val="auto"/>
          <w:sz w:val="21"/>
          <w:highlight w:val="none"/>
        </w:rPr>
        <w:t>本项目</w:t>
      </w:r>
      <w:r>
        <w:rPr>
          <w:rFonts w:ascii="宋体" w:hAnsi="宋体"/>
          <w:color w:val="auto"/>
          <w:sz w:val="21"/>
          <w:highlight w:val="none"/>
        </w:rPr>
        <w:t>阶段范围具体范围</w:t>
      </w:r>
      <w:r>
        <w:rPr>
          <w:rFonts w:hint="eastAsia" w:ascii="宋体" w:hAnsi="宋体"/>
          <w:color w:val="auto"/>
          <w:sz w:val="21"/>
          <w:highlight w:val="none"/>
        </w:rPr>
        <w:t>：</w:t>
      </w:r>
      <w:r>
        <w:rPr>
          <w:rFonts w:ascii="宋体" w:hAnsi="宋体"/>
          <w:color w:val="auto"/>
          <w:sz w:val="21"/>
          <w:highlight w:val="none"/>
        </w:rPr>
        <w:t>工程建设程序中的</w:t>
      </w:r>
      <w:r>
        <w:rPr>
          <w:rFonts w:hint="eastAsia" w:ascii="宋体" w:hAnsi="宋体"/>
          <w:color w:val="auto"/>
          <w:sz w:val="21"/>
          <w:highlight w:val="none"/>
        </w:rPr>
        <w:t>施工图</w:t>
      </w:r>
      <w:r>
        <w:rPr>
          <w:rFonts w:ascii="宋体" w:hAnsi="宋体"/>
          <w:color w:val="auto"/>
          <w:sz w:val="21"/>
          <w:highlight w:val="none"/>
        </w:rPr>
        <w:t>设计阶段、</w:t>
      </w:r>
      <w:r>
        <w:rPr>
          <w:rFonts w:hint="eastAsia" w:ascii="宋体" w:hAnsi="宋体"/>
          <w:color w:val="auto"/>
          <w:sz w:val="21"/>
          <w:highlight w:val="none"/>
        </w:rPr>
        <w:t>施工准备阶段、</w:t>
      </w:r>
      <w:r>
        <w:rPr>
          <w:rFonts w:ascii="宋体" w:hAnsi="宋体"/>
          <w:color w:val="auto"/>
          <w:sz w:val="21"/>
          <w:highlight w:val="none"/>
        </w:rPr>
        <w:t>施工阶段、</w:t>
      </w:r>
      <w:r>
        <w:rPr>
          <w:rFonts w:hint="eastAsia" w:ascii="宋体" w:hAnsi="宋体"/>
          <w:color w:val="auto"/>
          <w:sz w:val="21"/>
          <w:highlight w:val="none"/>
        </w:rPr>
        <w:t>验收与</w:t>
      </w:r>
      <w:r>
        <w:rPr>
          <w:rFonts w:ascii="宋体" w:hAnsi="宋体"/>
          <w:color w:val="auto"/>
          <w:sz w:val="21"/>
          <w:highlight w:val="none"/>
        </w:rPr>
        <w:t>缺陷责任期阶段</w:t>
      </w:r>
      <w:r>
        <w:rPr>
          <w:rFonts w:hint="eastAsia" w:ascii="宋体" w:hAnsi="宋体" w:cs="宋体"/>
          <w:color w:val="auto"/>
          <w:kern w:val="2"/>
          <w:sz w:val="21"/>
          <w:szCs w:val="21"/>
          <w:highlight w:val="none"/>
        </w:rPr>
        <w:t>。</w:t>
      </w:r>
    </w:p>
    <w:p>
      <w:pPr>
        <w:spacing w:line="360" w:lineRule="auto"/>
        <w:ind w:firstLine="420" w:firstLineChars="200"/>
        <w:rPr>
          <w:rFonts w:ascii="宋体" w:hAnsi="宋体" w:cs="宋体"/>
          <w:color w:val="auto"/>
          <w:kern w:val="2"/>
          <w:sz w:val="21"/>
          <w:szCs w:val="21"/>
          <w:highlight w:val="none"/>
        </w:rPr>
      </w:pPr>
      <w:r>
        <w:rPr>
          <w:rFonts w:ascii="宋体" w:hAnsi="宋体"/>
          <w:color w:val="auto"/>
          <w:sz w:val="21"/>
          <w:highlight w:val="none"/>
        </w:rPr>
        <w:t>5.1.4</w:t>
      </w:r>
      <w:r>
        <w:rPr>
          <w:rFonts w:hint="eastAsia" w:ascii="宋体" w:hAnsi="宋体"/>
          <w:color w:val="auto"/>
          <w:sz w:val="21"/>
          <w:highlight w:val="none"/>
        </w:rPr>
        <w:t>本项目</w:t>
      </w:r>
      <w:r>
        <w:rPr>
          <w:rFonts w:ascii="宋体" w:hAnsi="宋体"/>
          <w:color w:val="auto"/>
          <w:sz w:val="21"/>
          <w:highlight w:val="none"/>
        </w:rPr>
        <w:t>工作范围具体范围</w:t>
      </w:r>
      <w:r>
        <w:rPr>
          <w:rFonts w:hint="eastAsia" w:ascii="宋体" w:hAnsi="宋体"/>
          <w:color w:val="auto"/>
          <w:sz w:val="21"/>
          <w:highlight w:val="none"/>
        </w:rPr>
        <w:t>：本</w:t>
      </w:r>
      <w:r>
        <w:rPr>
          <w:rFonts w:hint="eastAsia" w:ascii="宋体" w:hAnsi="宋体"/>
          <w:color w:val="auto"/>
          <w:sz w:val="21"/>
          <w:highlight w:val="none"/>
          <w:lang w:val="en-US" w:eastAsia="zh-CN"/>
        </w:rPr>
        <w:t>项目</w:t>
      </w:r>
      <w:r>
        <w:rPr>
          <w:rFonts w:hint="eastAsia" w:ascii="宋体" w:hAnsi="宋体"/>
          <w:color w:val="auto"/>
          <w:sz w:val="21"/>
          <w:highlight w:val="none"/>
        </w:rPr>
        <w:t>施工图设计阶段、施工准备阶段、施工阶段、竣工验收阶段、结算阶段、缺陷责任期阶段的质量、投资、进度控制和环保、安全管理、参建各方竣工档案编制工作进行全过程监理；监督、管理建设工程合同的履行，协调建设单位和工程建设有关各方的工作关系，以及配合项目移交等监理工作。除上述工作范围外，监理人还须按委托人的要求提前参与设计阶段的工作、开工前期的准备和筹划工作，协助委托人制定工程管理办法、各参建方职责及有关事务性工作等。</w:t>
      </w:r>
    </w:p>
    <w:p>
      <w:pPr>
        <w:spacing w:line="360" w:lineRule="auto"/>
        <w:ind w:firstLine="420" w:firstLineChars="200"/>
        <w:rPr>
          <w:rFonts w:ascii="宋体" w:hAnsi="宋体" w:cs="宋体"/>
          <w:color w:val="auto"/>
          <w:kern w:val="2"/>
          <w:sz w:val="21"/>
          <w:szCs w:val="21"/>
          <w:highlight w:val="none"/>
        </w:rPr>
      </w:pPr>
      <w:r>
        <w:rPr>
          <w:rFonts w:ascii="宋体" w:hAnsi="宋体"/>
          <w:color w:val="auto"/>
          <w:sz w:val="21"/>
          <w:highlight w:val="none"/>
        </w:rPr>
        <w:t>5.1.</w:t>
      </w:r>
      <w:r>
        <w:rPr>
          <w:rFonts w:hint="eastAsia" w:ascii="宋体" w:hAnsi="宋体"/>
          <w:color w:val="auto"/>
          <w:sz w:val="21"/>
          <w:highlight w:val="none"/>
        </w:rPr>
        <w:t>5</w:t>
      </w:r>
      <w:r>
        <w:rPr>
          <w:rFonts w:hint="eastAsia" w:ascii="宋体" w:hAnsi="宋体" w:cs="宋体"/>
          <w:color w:val="auto"/>
          <w:kern w:val="2"/>
          <w:sz w:val="21"/>
          <w:szCs w:val="21"/>
          <w:highlight w:val="none"/>
        </w:rPr>
        <w:t>监理范围：包括施工图设计阶段的监理工作，工程建设施工阶段的质量、安全、工期、投资、文明施工等方面的监控直至工程竣工验收合格、缺陷责任期届满并完成结算。</w:t>
      </w:r>
      <w:r>
        <w:rPr>
          <w:rFonts w:hint="eastAsia"/>
          <w:color w:val="auto"/>
          <w:highlight w:val="none"/>
        </w:rPr>
        <w:t>具体包括：</w:t>
      </w:r>
    </w:p>
    <w:p>
      <w:pPr>
        <w:spacing w:line="360" w:lineRule="auto"/>
        <w:ind w:firstLine="420" w:firstLineChars="200"/>
        <w:rPr>
          <w:rFonts w:hint="eastAsia" w:ascii="宋体" w:hAnsi="宋体" w:cs="宋体"/>
          <w:color w:val="auto"/>
          <w:kern w:val="2"/>
          <w:sz w:val="21"/>
          <w:szCs w:val="21"/>
          <w:highlight w:val="none"/>
        </w:rPr>
      </w:pPr>
      <w:r>
        <w:rPr>
          <w:rFonts w:ascii="宋体" w:hAnsi="宋体"/>
          <w:color w:val="auto"/>
          <w:sz w:val="21"/>
          <w:highlight w:val="none"/>
        </w:rPr>
        <w:t>5.1.</w:t>
      </w:r>
      <w:r>
        <w:rPr>
          <w:rFonts w:hint="eastAsia" w:ascii="宋体" w:hAnsi="宋体"/>
          <w:color w:val="auto"/>
          <w:sz w:val="21"/>
          <w:highlight w:val="none"/>
        </w:rPr>
        <w:t>5.2</w:t>
      </w:r>
      <w:r>
        <w:rPr>
          <w:rFonts w:hint="eastAsia" w:ascii="宋体" w:hAnsi="宋体" w:cs="宋体"/>
          <w:color w:val="auto"/>
          <w:kern w:val="2"/>
          <w:sz w:val="21"/>
          <w:szCs w:val="21"/>
          <w:highlight w:val="none"/>
        </w:rPr>
        <w:t>工程设计监理：对设计方案、施工图设计图纸、施工图预算和主要设备、材料清单的审查，发现不符合要求的地方，分析原因，发出修改设计的指令；对设计工作协调控制，及时检查和控制设计的进度，及时消除隐患；组织对设计的评审或咨询等工作。</w:t>
      </w:r>
    </w:p>
    <w:p>
      <w:pPr>
        <w:spacing w:line="360" w:lineRule="auto"/>
        <w:ind w:firstLine="420" w:firstLineChars="200"/>
        <w:rPr>
          <w:rFonts w:ascii="宋体" w:hAnsi="宋体" w:cs="宋体"/>
          <w:color w:val="auto"/>
          <w:kern w:val="2"/>
          <w:sz w:val="21"/>
          <w:szCs w:val="21"/>
          <w:highlight w:val="none"/>
        </w:rPr>
      </w:pPr>
      <w:r>
        <w:rPr>
          <w:rFonts w:ascii="宋体" w:hAnsi="宋体"/>
          <w:color w:val="auto"/>
          <w:sz w:val="21"/>
          <w:highlight w:val="none"/>
        </w:rPr>
        <w:t>5.1.</w:t>
      </w:r>
      <w:r>
        <w:rPr>
          <w:rFonts w:hint="eastAsia" w:ascii="宋体" w:hAnsi="宋体"/>
          <w:color w:val="auto"/>
          <w:sz w:val="21"/>
          <w:highlight w:val="none"/>
        </w:rPr>
        <w:t>5.3</w:t>
      </w:r>
      <w:r>
        <w:rPr>
          <w:rFonts w:hint="eastAsia" w:ascii="宋体" w:hAnsi="宋体" w:cs="宋体"/>
          <w:color w:val="auto"/>
          <w:kern w:val="2"/>
          <w:sz w:val="21"/>
          <w:szCs w:val="21"/>
          <w:highlight w:val="none"/>
        </w:rPr>
        <w:t>工程施工监理：包括《建设施工监理规范》（GB50319—2013）规定的隶属于本工程的施工准备期、施工期、工程缺陷责任期阶段、结算期间的质量、安全控制、投资控制、进度控制、组织协调、合同管理、文明施工、竣工档案编制的监理工作；</w:t>
      </w:r>
    </w:p>
    <w:p>
      <w:pPr>
        <w:spacing w:line="360" w:lineRule="auto"/>
        <w:ind w:firstLine="420" w:firstLineChars="200"/>
        <w:rPr>
          <w:rFonts w:ascii="宋体" w:hAnsi="宋体" w:cs="宋体"/>
          <w:color w:val="auto"/>
          <w:kern w:val="2"/>
          <w:sz w:val="21"/>
          <w:szCs w:val="21"/>
          <w:highlight w:val="none"/>
        </w:rPr>
      </w:pPr>
      <w:r>
        <w:rPr>
          <w:rFonts w:ascii="宋体" w:hAnsi="宋体"/>
          <w:color w:val="auto"/>
          <w:sz w:val="21"/>
          <w:highlight w:val="none"/>
        </w:rPr>
        <w:t>5.1.</w:t>
      </w:r>
      <w:r>
        <w:rPr>
          <w:rFonts w:hint="eastAsia" w:ascii="宋体" w:hAnsi="宋体"/>
          <w:color w:val="auto"/>
          <w:sz w:val="21"/>
          <w:highlight w:val="none"/>
        </w:rPr>
        <w:t>5.4</w:t>
      </w:r>
      <w:r>
        <w:rPr>
          <w:rFonts w:hint="eastAsia" w:ascii="宋体" w:hAnsi="宋体" w:cs="宋体"/>
          <w:color w:val="auto"/>
          <w:kern w:val="2"/>
          <w:sz w:val="21"/>
          <w:szCs w:val="21"/>
          <w:highlight w:val="none"/>
        </w:rPr>
        <w:t>工程项目管理：负责对整个工程内各专项工程的统一规划、统一调度、统一协调。协调各进驻单位（包括总包与分包单位）工程同步建设，对各进驻单位工程进度统一调控，以使各进驻单位施工期间能够做到井然有序，不相互干扰、制约。</w:t>
      </w:r>
    </w:p>
    <w:p>
      <w:pPr>
        <w:spacing w:line="360" w:lineRule="auto"/>
        <w:rPr>
          <w:rFonts w:ascii="黑体" w:hAnsi="黑体" w:eastAsia="黑体"/>
          <w:color w:val="auto"/>
          <w:sz w:val="28"/>
          <w:highlight w:val="none"/>
        </w:rPr>
      </w:pPr>
      <w:r>
        <w:rPr>
          <w:rFonts w:ascii="黑体" w:hAnsi="黑体" w:eastAsia="黑体"/>
          <w:color w:val="auto"/>
          <w:sz w:val="28"/>
          <w:highlight w:val="none"/>
        </w:rPr>
        <w:t>5.3 监理内容</w:t>
      </w:r>
    </w:p>
    <w:p>
      <w:pPr>
        <w:spacing w:line="360" w:lineRule="auto"/>
        <w:ind w:firstLine="420" w:firstLineChars="200"/>
        <w:rPr>
          <w:rFonts w:ascii="宋体" w:hAnsi="宋体" w:cs="宋体"/>
          <w:color w:val="auto"/>
          <w:kern w:val="2"/>
          <w:sz w:val="21"/>
          <w:szCs w:val="21"/>
          <w:highlight w:val="none"/>
        </w:rPr>
      </w:pPr>
      <w:r>
        <w:rPr>
          <w:rFonts w:ascii="宋体" w:hAnsi="宋体" w:cs="宋体"/>
          <w:color w:val="auto"/>
          <w:kern w:val="2"/>
          <w:sz w:val="21"/>
          <w:szCs w:val="21"/>
          <w:highlight w:val="none"/>
        </w:rPr>
        <w:t>监理工作内容</w:t>
      </w:r>
      <w:r>
        <w:rPr>
          <w:rFonts w:hint="eastAsia" w:ascii="宋体" w:hAnsi="宋体" w:cs="宋体"/>
          <w:color w:val="auto"/>
          <w:kern w:val="2"/>
          <w:sz w:val="21"/>
          <w:szCs w:val="21"/>
          <w:highlight w:val="none"/>
        </w:rPr>
        <w:t>包括通用合同条款、专用合同条款规定外，还包括本合同附件《监理服务的形式、范围与内容》详列的监理服务的内容和要求。</w:t>
      </w:r>
    </w:p>
    <w:p>
      <w:pPr>
        <w:spacing w:line="360" w:lineRule="auto"/>
        <w:ind w:firstLine="420" w:firstLineChars="200"/>
        <w:rPr>
          <w:rFonts w:ascii="宋体" w:hAnsi="宋体" w:cs="宋体"/>
          <w:color w:val="auto"/>
          <w:kern w:val="2"/>
          <w:sz w:val="21"/>
          <w:szCs w:val="21"/>
          <w:highlight w:val="none"/>
        </w:rPr>
      </w:pP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6.</w:t>
      </w:r>
      <w:r>
        <w:rPr>
          <w:rFonts w:ascii="黑体" w:hAnsi="黑体" w:eastAsia="黑体"/>
          <w:b/>
          <w:color w:val="auto"/>
          <w:sz w:val="32"/>
          <w:highlight w:val="none"/>
        </w:rPr>
        <w:t>开始监理和完成监理</w:t>
      </w:r>
    </w:p>
    <w:p>
      <w:pPr>
        <w:spacing w:line="360" w:lineRule="auto"/>
        <w:rPr>
          <w:rFonts w:ascii="黑体" w:hAnsi="黑体" w:eastAsia="黑体"/>
          <w:color w:val="auto"/>
          <w:sz w:val="28"/>
          <w:highlight w:val="none"/>
        </w:rPr>
      </w:pPr>
      <w:r>
        <w:rPr>
          <w:rFonts w:hint="eastAsia" w:ascii="黑体" w:hAnsi="黑体" w:eastAsia="黑体"/>
          <w:color w:val="auto"/>
          <w:sz w:val="28"/>
          <w:highlight w:val="none"/>
        </w:rPr>
        <w:t>6.1开始监理</w:t>
      </w:r>
    </w:p>
    <w:p>
      <w:pPr>
        <w:spacing w:line="360" w:lineRule="auto"/>
        <w:rPr>
          <w:rFonts w:ascii="黑体" w:hAnsi="黑体"/>
          <w:color w:val="auto"/>
          <w:sz w:val="28"/>
          <w:highlight w:val="none"/>
        </w:rPr>
      </w:pPr>
      <w:r>
        <w:rPr>
          <w:rFonts w:ascii="宋体" w:hAnsi="宋体"/>
          <w:color w:val="auto"/>
          <w:sz w:val="21"/>
          <w:highlight w:val="none"/>
        </w:rPr>
        <w:t xml:space="preserve">6.1.1 </w:t>
      </w:r>
      <w:r>
        <w:rPr>
          <w:rFonts w:hint="eastAsia" w:ascii="宋体" w:hAnsi="宋体"/>
          <w:color w:val="auto"/>
          <w:sz w:val="21"/>
          <w:szCs w:val="21"/>
          <w:highlight w:val="none"/>
          <w:lang w:val="en-US" w:eastAsia="zh-CN"/>
        </w:rPr>
        <w:t>成交通知书</w:t>
      </w:r>
      <w:r>
        <w:rPr>
          <w:rFonts w:hint="eastAsia" w:ascii="宋体" w:hAnsi="宋体"/>
          <w:color w:val="auto"/>
          <w:sz w:val="21"/>
          <w:highlight w:val="none"/>
        </w:rPr>
        <w:t>发出后，监理人可进行前期准备工作，</w:t>
      </w:r>
      <w:r>
        <w:rPr>
          <w:rFonts w:ascii="宋体" w:hAnsi="宋体"/>
          <w:color w:val="auto"/>
          <w:sz w:val="21"/>
          <w:highlight w:val="none"/>
        </w:rPr>
        <w:t>委托人应提前 7 天向监理人发出开始监理通知。监理服务期限自开始监理通知中载明的开始监理日期起计算。</w:t>
      </w:r>
      <w:r>
        <w:rPr>
          <w:rFonts w:hint="eastAsia" w:ascii="宋体" w:hAnsi="宋体"/>
          <w:color w:val="auto"/>
          <w:sz w:val="21"/>
          <w:highlight w:val="none"/>
        </w:rPr>
        <w:t>监理人应按照监理合同约定的时间和有关期限履行和完成监理服务，根据本项目工程的进展情况和委托人批准的人员进场计划，安排监理人员及时进场。</w:t>
      </w:r>
    </w:p>
    <w:p>
      <w:pPr>
        <w:spacing w:line="360" w:lineRule="auto"/>
        <w:rPr>
          <w:rFonts w:ascii="黑体" w:hAnsi="黑体" w:eastAsia="黑体"/>
          <w:color w:val="auto"/>
          <w:sz w:val="28"/>
          <w:highlight w:val="none"/>
        </w:rPr>
      </w:pPr>
      <w:r>
        <w:rPr>
          <w:rFonts w:ascii="黑体" w:hAnsi="黑体" w:eastAsia="黑体"/>
          <w:color w:val="auto"/>
          <w:sz w:val="28"/>
          <w:highlight w:val="none"/>
        </w:rPr>
        <w:t>6.2 监理周期延误</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6</w:t>
      </w:r>
      <w:r>
        <w:rPr>
          <w:rFonts w:ascii="宋体" w:hAnsi="宋体"/>
          <w:color w:val="auto"/>
          <w:sz w:val="21"/>
          <w:highlight w:val="none"/>
        </w:rPr>
        <w:t>.</w:t>
      </w:r>
      <w:r>
        <w:rPr>
          <w:rFonts w:hint="eastAsia" w:ascii="宋体" w:hAnsi="宋体"/>
          <w:color w:val="auto"/>
          <w:sz w:val="21"/>
          <w:highlight w:val="none"/>
        </w:rPr>
        <w:t>2</w:t>
      </w:r>
      <w:r>
        <w:rPr>
          <w:rFonts w:ascii="宋体" w:hAnsi="宋体"/>
          <w:color w:val="auto"/>
          <w:sz w:val="21"/>
          <w:highlight w:val="none"/>
        </w:rPr>
        <w:t>.</w:t>
      </w:r>
      <w:r>
        <w:rPr>
          <w:rFonts w:hint="eastAsia" w:ascii="宋体" w:hAnsi="宋体"/>
          <w:color w:val="auto"/>
          <w:sz w:val="21"/>
          <w:highlight w:val="none"/>
        </w:rPr>
        <w:t>1在履行合同过程中，由于下列原因造成监理服务期限延误的，委托人应当延长监理服务期限，监理费不做调整。具体方法在专用合同条款中约定。</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（1）合同变更；</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（2）因委托人原因导致的监理工作暂停；</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（3）未按合同约定及时支付监理报酬；</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（4）未及时履行合同约定的相关义务；</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（5）由于承包人延误、行政管理造成的监理服务期延误；</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（6）造成监理服务期限延误的其他原因。</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6.2.2由于委托人或承包人的原因使监理工作受到阻碍或延误，以致发生了附加工作或延长了持续时间，则监理人应当将此情况与可能产生的影响及时通知委托人。完成监理业务的时间相应延长。</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6.2.3在委托监理合同签订后，实际情况发生变化，使得监理人不能全部或部分执行监理业务时，监理人应当立即通知委托人。该监理业务的完成时间应予延长。当恢复执行监理业务时，应当在不超过14日的时间内恢复执行监理业务。</w:t>
      </w:r>
    </w:p>
    <w:p>
      <w:pPr>
        <w:tabs>
          <w:tab w:val="left" w:pos="426"/>
        </w:tabs>
        <w:spacing w:line="390" w:lineRule="exact"/>
        <w:rPr>
          <w:rFonts w:ascii="宋体" w:hAnsi="宋体" w:cs="宋体"/>
          <w:color w:val="auto"/>
          <w:kern w:val="2"/>
          <w:sz w:val="21"/>
          <w:szCs w:val="21"/>
          <w:highlight w:val="none"/>
        </w:rPr>
      </w:pPr>
      <w:r>
        <w:rPr>
          <w:rFonts w:hint="eastAsia" w:ascii="黑体" w:hAnsi="黑体" w:eastAsia="黑体" w:cs="黑体"/>
          <w:color w:val="auto"/>
          <w:kern w:val="2"/>
          <w:sz w:val="28"/>
          <w:szCs w:val="28"/>
          <w:highlight w:val="none"/>
        </w:rPr>
        <w:t>7.</w:t>
      </w:r>
      <w:r>
        <w:rPr>
          <w:rFonts w:hint="eastAsia" w:ascii="黑体" w:hAnsi="黑体" w:eastAsia="黑体" w:cs="黑体"/>
          <w:b/>
          <w:color w:val="auto"/>
          <w:sz w:val="28"/>
          <w:szCs w:val="28"/>
          <w:highlight w:val="none"/>
        </w:rPr>
        <w:t>监理责任与保险</w:t>
      </w:r>
    </w:p>
    <w:p>
      <w:pPr>
        <w:spacing w:line="360" w:lineRule="auto"/>
        <w:rPr>
          <w:rFonts w:ascii="宋体" w:hAnsi="宋体" w:cs="宋体"/>
          <w:color w:val="auto"/>
          <w:kern w:val="2"/>
          <w:sz w:val="21"/>
          <w:szCs w:val="21"/>
          <w:highlight w:val="none"/>
        </w:rPr>
      </w:pPr>
      <w:r>
        <w:rPr>
          <w:rFonts w:hint="eastAsia" w:ascii="宋体" w:hAnsi="宋体" w:cs="宋体"/>
          <w:color w:val="auto"/>
          <w:kern w:val="2"/>
          <w:sz w:val="21"/>
          <w:szCs w:val="21"/>
          <w:highlight w:val="none"/>
        </w:rPr>
        <w:t>7.3 监理人员和设备的保险</w:t>
      </w:r>
    </w:p>
    <w:p>
      <w:pPr>
        <w:ind w:firstLine="440" w:firstLineChars="200"/>
        <w:rPr>
          <w:color w:val="auto"/>
          <w:highlight w:val="none"/>
        </w:rPr>
      </w:pPr>
      <w:r>
        <w:rPr>
          <w:rFonts w:hint="eastAsia" w:ascii="宋体" w:hAnsi="宋体" w:cs="宋体"/>
          <w:color w:val="auto"/>
          <w:sz w:val="22"/>
          <w:szCs w:val="22"/>
          <w:highlight w:val="none"/>
          <w:lang w:bidi="ar"/>
        </w:rPr>
        <w:t xml:space="preserve">监理人应在监理服务期内，自费办理派驻到工程所在地人员的人身和自备财产的有关保险，保险时间应随服务时间的延长而顺延，并在出险后自行办理索赔。如果监理人不办理上述保险，则应对有关风险及后果自负其责。 </w:t>
      </w:r>
    </w:p>
    <w:p>
      <w:pPr>
        <w:spacing w:line="360" w:lineRule="auto"/>
        <w:rPr>
          <w:rFonts w:ascii="宋体" w:hAnsi="宋体" w:cs="宋体"/>
          <w:color w:val="auto"/>
          <w:kern w:val="2"/>
          <w:sz w:val="21"/>
          <w:szCs w:val="21"/>
          <w:highlight w:val="none"/>
        </w:rPr>
      </w:pP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8.</w:t>
      </w:r>
      <w:r>
        <w:rPr>
          <w:rFonts w:ascii="黑体" w:hAnsi="黑体" w:eastAsia="黑体"/>
          <w:b/>
          <w:color w:val="auto"/>
          <w:sz w:val="32"/>
          <w:highlight w:val="none"/>
        </w:rPr>
        <w:t>合同变更</w:t>
      </w:r>
    </w:p>
    <w:p>
      <w:pPr>
        <w:spacing w:line="360" w:lineRule="auto"/>
        <w:rPr>
          <w:rFonts w:ascii="黑体" w:hAnsi="黑体" w:eastAsia="黑体"/>
          <w:b/>
          <w:color w:val="auto"/>
          <w:sz w:val="32"/>
          <w:highlight w:val="none"/>
        </w:rPr>
      </w:pPr>
      <w:r>
        <w:rPr>
          <w:rFonts w:hint="eastAsia" w:ascii="黑体" w:hAnsi="黑体" w:eastAsia="黑体"/>
          <w:color w:val="auto"/>
          <w:sz w:val="28"/>
          <w:highlight w:val="none"/>
        </w:rPr>
        <w:t>通用条款8.1.1 修改为：</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合同履行中发生下述情形时，合同一方均可向对方提出变更请求，经双方协商一致后进行变更，监理服务期限和监理报酬的调整方法在专用合同条款中约定。</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（1）监理范围发生变化；</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（2）非监理人的原因，对工程同一部分重复进行监理；</w:t>
      </w:r>
    </w:p>
    <w:p>
      <w:pPr>
        <w:spacing w:line="360" w:lineRule="auto"/>
        <w:rPr>
          <w:rFonts w:ascii="黑体" w:hAnsi="黑体" w:eastAsia="黑体"/>
          <w:color w:val="auto"/>
          <w:sz w:val="28"/>
          <w:highlight w:val="none"/>
        </w:rPr>
      </w:pPr>
      <w:r>
        <w:rPr>
          <w:rFonts w:ascii="黑体" w:hAnsi="黑体" w:eastAsia="黑体"/>
          <w:color w:val="auto"/>
          <w:sz w:val="28"/>
          <w:highlight w:val="none"/>
        </w:rPr>
        <w:t>8.</w:t>
      </w:r>
      <w:r>
        <w:rPr>
          <w:rFonts w:hint="eastAsia" w:ascii="黑体" w:hAnsi="黑体" w:eastAsia="黑体"/>
          <w:color w:val="auto"/>
          <w:sz w:val="28"/>
          <w:highlight w:val="none"/>
        </w:rPr>
        <w:t>3合同的终止或解除</w:t>
      </w:r>
    </w:p>
    <w:p>
      <w:pPr>
        <w:spacing w:line="360" w:lineRule="auto"/>
        <w:ind w:firstLine="420" w:firstLineChars="200"/>
        <w:rPr>
          <w:rFonts w:ascii="宋体" w:hAnsi="宋体" w:cs="宋体"/>
          <w:color w:val="auto"/>
          <w:kern w:val="2"/>
          <w:sz w:val="21"/>
          <w:szCs w:val="21"/>
          <w:highlight w:val="none"/>
        </w:rPr>
      </w:pPr>
      <w:r>
        <w:rPr>
          <w:rFonts w:hint="eastAsia" w:ascii="宋体" w:hAnsi="宋体"/>
          <w:color w:val="auto"/>
          <w:sz w:val="21"/>
          <w:highlight w:val="none"/>
        </w:rPr>
        <w:t>8</w:t>
      </w:r>
      <w:r>
        <w:rPr>
          <w:rFonts w:ascii="宋体" w:hAnsi="宋体"/>
          <w:color w:val="auto"/>
          <w:sz w:val="21"/>
          <w:highlight w:val="none"/>
        </w:rPr>
        <w:t>.</w:t>
      </w:r>
      <w:r>
        <w:rPr>
          <w:rFonts w:hint="eastAsia" w:ascii="宋体" w:hAnsi="宋体"/>
          <w:color w:val="auto"/>
          <w:sz w:val="21"/>
          <w:highlight w:val="none"/>
        </w:rPr>
        <w:t>3</w:t>
      </w:r>
      <w:r>
        <w:rPr>
          <w:rFonts w:ascii="宋体" w:hAnsi="宋体"/>
          <w:color w:val="auto"/>
          <w:sz w:val="21"/>
          <w:highlight w:val="none"/>
        </w:rPr>
        <w:t>.</w:t>
      </w:r>
      <w:r>
        <w:rPr>
          <w:rFonts w:hint="eastAsia" w:ascii="宋体" w:hAnsi="宋体"/>
          <w:color w:val="auto"/>
          <w:sz w:val="21"/>
          <w:highlight w:val="none"/>
        </w:rPr>
        <w:t>1</w:t>
      </w:r>
      <w:r>
        <w:rPr>
          <w:rFonts w:hint="eastAsia" w:ascii="宋体" w:hAnsi="宋体" w:cs="宋体"/>
          <w:color w:val="auto"/>
          <w:kern w:val="2"/>
          <w:sz w:val="21"/>
          <w:szCs w:val="21"/>
          <w:highlight w:val="none"/>
        </w:rPr>
        <w:t>合同工程竣工验收合格，承包人和委托人已签订工程保修责任书，监理人履行了缺陷责任期的责任，缺陷责任期满且无遗留问题，并履行了竣工验收的责任、监理人收到监理报酬尾款，本合同即终止。</w:t>
      </w:r>
    </w:p>
    <w:p>
      <w:pPr>
        <w:spacing w:line="360" w:lineRule="auto"/>
        <w:ind w:firstLine="420" w:firstLineChars="200"/>
        <w:rPr>
          <w:rFonts w:ascii="宋体" w:hAnsi="宋体" w:cs="宋体"/>
          <w:color w:val="auto"/>
          <w:kern w:val="2"/>
          <w:sz w:val="21"/>
          <w:szCs w:val="21"/>
          <w:highlight w:val="none"/>
        </w:rPr>
      </w:pPr>
      <w:r>
        <w:rPr>
          <w:rFonts w:hint="eastAsia" w:ascii="宋体" w:hAnsi="宋体"/>
          <w:color w:val="auto"/>
          <w:sz w:val="21"/>
          <w:highlight w:val="none"/>
        </w:rPr>
        <w:t>8</w:t>
      </w:r>
      <w:r>
        <w:rPr>
          <w:rFonts w:ascii="宋体" w:hAnsi="宋体"/>
          <w:color w:val="auto"/>
          <w:sz w:val="21"/>
          <w:highlight w:val="none"/>
        </w:rPr>
        <w:t>.</w:t>
      </w:r>
      <w:r>
        <w:rPr>
          <w:rFonts w:hint="eastAsia" w:ascii="宋体" w:hAnsi="宋体"/>
          <w:color w:val="auto"/>
          <w:sz w:val="21"/>
          <w:highlight w:val="none"/>
        </w:rPr>
        <w:t>3</w:t>
      </w:r>
      <w:r>
        <w:rPr>
          <w:rFonts w:ascii="宋体" w:hAnsi="宋体"/>
          <w:color w:val="auto"/>
          <w:sz w:val="21"/>
          <w:highlight w:val="none"/>
        </w:rPr>
        <w:t>.</w:t>
      </w:r>
      <w:r>
        <w:rPr>
          <w:rFonts w:hint="eastAsia" w:ascii="宋体" w:hAnsi="宋体"/>
          <w:color w:val="auto"/>
          <w:sz w:val="21"/>
          <w:highlight w:val="none"/>
        </w:rPr>
        <w:t>2</w:t>
      </w:r>
      <w:r>
        <w:rPr>
          <w:rFonts w:hint="eastAsia" w:ascii="宋体" w:hAnsi="宋体" w:cs="宋体"/>
          <w:color w:val="auto"/>
          <w:kern w:val="2"/>
          <w:sz w:val="21"/>
          <w:szCs w:val="21"/>
          <w:highlight w:val="none"/>
        </w:rPr>
        <w:t>由于非监理人的原因而暂停或终止执行监理业务的，监理人应按委托人的要求做好善后工作以及恢复执行监理业务的工作。</w:t>
      </w:r>
    </w:p>
    <w:p>
      <w:pPr>
        <w:spacing w:line="360" w:lineRule="auto"/>
        <w:ind w:firstLine="420" w:firstLineChars="200"/>
        <w:rPr>
          <w:rFonts w:ascii="宋体" w:hAnsi="宋体" w:cs="宋体"/>
          <w:color w:val="auto"/>
          <w:kern w:val="2"/>
          <w:sz w:val="21"/>
          <w:szCs w:val="21"/>
          <w:highlight w:val="none"/>
        </w:rPr>
      </w:pPr>
      <w:r>
        <w:rPr>
          <w:rFonts w:hint="eastAsia" w:ascii="宋体" w:hAnsi="宋体"/>
          <w:color w:val="auto"/>
          <w:sz w:val="21"/>
          <w:highlight w:val="none"/>
        </w:rPr>
        <w:t>8</w:t>
      </w:r>
      <w:r>
        <w:rPr>
          <w:rFonts w:ascii="宋体" w:hAnsi="宋体"/>
          <w:color w:val="auto"/>
          <w:sz w:val="21"/>
          <w:highlight w:val="none"/>
        </w:rPr>
        <w:t>.</w:t>
      </w:r>
      <w:r>
        <w:rPr>
          <w:rFonts w:hint="eastAsia" w:ascii="宋体" w:hAnsi="宋体"/>
          <w:color w:val="auto"/>
          <w:sz w:val="21"/>
          <w:highlight w:val="none"/>
        </w:rPr>
        <w:t>3</w:t>
      </w:r>
      <w:r>
        <w:rPr>
          <w:rFonts w:ascii="宋体" w:hAnsi="宋体"/>
          <w:color w:val="auto"/>
          <w:sz w:val="21"/>
          <w:highlight w:val="none"/>
        </w:rPr>
        <w:t>.</w:t>
      </w:r>
      <w:r>
        <w:rPr>
          <w:rFonts w:hint="eastAsia" w:ascii="宋体" w:hAnsi="宋体"/>
          <w:color w:val="auto"/>
          <w:sz w:val="21"/>
          <w:highlight w:val="none"/>
        </w:rPr>
        <w:t>3</w:t>
      </w:r>
      <w:r>
        <w:rPr>
          <w:rFonts w:hint="eastAsia" w:ascii="宋体" w:hAnsi="宋体" w:cs="宋体"/>
          <w:color w:val="auto"/>
          <w:kern w:val="2"/>
          <w:sz w:val="21"/>
          <w:szCs w:val="21"/>
          <w:highlight w:val="none"/>
        </w:rPr>
        <w:t>当委托人认为监理人无正当理由而又未履行监理义务时，可向监理人发出指明其未履行义务的通知。若委托人发出通知后14日内监理人未进行有效整改，监理人应支付违约金</w:t>
      </w:r>
      <w:r>
        <w:rPr>
          <w:rFonts w:ascii="宋体" w:hAnsi="宋体" w:cs="宋体"/>
          <w:color w:val="auto"/>
          <w:kern w:val="2"/>
          <w:sz w:val="21"/>
          <w:szCs w:val="21"/>
          <w:highlight w:val="none"/>
          <w:u w:val="single"/>
        </w:rPr>
        <w:t xml:space="preserve"> </w:t>
      </w:r>
      <w:r>
        <w:rPr>
          <w:rFonts w:hint="eastAsia" w:ascii="宋体" w:hAnsi="宋体" w:cs="宋体"/>
          <w:color w:val="auto"/>
          <w:kern w:val="2"/>
          <w:sz w:val="21"/>
          <w:szCs w:val="21"/>
          <w:highlight w:val="none"/>
          <w:u w:val="single"/>
          <w:lang w:val="en-US" w:eastAsia="zh-CN"/>
        </w:rPr>
        <w:t>10000</w:t>
      </w:r>
      <w:r>
        <w:rPr>
          <w:rFonts w:ascii="宋体" w:hAnsi="宋体" w:cs="宋体"/>
          <w:color w:val="auto"/>
          <w:kern w:val="2"/>
          <w:sz w:val="21"/>
          <w:szCs w:val="21"/>
          <w:highlight w:val="none"/>
          <w:u w:val="single"/>
        </w:rPr>
        <w:t>元</w:t>
      </w:r>
      <w:r>
        <w:rPr>
          <w:rFonts w:hint="eastAsia" w:ascii="宋体" w:hAnsi="宋体" w:cs="宋体"/>
          <w:color w:val="auto"/>
          <w:kern w:val="2"/>
          <w:sz w:val="21"/>
          <w:szCs w:val="21"/>
          <w:highlight w:val="none"/>
        </w:rPr>
        <w:t>且委托人有权解除合同。</w:t>
      </w:r>
    </w:p>
    <w:p>
      <w:pPr>
        <w:spacing w:line="360" w:lineRule="auto"/>
        <w:ind w:firstLine="420" w:firstLineChars="200"/>
        <w:rPr>
          <w:rFonts w:ascii="宋体" w:hAnsi="宋体" w:cs="宋体"/>
          <w:color w:val="auto"/>
          <w:kern w:val="2"/>
          <w:sz w:val="21"/>
          <w:szCs w:val="21"/>
          <w:highlight w:val="none"/>
        </w:rPr>
      </w:pPr>
      <w:r>
        <w:rPr>
          <w:rFonts w:hint="eastAsia" w:ascii="宋体" w:hAnsi="宋体"/>
          <w:color w:val="auto"/>
          <w:sz w:val="21"/>
          <w:highlight w:val="none"/>
        </w:rPr>
        <w:t>8</w:t>
      </w:r>
      <w:r>
        <w:rPr>
          <w:rFonts w:ascii="宋体" w:hAnsi="宋体"/>
          <w:color w:val="auto"/>
          <w:sz w:val="21"/>
          <w:highlight w:val="none"/>
        </w:rPr>
        <w:t>.</w:t>
      </w:r>
      <w:r>
        <w:rPr>
          <w:rFonts w:hint="eastAsia" w:ascii="宋体" w:hAnsi="宋体"/>
          <w:color w:val="auto"/>
          <w:sz w:val="21"/>
          <w:highlight w:val="none"/>
        </w:rPr>
        <w:t>3</w:t>
      </w:r>
      <w:r>
        <w:rPr>
          <w:rFonts w:ascii="宋体" w:hAnsi="宋体"/>
          <w:color w:val="auto"/>
          <w:sz w:val="21"/>
          <w:highlight w:val="none"/>
        </w:rPr>
        <w:t>.</w:t>
      </w:r>
      <w:r>
        <w:rPr>
          <w:rFonts w:hint="eastAsia" w:ascii="宋体" w:hAnsi="宋体"/>
          <w:color w:val="auto"/>
          <w:sz w:val="21"/>
          <w:highlight w:val="none"/>
        </w:rPr>
        <w:t>4</w:t>
      </w:r>
      <w:r>
        <w:rPr>
          <w:rFonts w:hint="eastAsia" w:ascii="宋体" w:hAnsi="宋体" w:cs="宋体"/>
          <w:color w:val="auto"/>
          <w:kern w:val="2"/>
          <w:sz w:val="21"/>
          <w:szCs w:val="21"/>
          <w:highlight w:val="none"/>
        </w:rPr>
        <w:t>合同协议的终止或解除并不影响各方应有的权利和应当承担的责任。</w:t>
      </w: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9.</w:t>
      </w:r>
      <w:r>
        <w:rPr>
          <w:rFonts w:ascii="黑体" w:hAnsi="黑体" w:eastAsia="黑体"/>
          <w:b/>
          <w:color w:val="auto"/>
          <w:sz w:val="32"/>
          <w:highlight w:val="none"/>
        </w:rPr>
        <w:t>合同价格与支付</w:t>
      </w:r>
    </w:p>
    <w:p>
      <w:pPr>
        <w:spacing w:line="360" w:lineRule="auto"/>
        <w:rPr>
          <w:rFonts w:ascii="黑体" w:hAnsi="黑体" w:eastAsia="黑体"/>
          <w:color w:val="auto"/>
          <w:sz w:val="28"/>
          <w:highlight w:val="none"/>
        </w:rPr>
      </w:pPr>
      <w:r>
        <w:rPr>
          <w:rFonts w:ascii="黑体" w:hAnsi="黑体" w:eastAsia="黑体"/>
          <w:color w:val="auto"/>
          <w:sz w:val="28"/>
          <w:highlight w:val="none"/>
        </w:rPr>
        <w:t>9.1 合同价格</w:t>
      </w:r>
    </w:p>
    <w:p>
      <w:pPr>
        <w:spacing w:line="360" w:lineRule="auto"/>
        <w:ind w:firstLine="420" w:firstLineChars="200"/>
        <w:rPr>
          <w:rFonts w:ascii="宋体" w:hAnsi="宋体" w:cs="宋体"/>
          <w:color w:val="auto"/>
          <w:kern w:val="2"/>
          <w:sz w:val="21"/>
          <w:szCs w:val="21"/>
          <w:highlight w:val="none"/>
        </w:rPr>
      </w:pPr>
      <w:r>
        <w:rPr>
          <w:rFonts w:ascii="宋体" w:hAnsi="宋体" w:cs="宋体"/>
          <w:color w:val="auto"/>
          <w:kern w:val="2"/>
          <w:sz w:val="21"/>
          <w:szCs w:val="21"/>
          <w:highlight w:val="none"/>
        </w:rPr>
        <w:t>9.1.</w:t>
      </w:r>
      <w:r>
        <w:rPr>
          <w:rFonts w:hint="eastAsia" w:ascii="宋体" w:hAnsi="宋体" w:cs="宋体"/>
          <w:color w:val="auto"/>
          <w:kern w:val="2"/>
          <w:sz w:val="21"/>
          <w:szCs w:val="21"/>
          <w:highlight w:val="none"/>
        </w:rPr>
        <w:t>1监理费明细详见附件：</w:t>
      </w:r>
      <w:r>
        <w:rPr>
          <w:rFonts w:hint="eastAsia" w:ascii="宋体" w:hAnsi="宋体" w:cs="宋体"/>
          <w:color w:val="auto"/>
          <w:kern w:val="2"/>
          <w:sz w:val="21"/>
          <w:szCs w:val="21"/>
          <w:highlight w:val="none"/>
          <w:u w:val="single"/>
        </w:rPr>
        <w:t>监理服务收费报价计算表</w:t>
      </w:r>
      <w:r>
        <w:rPr>
          <w:rFonts w:hint="eastAsia" w:ascii="宋体" w:hAnsi="宋体" w:cs="宋体"/>
          <w:color w:val="auto"/>
          <w:kern w:val="2"/>
          <w:sz w:val="21"/>
          <w:szCs w:val="21"/>
          <w:highlight w:val="none"/>
        </w:rPr>
        <w:t>。合同价格是监理人按照合同约定完成施工图设计阶段、施工准备阶段、施工阶段、验收与缺陷责任期阶段监理服务所需的全部费用，包括不限于监理人员服务费、办公设施费、检验试验费、利润、税金、企业管理费等。</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除本合同第8条约定的变更情形和专用合同条款约定的其他情形外，本监理合同的监理服务费用在合同实施期间不予调整。</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9.1.3委托的建设工程监理所必要的监理人员出外考察、材料、设备复试，其费用支出经委托人同意的，在预算范围内向委托人实报实销。在监理业务范围内，如需聘用专家咨询或协助，由监理人聘用的，其费用由监理人承担；由委托人聘用的，其费用由委托人承担。</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9.1.4税金按国家税务部门的规定执行。</w:t>
      </w:r>
    </w:p>
    <w:p>
      <w:pPr>
        <w:spacing w:line="390" w:lineRule="exact"/>
        <w:rPr>
          <w:rFonts w:ascii="黑体" w:hAnsi="黑体" w:eastAsia="黑体"/>
          <w:color w:val="auto"/>
          <w:sz w:val="28"/>
          <w:highlight w:val="none"/>
        </w:rPr>
      </w:pPr>
      <w:r>
        <w:rPr>
          <w:rFonts w:ascii="黑体" w:hAnsi="黑体" w:eastAsia="黑体"/>
          <w:color w:val="auto"/>
          <w:sz w:val="28"/>
          <w:highlight w:val="none"/>
        </w:rPr>
        <w:t>9.2 预付款</w:t>
      </w:r>
    </w:p>
    <w:p>
      <w:pPr>
        <w:spacing w:line="390" w:lineRule="exact"/>
        <w:ind w:firstLine="420" w:firstLineChars="200"/>
        <w:rPr>
          <w:rFonts w:ascii="宋体" w:hAnsi="宋体" w:cs="宋体"/>
          <w:color w:val="auto"/>
          <w:kern w:val="2"/>
          <w:sz w:val="21"/>
          <w:szCs w:val="21"/>
          <w:highlight w:val="none"/>
        </w:rPr>
      </w:pPr>
      <w:r>
        <w:rPr>
          <w:rFonts w:hint="eastAsia" w:ascii="宋体" w:hAnsi="宋体"/>
          <w:color w:val="auto"/>
          <w:sz w:val="21"/>
          <w:highlight w:val="none"/>
        </w:rPr>
        <w:t>9.2.1本项目设置预付款；</w:t>
      </w:r>
      <w:r>
        <w:rPr>
          <w:rFonts w:hint="eastAsia" w:ascii="宋体" w:hAnsi="宋体" w:cs="宋体"/>
          <w:color w:val="auto"/>
          <w:kern w:val="2"/>
          <w:sz w:val="21"/>
          <w:szCs w:val="21"/>
          <w:highlight w:val="none"/>
        </w:rPr>
        <w:t>委托人在本合同签订生效后，在委托人收到监理人提交</w:t>
      </w:r>
      <w:r>
        <w:rPr>
          <w:rFonts w:hint="eastAsia" w:ascii="宋体" w:hAnsi="宋体" w:cs="宋体"/>
          <w:color w:val="auto"/>
          <w:sz w:val="24"/>
          <w:szCs w:val="24"/>
          <w:highlight w:val="none"/>
        </w:rPr>
        <w:t>支付申请及</w:t>
      </w:r>
      <w:r>
        <w:rPr>
          <w:rFonts w:hint="eastAsia" w:ascii="宋体" w:hAnsi="宋体" w:cs="宋体"/>
          <w:color w:val="auto"/>
          <w:kern w:val="2"/>
          <w:sz w:val="21"/>
          <w:szCs w:val="21"/>
          <w:highlight w:val="none"/>
        </w:rPr>
        <w:t>等额预付款保函</w:t>
      </w:r>
      <w:r>
        <w:rPr>
          <w:rFonts w:hint="eastAsia" w:ascii="宋体" w:hAnsi="宋体" w:cs="宋体"/>
          <w:color w:val="auto"/>
          <w:sz w:val="24"/>
          <w:szCs w:val="24"/>
          <w:highlight w:val="none"/>
        </w:rPr>
        <w:t>（详见附件预付款保函格式）</w:t>
      </w:r>
      <w:r>
        <w:rPr>
          <w:rFonts w:hint="eastAsia" w:ascii="宋体" w:hAnsi="宋体" w:cs="宋体"/>
          <w:color w:val="auto"/>
          <w:kern w:val="2"/>
          <w:sz w:val="21"/>
          <w:szCs w:val="21"/>
          <w:highlight w:val="none"/>
        </w:rPr>
        <w:t>，经委托人审批后向监理人支付预付款，支付比例为</w:t>
      </w:r>
      <w:r>
        <w:rPr>
          <w:rFonts w:hint="eastAsia" w:ascii="宋体" w:hAnsi="宋体" w:cs="宋体"/>
          <w:color w:val="auto"/>
          <w:kern w:val="2"/>
          <w:sz w:val="21"/>
          <w:szCs w:val="21"/>
          <w:highlight w:val="none"/>
          <w:u w:val="single"/>
        </w:rPr>
        <w:t>合同暂定价的20%</w:t>
      </w:r>
      <w:r>
        <w:rPr>
          <w:rFonts w:hint="eastAsia" w:ascii="宋体" w:hAnsi="宋体" w:cs="宋体"/>
          <w:color w:val="auto"/>
          <w:kern w:val="2"/>
          <w:sz w:val="21"/>
          <w:szCs w:val="21"/>
          <w:highlight w:val="none"/>
        </w:rPr>
        <w:t>。</w:t>
      </w:r>
    </w:p>
    <w:p>
      <w:pPr>
        <w:pStyle w:val="44"/>
        <w:widowControl w:val="0"/>
        <w:adjustRightInd w:val="0"/>
        <w:snapToGrid w:val="0"/>
        <w:spacing w:line="360" w:lineRule="auto"/>
        <w:ind w:firstLine="420" w:firstLineChars="200"/>
        <w:jc w:val="both"/>
        <w:rPr>
          <w:rFonts w:hAnsi="宋体" w:cs="宋体"/>
          <w:color w:val="auto"/>
          <w:sz w:val="24"/>
          <w:szCs w:val="24"/>
          <w:highlight w:val="none"/>
        </w:rPr>
      </w:pPr>
      <w:r>
        <w:rPr>
          <w:rFonts w:hint="eastAsia" w:hAnsi="宋体" w:cs="宋体"/>
          <w:color w:val="auto"/>
          <w:kern w:val="2"/>
          <w:sz w:val="21"/>
          <w:szCs w:val="21"/>
          <w:highlight w:val="none"/>
        </w:rPr>
        <w:t>9.2.2预付款应专用于本工程的监理服务工作</w:t>
      </w:r>
      <w:r>
        <w:rPr>
          <w:rFonts w:hint="eastAsia" w:hAnsi="宋体" w:cs="宋体"/>
          <w:color w:val="auto"/>
          <w:sz w:val="24"/>
          <w:szCs w:val="24"/>
          <w:highlight w:val="none"/>
        </w:rPr>
        <w:t>，不得挪作他用。如经查实监理人违反专款专用、滥用预付款，监理人有权立即提取预付款保函中的等额担保金额，将预付款收回。</w:t>
      </w:r>
    </w:p>
    <w:p>
      <w:pPr>
        <w:pStyle w:val="44"/>
        <w:widowControl w:val="0"/>
        <w:adjustRightInd w:val="0"/>
        <w:snapToGrid w:val="0"/>
        <w:spacing w:line="360" w:lineRule="auto"/>
        <w:ind w:firstLine="480" w:firstLineChars="200"/>
        <w:jc w:val="both"/>
        <w:rPr>
          <w:rFonts w:hAnsi="宋体" w:cs="宋体"/>
          <w:color w:val="auto"/>
          <w:sz w:val="24"/>
          <w:szCs w:val="24"/>
          <w:highlight w:val="none"/>
        </w:rPr>
      </w:pPr>
      <w:r>
        <w:rPr>
          <w:rFonts w:hint="eastAsia" w:hAnsi="宋体" w:cs="宋体"/>
          <w:color w:val="auto"/>
          <w:sz w:val="24"/>
          <w:szCs w:val="24"/>
          <w:highlight w:val="none"/>
        </w:rPr>
        <w:t>9.2.3预付款保函的有效期：监理人应保持预付款保函在预付款全部扣回之前一直有效。监理人应在预付款保函有效期届满之日的7天前，向委托人提交同样格式且更新日期后的有效保函替代原保函，否则，每逾期一天，监理人应向委托人支付违约金</w:t>
      </w:r>
      <w:r>
        <w:rPr>
          <w:rFonts w:hint="eastAsia" w:hAnsi="宋体" w:cs="宋体"/>
          <w:color w:val="auto"/>
          <w:sz w:val="24"/>
          <w:szCs w:val="24"/>
          <w:highlight w:val="none"/>
          <w:u w:val="single"/>
          <w:lang w:val="en-US" w:eastAsia="zh-CN"/>
        </w:rPr>
        <w:t>1</w:t>
      </w:r>
      <w:r>
        <w:rPr>
          <w:rFonts w:hint="eastAsia" w:hAnsi="宋体" w:cs="宋体"/>
          <w:color w:val="auto"/>
          <w:sz w:val="24"/>
          <w:szCs w:val="24"/>
          <w:highlight w:val="none"/>
          <w:u w:val="single"/>
        </w:rPr>
        <w:t>万元/天，</w:t>
      </w:r>
      <w:r>
        <w:rPr>
          <w:rFonts w:hint="eastAsia" w:hAnsi="宋体" w:cs="宋体"/>
          <w:color w:val="auto"/>
          <w:sz w:val="24"/>
          <w:szCs w:val="24"/>
          <w:highlight w:val="none"/>
        </w:rPr>
        <w:t>且委托人有权提取全部未被扣回的预付款金额或暂停支付进度款。</w:t>
      </w:r>
    </w:p>
    <w:p>
      <w:pPr>
        <w:pStyle w:val="44"/>
        <w:widowControl w:val="0"/>
        <w:adjustRightInd w:val="0"/>
        <w:snapToGrid w:val="0"/>
        <w:spacing w:line="360" w:lineRule="auto"/>
        <w:ind w:firstLine="480" w:firstLineChars="200"/>
        <w:jc w:val="both"/>
        <w:rPr>
          <w:rFonts w:hAnsi="宋体" w:cs="宋体"/>
          <w:color w:val="auto"/>
          <w:sz w:val="24"/>
          <w:szCs w:val="24"/>
          <w:highlight w:val="none"/>
        </w:rPr>
      </w:pPr>
      <w:r>
        <w:rPr>
          <w:rFonts w:hint="eastAsia" w:hAnsi="宋体" w:cs="宋体"/>
          <w:color w:val="auto"/>
          <w:sz w:val="24"/>
          <w:szCs w:val="24"/>
          <w:highlight w:val="none"/>
        </w:rPr>
        <w:t>预付款保函的退还时间：委托人应在预付款扣完后的14天内将预付款保函退还监理人，并不得向监理人收取预付款的任何利息。</w:t>
      </w:r>
    </w:p>
    <w:p>
      <w:pPr>
        <w:rPr>
          <w:color w:val="auto"/>
          <w:highlight w:val="none"/>
        </w:rPr>
      </w:pPr>
    </w:p>
    <w:p>
      <w:pPr>
        <w:pStyle w:val="44"/>
        <w:widowControl w:val="0"/>
        <w:adjustRightInd w:val="0"/>
        <w:snapToGrid w:val="0"/>
        <w:spacing w:line="360" w:lineRule="auto"/>
        <w:ind w:firstLine="420" w:firstLineChars="200"/>
        <w:jc w:val="both"/>
        <w:rPr>
          <w:rFonts w:hAnsi="宋体" w:cs="宋体"/>
          <w:color w:val="auto"/>
          <w:sz w:val="24"/>
          <w:szCs w:val="24"/>
          <w:highlight w:val="none"/>
        </w:rPr>
      </w:pPr>
      <w:r>
        <w:rPr>
          <w:rFonts w:hint="eastAsia" w:hAnsi="宋体" w:cs="宋体"/>
          <w:color w:val="auto"/>
          <w:kern w:val="2"/>
          <w:sz w:val="21"/>
          <w:szCs w:val="21"/>
          <w:highlight w:val="none"/>
        </w:rPr>
        <w:t>9.2.4</w:t>
      </w:r>
      <w:r>
        <w:rPr>
          <w:rFonts w:hint="eastAsia" w:hAnsi="宋体" w:cs="宋体"/>
          <w:color w:val="auto"/>
          <w:sz w:val="24"/>
          <w:szCs w:val="24"/>
          <w:highlight w:val="none"/>
        </w:rPr>
        <w:t>合同提前解除的，监理人应于合同解除后</w:t>
      </w:r>
      <w:r>
        <w:rPr>
          <w:rFonts w:hint="eastAsia" w:hAnsi="宋体" w:cs="宋体"/>
          <w:color w:val="auto"/>
          <w:sz w:val="24"/>
          <w:szCs w:val="24"/>
          <w:highlight w:val="none"/>
          <w:u w:val="single"/>
          <w:lang w:val="en-US" w:eastAsia="zh-CN"/>
        </w:rPr>
        <w:t>5个工作日内</w:t>
      </w:r>
      <w:r>
        <w:rPr>
          <w:rFonts w:hint="eastAsia" w:hAnsi="宋体" w:cs="宋体"/>
          <w:color w:val="auto"/>
          <w:sz w:val="24"/>
          <w:szCs w:val="24"/>
          <w:highlight w:val="none"/>
        </w:rPr>
        <w:t>将尚未扣完的预付款全部退还委托人，每逾期一天，监理人应按</w:t>
      </w:r>
      <w:r>
        <w:rPr>
          <w:rFonts w:hint="eastAsia" w:hAnsi="宋体" w:cs="宋体"/>
          <w:color w:val="auto"/>
          <w:sz w:val="24"/>
          <w:szCs w:val="24"/>
          <w:highlight w:val="none"/>
          <w:u w:val="single"/>
        </w:rPr>
        <w:t>未退还金额的0.5%</w:t>
      </w:r>
      <w:r>
        <w:rPr>
          <w:rFonts w:hint="eastAsia" w:hAnsi="宋体" w:cs="宋体"/>
          <w:color w:val="auto"/>
          <w:sz w:val="24"/>
          <w:szCs w:val="24"/>
          <w:highlight w:val="none"/>
        </w:rPr>
        <w:t>支付违约金。</w:t>
      </w:r>
    </w:p>
    <w:p>
      <w:pPr>
        <w:spacing w:line="390" w:lineRule="exact"/>
        <w:ind w:firstLine="420" w:firstLineChars="200"/>
        <w:rPr>
          <w:rFonts w:ascii="宋体" w:hAnsi="宋体" w:cs="宋体"/>
          <w:color w:val="auto"/>
          <w:kern w:val="2"/>
          <w:sz w:val="21"/>
          <w:szCs w:val="21"/>
          <w:highlight w:val="none"/>
        </w:rPr>
      </w:pPr>
    </w:p>
    <w:p>
      <w:pPr>
        <w:spacing w:line="390" w:lineRule="exact"/>
        <w:rPr>
          <w:rFonts w:ascii="黑体" w:hAnsi="黑体" w:eastAsia="黑体"/>
          <w:color w:val="auto"/>
          <w:sz w:val="28"/>
          <w:highlight w:val="none"/>
        </w:rPr>
      </w:pPr>
      <w:r>
        <w:rPr>
          <w:rFonts w:ascii="黑体" w:hAnsi="黑体" w:eastAsia="黑体"/>
          <w:color w:val="auto"/>
          <w:sz w:val="28"/>
          <w:highlight w:val="none"/>
        </w:rPr>
        <w:t>9.3 中期支付</w:t>
      </w:r>
    </w:p>
    <w:p>
      <w:pPr>
        <w:spacing w:line="390" w:lineRule="exact"/>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9.3.2通用条款9.3.2修改为：委托人审核中期支付申请后将应付款项支付给监理人；监理人应当提供等额的增值税发票。</w:t>
      </w:r>
    </w:p>
    <w:p>
      <w:pPr>
        <w:spacing w:line="390" w:lineRule="exact"/>
        <w:ind w:firstLine="420" w:firstLineChars="200"/>
        <w:rPr>
          <w:rFonts w:ascii="宋体" w:hAnsi="宋体" w:cs="宋体"/>
          <w:color w:val="auto"/>
          <w:kern w:val="2"/>
          <w:sz w:val="21"/>
          <w:szCs w:val="21"/>
          <w:highlight w:val="none"/>
        </w:rPr>
      </w:pPr>
      <w:r>
        <w:rPr>
          <w:rFonts w:ascii="宋体" w:hAnsi="宋体" w:cs="宋体"/>
          <w:color w:val="auto"/>
          <w:kern w:val="2"/>
          <w:sz w:val="21"/>
          <w:szCs w:val="21"/>
          <w:highlight w:val="none"/>
        </w:rPr>
        <w:t>9.3.3</w:t>
      </w:r>
      <w:r>
        <w:rPr>
          <w:rFonts w:hint="eastAsia" w:ascii="宋体" w:hAnsi="宋体" w:cs="宋体"/>
          <w:color w:val="auto"/>
          <w:kern w:val="2"/>
          <w:sz w:val="21"/>
          <w:szCs w:val="21"/>
          <w:highlight w:val="none"/>
        </w:rPr>
        <w:t>中期支付方式：</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lang w:val="en-US" w:eastAsia="zh-CN"/>
        </w:rPr>
        <w:t>爆破作业完成并竣工验收后，</w:t>
      </w:r>
      <w:r>
        <w:rPr>
          <w:rFonts w:hint="eastAsia" w:ascii="宋体" w:hAnsi="宋体" w:cs="宋体"/>
          <w:color w:val="auto"/>
          <w:kern w:val="2"/>
          <w:sz w:val="21"/>
          <w:szCs w:val="21"/>
          <w:highlight w:val="none"/>
        </w:rPr>
        <w:t>监理人</w:t>
      </w:r>
      <w:r>
        <w:rPr>
          <w:rFonts w:hint="eastAsia" w:ascii="宋体" w:hAnsi="宋体" w:cs="宋体"/>
          <w:color w:val="auto"/>
          <w:kern w:val="2"/>
          <w:sz w:val="21"/>
          <w:szCs w:val="21"/>
          <w:highlight w:val="none"/>
          <w:lang w:val="en-US" w:eastAsia="zh-CN"/>
        </w:rPr>
        <w:t>提交</w:t>
      </w:r>
      <w:r>
        <w:rPr>
          <w:rFonts w:hint="eastAsia" w:ascii="宋体" w:hAnsi="宋体" w:cs="宋体"/>
          <w:color w:val="auto"/>
          <w:kern w:val="2"/>
          <w:sz w:val="21"/>
          <w:szCs w:val="21"/>
          <w:highlight w:val="none"/>
        </w:rPr>
        <w:t>工程款进度款计量支付申请审批后</w:t>
      </w:r>
      <w:r>
        <w:rPr>
          <w:rFonts w:hint="eastAsia" w:ascii="宋体" w:hAnsi="宋体" w:cs="宋体"/>
          <w:color w:val="auto"/>
          <w:kern w:val="2"/>
          <w:sz w:val="21"/>
          <w:szCs w:val="21"/>
          <w:highlight w:val="none"/>
          <w:u w:val="single"/>
        </w:rPr>
        <w:t>10日</w:t>
      </w:r>
      <w:r>
        <w:rPr>
          <w:rFonts w:hint="eastAsia" w:ascii="宋体" w:hAnsi="宋体" w:cs="宋体"/>
          <w:color w:val="auto"/>
          <w:kern w:val="2"/>
          <w:sz w:val="21"/>
          <w:szCs w:val="21"/>
          <w:highlight w:val="none"/>
        </w:rPr>
        <w:t>向委托人提交监理费付款申请单</w:t>
      </w:r>
      <w:r>
        <w:rPr>
          <w:rFonts w:hint="eastAsia" w:ascii="宋体" w:hAnsi="宋体" w:cs="宋体"/>
          <w:color w:val="auto"/>
          <w:kern w:val="2"/>
          <w:sz w:val="21"/>
          <w:szCs w:val="21"/>
          <w:highlight w:val="none"/>
          <w:u w:val="single"/>
        </w:rPr>
        <w:t>一式四份</w:t>
      </w:r>
      <w:r>
        <w:rPr>
          <w:rFonts w:hint="eastAsia" w:ascii="宋体" w:hAnsi="宋体" w:cs="宋体"/>
          <w:color w:val="auto"/>
          <w:kern w:val="2"/>
          <w:sz w:val="21"/>
          <w:szCs w:val="21"/>
          <w:highlight w:val="none"/>
        </w:rPr>
        <w:t>，该付款申请单应包括：</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1.本期应支付的监理服务费用：支付监理费=</w:t>
      </w:r>
      <w:r>
        <w:rPr>
          <w:rFonts w:hint="eastAsia" w:ascii="宋体" w:hAnsi="宋体" w:cs="宋体"/>
          <w:color w:val="auto"/>
          <w:kern w:val="2"/>
          <w:sz w:val="21"/>
          <w:szCs w:val="21"/>
          <w:highlight w:val="none"/>
          <w:lang w:val="en-US" w:eastAsia="zh-CN"/>
        </w:rPr>
        <w:t>监理合同暂定价</w:t>
      </w:r>
      <w:r>
        <w:rPr>
          <w:rFonts w:hint="eastAsia" w:ascii="宋体" w:hAnsi="宋体" w:cs="宋体"/>
          <w:color w:val="auto"/>
          <w:kern w:val="2"/>
          <w:sz w:val="21"/>
          <w:szCs w:val="21"/>
          <w:highlight w:val="none"/>
        </w:rPr>
        <w:t>×80%。；</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2.本期应扣回的预付款；</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3.根据合同约定，本期应扣除的其他款项。</w:t>
      </w:r>
    </w:p>
    <w:p>
      <w:pPr>
        <w:spacing w:line="360" w:lineRule="auto"/>
        <w:ind w:firstLine="420" w:firstLineChars="200"/>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当累计的监理费小于预付款时，委托人不支付监理费，直至此累计值超过预付款时，委托人一次性扣除预付款后支付监理费，此后委托人每期按上述要求支付监理费。到工程完工委托人最多支付至合同暂定价的80％。付款前，监理人应提交有效增值税发票。</w:t>
      </w:r>
    </w:p>
    <w:p>
      <w:pPr>
        <w:spacing w:line="360" w:lineRule="auto"/>
        <w:ind w:firstLine="420" w:firstLineChars="200"/>
        <w:rPr>
          <w:rFonts w:ascii="宋体" w:hAnsi="宋体" w:cs="宋体"/>
          <w:color w:val="auto"/>
          <w:kern w:val="2"/>
          <w:sz w:val="21"/>
          <w:szCs w:val="21"/>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9.4 费用结算</w:t>
      </w:r>
    </w:p>
    <w:p>
      <w:pPr>
        <w:spacing w:line="360" w:lineRule="auto"/>
        <w:ind w:firstLine="560" w:firstLineChars="200"/>
        <w:rPr>
          <w:rFonts w:ascii="宋体" w:hAnsi="宋体"/>
          <w:color w:val="auto"/>
          <w:sz w:val="21"/>
          <w:highlight w:val="none"/>
        </w:rPr>
      </w:pPr>
      <w:r>
        <w:rPr>
          <w:rFonts w:hint="eastAsia" w:ascii="黑体" w:hAnsi="黑体" w:eastAsia="黑体"/>
          <w:color w:val="auto"/>
          <w:sz w:val="28"/>
          <w:highlight w:val="none"/>
        </w:rPr>
        <w:t>9.4.1</w:t>
      </w:r>
      <w:r>
        <w:rPr>
          <w:rFonts w:hint="eastAsia" w:ascii="宋体" w:hAnsi="宋体"/>
          <w:color w:val="auto"/>
          <w:sz w:val="21"/>
          <w:highlight w:val="none"/>
        </w:rPr>
        <w:t>监理合同工程结算审定后28日内，监理人按委托人相关结算管理办法要求向委托人提交监理费用结算文件，结算经委托人审定后10日内，监理人向委托人提交监理结算款付款申请单</w:t>
      </w:r>
      <w:r>
        <w:rPr>
          <w:rFonts w:hint="eastAsia" w:ascii="宋体" w:hAnsi="宋体"/>
          <w:color w:val="auto"/>
          <w:sz w:val="21"/>
          <w:highlight w:val="none"/>
          <w:u w:val="single"/>
        </w:rPr>
        <w:t>一式四份</w:t>
      </w:r>
      <w:r>
        <w:rPr>
          <w:rFonts w:hint="eastAsia" w:ascii="宋体" w:hAnsi="宋体"/>
          <w:color w:val="auto"/>
          <w:sz w:val="21"/>
          <w:highlight w:val="none"/>
        </w:rPr>
        <w:t>，经委托人审批后14日内向监理人支付至结算金额的</w:t>
      </w:r>
      <w:r>
        <w:rPr>
          <w:rFonts w:hint="eastAsia" w:ascii="宋体" w:hAnsi="宋体"/>
          <w:color w:val="auto"/>
          <w:sz w:val="21"/>
          <w:highlight w:val="none"/>
          <w:lang w:val="en-US" w:eastAsia="zh-CN"/>
        </w:rPr>
        <w:t>100</w:t>
      </w:r>
      <w:r>
        <w:rPr>
          <w:rFonts w:hint="eastAsia" w:ascii="宋体" w:hAnsi="宋体"/>
          <w:color w:val="auto"/>
          <w:sz w:val="21"/>
          <w:highlight w:val="none"/>
        </w:rPr>
        <w:t>%</w:t>
      </w:r>
      <w:r>
        <w:rPr>
          <w:rFonts w:hint="eastAsia" w:ascii="宋体" w:hAnsi="宋体"/>
          <w:color w:val="auto"/>
          <w:sz w:val="21"/>
          <w:highlight w:val="none"/>
          <w:lang w:eastAsia="zh-CN"/>
        </w:rPr>
        <w:t>（</w:t>
      </w:r>
      <w:r>
        <w:rPr>
          <w:rFonts w:hint="eastAsia" w:ascii="宋体" w:hAnsi="宋体"/>
          <w:color w:val="auto"/>
          <w:sz w:val="21"/>
          <w:highlight w:val="none"/>
          <w:lang w:val="en-US" w:eastAsia="zh-CN"/>
        </w:rPr>
        <w:t>含因监理人未按规定履行合同约定而产生的各种违约金、扣罚金、赔偿金以及应由监理人交纳的各种费用等）</w:t>
      </w:r>
      <w:r>
        <w:rPr>
          <w:rFonts w:hint="eastAsia" w:ascii="宋体" w:hAnsi="宋体"/>
          <w:color w:val="auto"/>
          <w:sz w:val="21"/>
          <w:highlight w:val="none"/>
        </w:rPr>
        <w:t>。收款前，监理人应当提供等额的增值税发票。</w:t>
      </w:r>
    </w:p>
    <w:p>
      <w:pPr>
        <w:spacing w:line="360" w:lineRule="auto"/>
        <w:ind w:firstLine="420" w:firstLineChars="200"/>
        <w:rPr>
          <w:rFonts w:ascii="宋体" w:hAnsi="宋体"/>
          <w:color w:val="auto"/>
          <w:sz w:val="21"/>
          <w:highlight w:val="none"/>
        </w:rPr>
      </w:pPr>
      <w:r>
        <w:rPr>
          <w:rFonts w:hint="eastAsia" w:ascii="宋体" w:hAnsi="宋体"/>
          <w:color w:val="auto"/>
          <w:sz w:val="21"/>
          <w:highlight w:val="none"/>
        </w:rPr>
        <w:t>9.4.2删除通用条款9.4.2。</w:t>
      </w:r>
    </w:p>
    <w:p>
      <w:pPr>
        <w:spacing w:line="360" w:lineRule="auto"/>
        <w:ind w:firstLine="420" w:firstLineChars="200"/>
        <w:rPr>
          <w:rFonts w:ascii="宋体" w:hAnsi="宋体"/>
          <w:color w:val="auto"/>
          <w:sz w:val="21"/>
          <w:highlight w:val="none"/>
        </w:rPr>
      </w:pPr>
      <w:r>
        <w:rPr>
          <w:rFonts w:ascii="宋体" w:hAnsi="宋体"/>
          <w:color w:val="auto"/>
          <w:sz w:val="21"/>
          <w:highlight w:val="none"/>
        </w:rPr>
        <w:t>9.4.4 最终结清付款涉及政府投资资金的，按</w:t>
      </w:r>
      <w:r>
        <w:rPr>
          <w:rFonts w:hint="eastAsia" w:ascii="宋体" w:hAnsi="宋体"/>
          <w:color w:val="auto"/>
          <w:sz w:val="21"/>
          <w:highlight w:val="none"/>
        </w:rPr>
        <w:t>下列</w:t>
      </w:r>
      <w:r>
        <w:rPr>
          <w:rFonts w:ascii="宋体" w:hAnsi="宋体"/>
          <w:color w:val="auto"/>
          <w:sz w:val="21"/>
          <w:highlight w:val="none"/>
        </w:rPr>
        <w:t>约定执行</w:t>
      </w:r>
      <w:r>
        <w:rPr>
          <w:rFonts w:hint="eastAsia" w:ascii="宋体" w:hAnsi="宋体"/>
          <w:color w:val="auto"/>
          <w:sz w:val="21"/>
          <w:highlight w:val="none"/>
        </w:rPr>
        <w:t>：</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对属于《广州市财政投资评审管理办法》评审范围的财政性资金投资项目，财政投资评审结果作为该项目价款结算的依据。</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结算经市财局审核后，委托人按照《广州市本级基本建设项目财政性资金集中支付实施办法》及水务建设资金的支付程序付款至终审结算价的</w:t>
      </w:r>
      <w:r>
        <w:rPr>
          <w:rFonts w:hint="eastAsia" w:ascii="宋体" w:hAnsi="宋体" w:cs="宋体"/>
          <w:color w:val="auto"/>
          <w:kern w:val="2"/>
          <w:sz w:val="21"/>
          <w:szCs w:val="21"/>
          <w:highlight w:val="none"/>
          <w:lang w:val="en-US" w:eastAsia="zh-CN"/>
        </w:rPr>
        <w:t>100</w:t>
      </w:r>
      <w:r>
        <w:rPr>
          <w:rFonts w:hint="eastAsia" w:ascii="宋体" w:hAnsi="宋体" w:cs="宋体"/>
          <w:color w:val="auto"/>
          <w:kern w:val="2"/>
          <w:sz w:val="21"/>
          <w:szCs w:val="21"/>
          <w:highlight w:val="none"/>
        </w:rPr>
        <w:t>%</w:t>
      </w:r>
      <w:r>
        <w:rPr>
          <w:rFonts w:hint="eastAsia" w:ascii="宋体" w:hAnsi="宋体"/>
          <w:color w:val="auto"/>
          <w:sz w:val="21"/>
          <w:highlight w:val="none"/>
          <w:lang w:eastAsia="zh-CN"/>
        </w:rPr>
        <w:t>（</w:t>
      </w:r>
      <w:r>
        <w:rPr>
          <w:rFonts w:hint="eastAsia" w:ascii="宋体" w:hAnsi="宋体"/>
          <w:color w:val="auto"/>
          <w:sz w:val="21"/>
          <w:highlight w:val="none"/>
          <w:lang w:val="en-US" w:eastAsia="zh-CN"/>
        </w:rPr>
        <w:t>含因监理人未按规定履行合同约定而产生的各种违约金、扣罚金、赔偿金以及应由监理人交纳的各种费用等）</w:t>
      </w:r>
      <w:r>
        <w:rPr>
          <w:rFonts w:hint="eastAsia" w:ascii="宋体" w:hAnsi="宋体" w:cs="宋体"/>
          <w:color w:val="auto"/>
          <w:kern w:val="2"/>
          <w:sz w:val="21"/>
          <w:szCs w:val="21"/>
          <w:highlight w:val="none"/>
        </w:rPr>
        <w:t>。</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9.4.5监理费结算方式：本项目的监理费</w:t>
      </w:r>
      <w:r>
        <w:rPr>
          <w:rFonts w:hint="eastAsia" w:ascii="宋体" w:hAnsi="宋体" w:cs="宋体"/>
          <w:color w:val="auto"/>
          <w:kern w:val="2"/>
          <w:sz w:val="21"/>
          <w:szCs w:val="21"/>
          <w:highlight w:val="none"/>
          <w:lang w:val="en-US" w:eastAsia="zh-CN"/>
        </w:rPr>
        <w:t>采用</w:t>
      </w:r>
      <w:r>
        <w:rPr>
          <w:rFonts w:hint="eastAsia" w:ascii="宋体" w:hAnsi="宋体" w:cs="宋体"/>
          <w:color w:val="auto"/>
          <w:kern w:val="2"/>
          <w:sz w:val="21"/>
          <w:szCs w:val="21"/>
          <w:highlight w:val="none"/>
        </w:rPr>
        <w:t>总价包干</w:t>
      </w:r>
      <w:r>
        <w:rPr>
          <w:rFonts w:hint="eastAsia" w:ascii="宋体" w:hAnsi="宋体" w:cs="宋体"/>
          <w:color w:val="auto"/>
          <w:kern w:val="2"/>
          <w:sz w:val="21"/>
          <w:szCs w:val="21"/>
          <w:highlight w:val="none"/>
          <w:lang w:eastAsia="zh-CN"/>
        </w:rPr>
        <w:t>，</w:t>
      </w:r>
      <w:r>
        <w:rPr>
          <w:rFonts w:hint="eastAsia" w:ascii="宋体" w:hAnsi="宋体" w:cs="宋体"/>
          <w:color w:val="auto"/>
          <w:kern w:val="2"/>
          <w:sz w:val="21"/>
          <w:szCs w:val="21"/>
          <w:highlight w:val="none"/>
        </w:rPr>
        <w:t>经</w:t>
      </w:r>
      <w:r>
        <w:rPr>
          <w:rFonts w:hint="eastAsia" w:ascii="宋体" w:hAnsi="宋体" w:cs="宋体"/>
          <w:color w:val="auto"/>
          <w:kern w:val="2"/>
          <w:sz w:val="21"/>
          <w:szCs w:val="21"/>
          <w:highlight w:val="none"/>
          <w:lang w:eastAsia="zh-CN"/>
        </w:rPr>
        <w:t>委托人</w:t>
      </w:r>
      <w:r>
        <w:rPr>
          <w:rFonts w:hint="eastAsia" w:ascii="宋体" w:hAnsi="宋体" w:cs="宋体"/>
          <w:color w:val="auto"/>
          <w:kern w:val="2"/>
          <w:sz w:val="21"/>
          <w:szCs w:val="21"/>
          <w:highlight w:val="none"/>
        </w:rPr>
        <w:t>或</w:t>
      </w:r>
      <w:r>
        <w:rPr>
          <w:rFonts w:hint="eastAsia" w:ascii="宋体" w:hAnsi="宋体" w:cs="宋体"/>
          <w:color w:val="auto"/>
          <w:kern w:val="2"/>
          <w:sz w:val="21"/>
          <w:szCs w:val="21"/>
          <w:highlight w:val="none"/>
          <w:lang w:eastAsia="zh-CN"/>
        </w:rPr>
        <w:t>委托人</w:t>
      </w:r>
      <w:r>
        <w:rPr>
          <w:rFonts w:hint="eastAsia" w:ascii="宋体" w:hAnsi="宋体" w:cs="宋体"/>
          <w:color w:val="auto"/>
          <w:kern w:val="2"/>
          <w:sz w:val="21"/>
          <w:szCs w:val="21"/>
          <w:highlight w:val="none"/>
        </w:rPr>
        <w:t>委托有资质第三方机构审核后，若结算审核价比合同暂定总价低，则以结算审核价作为合同结算价，否则以合同暂定总价为合同结算价。</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 xml:space="preserve">9.4.6监理费结算价不得高于工程初步设计概算中相应的监理费用，否则按照工程初步设计概算中相应的监理费用结算。   </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9.4.7本合同的监理费已包含了监理人履行本合同义务与责任所发生的一切费用以及因监理服务期限延长而可能发生的一切费用。</w:t>
      </w:r>
    </w:p>
    <w:p>
      <w:pPr>
        <w:spacing w:line="360" w:lineRule="auto"/>
        <w:rPr>
          <w:rFonts w:ascii="黑体" w:hAnsi="黑体" w:eastAsia="黑体"/>
          <w:color w:val="auto"/>
          <w:sz w:val="28"/>
          <w:highlight w:val="none"/>
        </w:rPr>
      </w:pPr>
      <w:r>
        <w:rPr>
          <w:rFonts w:ascii="黑体" w:hAnsi="黑体" w:eastAsia="黑体"/>
          <w:color w:val="auto"/>
          <w:sz w:val="28"/>
          <w:highlight w:val="none"/>
        </w:rPr>
        <w:t>9.</w:t>
      </w:r>
      <w:r>
        <w:rPr>
          <w:rFonts w:hint="eastAsia" w:ascii="黑体" w:hAnsi="黑体" w:eastAsia="黑体"/>
          <w:color w:val="auto"/>
          <w:sz w:val="28"/>
          <w:highlight w:val="none"/>
        </w:rPr>
        <w:t>5费用支付</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9.5.1正常的监理工作、附加工作和额外工作的报酬，按照监理合同专用合同条款中第9.2.1条、9.3.3条和9.4.4条约定的方法计算，并按约定的时间和数额支付。</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9.5.2委托人按照《广州市本级基本建设项目财政性资金集中支付实施办法》及现行水务建设资金的支付程序向监理人支付监理酬金，因支付程序的原因导致的支付拖延，委托人不承担责任。</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9.5.3双方同意用人民币支付监理酬金。</w:t>
      </w:r>
    </w:p>
    <w:p>
      <w:pPr>
        <w:spacing w:line="360" w:lineRule="auto"/>
        <w:ind w:firstLine="420" w:firstLineChars="200"/>
        <w:rPr>
          <w:rFonts w:ascii="宋体" w:hAnsi="宋体" w:cs="宋体"/>
          <w:color w:val="auto"/>
          <w:kern w:val="2"/>
          <w:sz w:val="21"/>
          <w:szCs w:val="21"/>
          <w:highlight w:val="none"/>
        </w:rPr>
      </w:pPr>
      <w:r>
        <w:rPr>
          <w:rFonts w:hint="eastAsia" w:ascii="宋体" w:hAnsi="宋体" w:cs="宋体"/>
          <w:color w:val="auto"/>
          <w:kern w:val="2"/>
          <w:sz w:val="21"/>
          <w:szCs w:val="21"/>
          <w:highlight w:val="none"/>
        </w:rPr>
        <w:t>9.5.4如果委托人对监理人提交的支付通知中报酬或部分报酬项目提出异议，应当在收到支付通知书向监理人发出表示异议的通知，但委托人不得拖延其他无异议报酬项目的支付。</w:t>
      </w:r>
    </w:p>
    <w:p>
      <w:pPr>
        <w:spacing w:line="360" w:lineRule="auto"/>
        <w:rPr>
          <w:rFonts w:eastAsia="Times New Roman"/>
          <w:b/>
          <w:color w:val="auto"/>
          <w:sz w:val="32"/>
          <w:highlight w:val="none"/>
        </w:rPr>
      </w:pPr>
      <w:r>
        <w:rPr>
          <w:rFonts w:hint="eastAsia" w:ascii="黑体" w:hAnsi="黑体" w:eastAsia="黑体"/>
          <w:b/>
          <w:color w:val="auto"/>
          <w:sz w:val="32"/>
          <w:highlight w:val="none"/>
        </w:rPr>
        <w:t>10.不可抗力</w:t>
      </w:r>
    </w:p>
    <w:p>
      <w:pPr>
        <w:spacing w:line="360" w:lineRule="auto"/>
        <w:rPr>
          <w:rFonts w:ascii="黑体" w:hAnsi="黑体" w:eastAsia="黑体"/>
          <w:color w:val="auto"/>
          <w:sz w:val="28"/>
          <w:highlight w:val="none"/>
        </w:rPr>
      </w:pPr>
      <w:r>
        <w:rPr>
          <w:rFonts w:eastAsia="Times New Roman"/>
          <w:color w:val="auto"/>
          <w:sz w:val="28"/>
          <w:highlight w:val="none"/>
        </w:rPr>
        <w:t>1</w:t>
      </w:r>
      <w:r>
        <w:rPr>
          <w:rFonts w:hint="eastAsia"/>
          <w:color w:val="auto"/>
          <w:sz w:val="28"/>
          <w:highlight w:val="none"/>
        </w:rPr>
        <w:t>0</w:t>
      </w:r>
      <w:r>
        <w:rPr>
          <w:rFonts w:eastAsia="Times New Roman"/>
          <w:color w:val="auto"/>
          <w:sz w:val="28"/>
          <w:highlight w:val="none"/>
        </w:rPr>
        <w:t xml:space="preserve">.1 </w:t>
      </w:r>
      <w:r>
        <w:rPr>
          <w:rFonts w:hint="eastAsia" w:ascii="黑体" w:hAnsi="黑体" w:eastAsia="黑体"/>
          <w:color w:val="auto"/>
          <w:sz w:val="28"/>
          <w:highlight w:val="none"/>
        </w:rPr>
        <w:t>不可抗力的确认</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w:t>
      </w:r>
      <w:r>
        <w:rPr>
          <w:rFonts w:hint="eastAsia" w:ascii="宋体" w:hAnsi="宋体"/>
          <w:color w:val="auto"/>
          <w:sz w:val="21"/>
          <w:szCs w:val="21"/>
          <w:highlight w:val="none"/>
        </w:rPr>
        <w:t>0</w:t>
      </w:r>
      <w:r>
        <w:rPr>
          <w:rFonts w:ascii="宋体" w:hAnsi="宋体"/>
          <w:color w:val="auto"/>
          <w:sz w:val="21"/>
          <w:szCs w:val="21"/>
          <w:highlight w:val="none"/>
        </w:rPr>
        <w:t xml:space="preserve">.1.1 </w:t>
      </w:r>
      <w:r>
        <w:rPr>
          <w:rFonts w:hint="eastAsia" w:ascii="宋体" w:hAnsi="宋体" w:cs="宋体"/>
          <w:color w:val="auto"/>
          <w:sz w:val="24"/>
          <w:szCs w:val="24"/>
          <w:highlight w:val="none"/>
        </w:rPr>
        <w:t>除通用合同条件约定的不可抗力事件之外，视为不可抗力的其他情形</w:t>
      </w:r>
      <w:r>
        <w:rPr>
          <w:rFonts w:hint="eastAsia" w:ascii="宋体" w:hAnsi="宋体" w:cs="宋体"/>
          <w:bCs/>
          <w:color w:val="auto"/>
          <w:sz w:val="24"/>
          <w:szCs w:val="24"/>
          <w:highlight w:val="none"/>
        </w:rPr>
        <w:t>：政府行为，如征收征用、政府计划调整、政府指令、规划调整等。</w:t>
      </w:r>
    </w:p>
    <w:p>
      <w:pPr>
        <w:spacing w:line="390" w:lineRule="exact"/>
        <w:rPr>
          <w:rFonts w:eastAsia="Times New Roman"/>
          <w:b/>
          <w:color w:val="auto"/>
          <w:sz w:val="32"/>
          <w:highlight w:val="none"/>
        </w:rPr>
      </w:pPr>
      <w:r>
        <w:rPr>
          <w:rFonts w:hint="eastAsia" w:ascii="黑体" w:hAnsi="黑体" w:eastAsia="黑体"/>
          <w:b/>
          <w:color w:val="auto"/>
          <w:sz w:val="32"/>
          <w:highlight w:val="none"/>
        </w:rPr>
        <w:t>11.</w:t>
      </w:r>
      <w:r>
        <w:rPr>
          <w:rFonts w:ascii="黑体" w:hAnsi="黑体" w:eastAsia="黑体"/>
          <w:b/>
          <w:color w:val="auto"/>
          <w:sz w:val="32"/>
          <w:highlight w:val="none"/>
        </w:rPr>
        <w:t>违约</w:t>
      </w:r>
    </w:p>
    <w:p>
      <w:pPr>
        <w:spacing w:line="207" w:lineRule="exact"/>
        <w:rPr>
          <w:rFonts w:eastAsia="Times New Roman"/>
          <w:color w:val="auto"/>
          <w:highlight w:val="none"/>
        </w:rPr>
      </w:pPr>
    </w:p>
    <w:p>
      <w:pPr>
        <w:spacing w:line="360" w:lineRule="auto"/>
        <w:rPr>
          <w:rFonts w:ascii="宋体" w:hAnsi="宋体"/>
          <w:color w:val="auto"/>
          <w:sz w:val="21"/>
          <w:highlight w:val="none"/>
        </w:rPr>
      </w:pPr>
      <w:r>
        <w:rPr>
          <w:rFonts w:ascii="黑体" w:hAnsi="黑体" w:eastAsia="黑体"/>
          <w:color w:val="auto"/>
          <w:sz w:val="28"/>
          <w:highlight w:val="none"/>
        </w:rPr>
        <w:t>11.1 监理人违约</w:t>
      </w:r>
    </w:p>
    <w:p>
      <w:pPr>
        <w:rPr>
          <w:color w:val="auto"/>
          <w:highlight w:val="none"/>
        </w:rPr>
      </w:pPr>
      <w:r>
        <w:rPr>
          <w:color w:val="auto"/>
          <w:sz w:val="22"/>
          <w:szCs w:val="22"/>
          <w:highlight w:val="none"/>
          <w:lang w:bidi="ar"/>
        </w:rPr>
        <w:t xml:space="preserve">11.1.1 </w:t>
      </w:r>
      <w:r>
        <w:rPr>
          <w:rFonts w:hint="eastAsia" w:ascii="宋体" w:hAnsi="宋体" w:cs="宋体"/>
          <w:color w:val="auto"/>
          <w:sz w:val="22"/>
          <w:szCs w:val="22"/>
          <w:highlight w:val="none"/>
          <w:lang w:bidi="ar"/>
        </w:rPr>
        <w:t xml:space="preserve">合同履行中发生下列情况之一的，属监理人违约：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1</w:t>
      </w:r>
      <w:r>
        <w:rPr>
          <w:rFonts w:hint="eastAsia" w:ascii="宋体" w:hAnsi="宋体" w:cs="宋体"/>
          <w:color w:val="auto"/>
          <w:sz w:val="22"/>
          <w:szCs w:val="22"/>
          <w:highlight w:val="none"/>
          <w:lang w:bidi="ar"/>
        </w:rPr>
        <w:t xml:space="preserve">）监理文件不符合规范标准以及合同约定；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2</w:t>
      </w:r>
      <w:r>
        <w:rPr>
          <w:rFonts w:hint="eastAsia" w:ascii="宋体" w:hAnsi="宋体" w:cs="宋体"/>
          <w:color w:val="auto"/>
          <w:sz w:val="22"/>
          <w:szCs w:val="22"/>
          <w:highlight w:val="none"/>
          <w:lang w:bidi="ar"/>
        </w:rPr>
        <w:t xml:space="preserve">）监理人转让或分包监理工作；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3</w:t>
      </w:r>
      <w:r>
        <w:rPr>
          <w:rFonts w:hint="eastAsia" w:ascii="宋体" w:hAnsi="宋体" w:cs="宋体"/>
          <w:color w:val="auto"/>
          <w:sz w:val="22"/>
          <w:szCs w:val="22"/>
          <w:highlight w:val="none"/>
          <w:lang w:bidi="ar"/>
        </w:rPr>
        <w:t xml:space="preserve">）监理人未按合同约定实施监理并造成工程损失；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4</w:t>
      </w:r>
      <w:r>
        <w:rPr>
          <w:rFonts w:hint="eastAsia" w:ascii="宋体" w:hAnsi="宋体" w:cs="宋体"/>
          <w:color w:val="auto"/>
          <w:sz w:val="22"/>
          <w:szCs w:val="22"/>
          <w:highlight w:val="none"/>
          <w:lang w:bidi="ar"/>
        </w:rPr>
        <w:t xml:space="preserve">）监理人向监理人索贿、谋取私利，或与监理人串通损害委托人利益，给委托人造 </w:t>
      </w:r>
    </w:p>
    <w:p>
      <w:pPr>
        <w:rPr>
          <w:color w:val="auto"/>
          <w:highlight w:val="none"/>
        </w:rPr>
      </w:pPr>
      <w:r>
        <w:rPr>
          <w:rFonts w:hint="eastAsia" w:ascii="宋体" w:hAnsi="宋体" w:cs="宋体"/>
          <w:color w:val="auto"/>
          <w:sz w:val="22"/>
          <w:szCs w:val="22"/>
          <w:highlight w:val="none"/>
          <w:lang w:bidi="ar"/>
        </w:rPr>
        <w:t xml:space="preserve">成损失；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5</w:t>
      </w:r>
      <w:r>
        <w:rPr>
          <w:rFonts w:hint="eastAsia" w:ascii="宋体" w:hAnsi="宋体" w:cs="宋体"/>
          <w:color w:val="auto"/>
          <w:sz w:val="22"/>
          <w:szCs w:val="22"/>
          <w:highlight w:val="none"/>
          <w:lang w:bidi="ar"/>
        </w:rPr>
        <w:t xml:space="preserve">）监理人未按《建设工程监理规范》的规定对主要工程或关键工序进行旁站、 </w:t>
      </w:r>
    </w:p>
    <w:p>
      <w:pPr>
        <w:rPr>
          <w:color w:val="auto"/>
          <w:highlight w:val="none"/>
        </w:rPr>
      </w:pPr>
      <w:r>
        <w:rPr>
          <w:rFonts w:hint="eastAsia" w:ascii="宋体" w:hAnsi="宋体" w:cs="宋体"/>
          <w:color w:val="auto"/>
          <w:sz w:val="22"/>
          <w:szCs w:val="22"/>
          <w:highlight w:val="none"/>
          <w:lang w:bidi="ar"/>
        </w:rPr>
        <w:t xml:space="preserve">巡视或抽检；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6</w:t>
      </w:r>
      <w:r>
        <w:rPr>
          <w:rFonts w:hint="eastAsia" w:ascii="宋体" w:hAnsi="宋体" w:cs="宋体"/>
          <w:color w:val="auto"/>
          <w:sz w:val="22"/>
          <w:szCs w:val="22"/>
          <w:highlight w:val="none"/>
          <w:lang w:bidi="ar"/>
        </w:rPr>
        <w:t xml:space="preserve">）监理人未能按照投标文件的承诺或合同文件的约定配备满足监理服务需求的人员 </w:t>
      </w:r>
    </w:p>
    <w:p>
      <w:pPr>
        <w:rPr>
          <w:color w:val="auto"/>
          <w:highlight w:val="none"/>
        </w:rPr>
      </w:pPr>
      <w:r>
        <w:rPr>
          <w:rFonts w:hint="eastAsia" w:ascii="宋体" w:hAnsi="宋体" w:cs="宋体"/>
          <w:color w:val="auto"/>
          <w:sz w:val="22"/>
          <w:szCs w:val="22"/>
          <w:highlight w:val="none"/>
          <w:lang w:bidi="ar"/>
        </w:rPr>
        <w:t xml:space="preserve">或设备；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7</w:t>
      </w:r>
      <w:r>
        <w:rPr>
          <w:rFonts w:hint="eastAsia" w:ascii="宋体" w:hAnsi="宋体" w:cs="宋体"/>
          <w:color w:val="auto"/>
          <w:sz w:val="22"/>
          <w:szCs w:val="22"/>
          <w:highlight w:val="none"/>
          <w:lang w:bidi="ar"/>
        </w:rPr>
        <w:t xml:space="preserve">）监理人无法履行或停止履行合同； </w:t>
      </w:r>
    </w:p>
    <w:p>
      <w:pPr>
        <w:rPr>
          <w:color w:val="auto"/>
          <w:highlight w:val="none"/>
        </w:rPr>
      </w:pPr>
      <w:r>
        <w:rPr>
          <w:rFonts w:hint="eastAsia" w:ascii="宋体" w:hAnsi="宋体" w:cs="宋体"/>
          <w:color w:val="auto"/>
          <w:sz w:val="22"/>
          <w:szCs w:val="22"/>
          <w:highlight w:val="none"/>
          <w:lang w:bidi="ar"/>
        </w:rPr>
        <w:t>（</w:t>
      </w:r>
      <w:r>
        <w:rPr>
          <w:color w:val="auto"/>
          <w:sz w:val="22"/>
          <w:szCs w:val="22"/>
          <w:highlight w:val="none"/>
          <w:lang w:bidi="ar"/>
        </w:rPr>
        <w:t>8</w:t>
      </w:r>
      <w:r>
        <w:rPr>
          <w:rFonts w:hint="eastAsia" w:ascii="宋体" w:hAnsi="宋体" w:cs="宋体"/>
          <w:color w:val="auto"/>
          <w:sz w:val="22"/>
          <w:szCs w:val="22"/>
          <w:highlight w:val="none"/>
          <w:lang w:bidi="ar"/>
        </w:rPr>
        <w:t>）监理人不履行合同约定的其他义务。</w:t>
      </w:r>
    </w:p>
    <w:p>
      <w:pPr>
        <w:ind w:firstLine="440" w:firstLineChars="200"/>
        <w:rPr>
          <w:rFonts w:ascii="宋体" w:hAnsi="宋体"/>
          <w:color w:val="auto"/>
          <w:sz w:val="21"/>
          <w:highlight w:val="none"/>
        </w:rPr>
      </w:pPr>
      <w:r>
        <w:rPr>
          <w:color w:val="auto"/>
          <w:sz w:val="22"/>
          <w:szCs w:val="22"/>
          <w:highlight w:val="none"/>
          <w:lang w:bidi="ar"/>
        </w:rPr>
        <w:t xml:space="preserve">11.1.2 </w:t>
      </w:r>
      <w:r>
        <w:rPr>
          <w:rFonts w:hint="eastAsia" w:ascii="宋体" w:hAnsi="宋体" w:cs="宋体"/>
          <w:color w:val="auto"/>
          <w:sz w:val="22"/>
          <w:szCs w:val="22"/>
          <w:highlight w:val="none"/>
          <w:lang w:bidi="ar"/>
        </w:rPr>
        <w:t xml:space="preserve">监理人发生违约情况时，委托人可向监理人发出整改通知，要求其在限定期限 内纠正；逾期仍不纠正的，委托人有权解除合同并向监理人发出解除合同通知。发生第 </w:t>
      </w:r>
      <w:r>
        <w:rPr>
          <w:color w:val="auto"/>
          <w:sz w:val="22"/>
          <w:szCs w:val="22"/>
          <w:highlight w:val="none"/>
          <w:lang w:bidi="ar"/>
        </w:rPr>
        <w:t xml:space="preserve">11.1.1 </w:t>
      </w:r>
      <w:r>
        <w:rPr>
          <w:rFonts w:hint="eastAsia" w:ascii="宋体" w:hAnsi="宋体" w:cs="宋体"/>
          <w:color w:val="auto"/>
          <w:sz w:val="22"/>
          <w:szCs w:val="22"/>
          <w:highlight w:val="none"/>
          <w:lang w:bidi="ar"/>
        </w:rPr>
        <w:t>项（</w:t>
      </w:r>
      <w:r>
        <w:rPr>
          <w:color w:val="auto"/>
          <w:sz w:val="22"/>
          <w:szCs w:val="22"/>
          <w:highlight w:val="none"/>
          <w:lang w:bidi="ar"/>
        </w:rPr>
        <w:t>2</w:t>
      </w:r>
      <w:r>
        <w:rPr>
          <w:rFonts w:hint="eastAsia" w:ascii="宋体" w:hAnsi="宋体" w:cs="宋体"/>
          <w:color w:val="auto"/>
          <w:sz w:val="22"/>
          <w:szCs w:val="22"/>
          <w:highlight w:val="none"/>
          <w:lang w:bidi="ar"/>
        </w:rPr>
        <w:t>）目或（</w:t>
      </w:r>
      <w:r>
        <w:rPr>
          <w:color w:val="auto"/>
          <w:sz w:val="22"/>
          <w:szCs w:val="22"/>
          <w:highlight w:val="none"/>
          <w:lang w:bidi="ar"/>
        </w:rPr>
        <w:t>4</w:t>
      </w:r>
      <w:r>
        <w:rPr>
          <w:rFonts w:hint="eastAsia" w:ascii="宋体" w:hAnsi="宋体" w:cs="宋体"/>
          <w:color w:val="auto"/>
          <w:sz w:val="22"/>
          <w:szCs w:val="22"/>
          <w:highlight w:val="none"/>
          <w:lang w:bidi="ar"/>
        </w:rPr>
        <w:t>）目情形时，委托人可直接发出解除合同通知。监理人应当承担由于违约所造成的费用增加、周期延误和委托人损失等。</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监理人在履行本合同的义务期间，应为委托人提供专业的咨询意见，公正维护各方面的合法权益。监理人违约及赔偿责任由双方约定如下：</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1监理人派驻到项目所在地履行监理服务的总监理工程师及其他主要监理人员，</w:t>
      </w:r>
      <w:r>
        <w:rPr>
          <w:rFonts w:hint="eastAsia" w:ascii="宋体" w:hAnsi="宋体"/>
          <w:color w:val="auto"/>
          <w:sz w:val="21"/>
          <w:szCs w:val="21"/>
          <w:highlight w:val="none"/>
          <w:lang w:val="en-US" w:eastAsia="zh-CN"/>
        </w:rPr>
        <w:t>爆破作业期间</w:t>
      </w:r>
      <w:r>
        <w:rPr>
          <w:rFonts w:hint="eastAsia" w:ascii="宋体" w:hAnsi="宋体"/>
          <w:color w:val="auto"/>
          <w:sz w:val="21"/>
          <w:szCs w:val="21"/>
          <w:highlight w:val="none"/>
        </w:rPr>
        <w:t>必须常驻现场。若需离开施工现场需报经委托人批准，否则委托人将有权对总监理工程师扣除</w:t>
      </w:r>
      <w:r>
        <w:rPr>
          <w:rFonts w:hint="eastAsia" w:ascii="宋体" w:hAnsi="宋体"/>
          <w:color w:val="auto"/>
          <w:sz w:val="21"/>
          <w:szCs w:val="21"/>
          <w:highlight w:val="none"/>
          <w:u w:val="single"/>
        </w:rPr>
        <w:t>0.5万元</w:t>
      </w:r>
      <w:r>
        <w:rPr>
          <w:rFonts w:hint="eastAsia" w:ascii="宋体" w:hAnsi="宋体"/>
          <w:color w:val="auto"/>
          <w:sz w:val="21"/>
          <w:szCs w:val="21"/>
          <w:highlight w:val="none"/>
        </w:rPr>
        <w:t>违约金，对其他主要监理人员扣除</w:t>
      </w:r>
      <w:r>
        <w:rPr>
          <w:rFonts w:hint="eastAsia" w:ascii="宋体" w:hAnsi="宋体"/>
          <w:color w:val="auto"/>
          <w:sz w:val="21"/>
          <w:szCs w:val="21"/>
          <w:highlight w:val="none"/>
          <w:lang w:val="en-US" w:eastAsia="zh-CN"/>
        </w:rPr>
        <w:t>最多</w:t>
      </w:r>
      <w:r>
        <w:rPr>
          <w:rFonts w:hint="eastAsia" w:ascii="宋体" w:hAnsi="宋体"/>
          <w:color w:val="auto"/>
          <w:sz w:val="21"/>
          <w:szCs w:val="21"/>
          <w:highlight w:val="none"/>
          <w:u w:val="single"/>
        </w:rPr>
        <w:t>0.3万元</w:t>
      </w:r>
      <w:r>
        <w:rPr>
          <w:rFonts w:hint="eastAsia" w:ascii="宋体" w:hAnsi="宋体"/>
          <w:color w:val="auto"/>
          <w:sz w:val="21"/>
          <w:szCs w:val="21"/>
          <w:highlight w:val="none"/>
        </w:rPr>
        <w:t>违约金。</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2委托人要求总监理工程师或注册造价工程师必须参加的会议，总监理工程师或注册造价工程师必须到会，未经委托人同意不到会者，委托人有权扣除每人每次</w:t>
      </w:r>
      <w:r>
        <w:rPr>
          <w:rFonts w:hint="eastAsia" w:ascii="宋体" w:hAnsi="宋体"/>
          <w:color w:val="auto"/>
          <w:sz w:val="21"/>
          <w:szCs w:val="21"/>
          <w:highlight w:val="none"/>
          <w:u w:val="single"/>
        </w:rPr>
        <w:t>0.5万元</w:t>
      </w:r>
      <w:r>
        <w:rPr>
          <w:rFonts w:hint="eastAsia" w:ascii="宋体" w:hAnsi="宋体"/>
          <w:color w:val="auto"/>
          <w:sz w:val="21"/>
          <w:szCs w:val="21"/>
          <w:highlight w:val="none"/>
        </w:rPr>
        <w:t>违约金。累计未到会超过</w:t>
      </w:r>
      <w:r>
        <w:rPr>
          <w:rFonts w:hint="eastAsia" w:ascii="宋体" w:hAnsi="宋体"/>
          <w:color w:val="auto"/>
          <w:sz w:val="21"/>
          <w:szCs w:val="21"/>
          <w:highlight w:val="none"/>
          <w:u w:val="single"/>
        </w:rPr>
        <w:t xml:space="preserve"> 5 </w:t>
      </w:r>
      <w:r>
        <w:rPr>
          <w:rFonts w:hint="eastAsia" w:ascii="宋体" w:hAnsi="宋体"/>
          <w:color w:val="auto"/>
          <w:sz w:val="21"/>
          <w:szCs w:val="21"/>
          <w:highlight w:val="none"/>
        </w:rPr>
        <w:t>次的，委托人有权要求监理人更换总监理工程师、注册造价工程师。</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3工程施工承包人未按投标书所作的承诺投入机械、设备、材料等、或对于承包人下场管理机构人员不到位、擅自离场，管理人员工作能力、工作态度存在严重不足、或承包人的施工方案不符合委托人要求，监理人对此不进行检查、督促、处理，不向委托人报告，被委托人发现后，监理人除必须根据委托人的要求负责督促承包人整改外，委托人有权要求监理人支付</w:t>
      </w:r>
      <w:r>
        <w:rPr>
          <w:rFonts w:hint="eastAsia" w:ascii="宋体" w:hAnsi="宋体"/>
          <w:color w:val="auto"/>
          <w:sz w:val="21"/>
          <w:szCs w:val="21"/>
          <w:highlight w:val="none"/>
          <w:u w:val="single"/>
        </w:rPr>
        <w:t>0.5万元</w:t>
      </w:r>
      <w:r>
        <w:rPr>
          <w:rFonts w:hint="eastAsia" w:ascii="宋体" w:hAnsi="宋体"/>
          <w:color w:val="auto"/>
          <w:sz w:val="21"/>
          <w:szCs w:val="21"/>
          <w:highlight w:val="none"/>
        </w:rPr>
        <w:t>违约金/次。</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4对于工程施工承包人每次进场材料，监理人不进行检查和登记；对已进场的材料，监理人不按有关规定及时进行抽查</w:t>
      </w:r>
      <w:r>
        <w:rPr>
          <w:rFonts w:hint="eastAsia" w:ascii="宋体" w:hAnsi="宋体"/>
          <w:color w:val="auto"/>
          <w:sz w:val="21"/>
          <w:szCs w:val="21"/>
          <w:highlight w:val="none"/>
          <w:lang w:val="en-US" w:eastAsia="zh-CN"/>
        </w:rPr>
        <w:t>或</w:t>
      </w:r>
      <w:r>
        <w:rPr>
          <w:rFonts w:hint="eastAsia" w:ascii="宋体" w:hAnsi="宋体"/>
          <w:color w:val="auto"/>
          <w:sz w:val="21"/>
          <w:szCs w:val="21"/>
          <w:highlight w:val="none"/>
        </w:rPr>
        <w:t>送检，每被发现一次，委托人有权要求监理人支付违约金</w:t>
      </w:r>
      <w:r>
        <w:rPr>
          <w:rFonts w:hint="eastAsia" w:ascii="宋体" w:hAnsi="宋体"/>
          <w:color w:val="auto"/>
          <w:sz w:val="21"/>
          <w:szCs w:val="21"/>
          <w:highlight w:val="none"/>
          <w:u w:val="single"/>
        </w:rPr>
        <w:t>0.</w:t>
      </w:r>
      <w:r>
        <w:rPr>
          <w:rFonts w:hint="eastAsia" w:ascii="宋体" w:hAnsi="宋体"/>
          <w:color w:val="auto"/>
          <w:sz w:val="21"/>
          <w:szCs w:val="21"/>
          <w:highlight w:val="none"/>
          <w:u w:val="single"/>
          <w:lang w:val="en-US" w:eastAsia="zh-CN"/>
        </w:rPr>
        <w:t>1</w:t>
      </w:r>
      <w:r>
        <w:rPr>
          <w:rFonts w:hint="eastAsia" w:ascii="宋体" w:hAnsi="宋体"/>
          <w:color w:val="auto"/>
          <w:sz w:val="21"/>
          <w:szCs w:val="21"/>
          <w:highlight w:val="none"/>
          <w:u w:val="single"/>
        </w:rPr>
        <w:t>万元</w:t>
      </w:r>
      <w:r>
        <w:rPr>
          <w:rFonts w:hint="eastAsia" w:ascii="宋体" w:hAnsi="宋体"/>
          <w:color w:val="auto"/>
          <w:sz w:val="21"/>
          <w:szCs w:val="21"/>
          <w:highlight w:val="none"/>
        </w:rPr>
        <w:t>。如由此出现不合格材料使用于工程上并造成质量缺陷，委托人有权要求监理人支付违约金每次</w:t>
      </w:r>
      <w:r>
        <w:rPr>
          <w:rFonts w:hint="eastAsia" w:ascii="宋体" w:hAnsi="宋体"/>
          <w:color w:val="auto"/>
          <w:sz w:val="21"/>
          <w:szCs w:val="21"/>
          <w:highlight w:val="none"/>
          <w:u w:val="single"/>
          <w:lang w:val="en-US" w:eastAsia="zh-CN"/>
        </w:rPr>
        <w:t>0.5</w:t>
      </w:r>
      <w:r>
        <w:rPr>
          <w:rFonts w:hint="eastAsia" w:ascii="宋体" w:hAnsi="宋体"/>
          <w:color w:val="auto"/>
          <w:sz w:val="21"/>
          <w:szCs w:val="21"/>
          <w:highlight w:val="none"/>
          <w:u w:val="single"/>
        </w:rPr>
        <w:t>万元</w:t>
      </w:r>
      <w:r>
        <w:rPr>
          <w:rFonts w:hint="eastAsia" w:ascii="宋体" w:hAnsi="宋体"/>
          <w:color w:val="auto"/>
          <w:sz w:val="21"/>
          <w:szCs w:val="21"/>
          <w:highlight w:val="none"/>
        </w:rPr>
        <w:t>。若出现质量事故或经济损失一次</w:t>
      </w:r>
      <w:r>
        <w:rPr>
          <w:rFonts w:hint="eastAsia" w:ascii="宋体" w:hAnsi="宋体"/>
          <w:color w:val="auto"/>
          <w:sz w:val="21"/>
          <w:szCs w:val="21"/>
          <w:highlight w:val="none"/>
          <w:u w:val="single"/>
        </w:rPr>
        <w:t>10万元</w:t>
      </w:r>
      <w:r>
        <w:rPr>
          <w:rFonts w:hint="eastAsia" w:ascii="宋体" w:hAnsi="宋体"/>
          <w:color w:val="auto"/>
          <w:sz w:val="21"/>
          <w:szCs w:val="21"/>
          <w:highlight w:val="none"/>
        </w:rPr>
        <w:t>以上的，委托人有权要求监理人支付违约金每次</w:t>
      </w:r>
      <w:r>
        <w:rPr>
          <w:rFonts w:hint="eastAsia" w:ascii="宋体" w:hAnsi="宋体"/>
          <w:color w:val="auto"/>
          <w:sz w:val="21"/>
          <w:szCs w:val="21"/>
          <w:highlight w:val="none"/>
          <w:u w:val="single"/>
          <w:lang w:val="en-US" w:eastAsia="zh-CN"/>
        </w:rPr>
        <w:t>1</w:t>
      </w:r>
      <w:r>
        <w:rPr>
          <w:rFonts w:hint="eastAsia" w:ascii="宋体" w:hAnsi="宋体"/>
          <w:color w:val="auto"/>
          <w:sz w:val="21"/>
          <w:szCs w:val="21"/>
          <w:highlight w:val="none"/>
          <w:u w:val="single"/>
        </w:rPr>
        <w:t>万元</w:t>
      </w:r>
      <w:r>
        <w:rPr>
          <w:rFonts w:hint="eastAsia" w:ascii="宋体" w:hAnsi="宋体"/>
          <w:color w:val="auto"/>
          <w:sz w:val="21"/>
          <w:szCs w:val="21"/>
          <w:highlight w:val="none"/>
        </w:rPr>
        <w:t>。造成较大质量事故（按国家规定界定），委托人视情况解除合同。</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6对于承包人提交的请款报告，监理人审核造价出现错误或不按要求签署拨款意见，被审查发现后，除必须限期改正外，每出现2次，委托人有权要求监理人支付</w:t>
      </w:r>
      <w:r>
        <w:rPr>
          <w:rFonts w:hint="eastAsia" w:ascii="宋体" w:hAnsi="宋体"/>
          <w:color w:val="auto"/>
          <w:sz w:val="21"/>
          <w:szCs w:val="21"/>
          <w:highlight w:val="none"/>
          <w:u w:val="single"/>
        </w:rPr>
        <w:t>0.5万元</w:t>
      </w:r>
      <w:r>
        <w:rPr>
          <w:rFonts w:hint="eastAsia" w:ascii="宋体" w:hAnsi="宋体"/>
          <w:color w:val="auto"/>
          <w:sz w:val="21"/>
          <w:szCs w:val="21"/>
          <w:highlight w:val="none"/>
        </w:rPr>
        <w:t>违约金；</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11.1.3.7监理人未能按时进行隐蔽工程验收，委托人有权要求监理人支付违约金</w:t>
      </w:r>
      <w:r>
        <w:rPr>
          <w:rFonts w:hint="eastAsia" w:ascii="宋体" w:hAnsi="宋体"/>
          <w:color w:val="auto"/>
          <w:sz w:val="21"/>
          <w:szCs w:val="21"/>
          <w:highlight w:val="none"/>
          <w:lang w:val="en-US" w:eastAsia="zh-CN"/>
        </w:rPr>
        <w:t>0.5</w:t>
      </w:r>
      <w:r>
        <w:rPr>
          <w:rFonts w:hint="eastAsia" w:ascii="宋体" w:hAnsi="宋体"/>
          <w:color w:val="auto"/>
          <w:sz w:val="21"/>
          <w:szCs w:val="21"/>
          <w:highlight w:val="none"/>
        </w:rPr>
        <w:t>万元/次，并赔偿委托人损失。</w:t>
      </w:r>
    </w:p>
    <w:p>
      <w:pPr>
        <w:spacing w:line="360" w:lineRule="auto"/>
        <w:ind w:firstLine="420" w:firstLineChars="200"/>
        <w:rPr>
          <w:rFonts w:hint="eastAsia" w:ascii="宋体" w:hAnsi="宋体"/>
          <w:color w:val="auto"/>
          <w:sz w:val="21"/>
          <w:highlight w:val="none"/>
        </w:rPr>
      </w:pPr>
      <w:r>
        <w:rPr>
          <w:rFonts w:hint="eastAsia" w:ascii="宋体" w:hAnsi="宋体"/>
          <w:color w:val="auto"/>
          <w:sz w:val="21"/>
          <w:szCs w:val="21"/>
          <w:highlight w:val="none"/>
        </w:rPr>
        <w:t>11.1.3.8监理人未按规定对关键工序、关键部分进行旁站和见证取样，委托人有权要求监理人支付违约金</w:t>
      </w:r>
      <w:r>
        <w:rPr>
          <w:rFonts w:hint="eastAsia" w:ascii="宋体" w:hAnsi="宋体"/>
          <w:color w:val="auto"/>
          <w:sz w:val="21"/>
          <w:szCs w:val="21"/>
          <w:highlight w:val="none"/>
          <w:u w:val="single"/>
        </w:rPr>
        <w:t>3000元/次</w:t>
      </w:r>
      <w:r>
        <w:rPr>
          <w:rFonts w:hint="eastAsia" w:ascii="宋体" w:hAnsi="宋体"/>
          <w:color w:val="auto"/>
          <w:sz w:val="21"/>
          <w:highlight w:val="none"/>
        </w:rPr>
        <w:t>；</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9工程结算时，监理人审查的结算价与市财局批复（或委托人审核）的审定结算价相差5%~10%(含5%，不含10%)时，委托人有权扣除5%的监理费，并进行通报；相差在10%~20%（含10%，不含20%）时，委托人有权扣除10%监理费，并给予通报；相差大于等于20%的，委托人有权扣除20%监理费。</w:t>
      </w:r>
    </w:p>
    <w:p>
      <w:pPr>
        <w:spacing w:line="360" w:lineRule="auto"/>
        <w:ind w:firstLine="420" w:firstLineChars="200"/>
        <w:rPr>
          <w:rFonts w:ascii="宋体" w:hAnsi="宋体"/>
          <w:color w:val="auto"/>
          <w:sz w:val="21"/>
          <w:szCs w:val="21"/>
          <w:highlight w:val="none"/>
        </w:rPr>
      </w:pPr>
      <w:r>
        <w:rPr>
          <w:rFonts w:ascii="宋体" w:hAnsi="宋体"/>
          <w:color w:val="auto"/>
          <w:sz w:val="21"/>
          <w:highlight w:val="none"/>
        </w:rPr>
        <w:t>11.1.</w:t>
      </w:r>
      <w:r>
        <w:rPr>
          <w:rFonts w:hint="eastAsia" w:ascii="宋体" w:hAnsi="宋体"/>
          <w:color w:val="auto"/>
          <w:sz w:val="21"/>
          <w:highlight w:val="none"/>
        </w:rPr>
        <w:t>3.</w:t>
      </w:r>
      <w:r>
        <w:rPr>
          <w:rFonts w:hint="eastAsia" w:ascii="宋体" w:hAnsi="宋体"/>
          <w:color w:val="auto"/>
          <w:sz w:val="21"/>
          <w:szCs w:val="21"/>
          <w:highlight w:val="none"/>
        </w:rPr>
        <w:t>10监理单位在控制工程进度、施工质量时，要结合工程的实际情况对工程资料进行严格把关，确保资料的完整、真实。如在对工程施工质量资料、竣工资料、结算资料的专项检查中发现监理单位对资料存在编制归档滞后，不按规定编制，把关不严等问题的，委托人有权要求监理人每次支付</w:t>
      </w:r>
      <w:r>
        <w:rPr>
          <w:rFonts w:hint="eastAsia" w:ascii="宋体" w:hAnsi="宋体"/>
          <w:color w:val="auto"/>
          <w:sz w:val="21"/>
          <w:szCs w:val="21"/>
          <w:highlight w:val="none"/>
          <w:u w:val="single"/>
          <w:lang w:val="en-US" w:eastAsia="zh-CN"/>
        </w:rPr>
        <w:t>0.5</w:t>
      </w:r>
      <w:r>
        <w:rPr>
          <w:rFonts w:hint="eastAsia" w:ascii="宋体" w:hAnsi="宋体"/>
          <w:color w:val="auto"/>
          <w:sz w:val="21"/>
          <w:szCs w:val="21"/>
          <w:highlight w:val="none"/>
          <w:u w:val="single"/>
        </w:rPr>
        <w:t>万元</w:t>
      </w:r>
      <w:r>
        <w:rPr>
          <w:rFonts w:hint="eastAsia" w:ascii="宋体" w:hAnsi="宋体"/>
          <w:color w:val="auto"/>
          <w:sz w:val="21"/>
          <w:szCs w:val="21"/>
          <w:highlight w:val="none"/>
        </w:rPr>
        <w:t xml:space="preserve">的违约金。 </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11.1.</w:t>
      </w:r>
      <w:r>
        <w:rPr>
          <w:rFonts w:hint="eastAsia" w:ascii="宋体" w:hAnsi="宋体"/>
          <w:color w:val="auto"/>
          <w:sz w:val="21"/>
          <w:szCs w:val="21"/>
          <w:highlight w:val="none"/>
        </w:rPr>
        <w:t xml:space="preserve">3.11  </w:t>
      </w:r>
      <w:r>
        <w:rPr>
          <w:rFonts w:hint="eastAsia" w:ascii="宋体" w:hAnsi="宋体" w:cs="仿宋"/>
          <w:color w:val="auto"/>
          <w:sz w:val="21"/>
          <w:szCs w:val="21"/>
          <w:highlight w:val="none"/>
        </w:rPr>
        <w:t>发生安全生产事故的，每重伤一人监理人应支付违约金</w:t>
      </w:r>
      <w:r>
        <w:rPr>
          <w:rFonts w:hint="eastAsia" w:ascii="宋体" w:hAnsi="宋体" w:cs="仿宋"/>
          <w:color w:val="auto"/>
          <w:sz w:val="21"/>
          <w:szCs w:val="21"/>
          <w:highlight w:val="none"/>
          <w:u w:val="single"/>
          <w:lang w:val="en-US" w:eastAsia="zh-CN"/>
        </w:rPr>
        <w:t>0.5</w:t>
      </w:r>
      <w:r>
        <w:rPr>
          <w:rFonts w:hint="eastAsia" w:ascii="宋体" w:hAnsi="宋体" w:cs="仿宋"/>
          <w:color w:val="auto"/>
          <w:sz w:val="21"/>
          <w:szCs w:val="21"/>
          <w:highlight w:val="none"/>
          <w:u w:val="single"/>
        </w:rPr>
        <w:t>万元</w:t>
      </w:r>
      <w:r>
        <w:rPr>
          <w:rFonts w:hint="eastAsia" w:ascii="宋体" w:hAnsi="宋体" w:cs="仿宋"/>
          <w:color w:val="auto"/>
          <w:sz w:val="21"/>
          <w:szCs w:val="21"/>
          <w:highlight w:val="none"/>
        </w:rPr>
        <w:t>,每死亡一人支付违约金</w:t>
      </w:r>
      <w:r>
        <w:rPr>
          <w:rFonts w:hint="eastAsia" w:ascii="宋体" w:hAnsi="宋体" w:cs="仿宋"/>
          <w:color w:val="auto"/>
          <w:sz w:val="21"/>
          <w:szCs w:val="21"/>
          <w:highlight w:val="none"/>
          <w:u w:val="single"/>
          <w:lang w:val="en-US" w:eastAsia="zh-CN"/>
        </w:rPr>
        <w:t>1</w:t>
      </w:r>
      <w:r>
        <w:rPr>
          <w:rFonts w:hint="eastAsia" w:ascii="宋体" w:hAnsi="宋体" w:cs="仿宋"/>
          <w:color w:val="auto"/>
          <w:sz w:val="21"/>
          <w:szCs w:val="21"/>
          <w:highlight w:val="none"/>
          <w:u w:val="single"/>
        </w:rPr>
        <w:t>万元</w:t>
      </w:r>
      <w:r>
        <w:rPr>
          <w:rFonts w:hint="eastAsia" w:ascii="宋体" w:hAnsi="宋体" w:cs="仿宋"/>
          <w:color w:val="auto"/>
          <w:sz w:val="21"/>
          <w:szCs w:val="21"/>
          <w:highlight w:val="none"/>
        </w:rPr>
        <w:t>。发生前述情形的，委托人有权解除合同，并没收履约保证金。</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11.1.3.12监理人根据合同约定应支付违约金的，应在收到委托人开具的违约处罚通知书后1个月内以现金或转账方式向委托人缴交，逾期未交的，委托人有权从应付合同价款或履约保证金中扣除。</w:t>
      </w:r>
    </w:p>
    <w:p>
      <w:pPr>
        <w:spacing w:line="360" w:lineRule="auto"/>
        <w:ind w:firstLine="420" w:firstLineChars="200"/>
        <w:rPr>
          <w:rFonts w:ascii="宋体" w:hAnsi="宋体"/>
          <w:color w:val="auto"/>
          <w:sz w:val="21"/>
          <w:szCs w:val="21"/>
          <w:highlight w:val="none"/>
        </w:rPr>
      </w:pPr>
      <w:r>
        <w:rPr>
          <w:rFonts w:ascii="宋体" w:hAnsi="宋体"/>
          <w:color w:val="auto"/>
          <w:sz w:val="21"/>
          <w:szCs w:val="21"/>
          <w:highlight w:val="none"/>
        </w:rPr>
        <w:t>11.1.3.13</w:t>
      </w:r>
      <w:r>
        <w:rPr>
          <w:rFonts w:hint="eastAsia" w:ascii="宋体" w:hAnsi="宋体"/>
          <w:color w:val="auto"/>
          <w:sz w:val="21"/>
          <w:szCs w:val="21"/>
          <w:highlight w:val="none"/>
        </w:rPr>
        <w:t>委托人有权对监理人的监理工作提出意见或要求，对于委托人发出的工作函件、合同履行中与监理服务有关的来往函件，监理人应在限定期限内提交书面回复函，直至委托人确认；逾期仍不提交的，委托人有权要求监理人支付</w:t>
      </w:r>
      <w:r>
        <w:rPr>
          <w:rFonts w:ascii="宋体" w:hAnsi="宋体"/>
          <w:color w:val="auto"/>
          <w:sz w:val="21"/>
          <w:szCs w:val="21"/>
          <w:highlight w:val="none"/>
          <w:u w:val="single"/>
        </w:rPr>
        <w:t>0.</w:t>
      </w:r>
      <w:r>
        <w:rPr>
          <w:rFonts w:hint="eastAsia" w:ascii="宋体" w:hAnsi="宋体"/>
          <w:color w:val="auto"/>
          <w:sz w:val="21"/>
          <w:szCs w:val="21"/>
          <w:highlight w:val="none"/>
          <w:u w:val="single"/>
          <w:lang w:val="en-US" w:eastAsia="zh-CN"/>
        </w:rPr>
        <w:t>1</w:t>
      </w:r>
      <w:r>
        <w:rPr>
          <w:rFonts w:ascii="宋体" w:hAnsi="宋体"/>
          <w:color w:val="auto"/>
          <w:sz w:val="21"/>
          <w:szCs w:val="21"/>
          <w:highlight w:val="none"/>
          <w:u w:val="single"/>
        </w:rPr>
        <w:t>万元</w:t>
      </w:r>
      <w:r>
        <w:rPr>
          <w:rFonts w:ascii="宋体" w:hAnsi="宋体"/>
          <w:color w:val="auto"/>
          <w:sz w:val="21"/>
          <w:szCs w:val="21"/>
          <w:highlight w:val="none"/>
        </w:rPr>
        <w:t>违约金/次。</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监理人违约的，委托人根据实际情况将其违约行为作为不良记录纳入广州市诚信评价管理系统。</w:t>
      </w: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12.</w:t>
      </w:r>
      <w:r>
        <w:rPr>
          <w:rFonts w:ascii="黑体" w:hAnsi="黑体" w:eastAsia="黑体"/>
          <w:b/>
          <w:color w:val="auto"/>
          <w:sz w:val="32"/>
          <w:highlight w:val="none"/>
        </w:rPr>
        <w:t>争议的解决</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因违反或终止合同而引起的对对方损失和损害的赔偿，双方应当协商解决，如未能达成一致，可提交主管部门协调，如仍未能达成一致时，双方均可向委托人所在地人民法院提起诉讼。</w:t>
      </w: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13.监理人权利和责任</w:t>
      </w:r>
    </w:p>
    <w:p>
      <w:pPr>
        <w:spacing w:line="360" w:lineRule="auto"/>
        <w:rPr>
          <w:rFonts w:ascii="宋体" w:hAnsi="宋体"/>
          <w:color w:val="auto"/>
          <w:sz w:val="21"/>
          <w:highlight w:val="none"/>
        </w:rPr>
      </w:pPr>
      <w:r>
        <w:rPr>
          <w:rFonts w:ascii="黑体" w:hAnsi="黑体" w:eastAsia="黑体"/>
          <w:color w:val="auto"/>
          <w:sz w:val="28"/>
          <w:highlight w:val="none"/>
        </w:rPr>
        <w:t>1</w:t>
      </w:r>
      <w:r>
        <w:rPr>
          <w:rFonts w:hint="eastAsia" w:ascii="黑体" w:hAnsi="黑体" w:eastAsia="黑体"/>
          <w:color w:val="auto"/>
          <w:sz w:val="28"/>
          <w:highlight w:val="none"/>
        </w:rPr>
        <w:t>3</w:t>
      </w:r>
      <w:r>
        <w:rPr>
          <w:rFonts w:ascii="黑体" w:hAnsi="黑体" w:eastAsia="黑体"/>
          <w:color w:val="auto"/>
          <w:sz w:val="28"/>
          <w:highlight w:val="none"/>
        </w:rPr>
        <w:t>.</w:t>
      </w:r>
      <w:r>
        <w:rPr>
          <w:rFonts w:hint="eastAsia" w:ascii="黑体" w:hAnsi="黑体" w:eastAsia="黑体"/>
          <w:color w:val="auto"/>
          <w:sz w:val="28"/>
          <w:highlight w:val="none"/>
        </w:rPr>
        <w:t>1</w:t>
      </w:r>
      <w:r>
        <w:rPr>
          <w:rFonts w:ascii="黑体" w:hAnsi="黑体" w:eastAsia="黑体"/>
          <w:color w:val="auto"/>
          <w:sz w:val="28"/>
          <w:highlight w:val="none"/>
        </w:rPr>
        <w:t xml:space="preserve"> </w:t>
      </w:r>
      <w:r>
        <w:rPr>
          <w:rFonts w:hint="eastAsia" w:ascii="黑体" w:hAnsi="黑体" w:eastAsia="黑体"/>
          <w:color w:val="auto"/>
          <w:sz w:val="28"/>
          <w:highlight w:val="none"/>
        </w:rPr>
        <w:t>监理人权利</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13.1.1监理人在委托人委托的工程范围内，享有以下权利：</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（1）对工程建设有关事项包括工程规模、设计标准、规划设计、生产工艺设计和使用功能要求，向委托人的建议权。</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2</w:t>
      </w:r>
      <w:r>
        <w:rPr>
          <w:rFonts w:hint="eastAsia" w:ascii="宋体" w:hAnsi="宋体"/>
          <w:color w:val="auto"/>
          <w:sz w:val="21"/>
          <w:szCs w:val="21"/>
          <w:highlight w:val="none"/>
        </w:rPr>
        <w:t>）对工程设计中的技术问题，按照安全和优化的原则，在征得委托人同意后向设计人提出建议。当发现工程设计不符合国家颁布的建设工程质量标准或设计合同约定的质量标准时，监理人应当书面报告委托人并由委托人要求设计人更正。</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3</w:t>
      </w:r>
      <w:r>
        <w:rPr>
          <w:rFonts w:hint="eastAsia" w:ascii="宋体" w:hAnsi="宋体"/>
          <w:color w:val="auto"/>
          <w:sz w:val="21"/>
          <w:szCs w:val="21"/>
          <w:highlight w:val="none"/>
        </w:rPr>
        <w:t>）审批工程施工组织设计和技术方案，按照保质量、保工期和</w:t>
      </w:r>
      <w:r>
        <w:rPr>
          <w:rFonts w:hint="eastAsia" w:ascii="宋体" w:hAnsi="宋体"/>
          <w:color w:val="auto"/>
          <w:sz w:val="21"/>
          <w:szCs w:val="21"/>
          <w:highlight w:val="none"/>
          <w:lang w:val="en-US" w:eastAsia="zh-CN"/>
        </w:rPr>
        <w:t>保安全</w:t>
      </w:r>
      <w:r>
        <w:rPr>
          <w:rFonts w:hint="eastAsia" w:ascii="宋体" w:hAnsi="宋体"/>
          <w:color w:val="auto"/>
          <w:sz w:val="21"/>
          <w:szCs w:val="21"/>
          <w:highlight w:val="none"/>
        </w:rPr>
        <w:t>的原则，向承包人提出建议，并向委托人提出书面报告。</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4</w:t>
      </w:r>
      <w:r>
        <w:rPr>
          <w:rFonts w:hint="eastAsia" w:ascii="宋体" w:hAnsi="宋体"/>
          <w:color w:val="auto"/>
          <w:sz w:val="21"/>
          <w:szCs w:val="21"/>
          <w:highlight w:val="none"/>
        </w:rPr>
        <w:t>）主持工程建设有关协作单位的组织协调，重要协调事项应当事先向委托人报告。</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5</w:t>
      </w:r>
      <w:r>
        <w:rPr>
          <w:rFonts w:hint="eastAsia" w:ascii="宋体" w:hAnsi="宋体"/>
          <w:color w:val="auto"/>
          <w:sz w:val="21"/>
          <w:szCs w:val="21"/>
          <w:highlight w:val="none"/>
        </w:rPr>
        <w:t>）征得委托人同意，监理人有权发布开工令、停工令、复工令，但应当事先向委托人报告。如在紧急情况下未能事先报告时，则应在24小时内向委托人作出书面报告。</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6</w:t>
      </w:r>
      <w:r>
        <w:rPr>
          <w:rFonts w:hint="eastAsia" w:ascii="宋体" w:hAnsi="宋体"/>
          <w:color w:val="auto"/>
          <w:sz w:val="21"/>
          <w:szCs w:val="21"/>
          <w:highlight w:val="none"/>
        </w:rPr>
        <w:t>）工程上使用的材料和施工质量的检验权。对于不符合设计要求和合同约定及国家质量标准的材料、构配件、设备，有权通知承包人停止使用；对于不符合规范和质量标准的工序、分部、分项工程和不安全施工作业，有权通知承包人停工整改、返工。承包人得到监理机构复工令后才能复工。</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7</w:t>
      </w:r>
      <w:r>
        <w:rPr>
          <w:rFonts w:hint="eastAsia" w:ascii="宋体" w:hAnsi="宋体"/>
          <w:color w:val="auto"/>
          <w:sz w:val="21"/>
          <w:szCs w:val="21"/>
          <w:highlight w:val="none"/>
        </w:rPr>
        <w:t>）工程施工进度的检查、监督权，以及工程实际竣工日期提前或超过工程设计采购施工合同规定的竣工期限的签认权。</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w:t>
      </w:r>
      <w:r>
        <w:rPr>
          <w:rFonts w:hint="eastAsia" w:ascii="宋体" w:hAnsi="宋体"/>
          <w:color w:val="auto"/>
          <w:sz w:val="21"/>
          <w:szCs w:val="21"/>
          <w:highlight w:val="none"/>
          <w:lang w:val="en-US" w:eastAsia="zh-CN"/>
        </w:rPr>
        <w:t>8</w:t>
      </w:r>
      <w:r>
        <w:rPr>
          <w:rFonts w:hint="eastAsia" w:ascii="宋体" w:hAnsi="宋体"/>
          <w:color w:val="auto"/>
          <w:sz w:val="21"/>
          <w:szCs w:val="21"/>
          <w:highlight w:val="none"/>
        </w:rPr>
        <w:t>）在工程设计采购施工合同约定的工程价格范围内，工程款支付的审核，以及工程结算的复核确认。未经总监理工程师签字确认，委托人不支付工程款。</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13.1.2监理人在委托人授权下，可对任何承包人合同规定的义务提出变更。如果由此严重影响了工程费用或质量、或进度，则这种变更须经委托人事先批准。在紧急情况下未能事先报委托人批准时，监理人应事先口头请示委托人，并在24小时内书面向委托人报告。在监理过程中如发现工程承包人人员工作不力，监理机构可要求承包人调换有关人员。</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13.1.3在委托的工程范围内，委托人或承包人对对方的任何意见和要求（包括索赔要求），在向对方提出时均必须同时向监理机构提出，由监理机构研究处置意见，再同双方协商确定。当委托人和承包人发生争议时，监理机构应根据自己的职能，以独立的身份判断，公正地进行调解。当双方的争议由政府建设行政主管部门调解或经由司法途径解决时，应当提供作证的事实材料。</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13.1.4监理人对于由其编制的所有文件拥有版权，委托人仅有权为本工程使用或复制此类文件。</w:t>
      </w:r>
    </w:p>
    <w:p>
      <w:pPr>
        <w:spacing w:line="360" w:lineRule="auto"/>
        <w:rPr>
          <w:rFonts w:ascii="宋体" w:hAnsi="宋体"/>
          <w:color w:val="auto"/>
          <w:sz w:val="21"/>
          <w:highlight w:val="none"/>
        </w:rPr>
      </w:pPr>
      <w:r>
        <w:rPr>
          <w:rFonts w:ascii="黑体" w:hAnsi="黑体" w:eastAsia="黑体"/>
          <w:color w:val="auto"/>
          <w:sz w:val="28"/>
          <w:highlight w:val="none"/>
        </w:rPr>
        <w:t>1</w:t>
      </w:r>
      <w:r>
        <w:rPr>
          <w:rFonts w:hint="eastAsia" w:ascii="黑体" w:hAnsi="黑体" w:eastAsia="黑体"/>
          <w:color w:val="auto"/>
          <w:sz w:val="28"/>
          <w:highlight w:val="none"/>
        </w:rPr>
        <w:t>3</w:t>
      </w:r>
      <w:r>
        <w:rPr>
          <w:rFonts w:ascii="黑体" w:hAnsi="黑体" w:eastAsia="黑体"/>
          <w:color w:val="auto"/>
          <w:sz w:val="28"/>
          <w:highlight w:val="none"/>
        </w:rPr>
        <w:t>.</w:t>
      </w:r>
      <w:r>
        <w:rPr>
          <w:rFonts w:hint="eastAsia" w:ascii="黑体" w:hAnsi="黑体" w:eastAsia="黑体"/>
          <w:color w:val="auto"/>
          <w:sz w:val="28"/>
          <w:highlight w:val="none"/>
        </w:rPr>
        <w:t>2</w:t>
      </w:r>
      <w:r>
        <w:rPr>
          <w:rFonts w:ascii="黑体" w:hAnsi="黑体" w:eastAsia="黑体"/>
          <w:color w:val="auto"/>
          <w:sz w:val="28"/>
          <w:highlight w:val="none"/>
        </w:rPr>
        <w:t xml:space="preserve"> </w:t>
      </w:r>
      <w:r>
        <w:rPr>
          <w:rFonts w:hint="eastAsia" w:ascii="黑体" w:hAnsi="黑体" w:eastAsia="黑体"/>
          <w:color w:val="auto"/>
          <w:sz w:val="28"/>
          <w:highlight w:val="none"/>
        </w:rPr>
        <w:t>监理人责任</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13.2.1监理人的责任期即委托监理合同有效期。在监理过程中，如果因工程建设进度的推迟或延误而超过书面约定的日期，相应延长合同期。</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13.2.2监理人在责任期内，应当履行约定的义务。对于违反合同约定义务的行为，应承担违约责任，如果因监理人一般过失而造成了委托人的经济损失，应当向委托人赔偿。</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13.2.2.1监理人存在重大过失的情形包括并不限于以下情况：监理人对工程量的确认与经委托人或其他第三方复核的数量相比，多计工程量超过5%以上的。</w:t>
      </w:r>
    </w:p>
    <w:p>
      <w:pPr>
        <w:spacing w:line="36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13.2.2.2监理人存在恶意的情形包括并不限于以下情况：监理人将未实际发生的工作内容确认为实际发生的工作内容。</w:t>
      </w:r>
    </w:p>
    <w:p>
      <w:pPr>
        <w:spacing w:line="360" w:lineRule="auto"/>
        <w:ind w:firstLine="420" w:firstLineChars="200"/>
        <w:rPr>
          <w:rFonts w:hint="eastAsia" w:ascii="宋体" w:hAnsi="宋体" w:eastAsia="宋体"/>
          <w:color w:val="auto"/>
          <w:sz w:val="21"/>
          <w:szCs w:val="21"/>
          <w:highlight w:val="none"/>
          <w:lang w:eastAsia="zh-CN"/>
        </w:rPr>
      </w:pPr>
      <w:r>
        <w:rPr>
          <w:rFonts w:hint="eastAsia" w:ascii="宋体" w:hAnsi="宋体"/>
          <w:color w:val="auto"/>
          <w:sz w:val="21"/>
          <w:szCs w:val="21"/>
          <w:highlight w:val="none"/>
        </w:rPr>
        <w:t>13.2.2.</w:t>
      </w:r>
      <w:r>
        <w:rPr>
          <w:rFonts w:hint="eastAsia" w:ascii="宋体" w:hAnsi="宋体"/>
          <w:color w:val="auto"/>
          <w:sz w:val="21"/>
          <w:szCs w:val="21"/>
          <w:highlight w:val="none"/>
          <w:lang w:val="en-US" w:eastAsia="zh-CN"/>
        </w:rPr>
        <w:t>3</w:t>
      </w:r>
      <w:r>
        <w:rPr>
          <w:rFonts w:hint="eastAsia" w:ascii="宋体" w:hAnsi="宋体" w:eastAsia="宋体"/>
          <w:color w:val="auto"/>
          <w:sz w:val="21"/>
          <w:szCs w:val="21"/>
          <w:highlight w:val="none"/>
        </w:rPr>
        <w:t>爆破监理人员必须遵守国家、地方的相关法律法规和现场管理制度。</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13.2.3在监理人有充分证据证明其已经按合同履行了职责的情况下，监理人对承包人违反合同规定的质量要求和完工（交图、交货）时限，不承担责任。因不可抗力导致委托监理合同不能全部或部分履行，监理人不承担责任。</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13.2.4监理人向委托人提出赔偿要求不能成立时，监理人应当补偿由于该索赔所导致委托人的各种费用支出。</w:t>
      </w:r>
    </w:p>
    <w:p>
      <w:pPr>
        <w:spacing w:line="360" w:lineRule="auto"/>
        <w:rPr>
          <w:rFonts w:ascii="黑体" w:hAnsi="黑体" w:eastAsia="黑体"/>
          <w:b/>
          <w:color w:val="auto"/>
          <w:sz w:val="32"/>
          <w:highlight w:val="none"/>
        </w:rPr>
      </w:pPr>
      <w:r>
        <w:rPr>
          <w:rFonts w:hint="eastAsia" w:ascii="黑体" w:hAnsi="黑体" w:eastAsia="黑体"/>
          <w:b/>
          <w:color w:val="auto"/>
          <w:sz w:val="32"/>
          <w:highlight w:val="none"/>
        </w:rPr>
        <w:t>14.委托人权利和责任</w:t>
      </w:r>
    </w:p>
    <w:p>
      <w:pPr>
        <w:spacing w:line="360" w:lineRule="auto"/>
        <w:rPr>
          <w:rFonts w:ascii="宋体" w:hAnsi="宋体"/>
          <w:color w:val="auto"/>
          <w:sz w:val="21"/>
          <w:highlight w:val="none"/>
        </w:rPr>
      </w:pPr>
      <w:r>
        <w:rPr>
          <w:rFonts w:ascii="黑体" w:hAnsi="黑体" w:eastAsia="黑体"/>
          <w:color w:val="auto"/>
          <w:sz w:val="28"/>
          <w:highlight w:val="none"/>
        </w:rPr>
        <w:t>1</w:t>
      </w:r>
      <w:r>
        <w:rPr>
          <w:rFonts w:hint="eastAsia" w:ascii="黑体" w:hAnsi="黑体" w:eastAsia="黑体"/>
          <w:color w:val="auto"/>
          <w:sz w:val="28"/>
          <w:highlight w:val="none"/>
        </w:rPr>
        <w:t>4</w:t>
      </w:r>
      <w:r>
        <w:rPr>
          <w:rFonts w:ascii="黑体" w:hAnsi="黑体" w:eastAsia="黑体"/>
          <w:color w:val="auto"/>
          <w:sz w:val="28"/>
          <w:highlight w:val="none"/>
        </w:rPr>
        <w:t>.</w:t>
      </w:r>
      <w:r>
        <w:rPr>
          <w:rFonts w:hint="eastAsia" w:ascii="黑体" w:hAnsi="黑体" w:eastAsia="黑体"/>
          <w:color w:val="auto"/>
          <w:sz w:val="28"/>
          <w:highlight w:val="none"/>
        </w:rPr>
        <w:t>1</w:t>
      </w:r>
      <w:r>
        <w:rPr>
          <w:rFonts w:ascii="黑体" w:hAnsi="黑体" w:eastAsia="黑体"/>
          <w:color w:val="auto"/>
          <w:sz w:val="28"/>
          <w:highlight w:val="none"/>
        </w:rPr>
        <w:t xml:space="preserve"> </w:t>
      </w:r>
      <w:r>
        <w:rPr>
          <w:rFonts w:hint="eastAsia" w:ascii="黑体" w:hAnsi="黑体" w:eastAsia="黑体"/>
          <w:color w:val="auto"/>
          <w:sz w:val="28"/>
          <w:highlight w:val="none"/>
        </w:rPr>
        <w:t>委托人权利</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14.1.1委托人有选定工程总承包人，以及与其订立合同的权利。</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14.1.2委托人有对工程规模、设计标准、规划设计、生产工艺设计和设计使用功能要求的认定权，以及对工程设计变更的审批权。</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14.1.3监理人调换总监理工程师或注册造价工程师及其它主要监理机构人员须事先经委托人同意。</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14.1.4委托人有权要求监理人提交监理工作月报及监理业务范围内的专项报告。</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14.1.5当委托人发现监理人或监理人员不按监理合同履行监理职责，委托人有权要求监理人进行整改，要求监理人承担相应的违约及赔偿责任，直到解除合同，委托人发现监理人与承包人串通给委托人或工程造成损失的，监理人除应承担违约责任外，还应与承包人承担连带赔偿责任。</w:t>
      </w:r>
    </w:p>
    <w:p>
      <w:pPr>
        <w:spacing w:line="360" w:lineRule="auto"/>
        <w:rPr>
          <w:rFonts w:ascii="黑体" w:hAnsi="黑体" w:eastAsia="黑体"/>
          <w:color w:val="auto"/>
          <w:sz w:val="28"/>
          <w:highlight w:val="none"/>
        </w:rPr>
      </w:pPr>
      <w:r>
        <w:rPr>
          <w:rFonts w:ascii="黑体" w:hAnsi="黑体" w:eastAsia="黑体"/>
          <w:color w:val="auto"/>
          <w:sz w:val="28"/>
          <w:highlight w:val="none"/>
        </w:rPr>
        <w:t>1</w:t>
      </w:r>
      <w:r>
        <w:rPr>
          <w:rFonts w:hint="eastAsia" w:ascii="黑体" w:hAnsi="黑体" w:eastAsia="黑体"/>
          <w:color w:val="auto"/>
          <w:sz w:val="28"/>
          <w:highlight w:val="none"/>
        </w:rPr>
        <w:t>4</w:t>
      </w:r>
      <w:r>
        <w:rPr>
          <w:rFonts w:ascii="黑体" w:hAnsi="黑体" w:eastAsia="黑体"/>
          <w:color w:val="auto"/>
          <w:sz w:val="28"/>
          <w:highlight w:val="none"/>
        </w:rPr>
        <w:t>.</w:t>
      </w:r>
      <w:r>
        <w:rPr>
          <w:rFonts w:hint="eastAsia" w:ascii="黑体" w:hAnsi="黑体" w:eastAsia="黑体"/>
          <w:color w:val="auto"/>
          <w:sz w:val="28"/>
          <w:highlight w:val="none"/>
        </w:rPr>
        <w:t>2</w:t>
      </w:r>
      <w:r>
        <w:rPr>
          <w:rFonts w:ascii="黑体" w:hAnsi="黑体" w:eastAsia="黑体"/>
          <w:color w:val="auto"/>
          <w:sz w:val="28"/>
          <w:highlight w:val="none"/>
        </w:rPr>
        <w:t xml:space="preserve"> </w:t>
      </w:r>
      <w:r>
        <w:rPr>
          <w:rFonts w:hint="eastAsia" w:ascii="黑体" w:hAnsi="黑体" w:eastAsia="黑体"/>
          <w:color w:val="auto"/>
          <w:sz w:val="28"/>
          <w:highlight w:val="none"/>
        </w:rPr>
        <w:t>委托人责任</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14.2.1委托人应当履行委托监理合同约定的义务，如有违反则应当承担违约责任，赔偿给监理人造成的经济损失。</w:t>
      </w:r>
    </w:p>
    <w:p>
      <w:pPr>
        <w:spacing w:line="36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14.2.2委托人如果向监理人提出赔偿的要求不能成立，则应当补偿由该索赔所引起的监理人的各种费用支出。</w:t>
      </w:r>
    </w:p>
    <w:p>
      <w:pPr>
        <w:spacing w:line="360" w:lineRule="auto"/>
        <w:rPr>
          <w:rFonts w:ascii="宋体" w:hAnsi="宋体"/>
          <w:color w:val="auto"/>
          <w:sz w:val="21"/>
          <w:szCs w:val="21"/>
          <w:highlight w:val="none"/>
        </w:rPr>
      </w:pPr>
      <w:r>
        <w:rPr>
          <w:rFonts w:hint="eastAsia" w:ascii="黑体" w:hAnsi="黑体" w:eastAsia="黑体"/>
          <w:b/>
          <w:color w:val="auto"/>
          <w:sz w:val="32"/>
          <w:highlight w:val="none"/>
        </w:rPr>
        <w:t>15.附加条款</w:t>
      </w:r>
    </w:p>
    <w:p>
      <w:pPr>
        <w:spacing w:line="360" w:lineRule="auto"/>
        <w:rPr>
          <w:rFonts w:ascii="黑体" w:hAnsi="黑体" w:eastAsia="黑体"/>
          <w:color w:val="auto"/>
          <w:sz w:val="28"/>
          <w:highlight w:val="none"/>
        </w:rPr>
      </w:pPr>
      <w:r>
        <w:rPr>
          <w:rFonts w:hint="eastAsia" w:ascii="黑体" w:hAnsi="黑体" w:eastAsia="黑体"/>
          <w:color w:val="auto"/>
          <w:sz w:val="28"/>
          <w:highlight w:val="none"/>
        </w:rPr>
        <w:t>15.1诚信评价管理</w:t>
      </w:r>
    </w:p>
    <w:p>
      <w:pPr>
        <w:spacing w:line="300" w:lineRule="auto"/>
        <w:ind w:firstLine="420" w:firstLineChars="200"/>
        <w:rPr>
          <w:rFonts w:ascii="宋体" w:hAnsi="宋体"/>
          <w:color w:val="auto"/>
          <w:sz w:val="21"/>
          <w:szCs w:val="21"/>
          <w:highlight w:val="none"/>
        </w:rPr>
      </w:pPr>
      <w:r>
        <w:rPr>
          <w:rFonts w:hint="eastAsia" w:ascii="宋体" w:hAnsi="宋体"/>
          <w:color w:val="auto"/>
          <w:sz w:val="21"/>
          <w:szCs w:val="21"/>
          <w:highlight w:val="none"/>
        </w:rPr>
        <w:t>根据《广州市水务工程施工和监理企业诚信评价管理办法》（穗水规划〔2014〕10号）及《广州市水务工程勘察设计企业诚信评价管理办法》（穗水规划〔2015〕14号）等有关规定，针对广州市水务投资集团有限公司（以下简称“市水投集团”）全资子公司广州市净水有限公司组织实施的建设项目，市水投集团对不充分履约或严重违反合同约定的企业，按诚信评价标准对其作出处罚，且该评价结果由广州市净水有限公司直接录入诚信评价信息系统，并运用于建设项目招投标活动中。</w:t>
      </w:r>
    </w:p>
    <w:p>
      <w:pPr>
        <w:spacing w:before="0" w:beforeAutospacing="0" w:after="0" w:afterAutospacing="0" w:line="300" w:lineRule="auto"/>
        <w:ind w:firstLine="560" w:firstLineChars="200"/>
        <w:rPr>
          <w:rFonts w:hint="eastAsia" w:ascii="宋体" w:hAnsi="宋体"/>
          <w:color w:val="auto"/>
          <w:sz w:val="21"/>
          <w:szCs w:val="21"/>
          <w:highlight w:val="none"/>
        </w:rPr>
      </w:pPr>
      <w:r>
        <w:rPr>
          <w:rFonts w:hint="eastAsia" w:ascii="黑体" w:hAnsi="黑体" w:eastAsia="黑体"/>
          <w:color w:val="auto"/>
          <w:sz w:val="28"/>
          <w:szCs w:val="20"/>
          <w:highlight w:val="none"/>
        </w:rPr>
        <w:t>15.2</w:t>
      </w:r>
      <w:r>
        <w:rPr>
          <w:rFonts w:hint="eastAsia"/>
          <w:color w:val="auto"/>
          <w:sz w:val="21"/>
          <w:szCs w:val="21"/>
          <w:highlight w:val="none"/>
        </w:rPr>
        <w:t>根据《广州市2018年度大气污染综合防治工作计划》（穗水质安[2018]45号）及《广州市住房和城乡建设委员会关于印发建设工程扬尘防治“6个100%”管理标准细化措施的通知》（穗建质【2018】1394号）要求，加强扬尘污染源头控制，监理单位应将施工扬尘污染防治纳入监理范围。在实施监理过程中，发现施工单位未落实扬尘污染防治措施的行为，应当要求施工单位予以整改，情节严重的应当要求施工单位暂时停止施工，并及时报告建设单位。施工单位拒不整改或者不停止施工的，监理单位应当向工程所在地相关行业</w:t>
      </w:r>
      <w:r>
        <w:rPr>
          <w:rFonts w:hint="eastAsia" w:ascii="宋体" w:hAnsi="宋体"/>
          <w:color w:val="auto"/>
          <w:sz w:val="21"/>
          <w:szCs w:val="21"/>
          <w:highlight w:val="none"/>
        </w:rPr>
        <w:t>主管部门报告。</w:t>
      </w:r>
    </w:p>
    <w:p>
      <w:pPr>
        <w:spacing w:line="30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15.4监理人应负责协调、配合环境保护验收技术服务单位开展相关工作。</w:t>
      </w:r>
    </w:p>
    <w:p>
      <w:pPr>
        <w:spacing w:line="30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15.5工程资料管理要求</w:t>
      </w:r>
    </w:p>
    <w:p>
      <w:pPr>
        <w:spacing w:line="30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15.5.1  监理人应建立和完善监理文件资料管理制度，设置专职档案管理人员负责竣工文件的收集、汇总、整理、编制等工作，监理资料应根据施工进度同步组织、整理档案资料，确保资料的完整性、真实性、有效性，并按广州市城建档案馆相关规定、《广州市市政基础设施（水务工程部分）工程档案编制指南》、《广州市建设工程档案归档范围》及委托人制定的档案管理办法等相关要求进行档案管理。</w:t>
      </w:r>
    </w:p>
    <w:p>
      <w:pPr>
        <w:spacing w:line="30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15.5.2 应落实对监理人资料的收集、整理情况的监督检查，确保每月检查不少于1次，并协助委托人展开档案资料检查工作。</w:t>
      </w:r>
    </w:p>
    <w:p>
      <w:pPr>
        <w:spacing w:line="300" w:lineRule="auto"/>
        <w:ind w:firstLine="420" w:firstLineChars="200"/>
        <w:rPr>
          <w:rFonts w:hint="eastAsia" w:ascii="宋体" w:hAnsi="宋体"/>
          <w:color w:val="auto"/>
          <w:sz w:val="21"/>
          <w:szCs w:val="21"/>
          <w:highlight w:val="none"/>
        </w:rPr>
      </w:pPr>
      <w:r>
        <w:rPr>
          <w:rFonts w:hint="eastAsia" w:ascii="宋体" w:hAnsi="宋体"/>
          <w:color w:val="auto"/>
          <w:sz w:val="21"/>
          <w:szCs w:val="21"/>
          <w:highlight w:val="none"/>
        </w:rPr>
        <w:t>15.5.3 委托人有权对监理人工程资料管理进行监督检查，对于违反委托人档案管理相关要求或对监理人资料监督检查不到位的，委托人有权对监理人进行违约处罚。</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olor w:val="auto"/>
          <w:sz w:val="21"/>
          <w:szCs w:val="21"/>
          <w:highlight w:val="none"/>
        </w:rPr>
        <w:t>15.6</w:t>
      </w:r>
      <w:r>
        <w:rPr>
          <w:rFonts w:hint="eastAsia" w:ascii="宋体" w:hAnsi="宋体" w:cs="Times New Roman"/>
          <w:color w:val="auto"/>
          <w:kern w:val="0"/>
          <w:sz w:val="21"/>
          <w:szCs w:val="21"/>
          <w:highlight w:val="none"/>
        </w:rPr>
        <w:t>监理人在行使以下职权前，应先取得委托人的批准：</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（1）同意承包人分包工程；</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（2）批准承包人将工程材料和工程设备、施工设备移出施工现场；</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（3）批准承包人的工程设备购置方案、施工组织设计和工程进度计划；</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（4）发出工程开工令；</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（5）同意使用替换工程材料；</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（6）发出变更指令；</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（7）发出使用暂列金额的工作指令；</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（8）指令或确认现场签证；</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（9）顺延工期；</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（10）指令暂停工作或暂停施工；</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（11）确定误期赔偿费；</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（12）调整合同价格；</w:t>
      </w:r>
    </w:p>
    <w:p>
      <w:pPr>
        <w:spacing w:line="300" w:lineRule="auto"/>
        <w:ind w:firstLine="420" w:firstLineChars="200"/>
        <w:rPr>
          <w:rFonts w:hint="eastAsia" w:ascii="宋体" w:hAnsi="宋体" w:cs="Times New Roman"/>
          <w:color w:val="auto"/>
          <w:kern w:val="0"/>
          <w:sz w:val="21"/>
          <w:szCs w:val="21"/>
          <w:highlight w:val="none"/>
        </w:rPr>
      </w:pPr>
      <w:r>
        <w:rPr>
          <w:rFonts w:hint="eastAsia" w:ascii="宋体" w:hAnsi="宋体" w:cs="Times New Roman"/>
          <w:color w:val="auto"/>
          <w:kern w:val="0"/>
          <w:sz w:val="21"/>
          <w:szCs w:val="21"/>
          <w:highlight w:val="none"/>
        </w:rPr>
        <w:t>（13）合同约定需要委托人批准的其他事项。</w:t>
      </w:r>
    </w:p>
    <w:p>
      <w:pPr>
        <w:spacing w:line="300" w:lineRule="auto"/>
        <w:ind w:firstLine="420" w:firstLineChars="200"/>
        <w:rPr>
          <w:rFonts w:hint="eastAsia" w:ascii="宋体" w:hAnsi="宋体" w:eastAsia="宋体" w:cs="Times New Roman"/>
          <w:color w:val="auto"/>
          <w:kern w:val="0"/>
          <w:sz w:val="21"/>
          <w:szCs w:val="21"/>
          <w:highlight w:val="none"/>
          <w:lang w:val="en-US" w:eastAsia="zh-CN"/>
        </w:rPr>
      </w:pPr>
    </w:p>
    <w:p>
      <w:pPr>
        <w:spacing w:line="300" w:lineRule="auto"/>
        <w:ind w:firstLine="420" w:firstLineChars="200"/>
        <w:rPr>
          <w:rFonts w:hint="eastAsia" w:ascii="宋体" w:hAnsi="宋体"/>
          <w:color w:val="auto"/>
          <w:sz w:val="21"/>
          <w:szCs w:val="21"/>
          <w:highlight w:val="none"/>
        </w:rPr>
      </w:pPr>
    </w:p>
    <w:p>
      <w:pPr>
        <w:ind w:firstLine="420" w:firstLineChars="200"/>
        <w:rPr>
          <w:rFonts w:ascii="宋体" w:hAnsi="宋体"/>
          <w:color w:val="auto"/>
          <w:sz w:val="21"/>
          <w:highlight w:val="none"/>
        </w:rPr>
      </w:pPr>
    </w:p>
    <w:p>
      <w:pPr>
        <w:ind w:firstLine="420" w:firstLineChars="200"/>
        <w:rPr>
          <w:rFonts w:ascii="宋体" w:hAnsi="宋体"/>
          <w:color w:val="auto"/>
          <w:sz w:val="21"/>
          <w:highlight w:val="none"/>
        </w:rPr>
      </w:pPr>
    </w:p>
    <w:p>
      <w:pPr>
        <w:ind w:firstLine="420" w:firstLineChars="200"/>
        <w:rPr>
          <w:rFonts w:ascii="宋体" w:hAnsi="宋体"/>
          <w:color w:val="auto"/>
          <w:sz w:val="21"/>
          <w:highlight w:val="none"/>
        </w:rPr>
      </w:pPr>
    </w:p>
    <w:p>
      <w:pPr>
        <w:ind w:firstLine="420" w:firstLineChars="200"/>
        <w:rPr>
          <w:rFonts w:ascii="宋体" w:hAnsi="宋体"/>
          <w:color w:val="auto"/>
          <w:sz w:val="21"/>
          <w:highlight w:val="none"/>
        </w:rPr>
      </w:pPr>
    </w:p>
    <w:p>
      <w:pPr>
        <w:spacing w:line="360" w:lineRule="auto"/>
        <w:jc w:val="center"/>
        <w:rPr>
          <w:rFonts w:ascii="宋体" w:hAnsi="宋体"/>
          <w:color w:val="auto"/>
          <w:sz w:val="21"/>
          <w:highlight w:val="none"/>
        </w:rPr>
      </w:pPr>
      <w:r>
        <w:rPr>
          <w:rFonts w:ascii="黑体" w:hAnsi="黑体" w:eastAsia="黑体"/>
          <w:b/>
          <w:color w:val="auto"/>
          <w:sz w:val="31"/>
          <w:highlight w:val="none"/>
        </w:rPr>
        <w:t>第</w:t>
      </w:r>
      <w:r>
        <w:rPr>
          <w:rFonts w:hint="eastAsia" w:ascii="黑体" w:hAnsi="黑体" w:eastAsia="黑体"/>
          <w:b/>
          <w:color w:val="auto"/>
          <w:sz w:val="31"/>
          <w:highlight w:val="none"/>
        </w:rPr>
        <w:t>四</w:t>
      </w:r>
      <w:r>
        <w:rPr>
          <w:rFonts w:ascii="黑体" w:hAnsi="黑体" w:eastAsia="黑体"/>
          <w:b/>
          <w:color w:val="auto"/>
          <w:sz w:val="31"/>
          <w:highlight w:val="none"/>
        </w:rPr>
        <w:t>节</w:t>
      </w:r>
      <w:r>
        <w:rPr>
          <w:rFonts w:hint="eastAsia" w:ascii="黑体" w:hAnsi="黑体" w:eastAsia="黑体"/>
          <w:b/>
          <w:color w:val="auto"/>
          <w:sz w:val="31"/>
          <w:highlight w:val="none"/>
        </w:rPr>
        <w:t xml:space="preserve">   </w:t>
      </w:r>
      <w:r>
        <w:rPr>
          <w:rFonts w:ascii="黑体" w:hAnsi="黑体" w:eastAsia="黑体"/>
          <w:b/>
          <w:color w:val="auto"/>
          <w:sz w:val="31"/>
          <w:highlight w:val="none"/>
        </w:rPr>
        <w:t>合同附件</w:t>
      </w:r>
    </w:p>
    <w:p>
      <w:pPr>
        <w:spacing w:line="360" w:lineRule="auto"/>
        <w:rPr>
          <w:rFonts w:ascii="宋体" w:hAnsi="宋体"/>
          <w:color w:val="auto"/>
          <w:sz w:val="21"/>
          <w:highlight w:val="none"/>
        </w:rPr>
      </w:pPr>
    </w:p>
    <w:p>
      <w:pPr>
        <w:spacing w:line="360" w:lineRule="auto"/>
        <w:rPr>
          <w:rFonts w:ascii="宋体" w:hAnsi="宋体"/>
          <w:color w:val="auto"/>
          <w:sz w:val="21"/>
          <w:highlight w:val="none"/>
        </w:rPr>
      </w:pPr>
    </w:p>
    <w:p>
      <w:pPr>
        <w:spacing w:line="360" w:lineRule="auto"/>
        <w:rPr>
          <w:rFonts w:ascii="宋体" w:hAnsi="宋体"/>
          <w:color w:val="auto"/>
          <w:sz w:val="21"/>
          <w:highlight w:val="none"/>
        </w:rPr>
      </w:pPr>
    </w:p>
    <w:p>
      <w:pPr>
        <w:spacing w:line="360" w:lineRule="auto"/>
        <w:rPr>
          <w:rFonts w:ascii="宋体" w:hAnsi="宋体"/>
          <w:color w:val="auto"/>
          <w:sz w:val="21"/>
          <w:highlight w:val="none"/>
        </w:rPr>
      </w:pPr>
    </w:p>
    <w:p>
      <w:pPr>
        <w:spacing w:line="360" w:lineRule="auto"/>
        <w:rPr>
          <w:rFonts w:ascii="宋体" w:hAnsi="宋体"/>
          <w:color w:val="auto"/>
          <w:sz w:val="21"/>
          <w:highlight w:val="none"/>
        </w:rPr>
      </w:pPr>
    </w:p>
    <w:p>
      <w:pPr>
        <w:rPr>
          <w:rFonts w:ascii="宋体" w:hAnsi="宋体"/>
          <w:color w:val="auto"/>
          <w:sz w:val="21"/>
          <w:highlight w:val="none"/>
        </w:rPr>
      </w:pPr>
      <w:r>
        <w:rPr>
          <w:rFonts w:ascii="宋体" w:hAnsi="宋体"/>
          <w:color w:val="auto"/>
          <w:sz w:val="21"/>
          <w:highlight w:val="none"/>
        </w:rPr>
        <w:br w:type="page"/>
      </w:r>
    </w:p>
    <w:p>
      <w:pPr>
        <w:rPr>
          <w:rFonts w:ascii="宋体" w:hAnsi="宋体" w:cs="宋体"/>
          <w:b/>
          <w:color w:val="auto"/>
          <w:sz w:val="24"/>
          <w:szCs w:val="24"/>
          <w:highlight w:val="none"/>
        </w:rPr>
      </w:pPr>
      <w:r>
        <w:rPr>
          <w:rFonts w:ascii="黑体" w:hAnsi="黑体" w:eastAsia="黑体"/>
          <w:color w:val="auto"/>
          <w:sz w:val="28"/>
          <w:highlight w:val="none"/>
        </w:rPr>
        <w:t>附件一：</w:t>
      </w:r>
      <w:r>
        <w:rPr>
          <w:rFonts w:hint="eastAsia" w:ascii="宋体" w:hAnsi="宋体" w:cs="宋体"/>
          <w:b/>
          <w:color w:val="auto"/>
          <w:sz w:val="24"/>
          <w:szCs w:val="24"/>
          <w:highlight w:val="none"/>
        </w:rPr>
        <w:t>履约担保（格式）</w:t>
      </w:r>
    </w:p>
    <w:p>
      <w:pPr>
        <w:spacing w:after="156"/>
        <w:jc w:val="center"/>
        <w:rPr>
          <w:rFonts w:ascii="宋体" w:hAnsi="宋体" w:cs="宋体"/>
          <w:b/>
          <w:color w:val="auto"/>
          <w:kern w:val="15"/>
          <w:position w:val="-6"/>
          <w:sz w:val="24"/>
          <w:szCs w:val="24"/>
          <w:highlight w:val="none"/>
        </w:rPr>
      </w:pPr>
      <w:bookmarkStart w:id="61" w:name="_Toc24134_WPSOffice_Level2"/>
      <w:bookmarkStart w:id="62" w:name="_Toc11988_WPSOffice_Level2"/>
      <w:bookmarkStart w:id="63" w:name="_Toc251077993"/>
      <w:bookmarkStart w:id="64" w:name="_Toc262224845"/>
      <w:bookmarkStart w:id="65" w:name="_Toc269390490"/>
      <w:bookmarkStart w:id="66" w:name="_Toc243738971"/>
      <w:bookmarkStart w:id="67" w:name="_Toc269281338"/>
      <w:bookmarkStart w:id="68" w:name="_Toc243738741"/>
      <w:bookmarkStart w:id="69" w:name="_Toc234234246"/>
      <w:bookmarkStart w:id="70" w:name="_Toc269280992"/>
      <w:bookmarkStart w:id="71" w:name="_Toc141263323"/>
      <w:bookmarkStart w:id="72" w:name="_Toc252864060"/>
      <w:r>
        <w:rPr>
          <w:rFonts w:hint="eastAsia" w:ascii="宋体" w:hAnsi="宋体" w:cs="宋体"/>
          <w:b/>
          <w:color w:val="auto"/>
          <w:kern w:val="15"/>
          <w:position w:val="-6"/>
          <w:sz w:val="24"/>
          <w:szCs w:val="24"/>
          <w:highlight w:val="none"/>
        </w:rPr>
        <w:t>履约银行保函</w:t>
      </w:r>
      <w:bookmarkEnd w:id="61"/>
      <w:bookmarkEnd w:id="62"/>
      <w:r>
        <w:rPr>
          <w:rFonts w:hint="eastAsia" w:ascii="宋体" w:hAnsi="宋体" w:cs="宋体"/>
          <w:b/>
          <w:color w:val="auto"/>
          <w:kern w:val="15"/>
          <w:position w:val="-6"/>
          <w:sz w:val="24"/>
          <w:szCs w:val="24"/>
          <w:highlight w:val="none"/>
        </w:rPr>
        <w:t>（格式）</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保函编号：</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致:广州市净水有限公司</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鉴于     （监理人全称）  （下称“监理人”）参与广州市净水有限公司 （以下简称“委托人”）          （项目名称）</w:t>
      </w:r>
      <w:r>
        <w:rPr>
          <w:rFonts w:hint="eastAsia" w:ascii="宋体" w:hAnsi="宋体" w:cs="宋体"/>
          <w:color w:val="auto"/>
          <w:kern w:val="15"/>
          <w:position w:val="-6"/>
          <w:sz w:val="24"/>
          <w:szCs w:val="24"/>
          <w:highlight w:val="none"/>
        </w:rPr>
        <w:tab/>
      </w:r>
      <w:r>
        <w:rPr>
          <w:rFonts w:hint="eastAsia" w:ascii="宋体" w:hAnsi="宋体" w:cs="宋体"/>
          <w:color w:val="auto"/>
          <w:kern w:val="15"/>
          <w:position w:val="-6"/>
          <w:sz w:val="24"/>
          <w:szCs w:val="24"/>
          <w:highlight w:val="none"/>
        </w:rPr>
        <w:t>的投标，委托人接受其投标并发出中标通知书（中标通知书编号：       ，于    年   月   日发出）。鉴于双方拟签订  合同，根据招标文件的规定，且监理人在投标文件中承诺履行实施、完成并保修合同工程的义务和责任，我行愿意出具保函为监理人担保，担保金额为人民币（大写） 元 （￥ 元 ）。</w:t>
      </w:r>
    </w:p>
    <w:p>
      <w:pPr>
        <w:spacing w:after="156"/>
        <w:ind w:firstLine="600" w:firstLineChars="250"/>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本保函的义务是：我行在接到委托人提出的因监理人在履行合同过程中未能履约或违背合同规定的责任和义务而要求索赔的书面通知和付款凭证后的7天内，在上述担保金额的限额内向委托人支付任何数额的款项，无须委托人出具证明或陈述理由。</w:t>
      </w:r>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在向我行提出要求前，我行将不坚持要求委托人首先向监理人提出上述款项的索赔。</w:t>
      </w:r>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我行承诺：不论是否经我行知晓或同意，我行的义务和责任不因合同双方当事人对合同条款所作的任何修改或补充而解除。</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本保函至工程竣工验收、工程档案通过委托人验收并完成工程结算之日保持有效。</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本保函一式三份，委托人执正本一份，担保银行、监理人各执副本一份</w:t>
      </w:r>
      <w:bookmarkStart w:id="73" w:name="OLE_LINK10"/>
      <w:r>
        <w:rPr>
          <w:rFonts w:hint="eastAsia" w:ascii="宋体" w:hAnsi="宋体" w:cs="宋体"/>
          <w:color w:val="auto"/>
          <w:kern w:val="15"/>
          <w:position w:val="-6"/>
          <w:sz w:val="24"/>
          <w:szCs w:val="24"/>
          <w:highlight w:val="none"/>
        </w:rPr>
        <w:t>。</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担保银行：（盖章）</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法定代表人：（签字）</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日期：</w:t>
      </w:r>
    </w:p>
    <w:p>
      <w:pPr>
        <w:spacing w:after="156"/>
        <w:rPr>
          <w:rFonts w:ascii="宋体" w:hAnsi="宋体" w:cs="宋体"/>
          <w:color w:val="auto"/>
          <w:kern w:val="15"/>
          <w:position w:val="-6"/>
          <w:sz w:val="24"/>
          <w:szCs w:val="24"/>
          <w:highlight w:val="none"/>
        </w:rPr>
      </w:pPr>
    </w:p>
    <w:bookmarkEnd w:id="63"/>
    <w:bookmarkEnd w:id="64"/>
    <w:bookmarkEnd w:id="65"/>
    <w:bookmarkEnd w:id="66"/>
    <w:bookmarkEnd w:id="67"/>
    <w:bookmarkEnd w:id="68"/>
    <w:bookmarkEnd w:id="69"/>
    <w:bookmarkEnd w:id="70"/>
    <w:bookmarkEnd w:id="71"/>
    <w:bookmarkEnd w:id="72"/>
    <w:bookmarkEnd w:id="73"/>
    <w:p>
      <w:pPr>
        <w:spacing w:after="156"/>
        <w:ind w:firstLine="600"/>
        <w:outlineLvl w:val="0"/>
        <w:rPr>
          <w:rFonts w:ascii="宋体" w:hAnsi="宋体" w:cs="宋体"/>
          <w:color w:val="auto"/>
          <w:sz w:val="24"/>
          <w:szCs w:val="24"/>
          <w:highlight w:val="none"/>
        </w:rPr>
      </w:pPr>
      <w:bookmarkStart w:id="74" w:name="_Toc26761_WPSOffice_Level1"/>
      <w:bookmarkStart w:id="75" w:name="_Toc4993_WPSOffice_Level1"/>
      <w:bookmarkStart w:id="76" w:name="_Toc24732"/>
    </w:p>
    <w:bookmarkEnd w:id="74"/>
    <w:bookmarkEnd w:id="75"/>
    <w:bookmarkEnd w:id="76"/>
    <w:p>
      <w:pPr>
        <w:rPr>
          <w:rFonts w:ascii="宋体" w:hAnsi="宋体" w:cs="宋体"/>
          <w:color w:val="auto"/>
          <w:sz w:val="24"/>
          <w:szCs w:val="24"/>
          <w:highlight w:val="none"/>
        </w:rPr>
      </w:pPr>
      <w:r>
        <w:rPr>
          <w:rFonts w:hint="eastAsia" w:ascii="宋体" w:hAnsi="宋体" w:cs="宋体"/>
          <w:color w:val="auto"/>
          <w:sz w:val="24"/>
          <w:szCs w:val="24"/>
          <w:highlight w:val="none"/>
        </w:rPr>
        <w:t xml:space="preserve"> </w:t>
      </w:r>
    </w:p>
    <w:p>
      <w:pPr>
        <w:pStyle w:val="84"/>
        <w:rPr>
          <w:rFonts w:hAnsi="宋体" w:cs="宋体"/>
          <w:sz w:val="24"/>
          <w:szCs w:val="24"/>
          <w:highlight w:val="none"/>
        </w:rPr>
      </w:pPr>
    </w:p>
    <w:p>
      <w:pPr>
        <w:spacing w:before="156" w:beforeLines="50" w:line="580" w:lineRule="exact"/>
        <w:outlineLvl w:val="1"/>
        <w:rPr>
          <w:rFonts w:ascii="宋体" w:hAnsi="宋体" w:cs="宋体"/>
          <w:b/>
          <w:color w:val="auto"/>
          <w:sz w:val="24"/>
          <w:szCs w:val="24"/>
          <w:highlight w:val="none"/>
        </w:rPr>
      </w:pPr>
    </w:p>
    <w:p>
      <w:pPr>
        <w:spacing w:before="156" w:beforeLines="50" w:line="580" w:lineRule="exact"/>
        <w:outlineLvl w:val="1"/>
        <w:rPr>
          <w:rFonts w:ascii="宋体" w:hAnsi="宋体" w:cs="宋体"/>
          <w:b/>
          <w:color w:val="auto"/>
          <w:sz w:val="24"/>
          <w:szCs w:val="24"/>
          <w:highlight w:val="none"/>
        </w:rPr>
      </w:pPr>
    </w:p>
    <w:p>
      <w:pPr>
        <w:spacing w:before="156" w:beforeLines="50" w:line="580" w:lineRule="exact"/>
        <w:outlineLvl w:val="1"/>
        <w:rPr>
          <w:rFonts w:ascii="宋体" w:hAnsi="宋体" w:cs="宋体"/>
          <w:b/>
          <w:color w:val="auto"/>
          <w:sz w:val="24"/>
          <w:szCs w:val="24"/>
          <w:highlight w:val="none"/>
        </w:rPr>
      </w:pPr>
    </w:p>
    <w:p>
      <w:pPr>
        <w:spacing w:before="156" w:beforeLines="50" w:line="580" w:lineRule="exact"/>
        <w:outlineLvl w:val="1"/>
        <w:rPr>
          <w:rFonts w:ascii="宋体" w:hAnsi="宋体" w:cs="宋体"/>
          <w:b/>
          <w:color w:val="auto"/>
          <w:sz w:val="24"/>
          <w:szCs w:val="24"/>
          <w:highlight w:val="none"/>
        </w:rPr>
      </w:pPr>
    </w:p>
    <w:p>
      <w:pPr>
        <w:spacing w:before="156" w:beforeLines="50" w:line="580" w:lineRule="exact"/>
        <w:outlineLvl w:val="1"/>
        <w:rPr>
          <w:rFonts w:ascii="宋体" w:hAnsi="宋体" w:cs="宋体"/>
          <w:b/>
          <w:color w:val="auto"/>
          <w:sz w:val="24"/>
          <w:szCs w:val="24"/>
          <w:highlight w:val="none"/>
        </w:rPr>
      </w:pPr>
      <w:r>
        <w:rPr>
          <w:rFonts w:hint="eastAsia" w:ascii="宋体" w:hAnsi="宋体" w:cs="宋体"/>
          <w:b/>
          <w:color w:val="auto"/>
          <w:sz w:val="24"/>
          <w:szCs w:val="24"/>
          <w:highlight w:val="none"/>
        </w:rPr>
        <w:t>附件二 预付款担保（格式）</w:t>
      </w:r>
    </w:p>
    <w:p>
      <w:pPr>
        <w:spacing w:after="156"/>
        <w:jc w:val="center"/>
        <w:rPr>
          <w:rFonts w:ascii="宋体" w:hAnsi="宋体" w:cs="宋体"/>
          <w:b/>
          <w:color w:val="auto"/>
          <w:kern w:val="15"/>
          <w:position w:val="-6"/>
          <w:sz w:val="24"/>
          <w:szCs w:val="24"/>
          <w:highlight w:val="none"/>
        </w:rPr>
      </w:pPr>
      <w:bookmarkStart w:id="77" w:name="_Toc8972_WPSOffice_Level2"/>
      <w:bookmarkStart w:id="78" w:name="_Toc12263_WPSOffice_Level2"/>
      <w:bookmarkStart w:id="79" w:name="_Toc262224846"/>
      <w:bookmarkStart w:id="80" w:name="_Toc269280993"/>
      <w:bookmarkStart w:id="81" w:name="_Toc234234247"/>
      <w:bookmarkStart w:id="82" w:name="_Toc251077994"/>
      <w:bookmarkStart w:id="83" w:name="_Toc243738972"/>
      <w:bookmarkStart w:id="84" w:name="_Toc252864061"/>
      <w:bookmarkStart w:id="85" w:name="_Toc243738742"/>
      <w:bookmarkStart w:id="86" w:name="_Toc141263324"/>
      <w:bookmarkStart w:id="87" w:name="_Toc269390491"/>
      <w:bookmarkStart w:id="88" w:name="_Toc269281339"/>
      <w:r>
        <w:rPr>
          <w:rFonts w:hint="eastAsia" w:ascii="宋体" w:hAnsi="宋体" w:cs="宋体"/>
          <w:b/>
          <w:color w:val="auto"/>
          <w:kern w:val="15"/>
          <w:position w:val="-6"/>
          <w:sz w:val="24"/>
          <w:szCs w:val="24"/>
          <w:highlight w:val="none"/>
        </w:rPr>
        <w:t>预付款银行保函</w:t>
      </w:r>
      <w:bookmarkEnd w:id="77"/>
      <w:bookmarkEnd w:id="78"/>
      <w:r>
        <w:rPr>
          <w:rFonts w:hint="eastAsia" w:ascii="宋体" w:hAnsi="宋体" w:cs="宋体"/>
          <w:b/>
          <w:color w:val="auto"/>
          <w:kern w:val="15"/>
          <w:position w:val="-6"/>
          <w:sz w:val="24"/>
          <w:szCs w:val="24"/>
          <w:highlight w:val="none"/>
        </w:rPr>
        <w:t>（格式）</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保函编号：</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致：广州市净水有限公司</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根据（监理人全称）（以下简称“监理人”）与广州市净水有限公司（以下简称“委托人”）签订的      合同（合同编号：        ，于     年    月     日签订）关于预付款的约定,</w:t>
      </w:r>
      <w:r>
        <w:rPr>
          <w:rFonts w:hint="eastAsia" w:ascii="宋体" w:hAnsi="宋体" w:cs="宋体"/>
          <w:color w:val="auto"/>
          <w:kern w:val="15"/>
          <w:position w:val="-6"/>
          <w:sz w:val="24"/>
          <w:szCs w:val="24"/>
          <w:highlight w:val="none"/>
          <w:u w:val="single"/>
        </w:rPr>
        <w:t xml:space="preserve">    </w:t>
      </w:r>
      <w:r>
        <w:rPr>
          <w:rFonts w:hint="eastAsia" w:ascii="宋体" w:hAnsi="宋体" w:cs="宋体"/>
          <w:color w:val="auto"/>
          <w:kern w:val="15"/>
          <w:position w:val="-6"/>
          <w:sz w:val="24"/>
          <w:szCs w:val="24"/>
          <w:highlight w:val="none"/>
        </w:rPr>
        <w:t>[监理人名称]应向广州市净水有限公司提交等额的预付款银行保函作为担保。我行愿意出具保函为监理人担保，担保金额为人民币</w:t>
      </w:r>
      <w:r>
        <w:rPr>
          <w:rFonts w:hint="eastAsia" w:ascii="宋体" w:hAnsi="宋体" w:cs="宋体"/>
          <w:color w:val="auto"/>
          <w:kern w:val="15"/>
          <w:position w:val="-6"/>
          <w:sz w:val="24"/>
          <w:szCs w:val="24"/>
          <w:highlight w:val="none"/>
          <w:u w:val="single"/>
        </w:rPr>
        <w:t xml:space="preserve">       </w:t>
      </w:r>
      <w:r>
        <w:rPr>
          <w:rFonts w:hint="eastAsia" w:ascii="宋体" w:hAnsi="宋体" w:cs="宋体"/>
          <w:color w:val="auto"/>
          <w:kern w:val="15"/>
          <w:position w:val="-6"/>
          <w:sz w:val="24"/>
          <w:szCs w:val="24"/>
          <w:highlight w:val="none"/>
        </w:rPr>
        <w:t>( ¥</w:t>
      </w:r>
      <w:r>
        <w:rPr>
          <w:rFonts w:hint="eastAsia" w:ascii="宋体" w:hAnsi="宋体" w:cs="宋体"/>
          <w:color w:val="auto"/>
          <w:kern w:val="15"/>
          <w:position w:val="-6"/>
          <w:sz w:val="24"/>
          <w:szCs w:val="24"/>
          <w:highlight w:val="none"/>
          <w:u w:val="single"/>
        </w:rPr>
        <w:t xml:space="preserve">      </w:t>
      </w:r>
      <w:r>
        <w:rPr>
          <w:rFonts w:hint="eastAsia" w:ascii="宋体" w:hAnsi="宋体" w:cs="宋体"/>
          <w:color w:val="auto"/>
          <w:kern w:val="15"/>
          <w:position w:val="-6"/>
          <w:sz w:val="24"/>
          <w:szCs w:val="24"/>
          <w:highlight w:val="none"/>
        </w:rPr>
        <w:t>元)。</w:t>
      </w:r>
    </w:p>
    <w:p>
      <w:pPr>
        <w:spacing w:after="156"/>
        <w:ind w:firstLine="360" w:firstLineChars="150"/>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本保函的义务是：我行在接到委托人提出的因监理人在履行合同过程中未能履约或违背合同规定的责任和义务而要求索赔的书面通知和付款凭证后的7天内，在上述担保金额的限额内向委托人支付任何数额的款项，无须委托人出具证明或陈述理由。</w:t>
      </w:r>
    </w:p>
    <w:p>
      <w:pPr>
        <w:spacing w:line="360" w:lineRule="auto"/>
        <w:ind w:firstLine="480"/>
        <w:rPr>
          <w:rFonts w:ascii="宋体" w:hAnsi="宋体" w:cs="宋体"/>
          <w:color w:val="auto"/>
          <w:sz w:val="24"/>
          <w:szCs w:val="24"/>
          <w:highlight w:val="none"/>
        </w:rPr>
      </w:pPr>
      <w:r>
        <w:rPr>
          <w:rFonts w:hint="eastAsia" w:ascii="宋体" w:hAnsi="宋体" w:cs="宋体"/>
          <w:color w:val="auto"/>
          <w:sz w:val="24"/>
          <w:szCs w:val="24"/>
          <w:highlight w:val="none"/>
        </w:rPr>
        <w:t>在向我行提出要求前，我行将不坚持要求委托人首先向监理人提出上述款项的索赔。</w:t>
      </w:r>
    </w:p>
    <w:p>
      <w:pPr>
        <w:spacing w:line="360" w:lineRule="auto"/>
        <w:ind w:firstLine="480"/>
        <w:rPr>
          <w:rFonts w:ascii="宋体" w:hAnsi="宋体" w:cs="宋体"/>
          <w:color w:val="auto"/>
          <w:kern w:val="15"/>
          <w:position w:val="-6"/>
          <w:sz w:val="24"/>
          <w:szCs w:val="24"/>
          <w:highlight w:val="none"/>
        </w:rPr>
      </w:pPr>
      <w:r>
        <w:rPr>
          <w:rFonts w:hint="eastAsia" w:ascii="宋体" w:hAnsi="宋体" w:cs="宋体"/>
          <w:color w:val="auto"/>
          <w:sz w:val="24"/>
          <w:szCs w:val="24"/>
          <w:highlight w:val="none"/>
        </w:rPr>
        <w:t>我行承诺：不论是否经我行知晓或同意，我行的义务和责任不因合同双方当事人对合同条款所作的任何修改或补充而解除。</w:t>
      </w:r>
    </w:p>
    <w:p>
      <w:pPr>
        <w:spacing w:after="156"/>
        <w:rPr>
          <w:rFonts w:ascii="宋体" w:hAnsi="宋体" w:cs="宋体"/>
          <w:color w:val="auto"/>
          <w:kern w:val="15"/>
          <w:position w:val="-6"/>
          <w:sz w:val="24"/>
          <w:szCs w:val="24"/>
          <w:highlight w:val="none"/>
        </w:rPr>
      </w:pPr>
      <w:r>
        <w:rPr>
          <w:rFonts w:hint="eastAsia" w:ascii="宋体" w:hAnsi="宋体" w:cs="宋体"/>
          <w:color w:val="auto"/>
          <w:sz w:val="24"/>
          <w:szCs w:val="24"/>
          <w:highlight w:val="none"/>
        </w:rPr>
        <w:t>本保函自监理人获得预付款之日起生效，至委托人抵扣完全部预付款之日止</w:t>
      </w:r>
      <w:r>
        <w:rPr>
          <w:rFonts w:hint="eastAsia" w:ascii="宋体" w:hAnsi="宋体" w:cs="宋体"/>
          <w:color w:val="auto"/>
          <w:kern w:val="15"/>
          <w:position w:val="-6"/>
          <w:sz w:val="24"/>
          <w:szCs w:val="24"/>
          <w:highlight w:val="none"/>
        </w:rPr>
        <w:t>。</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担保银行：（盖章）</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法定代表人：（签字）</w:t>
      </w:r>
    </w:p>
    <w:p>
      <w:pPr>
        <w:spacing w:after="156"/>
        <w:rPr>
          <w:rFonts w:ascii="宋体" w:hAnsi="宋体" w:cs="宋体"/>
          <w:color w:val="auto"/>
          <w:kern w:val="15"/>
          <w:position w:val="-6"/>
          <w:sz w:val="24"/>
          <w:szCs w:val="24"/>
          <w:highlight w:val="none"/>
        </w:rPr>
      </w:pPr>
      <w:r>
        <w:rPr>
          <w:rFonts w:hint="eastAsia" w:ascii="宋体" w:hAnsi="宋体" w:cs="宋体"/>
          <w:color w:val="auto"/>
          <w:kern w:val="15"/>
          <w:position w:val="-6"/>
          <w:sz w:val="24"/>
          <w:szCs w:val="24"/>
          <w:highlight w:val="none"/>
        </w:rPr>
        <w:t>日期：</w:t>
      </w:r>
      <w:bookmarkEnd w:id="79"/>
      <w:bookmarkEnd w:id="80"/>
      <w:bookmarkEnd w:id="81"/>
      <w:bookmarkEnd w:id="82"/>
      <w:bookmarkEnd w:id="83"/>
      <w:bookmarkEnd w:id="84"/>
      <w:bookmarkEnd w:id="85"/>
      <w:bookmarkEnd w:id="86"/>
      <w:bookmarkEnd w:id="87"/>
      <w:bookmarkEnd w:id="88"/>
    </w:p>
    <w:p>
      <w:pPr>
        <w:pStyle w:val="84"/>
        <w:rPr>
          <w:rFonts w:hAnsi="宋体" w:cs="宋体"/>
          <w:sz w:val="24"/>
          <w:szCs w:val="24"/>
          <w:highlight w:val="none"/>
        </w:rPr>
      </w:pPr>
    </w:p>
    <w:p>
      <w:pPr>
        <w:tabs>
          <w:tab w:val="left" w:pos="2320"/>
          <w:tab w:val="left" w:pos="2940"/>
          <w:tab w:val="left" w:pos="3160"/>
          <w:tab w:val="left" w:pos="4620"/>
          <w:tab w:val="left" w:pos="5380"/>
          <w:tab w:val="left" w:pos="6120"/>
          <w:tab w:val="left" w:pos="6340"/>
          <w:tab w:val="left" w:pos="7060"/>
          <w:tab w:val="left" w:pos="7280"/>
          <w:tab w:val="left" w:pos="8020"/>
          <w:tab w:val="left" w:pos="8200"/>
        </w:tabs>
        <w:spacing w:line="20" w:lineRule="exact"/>
        <w:ind w:left="1900"/>
        <w:rPr>
          <w:rFonts w:eastAsia="Times New Roman"/>
          <w:color w:val="auto"/>
          <w:sz w:val="1"/>
          <w:highlight w:val="none"/>
        </w:rPr>
      </w:pP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r>
        <w:rPr>
          <w:rFonts w:eastAsia="Times New Roman"/>
          <w:color w:val="auto"/>
          <w:sz w:val="1"/>
          <w:highlight w:val="none"/>
        </w:rPr>
        <w:tab/>
      </w:r>
    </w:p>
    <w:p>
      <w:pPr>
        <w:spacing w:line="560" w:lineRule="exact"/>
        <w:ind w:firstLine="480" w:firstLineChars="200"/>
        <w:rPr>
          <w:rFonts w:ascii="宋体" w:hAnsi="宋体" w:cs="宋体"/>
          <w:color w:val="auto"/>
          <w:sz w:val="24"/>
          <w:szCs w:val="24"/>
          <w:highlight w:val="none"/>
        </w:rPr>
      </w:pPr>
    </w:p>
    <w:p>
      <w:pPr>
        <w:spacing w:line="360" w:lineRule="auto"/>
        <w:rPr>
          <w:rFonts w:ascii="黑体" w:hAnsi="黑体" w:eastAsia="黑体"/>
          <w:color w:val="auto"/>
          <w:sz w:val="28"/>
          <w:highlight w:val="none"/>
        </w:rPr>
      </w:pPr>
      <w:r>
        <w:rPr>
          <w:rFonts w:ascii="宋体" w:hAnsi="宋体"/>
          <w:color w:val="auto"/>
          <w:sz w:val="21"/>
          <w:highlight w:val="none"/>
        </w:rPr>
        <w:br w:type="page"/>
      </w:r>
      <w:r>
        <w:rPr>
          <w:rFonts w:ascii="黑体" w:hAnsi="黑体" w:eastAsia="黑体"/>
          <w:color w:val="auto"/>
          <w:sz w:val="28"/>
          <w:highlight w:val="none"/>
        </w:rPr>
        <w:t>附件</w:t>
      </w:r>
      <w:r>
        <w:rPr>
          <w:rFonts w:hint="eastAsia" w:ascii="黑体" w:hAnsi="黑体" w:eastAsia="黑体"/>
          <w:color w:val="auto"/>
          <w:sz w:val="28"/>
          <w:highlight w:val="none"/>
        </w:rPr>
        <w:t>三</w:t>
      </w:r>
      <w:r>
        <w:rPr>
          <w:rFonts w:ascii="黑体" w:hAnsi="黑体" w:eastAsia="黑体"/>
          <w:color w:val="auto"/>
          <w:sz w:val="28"/>
          <w:highlight w:val="none"/>
        </w:rPr>
        <w:t>：</w:t>
      </w:r>
      <w:r>
        <w:rPr>
          <w:rFonts w:hint="eastAsia" w:ascii="宋体" w:hAnsi="宋体"/>
          <w:color w:val="auto"/>
          <w:sz w:val="21"/>
          <w:szCs w:val="21"/>
          <w:highlight w:val="none"/>
          <w:lang w:val="en-US" w:eastAsia="zh-CN"/>
        </w:rPr>
        <w:t>成交通知书</w:t>
      </w: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附件</w:t>
      </w:r>
      <w:r>
        <w:rPr>
          <w:rFonts w:hint="eastAsia" w:ascii="黑体" w:hAnsi="黑体" w:eastAsia="黑体"/>
          <w:color w:val="auto"/>
          <w:sz w:val="28"/>
          <w:highlight w:val="none"/>
        </w:rPr>
        <w:t>四</w:t>
      </w:r>
      <w:r>
        <w:rPr>
          <w:rFonts w:ascii="黑体" w:hAnsi="黑体" w:eastAsia="黑体"/>
          <w:color w:val="auto"/>
          <w:sz w:val="28"/>
          <w:highlight w:val="none"/>
        </w:rPr>
        <w:t>：</w:t>
      </w:r>
      <w:r>
        <w:rPr>
          <w:rFonts w:hint="eastAsia" w:ascii="黑体" w:hAnsi="黑体" w:eastAsia="黑体"/>
          <w:color w:val="auto"/>
          <w:sz w:val="28"/>
          <w:highlight w:val="none"/>
        </w:rPr>
        <w:t>监理服务收费报价计算表</w:t>
      </w:r>
    </w:p>
    <w:p>
      <w:pPr>
        <w:spacing w:line="360" w:lineRule="auto"/>
        <w:rPr>
          <w:rFonts w:ascii="黑体" w:hAnsi="黑体" w:eastAsia="黑体"/>
          <w:color w:val="auto"/>
          <w:sz w:val="28"/>
          <w:highlight w:val="none"/>
        </w:rPr>
      </w:pPr>
    </w:p>
    <w:p>
      <w:pPr>
        <w:spacing w:line="360" w:lineRule="auto"/>
        <w:rPr>
          <w:rFonts w:ascii="黑体" w:hAnsi="黑体" w:eastAsia="黑体"/>
          <w:color w:val="auto"/>
          <w:sz w:val="28"/>
          <w:highlight w:val="none"/>
        </w:rPr>
      </w:pPr>
      <w:r>
        <w:rPr>
          <w:rFonts w:ascii="黑体" w:hAnsi="黑体" w:eastAsia="黑体"/>
          <w:color w:val="auto"/>
          <w:sz w:val="28"/>
          <w:highlight w:val="none"/>
        </w:rPr>
        <w:t>附件</w:t>
      </w:r>
      <w:r>
        <w:rPr>
          <w:rFonts w:hint="eastAsia" w:ascii="黑体" w:hAnsi="黑体" w:eastAsia="黑体"/>
          <w:color w:val="auto"/>
          <w:sz w:val="28"/>
          <w:highlight w:val="none"/>
        </w:rPr>
        <w:t>五</w:t>
      </w:r>
      <w:r>
        <w:rPr>
          <w:rFonts w:ascii="黑体" w:hAnsi="黑体" w:eastAsia="黑体"/>
          <w:color w:val="auto"/>
          <w:sz w:val="28"/>
          <w:highlight w:val="none"/>
        </w:rPr>
        <w:t>：</w:t>
      </w:r>
      <w:r>
        <w:rPr>
          <w:rFonts w:hint="eastAsia" w:ascii="黑体" w:hAnsi="黑体" w:eastAsia="黑体"/>
          <w:color w:val="auto"/>
          <w:sz w:val="28"/>
          <w:highlight w:val="none"/>
        </w:rPr>
        <w:t>监理服务的形式、范围与内容</w:t>
      </w:r>
    </w:p>
    <w:p>
      <w:pPr>
        <w:spacing w:line="360" w:lineRule="auto"/>
        <w:jc w:val="center"/>
        <w:rPr>
          <w:rFonts w:ascii="宋体" w:hAnsi="宋体"/>
          <w:color w:val="auto"/>
          <w:sz w:val="32"/>
          <w:szCs w:val="32"/>
          <w:highlight w:val="none"/>
        </w:rPr>
      </w:pPr>
      <w:r>
        <w:rPr>
          <w:rFonts w:hint="eastAsia" w:ascii="宋体" w:hAnsi="宋体"/>
          <w:color w:val="auto"/>
          <w:sz w:val="32"/>
          <w:szCs w:val="32"/>
          <w:highlight w:val="none"/>
        </w:rPr>
        <w:t>监理服务的形式、范围与内容</w:t>
      </w:r>
    </w:p>
    <w:p>
      <w:pPr>
        <w:tabs>
          <w:tab w:val="left" w:pos="720"/>
          <w:tab w:val="left" w:pos="1080"/>
        </w:tabs>
        <w:autoSpaceDE w:val="0"/>
        <w:autoSpaceDN w:val="0"/>
        <w:adjustRightInd w:val="0"/>
        <w:spacing w:line="384" w:lineRule="auto"/>
        <w:ind w:left="720" w:hanging="238"/>
        <w:outlineLvl w:val="0"/>
        <w:rPr>
          <w:rFonts w:ascii="宋体"/>
          <w:color w:val="auto"/>
          <w:spacing w:val="2"/>
          <w:position w:val="2"/>
          <w:sz w:val="24"/>
          <w:highlight w:val="none"/>
        </w:rPr>
      </w:pPr>
      <w:r>
        <w:rPr>
          <w:rFonts w:hint="eastAsia" w:ascii="宋体" w:hAnsi="宋体"/>
          <w:color w:val="auto"/>
          <w:spacing w:val="2"/>
          <w:position w:val="2"/>
          <w:sz w:val="24"/>
          <w:highlight w:val="none"/>
        </w:rPr>
        <w:t>一、监理服务要求</w:t>
      </w:r>
    </w:p>
    <w:p>
      <w:pPr>
        <w:tabs>
          <w:tab w:val="left" w:pos="0"/>
        </w:tabs>
        <w:autoSpaceDE w:val="0"/>
        <w:autoSpaceDN w:val="0"/>
        <w:adjustRightInd w:val="0"/>
        <w:spacing w:line="384" w:lineRule="auto"/>
        <w:ind w:firstLine="540"/>
        <w:rPr>
          <w:rFonts w:ascii="宋体"/>
          <w:color w:val="auto"/>
          <w:spacing w:val="2"/>
          <w:position w:val="2"/>
          <w:sz w:val="24"/>
          <w:highlight w:val="none"/>
        </w:rPr>
      </w:pPr>
      <w:r>
        <w:rPr>
          <w:rFonts w:hint="eastAsia" w:ascii="宋体" w:hAnsi="宋体"/>
          <w:color w:val="auto"/>
          <w:spacing w:val="2"/>
          <w:position w:val="2"/>
          <w:sz w:val="24"/>
          <w:highlight w:val="none"/>
        </w:rPr>
        <w:t>监理人应依据项目合同条件的规定，通过有效地计划、组织和协调，监督相关各方履行各自的职责，如实地记录、作证，以实施质量控制为主</w:t>
      </w:r>
      <w:r>
        <w:rPr>
          <w:rFonts w:hint="eastAsia" w:ascii="宋体"/>
          <w:color w:val="auto"/>
          <w:spacing w:val="2"/>
          <w:position w:val="2"/>
          <w:sz w:val="24"/>
          <w:highlight w:val="none"/>
        </w:rPr>
        <w:t>,</w:t>
      </w:r>
      <w:r>
        <w:rPr>
          <w:rFonts w:hint="eastAsia" w:ascii="宋体" w:hAnsi="宋体"/>
          <w:color w:val="auto"/>
          <w:spacing w:val="2"/>
          <w:position w:val="2"/>
          <w:sz w:val="24"/>
          <w:highlight w:val="none"/>
        </w:rPr>
        <w:t>进行进度、投资、安全、工期控制及合同管理，使本项目达到合同约定标准和按期完工。</w:t>
      </w:r>
    </w:p>
    <w:p>
      <w:pPr>
        <w:spacing w:line="384" w:lineRule="auto"/>
        <w:ind w:firstLine="488" w:firstLineChars="200"/>
        <w:outlineLvl w:val="0"/>
        <w:rPr>
          <w:rFonts w:ascii="宋体"/>
          <w:color w:val="auto"/>
          <w:spacing w:val="2"/>
          <w:position w:val="2"/>
          <w:sz w:val="24"/>
          <w:highlight w:val="none"/>
        </w:rPr>
      </w:pPr>
      <w:r>
        <w:rPr>
          <w:rFonts w:hint="eastAsia" w:ascii="宋体" w:hAnsi="宋体"/>
          <w:color w:val="auto"/>
          <w:spacing w:val="2"/>
          <w:position w:val="2"/>
          <w:sz w:val="24"/>
          <w:highlight w:val="none"/>
        </w:rPr>
        <w:t>二、监理服务的范围</w:t>
      </w:r>
    </w:p>
    <w:p>
      <w:pPr>
        <w:adjustRightInd w:val="0"/>
        <w:snapToGrid w:val="0"/>
        <w:spacing w:line="384" w:lineRule="auto"/>
        <w:ind w:firstLine="480" w:firstLineChars="200"/>
        <w:rPr>
          <w:rFonts w:ascii="宋体"/>
          <w:color w:val="auto"/>
          <w:sz w:val="24"/>
          <w:highlight w:val="none"/>
        </w:rPr>
      </w:pPr>
      <w:r>
        <w:rPr>
          <w:rFonts w:hint="eastAsia" w:ascii="宋体" w:hAnsi="宋体"/>
          <w:color w:val="auto"/>
          <w:sz w:val="24"/>
          <w:highlight w:val="none"/>
          <w:u w:val="single"/>
        </w:rPr>
        <w:t>（1）</w:t>
      </w:r>
      <w:r>
        <w:rPr>
          <w:rFonts w:hint="eastAsia" w:ascii="宋体" w:hAnsi="宋体"/>
          <w:color w:val="auto"/>
          <w:sz w:val="24"/>
          <w:highlight w:val="none"/>
        </w:rPr>
        <w:t>工程施工监理：包括《建设施工监理规范》（GB50319—2013）规定的隶属于本工程的施工准备期、施工期、工程缺陷责任期阶段的质量控制、投资控制、进度控制、组织协调、合同管理、安全文明的施工监理工作；</w:t>
      </w:r>
    </w:p>
    <w:p>
      <w:pPr>
        <w:spacing w:line="300" w:lineRule="auto"/>
        <w:ind w:firstLine="480" w:firstLineChars="200"/>
        <w:rPr>
          <w:color w:val="auto"/>
          <w:highlight w:val="none"/>
        </w:rPr>
      </w:pPr>
      <w:r>
        <w:rPr>
          <w:rFonts w:hint="eastAsia" w:ascii="宋体" w:hAnsi="宋体"/>
          <w:color w:val="auto"/>
          <w:sz w:val="24"/>
          <w:highlight w:val="none"/>
          <w:u w:val="single"/>
        </w:rPr>
        <w:t>（2）</w:t>
      </w:r>
      <w:r>
        <w:rPr>
          <w:rFonts w:hint="eastAsia" w:ascii="宋体" w:hAnsi="宋体"/>
          <w:color w:val="auto"/>
          <w:sz w:val="24"/>
          <w:highlight w:val="none"/>
        </w:rPr>
        <w:t>工程项目管理：负责对整个工程内各专项工程的统一规划、统一调度、统一协调。协调各进驻单位（包括总包与分包单位）工程同步建设，对各进驻单位工程进度统一调控，以使各进驻单位施工期间能够做到井然有序，不相互干扰、制约。</w:t>
      </w:r>
    </w:p>
    <w:p>
      <w:pPr>
        <w:adjustRightInd w:val="0"/>
        <w:snapToGrid w:val="0"/>
        <w:spacing w:line="384" w:lineRule="auto"/>
        <w:ind w:firstLine="480" w:firstLineChars="200"/>
        <w:rPr>
          <w:rFonts w:ascii="宋体" w:hAnsi="宋体"/>
          <w:color w:val="auto"/>
          <w:sz w:val="24"/>
          <w:highlight w:val="none"/>
        </w:rPr>
      </w:pPr>
      <w:r>
        <w:rPr>
          <w:rFonts w:hint="eastAsia" w:ascii="宋体" w:hAnsi="宋体"/>
          <w:color w:val="auto"/>
          <w:sz w:val="24"/>
          <w:highlight w:val="none"/>
        </w:rPr>
        <w:t>（3）危大工程专项管理：根据《危险性较大的分部分项工程安全管理规定（住建部2018）37号文》规定，监理企业应当建立危大工程安全管理档案，应当将监理实施细则，专项施工方案审查、专项巡视检查、验收及整改等相关资料纳入档案管理。</w:t>
      </w:r>
    </w:p>
    <w:p>
      <w:pPr>
        <w:adjustRightInd w:val="0"/>
        <w:snapToGrid w:val="0"/>
        <w:spacing w:line="384" w:lineRule="auto"/>
        <w:ind w:firstLine="480" w:firstLineChars="200"/>
        <w:rPr>
          <w:rFonts w:ascii="宋体"/>
          <w:color w:val="auto"/>
          <w:sz w:val="24"/>
          <w:highlight w:val="none"/>
        </w:rPr>
      </w:pPr>
    </w:p>
    <w:p>
      <w:pPr>
        <w:tabs>
          <w:tab w:val="left" w:pos="0"/>
        </w:tabs>
        <w:autoSpaceDE w:val="0"/>
        <w:autoSpaceDN w:val="0"/>
        <w:adjustRightInd w:val="0"/>
        <w:spacing w:line="384" w:lineRule="auto"/>
        <w:ind w:firstLine="540"/>
        <w:outlineLvl w:val="0"/>
        <w:rPr>
          <w:rFonts w:ascii="宋体"/>
          <w:color w:val="auto"/>
          <w:spacing w:val="2"/>
          <w:position w:val="2"/>
          <w:sz w:val="24"/>
          <w:highlight w:val="none"/>
        </w:rPr>
      </w:pPr>
      <w:r>
        <w:rPr>
          <w:rFonts w:hint="eastAsia" w:ascii="宋体" w:hAnsi="宋体"/>
          <w:color w:val="auto"/>
          <w:spacing w:val="2"/>
          <w:position w:val="2"/>
          <w:sz w:val="24"/>
          <w:highlight w:val="none"/>
        </w:rPr>
        <w:t>三、监理服务的内容和要求</w:t>
      </w:r>
    </w:p>
    <w:p>
      <w:pPr>
        <w:adjustRightInd w:val="0"/>
        <w:snapToGrid w:val="0"/>
        <w:spacing w:before="0" w:beforeAutospacing="0" w:after="0" w:afterAutospacing="0" w:line="384" w:lineRule="auto"/>
        <w:ind w:firstLine="720" w:firstLineChars="300"/>
        <w:rPr>
          <w:rFonts w:hint="default" w:ascii="宋体" w:hAnsi="宋体"/>
          <w:color w:val="auto"/>
          <w:spacing w:val="0"/>
          <w:position w:val="0"/>
          <w:sz w:val="24"/>
          <w:highlight w:val="none"/>
          <w:lang w:val="en-US" w:eastAsia="zh-CN"/>
        </w:rPr>
      </w:pPr>
      <w:r>
        <w:rPr>
          <w:rFonts w:hint="eastAsia" w:ascii="宋体" w:hAnsi="宋体"/>
          <w:color w:val="auto"/>
          <w:spacing w:val="0"/>
          <w:position w:val="0"/>
          <w:sz w:val="24"/>
          <w:highlight w:val="none"/>
          <w:lang w:val="en-US" w:eastAsia="zh-CN"/>
        </w:rPr>
        <w:t>（一）</w:t>
      </w:r>
      <w:r>
        <w:rPr>
          <w:rFonts w:hint="default" w:ascii="宋体" w:hAnsi="宋体"/>
          <w:color w:val="auto"/>
          <w:spacing w:val="0"/>
          <w:position w:val="0"/>
          <w:sz w:val="24"/>
          <w:highlight w:val="none"/>
          <w:lang w:val="en-US" w:eastAsia="zh-CN"/>
        </w:rPr>
        <w:t>爆破安全监理的主要内容：</w:t>
      </w:r>
    </w:p>
    <w:p>
      <w:pPr>
        <w:adjustRightInd w:val="0"/>
        <w:snapToGrid w:val="0"/>
        <w:spacing w:before="0" w:beforeAutospacing="0" w:after="0" w:afterAutospacing="0" w:line="384" w:lineRule="auto"/>
        <w:ind w:firstLine="480" w:firstLineChars="200"/>
        <w:rPr>
          <w:rFonts w:hint="default" w:ascii="宋体" w:hAnsi="宋体"/>
          <w:color w:val="auto"/>
          <w:sz w:val="24"/>
          <w:highlight w:val="none"/>
        </w:rPr>
      </w:pPr>
      <w:r>
        <w:rPr>
          <w:rFonts w:hint="default" w:ascii="宋体" w:hAnsi="宋体"/>
          <w:color w:val="auto"/>
          <w:spacing w:val="0"/>
          <w:position w:val="0"/>
          <w:sz w:val="24"/>
          <w:highlight w:val="none"/>
          <w:lang w:val="en-US" w:eastAsia="zh-CN"/>
        </w:rPr>
        <w:t>1、</w:t>
      </w:r>
      <w:r>
        <w:rPr>
          <w:rFonts w:hint="eastAsia" w:ascii="宋体" w:hAnsi="宋体"/>
          <w:color w:val="auto"/>
          <w:spacing w:val="0"/>
          <w:position w:val="0"/>
          <w:sz w:val="24"/>
          <w:highlight w:val="none"/>
          <w:lang w:val="en-US" w:eastAsia="zh-CN"/>
        </w:rPr>
        <w:t>监督</w:t>
      </w:r>
      <w:r>
        <w:rPr>
          <w:rFonts w:hint="default" w:ascii="宋体" w:hAnsi="宋体"/>
          <w:color w:val="auto"/>
          <w:sz w:val="24"/>
          <w:highlight w:val="none"/>
        </w:rPr>
        <w:t>爆破作业单位按照</w:t>
      </w:r>
      <w:r>
        <w:rPr>
          <w:rFonts w:hint="eastAsia" w:ascii="宋体" w:hAnsi="宋体"/>
          <w:color w:val="auto"/>
          <w:sz w:val="24"/>
          <w:highlight w:val="none"/>
          <w:lang w:val="en-US" w:eastAsia="zh-CN"/>
        </w:rPr>
        <w:t>公安机关审批的爆破</w:t>
      </w:r>
      <w:r>
        <w:rPr>
          <w:rFonts w:hint="default" w:ascii="宋体" w:hAnsi="宋体"/>
          <w:color w:val="auto"/>
          <w:sz w:val="24"/>
          <w:highlight w:val="none"/>
        </w:rPr>
        <w:t>设计方案施工；</w:t>
      </w:r>
    </w:p>
    <w:p>
      <w:pPr>
        <w:adjustRightInd w:val="0"/>
        <w:snapToGrid w:val="0"/>
        <w:spacing w:before="0" w:beforeAutospacing="0" w:after="0" w:afterAutospacing="0" w:line="384" w:lineRule="auto"/>
        <w:ind w:firstLine="480" w:firstLineChars="200"/>
        <w:rPr>
          <w:rFonts w:hint="default" w:ascii="宋体" w:hAnsi="宋体"/>
          <w:color w:val="auto"/>
          <w:sz w:val="24"/>
          <w:highlight w:val="none"/>
        </w:rPr>
      </w:pPr>
      <w:r>
        <w:rPr>
          <w:rFonts w:hint="default" w:ascii="宋体" w:hAnsi="宋体"/>
          <w:color w:val="auto"/>
          <w:spacing w:val="0"/>
          <w:position w:val="0"/>
          <w:sz w:val="24"/>
          <w:highlight w:val="none"/>
          <w:lang w:val="en-US" w:eastAsia="zh-CN"/>
        </w:rPr>
        <w:t>2、</w:t>
      </w:r>
      <w:r>
        <w:rPr>
          <w:rFonts w:hint="eastAsia" w:ascii="宋体" w:hAnsi="宋体"/>
          <w:color w:val="auto"/>
          <w:spacing w:val="0"/>
          <w:position w:val="0"/>
          <w:sz w:val="24"/>
          <w:highlight w:val="none"/>
          <w:lang w:val="en-US" w:eastAsia="zh-CN"/>
        </w:rPr>
        <w:t>审查</w:t>
      </w:r>
      <w:r>
        <w:rPr>
          <w:rFonts w:hint="default" w:ascii="宋体" w:hAnsi="宋体"/>
          <w:color w:val="auto"/>
          <w:sz w:val="24"/>
          <w:highlight w:val="none"/>
        </w:rPr>
        <w:t>爆破有害效应是否控制在设计范围内；</w:t>
      </w:r>
    </w:p>
    <w:p>
      <w:pPr>
        <w:adjustRightInd w:val="0"/>
        <w:snapToGrid w:val="0"/>
        <w:spacing w:before="0" w:beforeAutospacing="0" w:after="0" w:afterAutospacing="0" w:line="384" w:lineRule="auto"/>
        <w:ind w:firstLine="480" w:firstLineChars="200"/>
        <w:rPr>
          <w:rFonts w:hint="default" w:ascii="宋体" w:hAnsi="宋体"/>
          <w:color w:val="auto"/>
          <w:sz w:val="24"/>
          <w:highlight w:val="none"/>
        </w:rPr>
      </w:pPr>
      <w:r>
        <w:rPr>
          <w:rFonts w:hint="default" w:ascii="宋体" w:hAnsi="宋体"/>
          <w:color w:val="auto"/>
          <w:spacing w:val="0"/>
          <w:position w:val="0"/>
          <w:sz w:val="24"/>
          <w:highlight w:val="none"/>
          <w:lang w:eastAsia="zh-CN"/>
        </w:rPr>
        <w:t>3、</w:t>
      </w:r>
      <w:r>
        <w:rPr>
          <w:rFonts w:hint="default" w:ascii="宋体" w:hAnsi="宋体"/>
          <w:color w:val="auto"/>
          <w:sz w:val="24"/>
          <w:highlight w:val="none"/>
        </w:rPr>
        <w:t>审验爆破作业人员的资格，制止无资格人员从事爆破作业；</w:t>
      </w:r>
      <w:r>
        <w:rPr>
          <w:rFonts w:hint="eastAsia" w:ascii="宋体" w:hAnsi="宋体"/>
          <w:color w:val="auto"/>
          <w:sz w:val="24"/>
          <w:highlight w:val="none"/>
          <w:lang w:val="en-US" w:eastAsia="zh-CN"/>
        </w:rPr>
        <w:t>监督施工方作业人员岗前安全培训及三级安全教育；监督承包商严格执行委托人规定的有关管理制度。</w:t>
      </w:r>
    </w:p>
    <w:p>
      <w:pPr>
        <w:adjustRightInd w:val="0"/>
        <w:snapToGrid w:val="0"/>
        <w:spacing w:before="0" w:beforeAutospacing="0" w:after="0" w:afterAutospacing="0" w:line="384" w:lineRule="auto"/>
        <w:ind w:firstLine="480" w:firstLineChars="200"/>
        <w:rPr>
          <w:rFonts w:hint="default" w:ascii="宋体" w:hAnsi="宋体"/>
          <w:color w:val="auto"/>
          <w:sz w:val="24"/>
          <w:highlight w:val="none"/>
        </w:rPr>
      </w:pPr>
      <w:r>
        <w:rPr>
          <w:rFonts w:hint="default" w:ascii="宋体" w:hAnsi="宋体"/>
          <w:color w:val="auto"/>
          <w:spacing w:val="0"/>
          <w:position w:val="0"/>
          <w:sz w:val="24"/>
          <w:highlight w:val="none"/>
          <w:lang w:eastAsia="zh-CN"/>
        </w:rPr>
        <w:t>4、</w:t>
      </w:r>
      <w:r>
        <w:rPr>
          <w:rFonts w:hint="default" w:ascii="宋体" w:hAnsi="宋体"/>
          <w:color w:val="auto"/>
          <w:sz w:val="24"/>
          <w:highlight w:val="none"/>
        </w:rPr>
        <w:t>监督民用爆炸物品领取、清退制度的落实情况；</w:t>
      </w:r>
    </w:p>
    <w:p>
      <w:pPr>
        <w:adjustRightInd w:val="0"/>
        <w:snapToGrid w:val="0"/>
        <w:spacing w:before="0" w:beforeAutospacing="0" w:after="0" w:afterAutospacing="0" w:line="384" w:lineRule="auto"/>
        <w:ind w:firstLine="480" w:firstLineChars="200"/>
        <w:rPr>
          <w:rFonts w:hint="eastAsia" w:ascii="宋体" w:hAnsi="宋体"/>
          <w:color w:val="auto"/>
          <w:spacing w:val="0"/>
          <w:position w:val="0"/>
          <w:sz w:val="24"/>
          <w:highlight w:val="none"/>
          <w:lang w:val="en-US" w:eastAsia="zh-CN"/>
        </w:rPr>
      </w:pPr>
      <w:r>
        <w:rPr>
          <w:rFonts w:hint="default" w:ascii="宋体" w:hAnsi="宋体"/>
          <w:color w:val="auto"/>
          <w:spacing w:val="0"/>
          <w:position w:val="0"/>
          <w:sz w:val="24"/>
          <w:highlight w:val="none"/>
          <w:lang w:eastAsia="zh-CN"/>
        </w:rPr>
        <w:t>5、</w:t>
      </w:r>
      <w:r>
        <w:rPr>
          <w:rFonts w:hint="default" w:ascii="宋体" w:hAnsi="宋体"/>
          <w:color w:val="auto"/>
          <w:sz w:val="24"/>
          <w:highlight w:val="none"/>
        </w:rPr>
        <w:t>监督爆破作业单位</w:t>
      </w:r>
      <w:r>
        <w:rPr>
          <w:rFonts w:hint="eastAsia" w:ascii="宋体" w:hAnsi="宋体"/>
          <w:color w:val="auto"/>
          <w:sz w:val="24"/>
          <w:highlight w:val="none"/>
          <w:lang w:val="en-US" w:eastAsia="zh-CN"/>
        </w:rPr>
        <w:t>严格</w:t>
      </w:r>
      <w:r>
        <w:rPr>
          <w:rFonts w:hint="default" w:ascii="宋体" w:hAnsi="宋体"/>
          <w:color w:val="auto"/>
          <w:sz w:val="24"/>
          <w:highlight w:val="none"/>
        </w:rPr>
        <w:t>遵守国家有关标准和规范</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落实安全措施</w:t>
      </w:r>
      <w:r>
        <w:rPr>
          <w:rFonts w:hint="default" w:ascii="宋体" w:hAnsi="宋体"/>
          <w:color w:val="auto"/>
          <w:sz w:val="24"/>
          <w:highlight w:val="none"/>
        </w:rPr>
        <w:t>，发现违章指挥和违章作业，有权停止其爆破作业，并向委托单位和公安机关报告。</w:t>
      </w:r>
    </w:p>
    <w:p>
      <w:pPr>
        <w:pStyle w:val="78"/>
        <w:spacing w:before="0" w:beforeAutospacing="0" w:after="0" w:afterAutospacing="0" w:line="360" w:lineRule="auto"/>
        <w:ind w:firstLine="480"/>
        <w:rPr>
          <w:rFonts w:hint="default" w:eastAsia="宋体"/>
          <w:color w:val="auto"/>
          <w:kern w:val="2"/>
          <w:szCs w:val="20"/>
          <w:highlight w:val="none"/>
          <w:lang w:val="en-US" w:eastAsia="zh-CN"/>
        </w:rPr>
      </w:pPr>
      <w:r>
        <w:rPr>
          <w:rFonts w:hint="eastAsia"/>
          <w:color w:val="auto"/>
          <w:kern w:val="2"/>
          <w:szCs w:val="20"/>
          <w:highlight w:val="none"/>
          <w:lang w:eastAsia="zh-CN"/>
        </w:rPr>
        <w:t>（</w:t>
      </w:r>
      <w:r>
        <w:rPr>
          <w:rFonts w:hint="eastAsia"/>
          <w:color w:val="auto"/>
          <w:kern w:val="2"/>
          <w:szCs w:val="20"/>
          <w:highlight w:val="none"/>
          <w:lang w:val="en-US" w:eastAsia="zh-CN"/>
        </w:rPr>
        <w:t>二）监理服务的主要要求</w:t>
      </w:r>
    </w:p>
    <w:p>
      <w:pPr>
        <w:pStyle w:val="78"/>
        <w:spacing w:before="0" w:beforeAutospacing="0" w:after="0" w:afterAutospacing="0" w:line="360" w:lineRule="auto"/>
        <w:ind w:firstLine="480"/>
        <w:rPr>
          <w:color w:val="auto"/>
          <w:kern w:val="2"/>
          <w:szCs w:val="20"/>
          <w:highlight w:val="none"/>
        </w:rPr>
      </w:pPr>
      <w:r>
        <w:rPr>
          <w:rFonts w:hint="eastAsia"/>
          <w:color w:val="auto"/>
          <w:kern w:val="2"/>
          <w:szCs w:val="20"/>
          <w:highlight w:val="none"/>
          <w:lang w:val="en-US" w:eastAsia="zh-CN"/>
        </w:rPr>
        <w:t>1</w:t>
      </w:r>
      <w:r>
        <w:rPr>
          <w:rFonts w:hint="eastAsia"/>
          <w:color w:val="auto"/>
          <w:kern w:val="2"/>
          <w:szCs w:val="20"/>
          <w:highlight w:val="none"/>
        </w:rPr>
        <w:t>、应在详细了解安全技术规定、应急预案后认真编制监理规划和实施细则，并制定监理人员岗位职责。</w:t>
      </w:r>
    </w:p>
    <w:p>
      <w:pPr>
        <w:pStyle w:val="78"/>
        <w:spacing w:before="0" w:beforeAutospacing="0" w:after="0" w:afterAutospacing="0" w:line="360" w:lineRule="auto"/>
        <w:ind w:firstLine="480"/>
        <w:rPr>
          <w:rFonts w:hint="eastAsia"/>
          <w:color w:val="auto"/>
          <w:kern w:val="2"/>
          <w:szCs w:val="20"/>
          <w:highlight w:val="none"/>
        </w:rPr>
      </w:pPr>
      <w:r>
        <w:rPr>
          <w:rFonts w:hint="eastAsia" w:ascii="宋体" w:hAnsi="宋体"/>
          <w:color w:val="auto"/>
          <w:sz w:val="24"/>
          <w:highlight w:val="none"/>
          <w:lang w:val="en-US" w:eastAsia="zh-CN"/>
        </w:rPr>
        <w:t>2、</w:t>
      </w:r>
      <w:r>
        <w:rPr>
          <w:rFonts w:hint="eastAsia"/>
          <w:color w:val="auto"/>
          <w:highlight w:val="none"/>
        </w:rPr>
        <w:t>应在爆破器材领用、清退、爆破作业、爆后安全检查及盲炮处理的各环节上实行旁站监理，并作出监理记录。</w:t>
      </w:r>
    </w:p>
    <w:p>
      <w:pPr>
        <w:pStyle w:val="78"/>
        <w:spacing w:before="0" w:beforeAutospacing="0" w:after="0" w:afterAutospacing="0" w:line="360" w:lineRule="auto"/>
        <w:ind w:firstLine="480"/>
        <w:rPr>
          <w:rFonts w:hint="eastAsia"/>
          <w:color w:val="auto"/>
          <w:kern w:val="2"/>
          <w:szCs w:val="20"/>
          <w:highlight w:val="none"/>
        </w:rPr>
      </w:pPr>
      <w:r>
        <w:rPr>
          <w:rFonts w:hint="eastAsia"/>
          <w:color w:val="auto"/>
          <w:kern w:val="2"/>
          <w:szCs w:val="20"/>
          <w:highlight w:val="none"/>
          <w:lang w:val="en-US" w:eastAsia="zh-CN"/>
        </w:rPr>
        <w:t>3、</w:t>
      </w:r>
      <w:r>
        <w:rPr>
          <w:rFonts w:hint="eastAsia"/>
          <w:color w:val="auto"/>
          <w:kern w:val="2"/>
          <w:szCs w:val="20"/>
          <w:highlight w:val="none"/>
        </w:rPr>
        <w:t>发生下列情况之一时，监理机构应当签发爆破作业暂停令：</w:t>
      </w:r>
    </w:p>
    <w:p>
      <w:pPr>
        <w:pStyle w:val="78"/>
        <w:spacing w:before="0" w:beforeAutospacing="0" w:after="0" w:afterAutospacing="0" w:line="360" w:lineRule="auto"/>
        <w:ind w:firstLine="480"/>
        <w:rPr>
          <w:rFonts w:hint="eastAsia"/>
          <w:color w:val="auto"/>
          <w:kern w:val="2"/>
          <w:szCs w:val="20"/>
          <w:highlight w:val="none"/>
        </w:rPr>
      </w:pPr>
      <w:r>
        <w:rPr>
          <w:rFonts w:hint="eastAsia"/>
          <w:color w:val="auto"/>
          <w:kern w:val="2"/>
          <w:szCs w:val="20"/>
          <w:highlight w:val="none"/>
        </w:rPr>
        <w:t xml:space="preserve"> ——爆破作业严重违规经制止无效时；</w:t>
      </w:r>
    </w:p>
    <w:p>
      <w:pPr>
        <w:pStyle w:val="78"/>
        <w:spacing w:before="0" w:beforeAutospacing="0" w:after="0" w:afterAutospacing="0" w:line="360" w:lineRule="auto"/>
        <w:ind w:firstLine="480"/>
        <w:rPr>
          <w:rFonts w:hint="eastAsia"/>
          <w:color w:val="auto"/>
          <w:kern w:val="2"/>
          <w:szCs w:val="20"/>
          <w:highlight w:val="none"/>
        </w:rPr>
      </w:pPr>
      <w:r>
        <w:rPr>
          <w:rFonts w:hint="eastAsia"/>
          <w:color w:val="auto"/>
          <w:kern w:val="2"/>
          <w:szCs w:val="20"/>
          <w:highlight w:val="none"/>
        </w:rPr>
        <w:t xml:space="preserve"> ——施工中出现重大安全隐患，须停止爆破作业以消除隐患时。</w:t>
      </w:r>
    </w:p>
    <w:p>
      <w:pPr>
        <w:pStyle w:val="78"/>
        <w:numPr>
          <w:ilvl w:val="0"/>
          <w:numId w:val="42"/>
        </w:numPr>
        <w:spacing w:before="0" w:beforeAutospacing="0" w:after="0" w:afterAutospacing="0" w:line="360" w:lineRule="auto"/>
        <w:ind w:firstLine="480"/>
        <w:rPr>
          <w:rFonts w:hint="eastAsia"/>
          <w:color w:val="auto"/>
          <w:kern w:val="2"/>
          <w:szCs w:val="20"/>
          <w:highlight w:val="none"/>
        </w:rPr>
      </w:pPr>
      <w:r>
        <w:rPr>
          <w:rFonts w:hint="eastAsia"/>
          <w:color w:val="auto"/>
          <w:kern w:val="2"/>
          <w:szCs w:val="20"/>
          <w:highlight w:val="none"/>
        </w:rPr>
        <w:t>定期向委托单位提交安全监理报告，工程结束时提交安全监理总结和相关监理资料。</w:t>
      </w:r>
    </w:p>
    <w:p>
      <w:pPr>
        <w:pStyle w:val="78"/>
        <w:numPr>
          <w:ilvl w:val="0"/>
          <w:numId w:val="42"/>
        </w:numPr>
        <w:spacing w:before="0" w:beforeAutospacing="0" w:after="0" w:afterAutospacing="0" w:line="360" w:lineRule="auto"/>
        <w:ind w:firstLine="480"/>
        <w:rPr>
          <w:rFonts w:hint="eastAsia"/>
          <w:color w:val="auto"/>
          <w:kern w:val="2"/>
          <w:szCs w:val="20"/>
          <w:highlight w:val="none"/>
        </w:rPr>
      </w:pPr>
      <w:r>
        <w:rPr>
          <w:rFonts w:hint="eastAsia"/>
          <w:color w:val="auto"/>
          <w:kern w:val="2"/>
          <w:szCs w:val="20"/>
          <w:highlight w:val="none"/>
          <w:lang w:eastAsia="zh-CN"/>
        </w:rPr>
        <w:t>监理人</w:t>
      </w:r>
      <w:r>
        <w:rPr>
          <w:rFonts w:hint="eastAsia"/>
          <w:color w:val="auto"/>
          <w:kern w:val="2"/>
          <w:szCs w:val="20"/>
          <w:highlight w:val="none"/>
        </w:rPr>
        <w:t>自行解决监理人员的办公场所（施工现场办公室、办公桌、椅子、网线端口）和食宿等问题。</w:t>
      </w:r>
    </w:p>
    <w:p>
      <w:pPr>
        <w:pStyle w:val="78"/>
        <w:numPr>
          <w:ilvl w:val="0"/>
          <w:numId w:val="0"/>
        </w:numPr>
        <w:spacing w:before="0" w:beforeAutospacing="0" w:after="0" w:afterAutospacing="0" w:line="360" w:lineRule="auto"/>
        <w:ind w:firstLine="480" w:firstLineChars="200"/>
        <w:rPr>
          <w:rFonts w:hint="eastAsia"/>
          <w:color w:val="auto"/>
          <w:kern w:val="2"/>
          <w:szCs w:val="20"/>
          <w:highlight w:val="none"/>
          <w:lang w:val="en-US" w:eastAsia="zh-CN"/>
        </w:rPr>
      </w:pPr>
      <w:r>
        <w:rPr>
          <w:rFonts w:hint="eastAsia"/>
          <w:color w:val="auto"/>
          <w:kern w:val="2"/>
          <w:szCs w:val="20"/>
          <w:highlight w:val="none"/>
        </w:rPr>
        <w:t>6、</w:t>
      </w:r>
      <w:r>
        <w:rPr>
          <w:rFonts w:hint="eastAsia"/>
          <w:color w:val="auto"/>
          <w:kern w:val="2"/>
          <w:szCs w:val="20"/>
          <w:highlight w:val="none"/>
          <w:lang w:eastAsia="zh-CN"/>
        </w:rPr>
        <w:t>监理人</w:t>
      </w:r>
      <w:r>
        <w:rPr>
          <w:rFonts w:hint="eastAsia"/>
          <w:color w:val="auto"/>
          <w:kern w:val="2"/>
          <w:szCs w:val="20"/>
          <w:highlight w:val="none"/>
        </w:rPr>
        <w:t>发出的监理工作指令必须经与</w:t>
      </w:r>
      <w:r>
        <w:rPr>
          <w:rFonts w:hint="eastAsia"/>
          <w:color w:val="auto"/>
          <w:kern w:val="2"/>
          <w:szCs w:val="20"/>
          <w:highlight w:val="none"/>
          <w:lang w:eastAsia="zh-CN"/>
        </w:rPr>
        <w:t>委托人</w:t>
      </w:r>
      <w:r>
        <w:rPr>
          <w:rFonts w:hint="eastAsia"/>
          <w:color w:val="auto"/>
          <w:kern w:val="2"/>
          <w:szCs w:val="20"/>
          <w:highlight w:val="none"/>
        </w:rPr>
        <w:t>协商一致后方可实施。</w:t>
      </w:r>
    </w:p>
    <w:p>
      <w:pPr>
        <w:spacing w:line="360" w:lineRule="auto"/>
        <w:ind w:firstLine="480" w:firstLineChars="200"/>
        <w:rPr>
          <w:rFonts w:ascii="黑体" w:hAnsi="黑体" w:eastAsia="黑体"/>
          <w:color w:val="auto"/>
          <w:sz w:val="28"/>
          <w:highlight w:val="none"/>
        </w:rPr>
      </w:pPr>
      <w:r>
        <w:rPr>
          <w:rFonts w:ascii="宋体" w:hAnsi="宋体"/>
          <w:color w:val="auto"/>
          <w:sz w:val="24"/>
          <w:highlight w:val="none"/>
        </w:rPr>
        <w:br w:type="page"/>
      </w:r>
      <w:r>
        <w:rPr>
          <w:rFonts w:ascii="黑体" w:hAnsi="黑体" w:eastAsia="黑体"/>
          <w:color w:val="auto"/>
          <w:sz w:val="28"/>
          <w:highlight w:val="none"/>
        </w:rPr>
        <w:t>附件</w:t>
      </w:r>
      <w:r>
        <w:rPr>
          <w:rFonts w:hint="eastAsia" w:ascii="黑体" w:hAnsi="黑体" w:eastAsia="黑体"/>
          <w:color w:val="auto"/>
          <w:sz w:val="28"/>
          <w:highlight w:val="none"/>
        </w:rPr>
        <w:t>六</w:t>
      </w:r>
      <w:r>
        <w:rPr>
          <w:rFonts w:ascii="黑体" w:hAnsi="黑体" w:eastAsia="黑体"/>
          <w:color w:val="auto"/>
          <w:sz w:val="28"/>
          <w:highlight w:val="none"/>
        </w:rPr>
        <w:t>：</w:t>
      </w:r>
      <w:r>
        <w:rPr>
          <w:rFonts w:hint="eastAsia" w:ascii="黑体" w:hAnsi="黑体" w:eastAsia="黑体"/>
          <w:color w:val="auto"/>
          <w:sz w:val="28"/>
          <w:highlight w:val="none"/>
        </w:rPr>
        <w:t>安全监理协议书</w:t>
      </w:r>
    </w:p>
    <w:p>
      <w:pPr>
        <w:tabs>
          <w:tab w:val="left" w:pos="0"/>
        </w:tabs>
        <w:autoSpaceDE w:val="0"/>
        <w:autoSpaceDN w:val="0"/>
        <w:adjustRightInd w:val="0"/>
        <w:spacing w:line="336" w:lineRule="auto"/>
        <w:ind w:firstLine="539"/>
        <w:rPr>
          <w:rFonts w:ascii="宋体"/>
          <w:color w:val="auto"/>
          <w:spacing w:val="2"/>
          <w:position w:val="2"/>
          <w:sz w:val="24"/>
          <w:highlight w:val="none"/>
        </w:rPr>
      </w:pPr>
    </w:p>
    <w:p>
      <w:pPr>
        <w:pStyle w:val="78"/>
        <w:spacing w:before="0" w:beforeAutospacing="0" w:after="0" w:afterAutospacing="0"/>
        <w:ind w:firstLine="1320" w:firstLineChars="550"/>
        <w:rPr>
          <w:color w:val="auto"/>
          <w:highlight w:val="none"/>
          <w:u w:val="single"/>
        </w:rPr>
      </w:pPr>
    </w:p>
    <w:p>
      <w:pPr>
        <w:pStyle w:val="78"/>
        <w:spacing w:before="0" w:beforeAutospacing="0" w:after="0" w:afterAutospacing="0" w:line="480" w:lineRule="exact"/>
        <w:ind w:firstLine="2114" w:firstLineChars="399"/>
        <w:rPr>
          <w:rFonts w:cs="Arial"/>
          <w:b/>
          <w:bCs/>
          <w:color w:val="auto"/>
          <w:spacing w:val="45"/>
          <w:sz w:val="44"/>
          <w:szCs w:val="44"/>
          <w:highlight w:val="none"/>
        </w:rPr>
      </w:pPr>
      <w:r>
        <w:rPr>
          <w:rFonts w:hint="eastAsia" w:cs="Arial"/>
          <w:b/>
          <w:bCs/>
          <w:color w:val="auto"/>
          <w:spacing w:val="45"/>
          <w:sz w:val="44"/>
          <w:szCs w:val="44"/>
          <w:highlight w:val="none"/>
        </w:rPr>
        <w:t>安全监理协议书</w:t>
      </w:r>
    </w:p>
    <w:p>
      <w:pPr>
        <w:pStyle w:val="78"/>
        <w:spacing w:before="0" w:beforeAutospacing="0" w:after="0" w:afterAutospacing="0" w:line="480" w:lineRule="exact"/>
        <w:rPr>
          <w:color w:val="auto"/>
          <w:highlight w:val="none"/>
        </w:rPr>
      </w:pPr>
      <w:r>
        <w:rPr>
          <w:rFonts w:hint="eastAsia"/>
          <w:color w:val="auto"/>
          <w:highlight w:val="none"/>
        </w:rPr>
        <w:t xml:space="preserve">                                           合同编号：</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委托人：广州市净水有限公司</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监理人：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监理人承担委托人</w:t>
      </w:r>
      <w:r>
        <w:rPr>
          <w:rFonts w:hint="eastAsia"/>
          <w:color w:val="auto"/>
          <w:kern w:val="2"/>
          <w:szCs w:val="20"/>
          <w:highlight w:val="none"/>
          <w:u w:val="single"/>
        </w:rPr>
        <w:t>化龙堆存污泥综合处理处置项目</w:t>
      </w:r>
      <w:r>
        <w:rPr>
          <w:rFonts w:hint="eastAsia"/>
          <w:color w:val="auto"/>
          <w:kern w:val="2"/>
          <w:szCs w:val="20"/>
          <w:highlight w:val="none"/>
          <w:u w:val="single"/>
          <w:lang w:eastAsia="zh-CN"/>
        </w:rPr>
        <w:t>废弃</w:t>
      </w:r>
      <w:r>
        <w:rPr>
          <w:rFonts w:hint="eastAsia"/>
          <w:color w:val="auto"/>
          <w:kern w:val="2"/>
          <w:szCs w:val="20"/>
          <w:highlight w:val="none"/>
          <w:u w:val="single"/>
        </w:rPr>
        <w:t xml:space="preserve">烟囱爆破拆除工程                       </w:t>
      </w:r>
      <w:r>
        <w:rPr>
          <w:rFonts w:hint="eastAsia"/>
          <w:color w:val="auto"/>
          <w:kern w:val="2"/>
          <w:szCs w:val="20"/>
          <w:highlight w:val="none"/>
        </w:rPr>
        <w:t>（下称“本工程”）的监理工作，根据《中华人民共和国民法典》、《中华人民共和国安全生产法》、《中华人民共和国建筑法》、《建设工程安全生产管理条例》、《生产安全事故报告和调查处理条例》等有关法律法规，经双方协商，签订本协议书，以明确各自的安全生产责任并共同遵守。</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第一条  应共同遵守《中华人民共和国安全生产法》、《中华人民共和国建筑法》、《建设工程安全生产管理条例》、《生产安全事故报告和调查处理条例》等一系列有关安全生产的法律法规，严格执行建设部标准JGJ59-2011《建筑安全施工检查标准》等一系列标准规程。同时双方应共同遵守《危险性较大的分部分项工程安全管理规定》（住房和城乡建设部令第37号）、《住房城乡建设部办公厅关于实施&lt;危险性较大的分部分项工程安全管理规定&gt;的有关问题的通知》（穗办质【2018】31号）及委托人为强化安全生产而制定的各项规章制度。</w:t>
      </w:r>
      <w:r>
        <w:rPr>
          <w:color w:val="auto"/>
          <w:kern w:val="2"/>
          <w:szCs w:val="20"/>
          <w:highlight w:val="none"/>
        </w:rPr>
        <w:tab/>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第二条  委托人的权利和义务</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1、委托人有权对本工程安全生产工作进行监督、指导、检查</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2、委托人有权对安全素质差、不服从安全生产指挥的监理人员限期退场；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3、委托人有权对监理人不履行安全监理职责的行为进行整改和处罚；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4、委托人有权要求监理人对不符合要求的监理人员进行撤换和处罚；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5、委托人有权在发生安全事故时，对监理人进行处罚和解除合同。</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第三条  监理人的安全责任、权利和义务</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监理人应全面履行本项目范围内的安全监理职责，具体内容包括且不限于：</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1、监理人的行政负责人对本工程监理的安全监理工作全面负责，项目总监理工程师对本工程项目安全监理工作负责，并根据本工程特点，确定施工现场具体安全人员（含安全监理工程师和安全监理员），明确其工作职责。安全监理人员在总监理工程师的领导下工作，安全监理人员必须经安全监理业务教育培训，考试合格，持证上岗。</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2、安全监理文件的编制：监理人编制的项目监理规划必须包含安全监理规划，明确安全监理内容，工作程序和制度措施，安全监理方案应对具体工作进行安排和分工，应细化到具体的单个安全监理人员，明确其职责；</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3、坚持“安全第一、预防为主”的方针和“管生产必须管安全”的原则，督促承包人加强安全生产宣传教育；</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4、及时答复承包人提出的有关安全生产的申请、通知，及时发出指令；</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5、在开工或复工前及在施工过程中，审核承包人提交的项目安全风险因素辨识和评估报告，并提出意见供承包人和委托人参考；</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6、检查承包人单位提交的安全管理人员名单和联系方式等，确保联系畅通；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7、审查承包人编制的施工组织设计中的安全技术措施和危险性较大的分部分项工程安全专项施工方案，并在审核后报委托人。对于（住房和城乡建设部令第37号）、（穗办质【2018】31号）文列明的建筑起重机械安装拆卸、深基坑、附着式升降脚手架、建筑幕墙安装、钢结构（网架、索膜结构）安装、爆破及拆除、预应力、地下暗挖、顶管、水下作业等；根据污水工程的特性，对于地下有限空间作业（如下井作业）等，应检查承包单位的专项方案是否包含气体检测和通风等措施；监理人在审查时应当注意：专项方案应当由施工单位技术部门组织本单位施工技术、安全、质量等部门的专业技术人员进行审核。经审核合格的，由施工单位技术负责人签字。实行施工总承包的，专项方案应当由总承包单位技术负责人及相关专业承包单位技术负责人签字。不需专家论证的专项方案，经施工单位审核合格后报监理单位，由项目总监理工程师审核签字。超过一定规模的危险性较大的分部分项工程专项方案应当由施工单位组织召开专家论证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监理单位应当将危险性较大的分部分项工程列入监理规划和监理实施细则，应当针对工程特点、周边环境和施工工艺等，制定安全监理工作流程、方法和措施。</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8、监理单位应当对专项方案实施情况进行现场监理；对不按专项方案实施的，应当责令整改，施工单位拒不整改的，应当及时向建设单位报告；建设单位接到监理单位报告后，应当立即责令施工单位停工整改；施工单位仍不停工整改的，建设单位应当及时向住房城乡建设主管部门报告。在施工过程中，安全监理工程师应实施跟班监理，不得离开施工现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9、监理需检查承包人人员的持证上岗情况和平安卡制度的执行情况，对无证上岗等情况，必须加以制止，并报告给委托人；属于需由特种作业人员完成的工程项目，检查监理人是否按规定要求配置与特种作业属性相适应的持证特种作业人员，并报告委托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10、督促承包单位按照工程建设强制性标准、施工组织设计中的安全技术措施和专项安全方案进行施工，制止违规施工作业；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11、审核承包单位提交的安全文明施工实施方案及预算；</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12、审核承包单位提交的安全生产措施费的申请，及时进行检查核实，并将审核结果及时报送委托人；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13开工或复工前，向委托人提交本项目的安全风险独立分析报告，并督促承包人做好逐级安全交底工作；</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14、参加工程项目例会，对承包人提出的风险预报进行点评和补充；</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15、参加委托人召集的安全生产约谈；</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16、发生安全生产事故时，按照有关规定协助委托人和承包人进行事故处理，提交事故分析报告；</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17、承包人所购安全防护材料必须由监理工程师与承包人按照合同要求进行进场验收，并且委托人有权随时对安全防护材料进行抽检，凡不符合要求的材料不得进场。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18、监理工程师应加强日常安全巡查， 对发现的各类安全事故隐患，应书面通知承包人限期进行整改，情况严重的，监理人应及时下达暂停施工令，要求承包单位停工整改，并同时报告委托人。安全事故隐患消除后，监理人应检查整改结果，签署复查或复工意见。上述检查、整改、复查、报告等情况，应记载在监理日志和监理月报中。</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19、除了参加委托人组织的工地安全检查评分外，监理人必须确保按照《建筑安全施工检查标准》表格，每月一次对工地进行安全检查评分，并将评分结果报告给委托人。监理应将安全检查与安全文明措施费的拨付审核密切挂钩，并对投入现场设施、采取的措施按合同规定给予准确计量和考虑是否同意支付；未发生的安全文明子项应当扣减且不得计量支付。</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20、督促监理人施工所需要的设备、机具做好入场前检查，符合安全施工要求的方允许入场施工，有国家法律法规规定需要由政府等相关部门或第三方检测出具合格报告方能投入使用的，严格执行国家的相关要求。同时按合同要求，督促监理人定期检查检测设备机具。</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21、需要办理作业许可的施工，督促监理人按规范要求和程序办理作业许可，经审批后方可允许施工。对未按规范要求进行施工的及时予以纠正或叫停施工，并报告委托人。</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22、根据监理工作规划和监理实施细则，定期开展安全检查和巡查，对发现的安全隐患，及时督促监理人进行整改，并及时报告委托人。</w:t>
      </w:r>
    </w:p>
    <w:p>
      <w:pPr>
        <w:pStyle w:val="78"/>
        <w:spacing w:beforeAutospacing="0" w:afterAutospacing="0" w:line="480" w:lineRule="exact"/>
        <w:ind w:firstLine="480" w:firstLineChars="200"/>
        <w:rPr>
          <w:color w:val="auto"/>
          <w:kern w:val="2"/>
          <w:szCs w:val="20"/>
          <w:highlight w:val="none"/>
        </w:rPr>
      </w:pP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第四条  违约责任及违约金的扣除</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1、委托人不定时组织人员按照《建筑安全施工检查标准（JGJ59-2011）》对承包人进行检查，评分等级为不合格的，对监理人要求监理人支付 0.5 万/次，累计三次检查评分不合格的委托人有权解除合同；委托人日常检查发现监理人隐瞒安全隐患，或未督促承包人采取切实可行的安全防护措施、或履行第三条任何一项职责的，委托人有权参照评定不合格标准对监理人进行处罚。</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发生重伤安全生产责任事故的，委托人有权要求监理人支付监理人3万元/人次，出现死亡的，委托人有权要求监理人支付监理人10万元/人次。累计重伤达到2人次，或死亡一人以上（含一人）的，委托人除有权没收监理人履约保证金并解除监理合同。自安全责任认定之日起，监理人自愿放弃委托人招标项目范围内5年的投标资格。</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3、要求监理人支付的金额可从本项目工程委托人应付或将付给监理人的款项或监理人提交履约保证金等其他款项中扣除。</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第五条   安全监理资料管理</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1、参照国家建设工程监理规范的资料管理和表式要求；</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2、安全监理工程师应在监理日志中记录当天施工现场安全生产和安全工作情况，记录发现和处理的安全生产问题，总监应至少一周审阅一次并签署意见；</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3、监理人应编制安全监理月报表，对当月施工现场的安全生产状况和安全监理工作作出述评，报委托人和安全监督部门；</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4、督促承包单位及时整理安全生产相关资料；</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第六条  事故处理</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1、发生生产安全事故的，监理人现场人员应督促承包单位项目经理或驻场的承包单位负责人立即（1小时内）按规定向事故所在地安监部门、行业主管部门和广州市规定的相关政府部门报告，并同时报告委托人代表;</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2、发生重伤或死亡或直接经济损失100万元以上的安全生产事故，监理人应配合委托人、承包人立即启动事故相应应急预案，并采取有效措施，组织抢救，防止事故扩大及二次事故发生，减少人员伤亡和财产损失。</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3、监理人由于没有尽到安全监理责任，被认定为安全生产责任事故的，应承担违约责任;</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4、由于发生安全生产事故，主管部门对委托人进行经济处罚的，监理人未尽到安全监理职责的，监理人承担赔偿责任。</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第七条 本安全监理协议作为监理合同的附件，与原施工和监理合同不一致的，按本协议约定执行，本协议书未约定，但原施工和监理合同有约定的与安全生产相关的条款按原约定执行。</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委托人(盖章)                           监理人(盖章)</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安全管理部门负责人(签字)              安全管理部门负责人(签字)：</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总监理工程师：</w:t>
      </w:r>
    </w:p>
    <w:p>
      <w:pPr>
        <w:pStyle w:val="78"/>
        <w:spacing w:beforeAutospacing="0" w:afterAutospacing="0" w:line="480" w:lineRule="exact"/>
        <w:ind w:firstLine="480" w:firstLineChars="200"/>
        <w:rPr>
          <w:color w:val="auto"/>
          <w:kern w:val="2"/>
          <w:szCs w:val="20"/>
          <w:highlight w:val="none"/>
        </w:rPr>
      </w:pPr>
      <w:r>
        <w:rPr>
          <w:rFonts w:hint="eastAsia"/>
          <w:color w:val="auto"/>
          <w:kern w:val="2"/>
          <w:szCs w:val="20"/>
          <w:highlight w:val="none"/>
        </w:rPr>
        <w:t xml:space="preserve">                                       安全监理工程师：</w:t>
      </w:r>
    </w:p>
    <w:p>
      <w:pPr>
        <w:pStyle w:val="78"/>
        <w:spacing w:beforeAutospacing="0" w:afterAutospacing="0" w:line="480" w:lineRule="exact"/>
        <w:ind w:firstLine="2760" w:firstLineChars="1150"/>
        <w:rPr>
          <w:color w:val="auto"/>
          <w:kern w:val="2"/>
          <w:szCs w:val="20"/>
          <w:highlight w:val="none"/>
        </w:rPr>
      </w:pPr>
      <w:r>
        <w:rPr>
          <w:rFonts w:hint="eastAsia"/>
          <w:color w:val="auto"/>
          <w:kern w:val="2"/>
          <w:szCs w:val="20"/>
          <w:highlight w:val="none"/>
        </w:rPr>
        <w:t>签</w:t>
      </w:r>
      <w:r>
        <w:rPr>
          <w:rFonts w:hint="eastAsia"/>
          <w:color w:val="auto"/>
          <w:kern w:val="2"/>
          <w:szCs w:val="20"/>
          <w:highlight w:val="none"/>
          <w:lang w:val="en-US" w:eastAsia="zh-CN"/>
        </w:rPr>
        <w:t>订</w:t>
      </w:r>
      <w:r>
        <w:rPr>
          <w:rFonts w:hint="eastAsia"/>
          <w:color w:val="auto"/>
          <w:kern w:val="2"/>
          <w:szCs w:val="20"/>
          <w:highlight w:val="none"/>
        </w:rPr>
        <w:t>日期：    年  月  日</w:t>
      </w:r>
    </w:p>
    <w:p>
      <w:pPr>
        <w:pStyle w:val="78"/>
        <w:spacing w:line="360" w:lineRule="auto"/>
        <w:ind w:firstLine="2760" w:firstLineChars="1150"/>
        <w:rPr>
          <w:color w:val="auto"/>
          <w:kern w:val="2"/>
          <w:szCs w:val="20"/>
          <w:highlight w:val="none"/>
        </w:rPr>
      </w:pPr>
    </w:p>
    <w:p>
      <w:pPr>
        <w:spacing w:line="520" w:lineRule="exact"/>
        <w:rPr>
          <w:rFonts w:ascii="仿宋_GB2312" w:hAnsi="仿宋_GB2312" w:eastAsia="仿宋_GB2312" w:cs="仿宋_GB2312"/>
          <w:bCs/>
          <w:color w:val="auto"/>
          <w:sz w:val="28"/>
          <w:szCs w:val="28"/>
          <w:highlight w:val="none"/>
        </w:rPr>
      </w:pPr>
      <w:r>
        <w:rPr>
          <w:color w:val="auto"/>
          <w:kern w:val="2"/>
          <w:highlight w:val="none"/>
        </w:rPr>
        <w:br w:type="page"/>
      </w:r>
      <w:r>
        <w:rPr>
          <w:rFonts w:ascii="黑体" w:hAnsi="黑体" w:eastAsia="黑体"/>
          <w:color w:val="auto"/>
          <w:sz w:val="28"/>
          <w:highlight w:val="none"/>
        </w:rPr>
        <w:t>附件</w:t>
      </w:r>
      <w:r>
        <w:rPr>
          <w:rFonts w:hint="eastAsia" w:ascii="黑体" w:hAnsi="黑体" w:eastAsia="黑体"/>
          <w:color w:val="auto"/>
          <w:sz w:val="28"/>
          <w:highlight w:val="none"/>
        </w:rPr>
        <w:t>七</w:t>
      </w:r>
      <w:r>
        <w:rPr>
          <w:rFonts w:ascii="黑体" w:hAnsi="黑体" w:eastAsia="黑体"/>
          <w:color w:val="auto"/>
          <w:sz w:val="28"/>
          <w:highlight w:val="none"/>
        </w:rPr>
        <w:t>：</w:t>
      </w:r>
      <w:r>
        <w:rPr>
          <w:rFonts w:hint="eastAsia" w:ascii="黑体" w:hAnsi="黑体" w:eastAsia="黑体"/>
          <w:color w:val="auto"/>
          <w:sz w:val="28"/>
          <w:highlight w:val="none"/>
        </w:rPr>
        <w:t xml:space="preserve">           </w:t>
      </w:r>
      <w:r>
        <w:rPr>
          <w:rFonts w:hint="eastAsia" w:ascii="仿宋_GB2312" w:hAnsi="仿宋_GB2312" w:eastAsia="仿宋_GB2312" w:cs="仿宋_GB2312"/>
          <w:bCs/>
          <w:color w:val="auto"/>
          <w:sz w:val="28"/>
          <w:szCs w:val="28"/>
          <w:highlight w:val="none"/>
        </w:rPr>
        <w:t>廉洁协议</w:t>
      </w:r>
    </w:p>
    <w:p>
      <w:pPr>
        <w:spacing w:line="520" w:lineRule="exact"/>
        <w:ind w:firstLine="630" w:firstLineChars="225"/>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为促进双方诚信经营、廉洁从业，防范商业贿赂，保护国家、集体和当事人的合法权益，根据国家有关法律法规和广东省、广州市廉政建设的规定，</w:t>
      </w:r>
      <w:r>
        <w:rPr>
          <w:rFonts w:hint="eastAsia" w:ascii="仿宋_GB2312" w:hAnsi="仿宋_GB2312" w:eastAsia="仿宋_GB2312" w:cs="仿宋_GB2312"/>
          <w:bCs/>
          <w:color w:val="auto"/>
          <w:sz w:val="28"/>
          <w:szCs w:val="28"/>
          <w:highlight w:val="none"/>
          <w:u w:val="single"/>
        </w:rPr>
        <w:t>广州市净水有限公司</w:t>
      </w:r>
      <w:r>
        <w:rPr>
          <w:rFonts w:hint="eastAsia" w:ascii="仿宋_GB2312" w:hAnsi="仿宋_GB2312" w:eastAsia="仿宋_GB2312" w:cs="仿宋_GB2312"/>
          <w:bCs/>
          <w:color w:val="auto"/>
          <w:sz w:val="28"/>
          <w:szCs w:val="28"/>
          <w:highlight w:val="none"/>
        </w:rPr>
        <w:t>(以下称甲方)与(以下称乙方)，特此订立本协议共同遵照执行。</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第一条 甲乙双方的权利和义务</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（一）甲乙双方严格遵守国家关于市场准入、项目招标投标、市场经营活动等有关法律、法规相关政策及廉政建设的各项规定。</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（二）严格执行</w:t>
      </w:r>
      <w:r>
        <w:rPr>
          <w:rFonts w:hint="eastAsia" w:ascii="仿宋_GB2312" w:hAnsi="仿宋_GB2312" w:eastAsia="仿宋_GB2312" w:cs="仿宋_GB2312"/>
          <w:bCs/>
          <w:color w:val="auto"/>
          <w:sz w:val="28"/>
          <w:szCs w:val="28"/>
          <w:highlight w:val="none"/>
          <w:u w:val="single"/>
        </w:rPr>
        <w:t xml:space="preserve">       </w:t>
      </w:r>
      <w:r>
        <w:rPr>
          <w:rFonts w:hint="eastAsia" w:ascii="仿宋_GB2312" w:hAnsi="仿宋_GB2312" w:eastAsia="仿宋_GB2312" w:cs="仿宋_GB2312"/>
          <w:bCs/>
          <w:color w:val="auto"/>
          <w:sz w:val="28"/>
          <w:szCs w:val="28"/>
          <w:highlight w:val="none"/>
        </w:rPr>
        <w:t>合同（以下简称：主合同），自觉履行合同约定的相关义务。</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（三）在业务活动中坚持公开、公正、诚信、透明的原则，不得损害国家、集体利益。</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（四）建立健全廉洁从业制度，开展廉洁教育，公布举报电话，监督并认真查处不廉洁及违法违纪行为。</w:t>
      </w:r>
    </w:p>
    <w:p>
      <w:pPr>
        <w:spacing w:line="520" w:lineRule="exact"/>
        <w:ind w:firstLine="420" w:firstLineChars="15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（五）发现对方在业务活动中有不廉洁行为，应及时提醒对方纠正。情节严重的，应向其有关监督部门检举。</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第二条甲方的义务</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（一）甲方及其工作人员不得索要或接受乙方的礼金、有价证券和贵重物品，不得在乙方报销任何应由甲方或个人支付的费用等。</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甲方工作人员不得参加乙方安排的可能影响相关业务公开、公正、公平性的宴请和娱乐活动；不得参与任何形式的赌博，并通过赌博方式收受乙方财物；不得接受乙方提供的通讯工具、交通工具（合同约定除外）和高档办公用品等。</w:t>
      </w:r>
    </w:p>
    <w:p>
      <w:pPr>
        <w:spacing w:line="520" w:lineRule="exact"/>
        <w:ind w:left="14"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（三）甲方及其工作人员不得要求或者接受乙方为其住房装修、婚丧嫁娶活动、配偶子女工作安排以及出国出境、旅游等提供方便等。</w:t>
      </w:r>
    </w:p>
    <w:p>
      <w:pPr>
        <w:spacing w:line="520" w:lineRule="exact"/>
        <w:ind w:left="14"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（四）甲方工作人员不得在乙方或与乙方有股权关联的企业兼职，不得向乙方介绍家属或者亲友从事与甲方业务有关的经济活动。</w:t>
      </w:r>
    </w:p>
    <w:p>
      <w:pPr>
        <w:spacing w:line="520" w:lineRule="exact"/>
        <w:ind w:left="14"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甲方工作人员不得以明显低于市场的价格向乙方购买房屋、汽车等物品；不得以明显高于市场的价格向乙方出售房屋、汽车等物品；不得使用乙方提供的与工作无关的房屋、汽车等物品；不得以其他交易形式非法收受请托人财物。</w:t>
      </w:r>
    </w:p>
    <w:p>
      <w:pPr>
        <w:spacing w:line="520" w:lineRule="exact"/>
        <w:ind w:left="14"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（六）甲方工作人员不得利用职务之便收受乙方以回扣、手续费、加班费、咨询费、劳务费、协调费、辛苦费等各种名义给予或赠送的钱物。</w:t>
      </w:r>
    </w:p>
    <w:p>
      <w:pPr>
        <w:spacing w:line="520" w:lineRule="exact"/>
        <w:ind w:left="14"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（七）甲方工作人员不得接受乙方给予或赠送的干股或红利。</w:t>
      </w:r>
    </w:p>
    <w:p>
      <w:pPr>
        <w:spacing w:line="520" w:lineRule="exact"/>
        <w:ind w:left="14"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(八）不得存在其他违反廉洁规定的行为。</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第三条乙方的义务</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（一）乙方不得以任何理由向甲方及其工作人员行贿或馈赠礼金、有价证券、贵重礼品。</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（二)乙方不得以任何名义为甲方及其工作人员报销应由甲方单位或个人支付的任何费用。</w:t>
      </w:r>
    </w:p>
    <w:p>
      <w:pPr>
        <w:spacing w:line="520" w:lineRule="exact"/>
        <w:ind w:left="25" w:leftChars="12"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（三）乙方不得以任何理由安排甲方工作人员参加可能影响相关业务公开、公正、公平性的宴请及娱乐活动。</w:t>
      </w:r>
    </w:p>
    <w:p>
      <w:pPr>
        <w:pStyle w:val="50"/>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（四）乙方不得为甲方单位和个人购置或提供通讯工具和高档办公用品等物品，也不得为甲方提供与工作无关的房屋、汽车等。</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（五）乙方不得擅自与甲方工作人员就主合同中的质量、数量、价格、工程量、验收等条款进行私下商谈或者达成默契。</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（六）乙方不得以回扣、手续费、加班费、咨询费、劳务费、协调费、辛苦费等各种名义向甲方工作人员给予或赠送钱物。</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（七）乙方不得向甲方工作人员提供干股或红利。</w:t>
      </w:r>
    </w:p>
    <w:p>
      <w:pPr>
        <w:spacing w:line="520" w:lineRule="exact"/>
        <w:ind w:left="14" w:leftChars="7"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(八）不得存在其他违反廉洁规定的行为。</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第四条违约责任</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（一）甲方及其工作人员违反本协议第一、二条。甲方按管理权限，对相关责任人依据有关规定给予处理；涉嫌犯罪的，移交司法机关追究刑事责任；给乙方单位造成经济损失的，应予以赔偿。</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甲方举报投诉联系部门：广州市净水有限公司</w:t>
      </w:r>
      <w:r>
        <w:rPr>
          <w:rFonts w:hint="eastAsia" w:ascii="仿宋_GB2312" w:hAnsi="仿宋_GB2312" w:eastAsia="仿宋_GB2312" w:cs="仿宋_GB2312"/>
          <w:bCs/>
          <w:color w:val="auto"/>
          <w:sz w:val="28"/>
          <w:szCs w:val="28"/>
          <w:highlight w:val="none"/>
          <w:u w:val="single"/>
        </w:rPr>
        <w:t>纪检室</w:t>
      </w:r>
      <w:r>
        <w:rPr>
          <w:rFonts w:hint="eastAsia" w:ascii="仿宋_GB2312" w:hAnsi="仿宋_GB2312" w:eastAsia="仿宋_GB2312" w:cs="仿宋_GB2312"/>
          <w:bCs/>
          <w:color w:val="auto"/>
          <w:sz w:val="28"/>
          <w:szCs w:val="28"/>
          <w:highlight w:val="none"/>
        </w:rPr>
        <w:t>，联系电话：</w:t>
      </w:r>
      <w:r>
        <w:rPr>
          <w:rFonts w:hint="eastAsia" w:ascii="仿宋_GB2312" w:hAnsi="仿宋_GB2312" w:eastAsia="仿宋_GB2312" w:cs="仿宋_GB2312"/>
          <w:bCs/>
          <w:color w:val="auto"/>
          <w:sz w:val="28"/>
          <w:szCs w:val="28"/>
          <w:highlight w:val="none"/>
          <w:u w:val="single"/>
        </w:rPr>
        <w:t xml:space="preserve"> 020-38890265 </w:t>
      </w:r>
      <w:r>
        <w:rPr>
          <w:rFonts w:hint="eastAsia" w:ascii="仿宋_GB2312" w:hAnsi="仿宋_GB2312" w:eastAsia="仿宋_GB2312" w:cs="仿宋_GB2312"/>
          <w:bCs/>
          <w:color w:val="auto"/>
          <w:sz w:val="28"/>
          <w:szCs w:val="28"/>
          <w:highlight w:val="none"/>
        </w:rPr>
        <w:t>。</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二）乙方及其工作人员存在违反本协议第一、三条规定、或在甲方招标、询价等过程中违反法律法规中的廉洁规定的行为，无论该行为是否与主合同有关，甲方均有权根据具体情节和造成的后果，对乙方采取以下处理方式：</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1、扣除主合同的全部履约保证金；</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2、解除主合同；</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3、追究乙方其他违约责任；</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4、根据甲方的有关规章制度，在一定时间内暂停乙方参与甲方及下属单位所有项目的交易资格；</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5、根据甲方的有关规章制度，将乙方清退出甲方相关企业库；</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6、根据甲方上级单位、行政主管部门的意见、决定执行；</w:t>
      </w:r>
    </w:p>
    <w:p>
      <w:pPr>
        <w:pStyle w:val="78"/>
        <w:spacing w:beforeAutospacing="0"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7、按规定向有关行政监督部门、乙方业务管理部门进行投诉、报告。</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乙方无条件接受甲方的处理决定并承担给甲方造成的损失，全额返还通过不正当手段获取的非法所得，并承担相应的法律责任。</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 xml:space="preserve">第五条 本协议执行情况，接受有管辖权的纪检、监察部门的监督，双方应予以配合检查调查。 </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第六条本协议作为</w:t>
      </w:r>
      <w:r>
        <w:rPr>
          <w:rFonts w:hint="eastAsia" w:ascii="仿宋_GB2312" w:hAnsi="仿宋_GB2312" w:eastAsia="仿宋_GB2312" w:cs="仿宋_GB2312"/>
          <w:bCs/>
          <w:color w:val="auto"/>
          <w:sz w:val="28"/>
          <w:szCs w:val="28"/>
          <w:highlight w:val="none"/>
          <w:u w:val="single"/>
        </w:rPr>
        <w:t>（合同名称）+（合同编号）</w:t>
      </w:r>
      <w:r>
        <w:rPr>
          <w:rFonts w:hint="eastAsia" w:ascii="仿宋_GB2312" w:hAnsi="仿宋_GB2312" w:eastAsia="仿宋_GB2312" w:cs="仿宋_GB2312"/>
          <w:bCs/>
          <w:color w:val="auto"/>
          <w:sz w:val="28"/>
          <w:szCs w:val="28"/>
          <w:highlight w:val="none"/>
        </w:rPr>
        <w:t>合同的附件，并具有同等的法律效力，本协议自双方签字盖章之日起生效，与主合同同时终止。</w:t>
      </w:r>
    </w:p>
    <w:p>
      <w:pPr>
        <w:spacing w:line="520" w:lineRule="exact"/>
        <w:ind w:firstLine="560" w:firstLineChars="2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第七条本协议一式</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bCs/>
          <w:color w:val="auto"/>
          <w:sz w:val="28"/>
          <w:szCs w:val="28"/>
          <w:highlight w:val="none"/>
        </w:rPr>
        <w:t>份，甲方</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bCs/>
          <w:color w:val="auto"/>
          <w:sz w:val="28"/>
          <w:szCs w:val="28"/>
          <w:highlight w:val="none"/>
        </w:rPr>
        <w:t>份，乙方</w:t>
      </w:r>
      <w:r>
        <w:rPr>
          <w:rFonts w:hint="eastAsia" w:ascii="仿宋_GB2312" w:hAnsi="仿宋_GB2312" w:eastAsia="仿宋_GB2312" w:cs="仿宋_GB2312"/>
          <w:bCs/>
          <w:color w:val="auto"/>
          <w:sz w:val="28"/>
          <w:szCs w:val="28"/>
          <w:highlight w:val="none"/>
          <w:u w:val="single"/>
        </w:rPr>
        <w:t>…</w:t>
      </w:r>
      <w:r>
        <w:rPr>
          <w:rFonts w:hint="eastAsia" w:ascii="仿宋_GB2312" w:hAnsi="仿宋_GB2312" w:eastAsia="仿宋_GB2312" w:cs="仿宋_GB2312"/>
          <w:bCs/>
          <w:color w:val="auto"/>
          <w:sz w:val="28"/>
          <w:szCs w:val="28"/>
          <w:highlight w:val="none"/>
        </w:rPr>
        <w:t>份。</w:t>
      </w:r>
    </w:p>
    <w:p>
      <w:pPr>
        <w:spacing w:line="520" w:lineRule="exact"/>
        <w:ind w:firstLine="560" w:firstLineChars="200"/>
        <w:rPr>
          <w:rFonts w:ascii="仿宋_GB2312" w:hAnsi="仿宋_GB2312" w:eastAsia="仿宋_GB2312" w:cs="仿宋_GB2312"/>
          <w:bCs/>
          <w:color w:val="auto"/>
          <w:sz w:val="28"/>
          <w:szCs w:val="28"/>
          <w:highlight w:val="none"/>
        </w:rPr>
      </w:pPr>
    </w:p>
    <w:p>
      <w:pPr>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br w:type="textWrapping"/>
      </w:r>
      <w:r>
        <w:rPr>
          <w:rFonts w:hint="eastAsia" w:ascii="仿宋_GB2312" w:hAnsi="仿宋_GB2312" w:eastAsia="仿宋_GB2312" w:cs="仿宋_GB2312"/>
          <w:bCs/>
          <w:color w:val="auto"/>
          <w:sz w:val="28"/>
          <w:szCs w:val="28"/>
          <w:highlight w:val="none"/>
        </w:rPr>
        <w:t>甲方（盖章）：                     乙方（盖章）：</w:t>
      </w:r>
    </w:p>
    <w:p>
      <w:pPr>
        <w:pStyle w:val="189"/>
        <w:tabs>
          <w:tab w:val="left" w:pos="5100"/>
        </w:tabs>
        <w:spacing w:line="520" w:lineRule="exact"/>
        <w:ind w:left="7200" w:firstLine="0" w:firstLineChars="0"/>
        <w:jc w:val="left"/>
        <w:rPr>
          <w:rFonts w:ascii="仿宋_GB2312" w:hAnsi="仿宋_GB2312" w:eastAsia="仿宋_GB2312" w:cs="仿宋_GB2312"/>
          <w:bCs/>
          <w:color w:val="auto"/>
          <w:sz w:val="28"/>
          <w:szCs w:val="28"/>
          <w:highlight w:val="none"/>
        </w:rPr>
      </w:pPr>
    </w:p>
    <w:p>
      <w:pPr>
        <w:tabs>
          <w:tab w:val="left" w:pos="5100"/>
        </w:tabs>
        <w:spacing w:line="520" w:lineRule="exact"/>
        <w:ind w:left="8400" w:hanging="8400" w:hangingChars="3000"/>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签约代表：                         签约代表：</w:t>
      </w:r>
    </w:p>
    <w:p>
      <w:pPr>
        <w:tabs>
          <w:tab w:val="left" w:pos="4170"/>
        </w:tabs>
        <w:spacing w:line="520" w:lineRule="exact"/>
        <w:rPr>
          <w:rFonts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日期:    年  月  日</w:t>
      </w:r>
      <w:r>
        <w:rPr>
          <w:rFonts w:hint="eastAsia" w:ascii="仿宋_GB2312" w:hAnsi="仿宋_GB2312" w:eastAsia="仿宋_GB2312" w:cs="仿宋_GB2312"/>
          <w:bCs/>
          <w:color w:val="auto"/>
          <w:sz w:val="28"/>
          <w:szCs w:val="28"/>
          <w:highlight w:val="none"/>
        </w:rPr>
        <w:tab/>
      </w:r>
      <w:r>
        <w:rPr>
          <w:rFonts w:hint="eastAsia" w:ascii="仿宋_GB2312" w:hAnsi="仿宋_GB2312" w:eastAsia="仿宋_GB2312" w:cs="仿宋_GB2312"/>
          <w:bCs/>
          <w:color w:val="auto"/>
          <w:sz w:val="28"/>
          <w:szCs w:val="28"/>
          <w:highlight w:val="none"/>
        </w:rPr>
        <w:t>日期：  年  月  日</w:t>
      </w:r>
    </w:p>
    <w:p>
      <w:pPr>
        <w:rPr>
          <w:rFonts w:ascii="仿宋_GB2312" w:hAnsi="仿宋_GB2312" w:eastAsia="仿宋_GB2312" w:cs="仿宋_GB2312"/>
          <w:bCs/>
          <w:color w:val="auto"/>
          <w:sz w:val="30"/>
          <w:szCs w:val="30"/>
          <w:highlight w:val="none"/>
        </w:rPr>
      </w:pPr>
    </w:p>
    <w:p>
      <w:pPr>
        <w:spacing w:line="360" w:lineRule="auto"/>
        <w:rPr>
          <w:rFonts w:ascii="宋体" w:hAnsi="宋体"/>
          <w:color w:val="auto"/>
          <w:sz w:val="24"/>
          <w:highlight w:val="none"/>
        </w:rPr>
      </w:pPr>
    </w:p>
    <w:p>
      <w:pPr>
        <w:pStyle w:val="78"/>
        <w:rPr>
          <w:rFonts w:ascii="黑体" w:hAnsi="黑体" w:eastAsia="黑体"/>
          <w:color w:val="auto"/>
          <w:sz w:val="28"/>
          <w:highlight w:val="none"/>
        </w:rPr>
      </w:pPr>
      <w:r>
        <w:rPr>
          <w:color w:val="auto"/>
          <w:highlight w:val="none"/>
        </w:rPr>
        <w:br w:type="page"/>
      </w:r>
      <w:r>
        <w:rPr>
          <w:rFonts w:ascii="黑体" w:hAnsi="黑体" w:eastAsia="黑体"/>
          <w:color w:val="auto"/>
          <w:sz w:val="28"/>
          <w:highlight w:val="none"/>
        </w:rPr>
        <w:t>附件</w:t>
      </w:r>
      <w:r>
        <w:rPr>
          <w:rFonts w:hint="eastAsia" w:ascii="黑体" w:hAnsi="黑体" w:eastAsia="黑体"/>
          <w:color w:val="auto"/>
          <w:sz w:val="28"/>
          <w:highlight w:val="none"/>
        </w:rPr>
        <w:t>八</w:t>
      </w:r>
      <w:r>
        <w:rPr>
          <w:rFonts w:ascii="黑体" w:hAnsi="黑体" w:eastAsia="黑体"/>
          <w:color w:val="auto"/>
          <w:sz w:val="28"/>
          <w:highlight w:val="none"/>
        </w:rPr>
        <w:t>：</w:t>
      </w:r>
      <w:r>
        <w:rPr>
          <w:rFonts w:hint="eastAsia" w:ascii="黑体" w:hAnsi="黑体" w:eastAsia="黑体"/>
          <w:color w:val="auto"/>
          <w:sz w:val="28"/>
          <w:highlight w:val="none"/>
        </w:rPr>
        <w:t>本项目的监理组织机构</w:t>
      </w:r>
      <w:r>
        <w:rPr>
          <w:rFonts w:hint="eastAsia"/>
          <w:b/>
          <w:color w:val="auto"/>
          <w:sz w:val="28"/>
          <w:szCs w:val="28"/>
          <w:highlight w:val="none"/>
        </w:rPr>
        <w:t>（与</w:t>
      </w:r>
      <w:r>
        <w:rPr>
          <w:rFonts w:hint="eastAsia"/>
          <w:b/>
          <w:color w:val="auto"/>
          <w:sz w:val="28"/>
          <w:szCs w:val="28"/>
          <w:highlight w:val="none"/>
          <w:lang w:val="en-US" w:eastAsia="zh-CN"/>
        </w:rPr>
        <w:t>响应</w:t>
      </w:r>
      <w:r>
        <w:rPr>
          <w:rFonts w:hint="eastAsia"/>
          <w:b/>
          <w:color w:val="auto"/>
          <w:sz w:val="28"/>
          <w:szCs w:val="28"/>
          <w:highlight w:val="none"/>
        </w:rPr>
        <w:t>文件一致）</w:t>
      </w:r>
    </w:p>
    <w:p>
      <w:pPr>
        <w:pStyle w:val="78"/>
        <w:rPr>
          <w:rFonts w:ascii="黑体" w:hAnsi="黑体" w:eastAsia="黑体"/>
          <w:color w:val="auto"/>
          <w:sz w:val="28"/>
          <w:highlight w:val="none"/>
        </w:rPr>
      </w:pPr>
      <w:r>
        <w:rPr>
          <w:rFonts w:hint="eastAsia" w:ascii="黑体" w:hAnsi="黑体" w:eastAsia="黑体"/>
          <w:color w:val="auto"/>
          <w:sz w:val="28"/>
          <w:highlight w:val="none"/>
        </w:rPr>
        <w:t>附件九：拟投入本项目的主要监理人员汇总表</w:t>
      </w:r>
      <w:r>
        <w:rPr>
          <w:rFonts w:hint="eastAsia"/>
          <w:b/>
          <w:color w:val="auto"/>
          <w:sz w:val="28"/>
          <w:szCs w:val="28"/>
          <w:highlight w:val="none"/>
        </w:rPr>
        <w:t>（与</w:t>
      </w:r>
      <w:r>
        <w:rPr>
          <w:rFonts w:hint="eastAsia"/>
          <w:b/>
          <w:color w:val="auto"/>
          <w:sz w:val="28"/>
          <w:szCs w:val="28"/>
          <w:highlight w:val="none"/>
          <w:lang w:val="en-US" w:eastAsia="zh-CN"/>
        </w:rPr>
        <w:t>响应</w:t>
      </w:r>
      <w:r>
        <w:rPr>
          <w:rFonts w:hint="eastAsia"/>
          <w:b/>
          <w:color w:val="auto"/>
          <w:sz w:val="28"/>
          <w:szCs w:val="28"/>
          <w:highlight w:val="none"/>
        </w:rPr>
        <w:t>文件一致）</w:t>
      </w:r>
    </w:p>
    <w:p>
      <w:pPr>
        <w:pStyle w:val="78"/>
        <w:rPr>
          <w:rFonts w:ascii="黑体" w:hAnsi="黑体" w:eastAsia="黑体"/>
          <w:color w:val="auto"/>
          <w:sz w:val="28"/>
          <w:highlight w:val="none"/>
        </w:rPr>
      </w:pPr>
      <w:r>
        <w:rPr>
          <w:rFonts w:hint="eastAsia" w:ascii="黑体" w:hAnsi="黑体" w:eastAsia="黑体"/>
          <w:color w:val="auto"/>
          <w:sz w:val="28"/>
          <w:highlight w:val="none"/>
        </w:rPr>
        <w:t>附件十：拟投入本项目的其他监理人员汇总表</w:t>
      </w:r>
      <w:r>
        <w:rPr>
          <w:rFonts w:hint="eastAsia"/>
          <w:b/>
          <w:color w:val="auto"/>
          <w:sz w:val="28"/>
          <w:szCs w:val="28"/>
          <w:highlight w:val="none"/>
        </w:rPr>
        <w:t>（与</w:t>
      </w:r>
      <w:r>
        <w:rPr>
          <w:rFonts w:hint="eastAsia"/>
          <w:b/>
          <w:color w:val="auto"/>
          <w:sz w:val="28"/>
          <w:szCs w:val="28"/>
          <w:highlight w:val="none"/>
          <w:lang w:val="en-US" w:eastAsia="zh-CN"/>
        </w:rPr>
        <w:t>响应</w:t>
      </w:r>
      <w:r>
        <w:rPr>
          <w:rFonts w:hint="eastAsia"/>
          <w:b/>
          <w:color w:val="auto"/>
          <w:sz w:val="28"/>
          <w:szCs w:val="28"/>
          <w:highlight w:val="none"/>
        </w:rPr>
        <w:t>文件一致）</w:t>
      </w:r>
    </w:p>
    <w:p>
      <w:pPr>
        <w:pStyle w:val="78"/>
        <w:rPr>
          <w:rFonts w:hint="eastAsia" w:ascii="黑体" w:hAnsi="黑体" w:eastAsia="黑体"/>
          <w:color w:val="auto"/>
          <w:sz w:val="28"/>
          <w:highlight w:val="none"/>
          <w:lang w:eastAsia="zh-CN"/>
        </w:rPr>
      </w:pPr>
      <w:r>
        <w:rPr>
          <w:rFonts w:ascii="黑体" w:hAnsi="黑体" w:eastAsia="黑体"/>
          <w:color w:val="auto"/>
          <w:sz w:val="28"/>
          <w:highlight w:val="none"/>
        </w:rPr>
        <w:br w:type="page"/>
      </w:r>
    </w:p>
    <w:p>
      <w:pPr>
        <w:pStyle w:val="78"/>
        <w:rPr>
          <w:rFonts w:ascii="黑体" w:hAnsi="黑体" w:eastAsia="黑体"/>
          <w:color w:val="auto"/>
          <w:sz w:val="28"/>
          <w:highlight w:val="none"/>
        </w:rPr>
      </w:pPr>
      <w:r>
        <w:rPr>
          <w:rFonts w:ascii="黑体" w:hAnsi="黑体" w:eastAsia="黑体"/>
          <w:color w:val="auto"/>
          <w:sz w:val="28"/>
          <w:highlight w:val="none"/>
        </w:rPr>
        <w:t>附件</w:t>
      </w:r>
      <w:r>
        <w:rPr>
          <w:rFonts w:hint="eastAsia" w:ascii="黑体" w:hAnsi="黑体" w:eastAsia="黑体"/>
          <w:color w:val="auto"/>
          <w:sz w:val="28"/>
          <w:highlight w:val="none"/>
        </w:rPr>
        <w:t>十</w:t>
      </w:r>
      <w:r>
        <w:rPr>
          <w:rFonts w:hint="eastAsia" w:ascii="黑体" w:hAnsi="黑体" w:eastAsia="黑体"/>
          <w:color w:val="auto"/>
          <w:sz w:val="28"/>
          <w:highlight w:val="none"/>
          <w:lang w:val="en-US" w:eastAsia="zh-CN"/>
        </w:rPr>
        <w:t>一</w:t>
      </w:r>
      <w:r>
        <w:rPr>
          <w:rFonts w:ascii="黑体" w:hAnsi="黑体" w:eastAsia="黑体"/>
          <w:color w:val="auto"/>
          <w:sz w:val="28"/>
          <w:highlight w:val="none"/>
        </w:rPr>
        <w:t>：</w:t>
      </w:r>
      <w:r>
        <w:rPr>
          <w:rFonts w:hint="eastAsia" w:ascii="黑体" w:hAnsi="黑体" w:eastAsia="黑体"/>
          <w:color w:val="auto"/>
          <w:sz w:val="28"/>
          <w:highlight w:val="none"/>
        </w:rPr>
        <w:t>广州市净水有限公司工程计量结算条件及实施指引（修订版）</w:t>
      </w:r>
    </w:p>
    <w:p>
      <w:pPr>
        <w:jc w:val="center"/>
        <w:rPr>
          <w:rFonts w:ascii="方正小标宋简体" w:eastAsia="方正小标宋简体"/>
          <w:bCs/>
          <w:color w:val="auto"/>
          <w:sz w:val="32"/>
          <w:szCs w:val="32"/>
          <w:highlight w:val="none"/>
        </w:rPr>
      </w:pPr>
      <w:r>
        <w:rPr>
          <w:rFonts w:hint="eastAsia" w:ascii="方正小标宋简体" w:eastAsia="方正小标宋简体"/>
          <w:bCs/>
          <w:color w:val="auto"/>
          <w:sz w:val="32"/>
          <w:szCs w:val="32"/>
          <w:highlight w:val="none"/>
        </w:rPr>
        <w:t>广州市净水有限公司工程计量结算</w:t>
      </w:r>
    </w:p>
    <w:p>
      <w:pPr>
        <w:jc w:val="center"/>
        <w:rPr>
          <w:rFonts w:ascii="方正小标宋简体" w:eastAsia="方正小标宋简体"/>
          <w:bCs/>
          <w:color w:val="auto"/>
          <w:sz w:val="32"/>
          <w:szCs w:val="32"/>
          <w:highlight w:val="none"/>
        </w:rPr>
      </w:pPr>
      <w:r>
        <w:rPr>
          <w:rFonts w:hint="eastAsia" w:ascii="方正小标宋简体" w:eastAsia="方正小标宋简体"/>
          <w:bCs/>
          <w:color w:val="auto"/>
          <w:sz w:val="32"/>
          <w:szCs w:val="32"/>
          <w:highlight w:val="none"/>
        </w:rPr>
        <w:t>条件及实施指引（修订版）</w:t>
      </w:r>
    </w:p>
    <w:p>
      <w:pPr>
        <w:topLinePunct/>
        <w:ind w:firstLine="640" w:firstLineChars="200"/>
        <w:rPr>
          <w:rFonts w:ascii="仿宋_GB2312" w:eastAsia="仿宋_GB2312"/>
          <w:bCs/>
          <w:color w:val="auto"/>
          <w:sz w:val="32"/>
          <w:szCs w:val="32"/>
          <w:highlight w:val="none"/>
        </w:rPr>
      </w:pPr>
    </w:p>
    <w:p>
      <w:pPr>
        <w:topLinePunct/>
        <w:adjustRightInd w:val="0"/>
        <w:snapToGrid w:val="0"/>
        <w:ind w:firstLine="470" w:firstLineChars="196"/>
        <w:rPr>
          <w:rFonts w:ascii="黑体" w:eastAsia="黑体"/>
          <w:color w:val="auto"/>
          <w:sz w:val="24"/>
          <w:highlight w:val="none"/>
        </w:rPr>
      </w:pPr>
      <w:r>
        <w:rPr>
          <w:rFonts w:hint="eastAsia" w:ascii="黑体" w:eastAsia="黑体"/>
          <w:color w:val="auto"/>
          <w:sz w:val="24"/>
          <w:highlight w:val="none"/>
        </w:rPr>
        <w:t>一、总则</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（一）为加强和规范工程计量、结算管理，提高计量结算审核的准确性及效率，有效控制工程投资，根据《建设工程工程量清单计价规范（</w:t>
      </w:r>
      <w:r>
        <w:rPr>
          <w:rFonts w:ascii="仿宋_GB2312" w:eastAsia="仿宋_GB2312"/>
          <w:color w:val="auto"/>
          <w:sz w:val="24"/>
          <w:highlight w:val="none"/>
        </w:rPr>
        <w:t>GB50500-2013</w:t>
      </w:r>
      <w:r>
        <w:rPr>
          <w:rFonts w:hint="eastAsia" w:ascii="仿宋_GB2312" w:eastAsia="仿宋_GB2312"/>
          <w:color w:val="auto"/>
          <w:sz w:val="24"/>
          <w:highlight w:val="none"/>
        </w:rPr>
        <w:t>）》《广东省建设工程计价通则（2010）》《工程测量规范（GB50026-2007）》《混凝土结构工程施工质量验收规范〔GB50204-2002（2011年版）〕》《给水排水管道工程施工及验收规范（GB50268-2008）》《给水排水构筑物工程施工及验收规范（GB50141-2008）》《建筑地基基础工程施工质量验收规范（GB50202-2002）》《钢筋焊接及验收规程（JGJ18-2003）》《砌体结构工程施工质量验收规范（GB50203-2011）》，以及国家、省、市、局等政府部门有关规定，结合《广州市污水治理建设工程计量支付管理办法》（穗污治〔2008〕277号）《广州市污水治理工程监理造价审核管理规定及实施指引》（穗净水[2015]192号），特制定本办法。</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（二）凡由广州市净水有限公司负责组织实施的固定资产投资计划项目的工程计量及结算均适用本办法。</w:t>
      </w:r>
    </w:p>
    <w:p>
      <w:pPr>
        <w:topLinePunct/>
        <w:adjustRightInd w:val="0"/>
        <w:snapToGrid w:val="0"/>
        <w:ind w:firstLine="480" w:firstLineChars="200"/>
        <w:rPr>
          <w:rFonts w:ascii="黑体" w:eastAsia="黑体"/>
          <w:color w:val="auto"/>
          <w:sz w:val="24"/>
          <w:highlight w:val="none"/>
        </w:rPr>
      </w:pPr>
      <w:r>
        <w:rPr>
          <w:rFonts w:hint="eastAsia" w:ascii="黑体" w:eastAsia="黑体"/>
          <w:color w:val="auto"/>
          <w:sz w:val="24"/>
          <w:highlight w:val="none"/>
        </w:rPr>
        <w:t>二、已完工工程量验收及实测实量</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已完工工程量在计量前由承包方、监理、项目管理部按工程量清单中的子目对当次计量已完工工程量进行验收，验收合格后，根据实测实量结果进行计量，工程完工后根据实测实量结果审核承包方绘制的竣工图作为审核结算工程量的依据。管道工程在每完成两个相邻检查井之间的管段敷设后方可计量，其他清单项目按照最小计量单位进行计量，如检查井按座进行计量、挖沟槽土方根据实际工作进度按立方米进行计量。</w:t>
      </w:r>
    </w:p>
    <w:p>
      <w:pPr>
        <w:topLinePunct/>
        <w:adjustRightInd w:val="0"/>
        <w:snapToGrid w:val="0"/>
        <w:ind w:firstLine="480" w:firstLineChars="200"/>
        <w:rPr>
          <w:rFonts w:ascii="黑体" w:eastAsia="黑体"/>
          <w:color w:val="auto"/>
          <w:sz w:val="24"/>
          <w:highlight w:val="none"/>
        </w:rPr>
      </w:pPr>
      <w:r>
        <w:rPr>
          <w:rFonts w:hint="eastAsia" w:ascii="黑体" w:eastAsia="黑体"/>
          <w:color w:val="auto"/>
          <w:sz w:val="24"/>
          <w:highlight w:val="none"/>
        </w:rPr>
        <w:t>三、竣工图编制</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如工程量变更情况较小，经实测实量后，竣工图可在原设计底图上根据实测结果及变更设计通知单进行修改，并在修改位置标注及说明变更依据（如详见xxx变更设计通知单），同时在变更设计通知单上加盖竣工图章；如工程变更情况较大，由设计单位出具变更设计图，经实测实量后，如实测结果与变更设计图相符，则在变更设计图加盖竣工图章作为竣工图；如实测结果与变更设计图有差异，则根据实测结果在变更设计图上修改并加盖竣工图章后作为竣工图。</w:t>
      </w:r>
    </w:p>
    <w:p>
      <w:pPr>
        <w:topLinePunct/>
        <w:adjustRightInd w:val="0"/>
        <w:snapToGrid w:val="0"/>
        <w:ind w:firstLine="480" w:firstLineChars="200"/>
        <w:rPr>
          <w:rFonts w:ascii="黑体" w:eastAsia="黑体"/>
          <w:color w:val="auto"/>
          <w:sz w:val="24"/>
          <w:highlight w:val="none"/>
        </w:rPr>
      </w:pPr>
      <w:r>
        <w:rPr>
          <w:rFonts w:hint="eastAsia" w:ascii="黑体" w:eastAsia="黑体"/>
          <w:color w:val="auto"/>
          <w:sz w:val="24"/>
          <w:highlight w:val="none"/>
        </w:rPr>
        <w:t>四、临时工程</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（一）临时道路、临时便桥完成后按完成工程量的80%计量，待使用完成拆除后再计量余下的20%。</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二）管沟（基坑）支护、文明施工围栏、拆除修复工程计量前必须经承包方、监理方、项目管理部对已完工程量进行签证确认，签证时需附实施时的平面示意图及照片，在图上标示井号、里程、位置及长宽尺寸，经监理、项目管理部确认并按经确认的图示尺寸计算工程量进行签证，由各项目管理部负责存档备查。</w:t>
      </w:r>
    </w:p>
    <w:p>
      <w:pPr>
        <w:topLinePunct/>
        <w:adjustRightInd w:val="0"/>
        <w:snapToGrid w:val="0"/>
        <w:ind w:firstLine="480" w:firstLineChars="200"/>
        <w:rPr>
          <w:rFonts w:ascii="黑体" w:eastAsia="黑体"/>
          <w:color w:val="auto"/>
          <w:sz w:val="24"/>
          <w:highlight w:val="none"/>
        </w:rPr>
      </w:pPr>
      <w:r>
        <w:rPr>
          <w:rFonts w:hint="eastAsia" w:ascii="黑体" w:eastAsia="黑体"/>
          <w:color w:val="auto"/>
          <w:sz w:val="24"/>
          <w:highlight w:val="none"/>
        </w:rPr>
        <w:t>五、土石方工程</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（一）必须提供承包方、监理、项目管理部三方确认的实测原地面标高，对于大型土方工程应提供照片、录像资料，由各项目管理部负责存档备查。</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二）水下土石方工程必须由有水工测量资质的测量单位在开工之前对原泥面（或原土面、石面）标高进行水工测量，工程竣工后对竣工标高进行水工测量，根据测量结果计算水下土石方工程量，并出具测量报告书，会同监理、项目管理部签认作为水下土石方工程量的计算依据。</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（三）大型土方施工前，施工单位会同监理、项目管理部共同对原地面标高按测量规程采用方格网等方法进行测量，并列出土方计算书，经监理、项目管理部审核后，</w:t>
      </w:r>
      <w:r>
        <w:rPr>
          <w:rFonts w:hint="eastAsia" w:ascii="仿宋_GB2312" w:hAnsi="Arial" w:eastAsia="仿宋_GB2312"/>
          <w:color w:val="auto"/>
          <w:sz w:val="24"/>
          <w:highlight w:val="none"/>
        </w:rPr>
        <w:t>如土方量与设计量相比变化超过10%的，应由项目管理部会同施工、监理、勘察（测）、设计单位现场核定并确认，并对现场土方变化量大的地段拍照后才能全面实施及计量</w:t>
      </w:r>
      <w:r>
        <w:rPr>
          <w:rFonts w:hint="eastAsia" w:ascii="仿宋_GB2312" w:eastAsia="仿宋_GB2312"/>
          <w:color w:val="auto"/>
          <w:sz w:val="24"/>
          <w:highlight w:val="none"/>
        </w:rPr>
        <w:t>，</w:t>
      </w:r>
      <w:r>
        <w:rPr>
          <w:rFonts w:hint="eastAsia" w:ascii="宋体" w:hAnsi="宋体" w:cs="宋体"/>
          <w:color w:val="auto"/>
          <w:sz w:val="24"/>
          <w:highlight w:val="none"/>
        </w:rPr>
        <w:t>并</w:t>
      </w:r>
      <w:r>
        <w:rPr>
          <w:rFonts w:hint="eastAsia" w:ascii="仿宋_GB2312" w:eastAsia="仿宋_GB2312"/>
          <w:color w:val="auto"/>
          <w:sz w:val="24"/>
          <w:highlight w:val="none"/>
        </w:rPr>
        <w:t>由各项目管理部负责存档备查</w:t>
      </w:r>
      <w:r>
        <w:rPr>
          <w:rFonts w:hint="eastAsia" w:ascii="仿宋_GB2312" w:hAnsi="Arial" w:eastAsia="仿宋_GB2312"/>
          <w:color w:val="auto"/>
          <w:sz w:val="24"/>
          <w:highlight w:val="none"/>
        </w:rPr>
        <w:t>。</w:t>
      </w:r>
      <w:r>
        <w:rPr>
          <w:rFonts w:hint="eastAsia" w:ascii="仿宋_GB2312" w:eastAsia="仿宋_GB2312"/>
          <w:color w:val="auto"/>
          <w:sz w:val="24"/>
          <w:highlight w:val="none"/>
        </w:rPr>
        <w:t>土石方平衡：必须考虑土石方场内平衡进行施工及计算，施工图有规定的按施工图执行，施工图无规定的，监理人根据地质土质情况编制详细的施工方案经监理及项目管理部审批后，按审批后的施工方案、测量资料及《建设工程清单计价规范（GB50500-2008）》中的工程量计算规则，《广东省建设工程计价通则（2010）》等有关规范计算土方平衡工程量进行签证及计量。</w:t>
      </w:r>
    </w:p>
    <w:p>
      <w:pPr>
        <w:topLinePunct/>
        <w:adjustRightInd w:val="0"/>
        <w:snapToGrid w:val="0"/>
        <w:ind w:firstLine="480" w:firstLineChars="200"/>
        <w:rPr>
          <w:rFonts w:ascii="仿宋_GB2312" w:eastAsia="仿宋_GB2312"/>
          <w:color w:val="auto"/>
          <w:sz w:val="24"/>
          <w:highlight w:val="none"/>
        </w:rPr>
      </w:pPr>
      <w:r>
        <w:rPr>
          <w:rFonts w:hint="eastAsia" w:ascii="仿宋_GB2312" w:eastAsia="仿宋_GB2312"/>
          <w:color w:val="auto"/>
          <w:sz w:val="24"/>
          <w:highlight w:val="none"/>
        </w:rPr>
        <w:t>土石方平衡的内容分为挖土石方、土石方场内运输、土石方场外运输、利用土填方、外购土填方，并列出土石方平衡计算表按上述规定进行计算。</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eastAsia="仿宋_GB2312"/>
          <w:color w:val="auto"/>
          <w:sz w:val="24"/>
          <w:highlight w:val="none"/>
        </w:rPr>
        <w:t>（四）</w:t>
      </w:r>
      <w:r>
        <w:rPr>
          <w:rFonts w:hint="eastAsia" w:ascii="仿宋_GB2312" w:hAnsi="Arial" w:eastAsia="仿宋_GB2312"/>
          <w:color w:val="auto"/>
          <w:sz w:val="24"/>
          <w:highlight w:val="none"/>
        </w:rPr>
        <w:t>管沟、基坑、路基回填土只有回填密实度符合设计及规范要求的才能计量。</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六、管道工程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除按第二点要求外，还需符合下列要求：</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（一）管材出厂合格证、管材检测试验报告（当月计量需提供）。</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（二）每个管段（指每两个相邻的检查井之间的管线）的</w:t>
      </w:r>
      <w:r>
        <w:rPr>
          <w:rFonts w:hint="eastAsia" w:ascii="仿宋_GB2312" w:hAnsi="Arial" w:eastAsia="仿宋_GB2312"/>
          <w:color w:val="auto"/>
          <w:sz w:val="24"/>
          <w:highlight w:val="none"/>
        </w:rPr>
        <w:t>闭水试验合格并提供闭水试验报</w:t>
      </w:r>
      <w:r>
        <w:rPr>
          <w:rFonts w:hint="eastAsia" w:ascii="仿宋_GB2312" w:hAnsi="宋体" w:eastAsia="仿宋_GB2312"/>
          <w:color w:val="auto"/>
          <w:sz w:val="24"/>
          <w:highlight w:val="none"/>
        </w:rPr>
        <w:t>告。</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宋体" w:eastAsia="仿宋_GB2312"/>
          <w:color w:val="auto"/>
          <w:sz w:val="24"/>
          <w:highlight w:val="none"/>
        </w:rPr>
        <w:t>（三）</w:t>
      </w:r>
      <w:r>
        <w:rPr>
          <w:rFonts w:hint="eastAsia" w:ascii="仿宋_GB2312" w:hAnsi="宋体" w:eastAsia="仿宋_GB2312"/>
          <w:color w:val="auto"/>
          <w:spacing w:val="8"/>
          <w:sz w:val="24"/>
          <w:highlight w:val="none"/>
        </w:rPr>
        <w:t>每个压力管管段（指每两个</w:t>
      </w:r>
      <w:r>
        <w:rPr>
          <w:rFonts w:hint="eastAsia" w:ascii="仿宋_GB2312" w:hAnsi="Arial" w:eastAsia="仿宋_GB2312"/>
          <w:color w:val="auto"/>
          <w:spacing w:val="8"/>
          <w:sz w:val="24"/>
          <w:highlight w:val="none"/>
        </w:rPr>
        <w:t>相邻的检查井之间的管线）</w:t>
      </w:r>
      <w:r>
        <w:rPr>
          <w:rFonts w:hint="eastAsia" w:ascii="仿宋_GB2312" w:hAnsi="Arial" w:eastAsia="仿宋_GB2312"/>
          <w:color w:val="auto"/>
          <w:sz w:val="24"/>
          <w:highlight w:val="none"/>
        </w:rPr>
        <w:t>压力试验合格并提供压力试验报告。</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宋体" w:eastAsia="仿宋_GB2312"/>
          <w:color w:val="auto"/>
          <w:sz w:val="24"/>
          <w:highlight w:val="none"/>
        </w:rPr>
        <w:t>（四）</w:t>
      </w:r>
      <w:r>
        <w:rPr>
          <w:rFonts w:hint="eastAsia" w:ascii="仿宋_GB2312" w:hAnsi="Arial" w:eastAsia="仿宋_GB2312"/>
          <w:color w:val="auto"/>
          <w:sz w:val="24"/>
          <w:highlight w:val="none"/>
        </w:rPr>
        <w:t>顶管或牵引管工程还需提供顶管或牵引管记录。</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宋体" w:eastAsia="仿宋_GB2312"/>
          <w:color w:val="auto"/>
          <w:sz w:val="24"/>
          <w:highlight w:val="none"/>
        </w:rPr>
        <w:t>各试验报告须于分项工程完成后2个月内提交项目管理部存档备查，否则停止后续计量支付。</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七、桩基础、搅拌桩、旋喷桩工程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（一）桩长的确认</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根据设计桩长结合地质情况进行施工，需提供经监理确认的桩记录，结算总桩长由项目管理部确认。施工单桩长度超过设计单桩长度的需办理变更手续后方可实施及计量，对于厂区等大型桩基础施工的，如试桩后出现桩长变化超过10%，勘察、设计单位必须提供桩长变化的原因报告，并会同项目管理部、监理人员共同论证确认后才能全面实施及计量，同时项目管理部可根据需要有权对有怀疑的地质资料委托第三方进行复勘，并根据复勘资料进行处理。</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（二）桩检测合格并提供检测报告</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宋体" w:eastAsia="仿宋_GB2312"/>
          <w:color w:val="auto"/>
          <w:sz w:val="24"/>
          <w:highlight w:val="none"/>
        </w:rPr>
        <w:t>各试验报告须于分项工程完成后2个月内提交项目管理部存档备查，否则停止后续计量支付。</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八、砼工程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除按第二点要求外，还需符合下列要求：</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（一）砼配合比试验报告。</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（二）砼抗压、抗折、抗渗（如需）等设计指标要求的强度试验报告。</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宋体" w:eastAsia="仿宋_GB2312"/>
          <w:color w:val="auto"/>
          <w:sz w:val="24"/>
          <w:highlight w:val="none"/>
        </w:rPr>
        <w:t>各试验报告须于分项工程完成后2个月内提交项目管理部存档备查，否则停止后续计量支付。</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九、砌筑工程</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除按第二点要求外，还需</w:t>
      </w:r>
      <w:r>
        <w:rPr>
          <w:rFonts w:hint="eastAsia" w:ascii="仿宋_GB2312" w:hAnsi="Arial" w:eastAsia="仿宋_GB2312"/>
          <w:color w:val="auto"/>
          <w:sz w:val="24"/>
          <w:highlight w:val="none"/>
        </w:rPr>
        <w:t>符合下列要求</w:t>
      </w:r>
      <w:r>
        <w:rPr>
          <w:rFonts w:hint="eastAsia" w:ascii="仿宋_GB2312" w:hAnsi="宋体" w:eastAsia="仿宋_GB2312"/>
          <w:color w:val="auto"/>
          <w:sz w:val="24"/>
          <w:highlight w:val="none"/>
        </w:rPr>
        <w:t>：</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w:t>
      </w:r>
      <w:r>
        <w:rPr>
          <w:rFonts w:hint="eastAsia" w:ascii="仿宋_GB2312" w:hAnsi="宋体" w:eastAsia="仿宋_GB2312"/>
          <w:color w:val="auto"/>
          <w:sz w:val="24"/>
          <w:highlight w:val="none"/>
        </w:rPr>
        <w:t>砌筑砖出厂合格证</w:t>
      </w:r>
      <w:r>
        <w:rPr>
          <w:rFonts w:hint="eastAsia" w:ascii="仿宋_GB2312" w:hAnsi="Arial" w:eastAsia="仿宋_GB2312"/>
          <w:color w:val="auto"/>
          <w:sz w:val="24"/>
          <w:highlight w:val="none"/>
        </w:rPr>
        <w:t>（当月计量需提供）。</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Arial" w:eastAsia="仿宋_GB2312"/>
          <w:color w:val="auto"/>
          <w:sz w:val="24"/>
          <w:highlight w:val="none"/>
        </w:rPr>
        <w:t>（二）</w:t>
      </w:r>
      <w:r>
        <w:rPr>
          <w:rFonts w:hint="eastAsia" w:ascii="仿宋_GB2312" w:hAnsi="宋体" w:eastAsia="仿宋_GB2312"/>
          <w:color w:val="auto"/>
          <w:sz w:val="24"/>
          <w:highlight w:val="none"/>
        </w:rPr>
        <w:t>砌筑砂浆配合比试验报告。</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Arial" w:eastAsia="仿宋_GB2312"/>
          <w:color w:val="auto"/>
          <w:sz w:val="24"/>
          <w:highlight w:val="none"/>
        </w:rPr>
        <w:t>（三）</w:t>
      </w:r>
      <w:r>
        <w:rPr>
          <w:rFonts w:hint="eastAsia" w:ascii="仿宋_GB2312" w:hAnsi="宋体" w:eastAsia="仿宋_GB2312"/>
          <w:color w:val="auto"/>
          <w:sz w:val="24"/>
          <w:highlight w:val="none"/>
        </w:rPr>
        <w:t>砌筑砖抗压强度试验报告。</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各试验报告须于分项工程完成后2个月内提交项目管理部存档备查，否则停止后续计量支付。</w:t>
      </w:r>
    </w:p>
    <w:p>
      <w:pPr>
        <w:topLinePunct/>
        <w:adjustRightInd w:val="0"/>
        <w:snapToGrid w:val="0"/>
        <w:ind w:firstLine="480" w:firstLineChars="200"/>
        <w:rPr>
          <w:rFonts w:ascii="黑体" w:hAnsi="宋体" w:eastAsia="黑体"/>
          <w:color w:val="auto"/>
          <w:sz w:val="24"/>
          <w:highlight w:val="none"/>
        </w:rPr>
      </w:pPr>
      <w:r>
        <w:rPr>
          <w:rFonts w:hint="eastAsia" w:ascii="黑体" w:hAnsi="宋体" w:eastAsia="黑体"/>
          <w:color w:val="auto"/>
          <w:sz w:val="24"/>
          <w:highlight w:val="none"/>
        </w:rPr>
        <w:t>十、钢筋工程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除按第二点要求外，还需符合下列要求：</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w:t>
      </w:r>
      <w:r>
        <w:rPr>
          <w:rFonts w:hint="eastAsia" w:ascii="仿宋_GB2312" w:hAnsi="宋体" w:eastAsia="仿宋_GB2312"/>
          <w:color w:val="auto"/>
          <w:sz w:val="24"/>
          <w:highlight w:val="none"/>
        </w:rPr>
        <w:t>钢材出厂合格证明</w:t>
      </w:r>
      <w:r>
        <w:rPr>
          <w:rFonts w:hint="eastAsia" w:ascii="仿宋_GB2312" w:hAnsi="Arial" w:eastAsia="仿宋_GB2312"/>
          <w:color w:val="auto"/>
          <w:sz w:val="24"/>
          <w:highlight w:val="none"/>
        </w:rPr>
        <w:t>（当月计量需提供）。</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w:t>
      </w:r>
      <w:r>
        <w:rPr>
          <w:rFonts w:hint="eastAsia" w:ascii="仿宋_GB2312" w:hAnsi="宋体" w:eastAsia="仿宋_GB2312"/>
          <w:color w:val="auto"/>
          <w:sz w:val="24"/>
          <w:highlight w:val="none"/>
        </w:rPr>
        <w:t>钢筋</w:t>
      </w:r>
      <w:r>
        <w:rPr>
          <w:rFonts w:hint="eastAsia" w:ascii="仿宋_GB2312" w:hAnsi="Arial" w:eastAsia="仿宋_GB2312"/>
          <w:color w:val="auto"/>
          <w:sz w:val="24"/>
          <w:highlight w:val="none"/>
        </w:rPr>
        <w:t>力学性能试验报告。</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Arial" w:eastAsia="仿宋_GB2312"/>
          <w:color w:val="auto"/>
          <w:sz w:val="24"/>
          <w:highlight w:val="none"/>
        </w:rPr>
        <w:t>（三）</w:t>
      </w:r>
      <w:r>
        <w:rPr>
          <w:rFonts w:hint="eastAsia" w:ascii="仿宋_GB2312" w:hAnsi="宋体" w:eastAsia="仿宋_GB2312"/>
          <w:color w:val="auto"/>
          <w:sz w:val="24"/>
          <w:highlight w:val="none"/>
        </w:rPr>
        <w:t>钢筋重量偏差检验等设计指标要求的强度试验报告。</w:t>
      </w:r>
    </w:p>
    <w:p>
      <w:pPr>
        <w:topLinePunct/>
        <w:adjustRightInd w:val="0"/>
        <w:snapToGrid w:val="0"/>
        <w:ind w:firstLine="480" w:firstLineChars="200"/>
        <w:rPr>
          <w:rFonts w:ascii="仿宋_GB2312" w:hAnsi="宋体" w:eastAsia="仿宋_GB2312"/>
          <w:color w:val="auto"/>
          <w:sz w:val="24"/>
          <w:highlight w:val="none"/>
        </w:rPr>
      </w:pPr>
      <w:r>
        <w:rPr>
          <w:rFonts w:hint="eastAsia" w:ascii="仿宋_GB2312" w:hAnsi="宋体" w:eastAsia="仿宋_GB2312"/>
          <w:color w:val="auto"/>
          <w:sz w:val="24"/>
          <w:highlight w:val="none"/>
        </w:rPr>
        <w:t>各试验报告须于分项工程完成后1个月内提交项目管理部存档备查，否则停止后续计量支付。</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十一、工程变更</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（一）对招投标文件管理</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招投标文件（含招标图纸）是变更工程量计量及结算的依据，项目管理部需完整保存。</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（二）施工现场地形地貌的影像资料</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施工前需对现场地形地貌及障碍物进行拍照或录像，如工程实施时因拆迁原因或地形地貌及障碍物与开标前比较发生变化而引起设计变更，计量及结算时需提供现场实物照片。</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（三）变更审批</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按</w:t>
      </w:r>
      <w:r>
        <w:rPr>
          <w:rFonts w:hint="eastAsia" w:ascii="仿宋" w:hAnsi="仿宋" w:eastAsia="仿宋" w:cs="仿宋"/>
          <w:color w:val="auto"/>
          <w:sz w:val="28"/>
          <w:szCs w:val="28"/>
          <w:highlight w:val="none"/>
        </w:rPr>
        <w:t>《广州市水务建设工程设计变更管理办理》（穗水建管【2020】5号、《广州市水务投资有限公司水务建设工程设计变更审查管理办法（修订）》（穗水投[2021]29号、《广州净水公司关于引发工程设计变更管理办法的通知》穗净水【2021】208号</w:t>
      </w:r>
      <w:r>
        <w:rPr>
          <w:rFonts w:hint="eastAsia" w:ascii="仿宋_GB2312" w:hAnsi="Arial" w:eastAsia="仿宋_GB2312"/>
          <w:color w:val="auto"/>
          <w:sz w:val="24"/>
          <w:highlight w:val="none"/>
        </w:rPr>
        <w:t>办理变更审批手续。</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设计变更原则上必须按照“先审批、后实施”执行。</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十二、签证工程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根据2010年《广东省建设工程计价通则》，签证是合同双方当事人各指定人选就施工过程中涉及的责任事件所作的签认证明，是指招投标文件、招标图、施工图、工程量清单、合同文件未包括的新增工程以及招标文件和合同文件约定按实际发生工程量结算的拆除修复工程，管沟（基坑）支护、文明施工围栏等临时工程。</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（二）下列事项不得办理工程签证</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1.招标文件、招标图、施工图、工程量清单、合同文件已经包含的工作内容；</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2.《建设工程工程量清单计价规范（</w:t>
      </w:r>
      <w:r>
        <w:rPr>
          <w:rFonts w:ascii="仿宋_GB2312" w:hAnsi="Arial" w:eastAsia="仿宋_GB2312"/>
          <w:color w:val="auto"/>
          <w:sz w:val="24"/>
          <w:highlight w:val="none"/>
        </w:rPr>
        <w:t>GB50500-2013</w:t>
      </w:r>
      <w:r>
        <w:rPr>
          <w:rFonts w:hint="eastAsia" w:ascii="仿宋_GB2312" w:hAnsi="Arial" w:eastAsia="仿宋_GB2312"/>
          <w:color w:val="auto"/>
          <w:sz w:val="24"/>
          <w:highlight w:val="none"/>
        </w:rPr>
        <w:t>）》附录中的工程内容；</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3.广东省建设工程综合定额规定不能调整的内容；</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4.非委托人指令的结果而超出施工合同范围的工程量；</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5.在其他工程变更中已包含的内容。</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十三、设备采购</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（一）计量时需提供经监理、业主确认的开箱记录或供货清单，结算时需提供调试验收合格证明和安装后设备的移交清单。</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（二）对于合同中约定的考察培训费用，应先报市净水公司人力资源部审核，待市财政局终审后根据实际发生量在结算款计量支付中支付。</w:t>
      </w:r>
    </w:p>
    <w:p>
      <w:pPr>
        <w:topLinePunct/>
        <w:adjustRightInd w:val="0"/>
        <w:snapToGrid w:val="0"/>
        <w:ind w:firstLine="480" w:firstLineChars="200"/>
        <w:rPr>
          <w:rFonts w:ascii="黑体" w:hAnsi="Arial" w:eastAsia="黑体"/>
          <w:color w:val="auto"/>
          <w:sz w:val="24"/>
          <w:highlight w:val="none"/>
        </w:rPr>
      </w:pPr>
      <w:r>
        <w:rPr>
          <w:rFonts w:hint="eastAsia" w:ascii="黑体" w:hAnsi="Arial" w:eastAsia="黑体"/>
          <w:color w:val="auto"/>
          <w:sz w:val="24"/>
          <w:highlight w:val="none"/>
        </w:rPr>
        <w:t>十四、其他</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（一）对于单价包干的项目，必须全部完成招标文件中单价包含的工作内容才能给予计量及结算，如部分内容没有完成，则不予计量或扣除未完成内容的对应费用。</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（二）对于工期未能按合同约定完成的情况，如属项目管理部原因造成的，需办理工程延期报告，否则按合同条款规定扣除相应的工程价款。</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（三）对于因监理人单位违反合同条款发生的违约金处罚，在提交结算时同时提交处罚函，以便在结算中扣除违约金。</w:t>
      </w:r>
    </w:p>
    <w:p>
      <w:pPr>
        <w:topLinePunct/>
        <w:adjustRightInd w:val="0"/>
        <w:snapToGrid w:val="0"/>
        <w:ind w:firstLine="480" w:firstLineChars="200"/>
        <w:rPr>
          <w:rFonts w:ascii="仿宋_GB2312" w:hAnsi="Arial" w:eastAsia="仿宋_GB2312"/>
          <w:color w:val="auto"/>
          <w:sz w:val="24"/>
          <w:highlight w:val="none"/>
        </w:rPr>
      </w:pPr>
      <w:r>
        <w:rPr>
          <w:rFonts w:hint="eastAsia" w:ascii="仿宋_GB2312" w:hAnsi="Arial" w:eastAsia="仿宋_GB2312"/>
          <w:color w:val="auto"/>
          <w:sz w:val="24"/>
          <w:highlight w:val="none"/>
        </w:rPr>
        <w:t>十五、工程量清单差异计算</w:t>
      </w:r>
    </w:p>
    <w:p>
      <w:pPr>
        <w:topLinePunct/>
        <w:adjustRightInd w:val="0"/>
        <w:snapToGrid w:val="0"/>
        <w:ind w:firstLine="480" w:firstLineChars="200"/>
        <w:rPr>
          <w:rFonts w:ascii="仿宋_GB2312" w:hAnsi="Arial" w:eastAsia="仿宋_GB2312"/>
          <w:color w:val="auto"/>
          <w:highlight w:val="none"/>
        </w:rPr>
      </w:pPr>
      <w:r>
        <w:rPr>
          <w:rFonts w:hint="eastAsia" w:ascii="仿宋_GB2312" w:hAnsi="Arial" w:eastAsia="仿宋_GB2312"/>
          <w:color w:val="auto"/>
          <w:sz w:val="24"/>
          <w:highlight w:val="none"/>
        </w:rPr>
        <w:t>招标工程量清单是根据招标图进行计算的招标工程量，为招标暂定工程量，开工前需根据施工图对招标工程量清单重新复核计算，准确计算出施工图与招标图及工程量清单差异引</w:t>
      </w:r>
      <w:r>
        <w:rPr>
          <w:rFonts w:hint="eastAsia" w:ascii="仿宋_GB2312" w:hAnsi="Arial" w:eastAsia="仿宋_GB2312"/>
          <w:color w:val="auto"/>
          <w:highlight w:val="none"/>
        </w:rPr>
        <w:t>起的项目增减、工程量增减及造价增减（详见附件）。经重新复核计算的工程量清单作为计量支付及结算的依据。</w:t>
      </w:r>
    </w:p>
    <w:p>
      <w:pPr>
        <w:rPr>
          <w:color w:val="auto"/>
          <w:sz w:val="28"/>
          <w:szCs w:val="28"/>
          <w:highlight w:val="none"/>
        </w:rPr>
      </w:pPr>
      <w:r>
        <w:rPr>
          <w:rFonts w:hint="eastAsia"/>
          <w:color w:val="auto"/>
          <w:sz w:val="28"/>
          <w:szCs w:val="28"/>
          <w:highlight w:val="none"/>
        </w:rPr>
        <w:t>附件：</w:t>
      </w:r>
    </w:p>
    <w:p>
      <w:pPr>
        <w:jc w:val="center"/>
        <w:rPr>
          <w:b/>
          <w:color w:val="auto"/>
          <w:sz w:val="36"/>
          <w:szCs w:val="36"/>
          <w:highlight w:val="none"/>
        </w:rPr>
      </w:pPr>
      <w:r>
        <w:rPr>
          <w:rFonts w:hint="eastAsia"/>
          <w:b/>
          <w:color w:val="auto"/>
          <w:sz w:val="36"/>
          <w:szCs w:val="36"/>
          <w:highlight w:val="none"/>
        </w:rPr>
        <w:t>施工图（竣工图）与招标图差异引起的工程量清单增减明细表</w:t>
      </w:r>
    </w:p>
    <w:p>
      <w:pPr>
        <w:jc w:val="right"/>
        <w:rPr>
          <w:color w:val="auto"/>
          <w:sz w:val="28"/>
          <w:szCs w:val="28"/>
          <w:highlight w:val="none"/>
        </w:rPr>
      </w:pPr>
      <w:r>
        <w:rPr>
          <w:rFonts w:hint="eastAsia"/>
          <w:color w:val="auto"/>
          <w:sz w:val="28"/>
          <w:szCs w:val="28"/>
          <w:highlight w:val="none"/>
        </w:rPr>
        <w:t>金额单位：元</w:t>
      </w:r>
    </w:p>
    <w:tbl>
      <w:tblPr>
        <w:tblStyle w:val="85"/>
        <w:tblW w:w="8415"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480"/>
        <w:gridCol w:w="1671"/>
        <w:gridCol w:w="1880"/>
        <w:gridCol w:w="835"/>
        <w:gridCol w:w="1044"/>
        <w:gridCol w:w="835"/>
        <w:gridCol w:w="835"/>
        <w:gridCol w:w="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49" w:hRule="atLeast"/>
        </w:trPr>
        <w:tc>
          <w:tcPr>
            <w:tcW w:w="480" w:type="dxa"/>
            <w:noWrap w:val="0"/>
            <w:vAlign w:val="center"/>
          </w:tcPr>
          <w:p>
            <w:pPr>
              <w:jc w:val="center"/>
              <w:rPr>
                <w:color w:val="auto"/>
                <w:sz w:val="24"/>
                <w:highlight w:val="none"/>
              </w:rPr>
            </w:pPr>
            <w:r>
              <w:rPr>
                <w:rFonts w:hint="eastAsia"/>
                <w:color w:val="auto"/>
                <w:sz w:val="24"/>
                <w:highlight w:val="none"/>
              </w:rPr>
              <w:t>序号</w:t>
            </w:r>
          </w:p>
        </w:tc>
        <w:tc>
          <w:tcPr>
            <w:tcW w:w="1671" w:type="dxa"/>
            <w:noWrap w:val="0"/>
            <w:vAlign w:val="center"/>
          </w:tcPr>
          <w:p>
            <w:pPr>
              <w:jc w:val="center"/>
              <w:rPr>
                <w:color w:val="auto"/>
                <w:sz w:val="24"/>
                <w:highlight w:val="none"/>
              </w:rPr>
            </w:pPr>
            <w:r>
              <w:rPr>
                <w:rFonts w:hint="eastAsia"/>
                <w:color w:val="auto"/>
                <w:sz w:val="24"/>
                <w:highlight w:val="none"/>
              </w:rPr>
              <w:t>项目名称</w:t>
            </w:r>
          </w:p>
        </w:tc>
        <w:tc>
          <w:tcPr>
            <w:tcW w:w="1880" w:type="dxa"/>
            <w:noWrap w:val="0"/>
            <w:vAlign w:val="center"/>
          </w:tcPr>
          <w:p>
            <w:pPr>
              <w:jc w:val="center"/>
              <w:rPr>
                <w:color w:val="auto"/>
                <w:sz w:val="24"/>
                <w:highlight w:val="none"/>
              </w:rPr>
            </w:pPr>
            <w:r>
              <w:rPr>
                <w:rFonts w:hint="eastAsia"/>
                <w:color w:val="auto"/>
                <w:sz w:val="24"/>
                <w:highlight w:val="none"/>
              </w:rPr>
              <w:t>单位</w:t>
            </w:r>
          </w:p>
        </w:tc>
        <w:tc>
          <w:tcPr>
            <w:tcW w:w="835" w:type="dxa"/>
            <w:noWrap w:val="0"/>
            <w:vAlign w:val="center"/>
          </w:tcPr>
          <w:p>
            <w:pPr>
              <w:jc w:val="center"/>
              <w:rPr>
                <w:color w:val="auto"/>
                <w:sz w:val="24"/>
                <w:highlight w:val="none"/>
              </w:rPr>
            </w:pPr>
            <w:r>
              <w:rPr>
                <w:rFonts w:hint="eastAsia"/>
                <w:color w:val="auto"/>
                <w:sz w:val="24"/>
                <w:highlight w:val="none"/>
              </w:rPr>
              <w:t>招标工程量</w:t>
            </w:r>
          </w:p>
        </w:tc>
        <w:tc>
          <w:tcPr>
            <w:tcW w:w="1044" w:type="dxa"/>
            <w:noWrap w:val="0"/>
            <w:vAlign w:val="center"/>
          </w:tcPr>
          <w:p>
            <w:pPr>
              <w:jc w:val="center"/>
              <w:rPr>
                <w:color w:val="auto"/>
                <w:sz w:val="24"/>
                <w:highlight w:val="none"/>
              </w:rPr>
            </w:pPr>
            <w:r>
              <w:rPr>
                <w:rFonts w:hint="eastAsia"/>
                <w:color w:val="auto"/>
                <w:sz w:val="24"/>
                <w:highlight w:val="none"/>
              </w:rPr>
              <w:t>施工图（竣工图）工程量</w:t>
            </w:r>
          </w:p>
        </w:tc>
        <w:tc>
          <w:tcPr>
            <w:tcW w:w="835" w:type="dxa"/>
            <w:noWrap w:val="0"/>
            <w:vAlign w:val="center"/>
          </w:tcPr>
          <w:p>
            <w:pPr>
              <w:jc w:val="center"/>
              <w:rPr>
                <w:color w:val="auto"/>
                <w:sz w:val="24"/>
                <w:highlight w:val="none"/>
              </w:rPr>
            </w:pPr>
            <w:r>
              <w:rPr>
                <w:rFonts w:hint="eastAsia"/>
                <w:color w:val="auto"/>
                <w:sz w:val="24"/>
                <w:highlight w:val="none"/>
              </w:rPr>
              <w:t>增减工程量</w:t>
            </w:r>
          </w:p>
        </w:tc>
        <w:tc>
          <w:tcPr>
            <w:tcW w:w="835" w:type="dxa"/>
            <w:noWrap w:val="0"/>
            <w:vAlign w:val="center"/>
          </w:tcPr>
          <w:p>
            <w:pPr>
              <w:jc w:val="center"/>
              <w:rPr>
                <w:color w:val="auto"/>
                <w:sz w:val="24"/>
                <w:highlight w:val="none"/>
              </w:rPr>
            </w:pPr>
            <w:r>
              <w:rPr>
                <w:rFonts w:hint="eastAsia"/>
                <w:color w:val="auto"/>
                <w:sz w:val="24"/>
                <w:highlight w:val="none"/>
              </w:rPr>
              <w:t>原合同单价</w:t>
            </w:r>
          </w:p>
        </w:tc>
        <w:tc>
          <w:tcPr>
            <w:tcW w:w="835" w:type="dxa"/>
            <w:noWrap w:val="0"/>
            <w:vAlign w:val="center"/>
          </w:tcPr>
          <w:p>
            <w:pPr>
              <w:jc w:val="center"/>
              <w:rPr>
                <w:color w:val="auto"/>
                <w:sz w:val="24"/>
                <w:highlight w:val="none"/>
              </w:rPr>
            </w:pPr>
            <w:r>
              <w:rPr>
                <w:rFonts w:hint="eastAsia"/>
                <w:color w:val="auto"/>
                <w:sz w:val="24"/>
                <w:highlight w:val="none"/>
              </w:rPr>
              <w:t>增减金额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26"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50" w:hRule="atLeast"/>
        </w:trPr>
        <w:tc>
          <w:tcPr>
            <w:tcW w:w="480" w:type="dxa"/>
            <w:noWrap w:val="0"/>
            <w:vAlign w:val="top"/>
          </w:tcPr>
          <w:p>
            <w:pPr>
              <w:spacing w:line="480" w:lineRule="exact"/>
              <w:rPr>
                <w:color w:val="auto"/>
                <w:szCs w:val="21"/>
                <w:highlight w:val="none"/>
              </w:rPr>
            </w:pPr>
          </w:p>
        </w:tc>
        <w:tc>
          <w:tcPr>
            <w:tcW w:w="1671" w:type="dxa"/>
            <w:noWrap w:val="0"/>
            <w:vAlign w:val="top"/>
          </w:tcPr>
          <w:p>
            <w:pPr>
              <w:spacing w:line="480" w:lineRule="exact"/>
              <w:rPr>
                <w:color w:val="auto"/>
                <w:szCs w:val="21"/>
                <w:highlight w:val="none"/>
              </w:rPr>
            </w:pPr>
          </w:p>
        </w:tc>
        <w:tc>
          <w:tcPr>
            <w:tcW w:w="1880"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1044"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c>
          <w:tcPr>
            <w:tcW w:w="835" w:type="dxa"/>
            <w:noWrap w:val="0"/>
            <w:vAlign w:val="top"/>
          </w:tcPr>
          <w:p>
            <w:pPr>
              <w:spacing w:line="480" w:lineRule="exact"/>
              <w:rPr>
                <w:color w:val="auto"/>
                <w:szCs w:val="21"/>
                <w:highlight w:val="none"/>
              </w:rPr>
            </w:pPr>
          </w:p>
        </w:tc>
      </w:tr>
    </w:tbl>
    <w:p>
      <w:pPr>
        <w:pStyle w:val="78"/>
        <w:contextualSpacing/>
        <w:rPr>
          <w:rFonts w:ascii="黑体" w:hAnsi="黑体" w:eastAsia="黑体"/>
          <w:color w:val="auto"/>
          <w:sz w:val="28"/>
          <w:highlight w:val="none"/>
        </w:rPr>
        <w:sectPr>
          <w:headerReference r:id="rId8" w:type="default"/>
          <w:footerReference r:id="rId9" w:type="default"/>
          <w:pgSz w:w="11906" w:h="16838"/>
          <w:pgMar w:top="1440" w:right="1797" w:bottom="1440" w:left="1797" w:header="851" w:footer="992" w:gutter="0"/>
          <w:pgNumType w:fmt="decimal" w:start="1"/>
          <w:cols w:space="720" w:num="1"/>
          <w:docGrid w:type="linesAndChars" w:linePitch="312" w:charSpace="0"/>
        </w:sectPr>
      </w:pPr>
    </w:p>
    <w:p>
      <w:pPr>
        <w:rPr>
          <w:color w:val="auto"/>
          <w:highlight w:val="none"/>
        </w:rPr>
      </w:pPr>
    </w:p>
    <w:p>
      <w:pPr>
        <w:adjustRightInd w:val="0"/>
        <w:snapToGrid w:val="0"/>
        <w:spacing w:line="360" w:lineRule="auto"/>
        <w:jc w:val="center"/>
        <w:rPr>
          <w:rFonts w:hint="eastAsia" w:ascii="仿宋_GB2312" w:hAnsi="仿宋_GB2312" w:eastAsia="仿宋_GB2312" w:cs="仿宋_GB2312"/>
          <w:color w:val="auto"/>
          <w:sz w:val="48"/>
          <w:szCs w:val="48"/>
          <w:highlight w:val="none"/>
        </w:rPr>
      </w:pPr>
    </w:p>
    <w:p>
      <w:pPr>
        <w:pStyle w:val="73"/>
        <w:ind w:firstLine="540" w:firstLineChars="300"/>
        <w:rPr>
          <w:rFonts w:hint="eastAsia" w:cs="宋体"/>
          <w:color w:val="auto"/>
          <w:sz w:val="18"/>
          <w:highlight w:val="none"/>
        </w:rPr>
      </w:pPr>
    </w:p>
    <w:p>
      <w:pPr>
        <w:pStyle w:val="84"/>
        <w:ind w:firstLine="800"/>
        <w:rPr>
          <w:rFonts w:hint="default"/>
          <w:highlight w:val="none"/>
        </w:rPr>
      </w:pPr>
      <w:r>
        <w:rPr>
          <w:rFonts w:ascii="方正小标宋简体" w:hAnsi="方正小标宋简体" w:eastAsia="方正小标宋简体" w:cs="方正小标宋简体"/>
          <w:sz w:val="40"/>
          <w:szCs w:val="40"/>
          <w:highlight w:val="none"/>
        </w:rPr>
        <mc:AlternateContent>
          <mc:Choice Requires="wps">
            <w:drawing>
              <wp:anchor distT="0" distB="0" distL="114300" distR="114300" simplePos="0" relativeHeight="251669504" behindDoc="0" locked="0" layoutInCell="1" allowOverlap="1">
                <wp:simplePos x="0" y="0"/>
                <wp:positionH relativeFrom="column">
                  <wp:posOffset>2325370</wp:posOffset>
                </wp:positionH>
                <wp:positionV relativeFrom="paragraph">
                  <wp:posOffset>252730</wp:posOffset>
                </wp:positionV>
                <wp:extent cx="958850" cy="0"/>
                <wp:effectExtent l="0" t="4445" r="0" b="5080"/>
                <wp:wrapNone/>
                <wp:docPr id="7" name="自选图形 15"/>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5" o:spid="_x0000_s1026" o:spt="32" type="#_x0000_t32" style="position:absolute;left:0pt;margin-left:183.1pt;margin-top:19.9pt;height:0pt;width:75.5pt;z-index:251669504;mso-width-relative:page;mso-height-relative:page;" filled="f" stroked="t" coordsize="21600,21600" o:gfxdata="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JLK/21wAAAAkBAAAPAAAAAAAAAAEAIAAAACIAAABkcnMvZG93bnJldi54bWxQ&#10;SwECFAAUAAAACACHTuJAFUV6uvgBAADxAwAADgAAAAAAAAABACAAAAAmAQAAZHJzL2Uyb0RvYy54&#10;bWxQSwUGAAAAAAYABgBZAQAAkAUAAAAA&#10;">
                <v:fill on="f" focussize="0,0"/>
                <v:stroke color="#000000" joinstyle="round"/>
                <v:imagedata o:title=""/>
                <o:lock v:ext="edit" aspectratio="f"/>
              </v:shape>
            </w:pict>
          </mc:Fallback>
        </mc:AlternateContent>
      </w:r>
    </w:p>
    <w:p>
      <w:pPr>
        <w:pStyle w:val="2"/>
        <w:spacing w:line="720" w:lineRule="auto"/>
        <w:rPr>
          <w:rFonts w:hint="eastAsia"/>
          <w:color w:val="auto"/>
          <w:highlight w:val="none"/>
        </w:rPr>
      </w:pPr>
      <w:bookmarkStart w:id="89" w:name="_Toc28358"/>
      <w:bookmarkStart w:id="90" w:name="_Toc16552"/>
      <w:bookmarkStart w:id="91" w:name="_Toc8147"/>
      <w:bookmarkStart w:id="92" w:name="_Toc23515"/>
      <w:bookmarkStart w:id="93" w:name="_Toc1563"/>
      <w:bookmarkStart w:id="94" w:name="_Toc30824"/>
      <w:bookmarkStart w:id="95" w:name="_Toc21847"/>
      <w:bookmarkStart w:id="96" w:name="_Toc6230"/>
      <w:bookmarkStart w:id="97" w:name="_Toc12169"/>
      <w:bookmarkStart w:id="98" w:name="_Toc3723"/>
      <w:bookmarkStart w:id="99" w:name="_Toc5129"/>
      <w:r>
        <w:rPr>
          <w:rFonts w:hint="eastAsia" w:ascii="方正小标宋简体" w:hAnsi="方正小标宋简体" w:eastAsia="方正小标宋简体" w:cs="方正小标宋简体"/>
          <w:color w:val="auto"/>
          <w:sz w:val="40"/>
          <w:szCs w:val="40"/>
          <w:highlight w:val="none"/>
        </w:rPr>
        <mc:AlternateContent>
          <mc:Choice Requires="wps">
            <w:drawing>
              <wp:anchor distT="0" distB="0" distL="114300" distR="114300" simplePos="0" relativeHeight="251671552" behindDoc="0" locked="0" layoutInCell="1" allowOverlap="1">
                <wp:simplePos x="0" y="0"/>
                <wp:positionH relativeFrom="column">
                  <wp:posOffset>2306320</wp:posOffset>
                </wp:positionH>
                <wp:positionV relativeFrom="paragraph">
                  <wp:posOffset>453390</wp:posOffset>
                </wp:positionV>
                <wp:extent cx="958850" cy="0"/>
                <wp:effectExtent l="0" t="4445" r="0" b="5080"/>
                <wp:wrapNone/>
                <wp:docPr id="8" name="自选图形 14"/>
                <wp:cNvGraphicFramePr/>
                <a:graphic xmlns:a="http://schemas.openxmlformats.org/drawingml/2006/main">
                  <a:graphicData uri="http://schemas.microsoft.com/office/word/2010/wordprocessingShape">
                    <wps:wsp>
                      <wps:cNvCnPr/>
                      <wps:spPr>
                        <a:xfrm>
                          <a:off x="0" y="0"/>
                          <a:ext cx="958850" cy="0"/>
                        </a:xfrm>
                        <a:prstGeom prst="straightConnector1">
                          <a:avLst/>
                        </a:prstGeom>
                        <a:ln w="9525" cap="flat" cmpd="sng">
                          <a:solidFill>
                            <a:srgbClr val="000000"/>
                          </a:solidFill>
                          <a:prstDash val="solid"/>
                          <a:headEnd type="none" w="med" len="med"/>
                          <a:tailEnd type="none" w="med" len="med"/>
                        </a:ln>
                        <a:effectLst/>
                      </wps:spPr>
                      <wps:bodyPr/>
                    </wps:wsp>
                  </a:graphicData>
                </a:graphic>
              </wp:anchor>
            </w:drawing>
          </mc:Choice>
          <mc:Fallback>
            <w:pict>
              <v:shape id="自选图形 14" o:spid="_x0000_s1026" o:spt="32" type="#_x0000_t32" style="position:absolute;left:0pt;margin-left:181.6pt;margin-top:35.7pt;height:0pt;width:75.5pt;z-index:251671552;mso-width-relative:page;mso-height-relative:page;" filled="f" stroked="t" coordsize="21600,21600" o:gfxdata="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z0yEU1wAAAAkBAAAPAAAAAAAAAAEAIAAAACIAAABkcnMvZG93bnJldi54bWxQ&#10;SwECFAAUAAAACACHTuJALRf/3fgBAADxAwAADgAAAAAAAAABACAAAAAmAQAAZHJzL2Uyb0RvYy54&#10;bWxQSwUGAAAAAAYABgBZAQAAkAUAAAAA&#10;">
                <v:fill on="f" focussize="0,0"/>
                <v:stroke color="#000000" joinstyle="round"/>
                <v:imagedata o:title=""/>
                <o:lock v:ext="edit" aspectratio="f"/>
              </v:shape>
            </w:pict>
          </mc:Fallback>
        </mc:AlternateContent>
      </w:r>
      <w:r>
        <w:rPr>
          <w:rFonts w:hint="eastAsia" w:ascii="方正小标宋简体" w:hAnsi="方正小标宋简体" w:eastAsia="方正小标宋简体" w:cs="方正小标宋简体"/>
          <w:color w:val="auto"/>
          <w:sz w:val="40"/>
          <w:szCs w:val="40"/>
          <w:highlight w:val="none"/>
        </w:rPr>
        <w:t>第七章</w:t>
      </w:r>
      <w:bookmarkEnd w:id="89"/>
      <w:bookmarkEnd w:id="90"/>
      <w:bookmarkEnd w:id="91"/>
      <w:bookmarkEnd w:id="92"/>
      <w:bookmarkEnd w:id="93"/>
      <w:bookmarkEnd w:id="94"/>
      <w:bookmarkEnd w:id="95"/>
      <w:bookmarkEnd w:id="96"/>
      <w:bookmarkEnd w:id="97"/>
      <w:bookmarkEnd w:id="98"/>
      <w:bookmarkEnd w:id="99"/>
    </w:p>
    <w:p>
      <w:pPr>
        <w:pStyle w:val="582"/>
        <w:rPr>
          <w:color w:val="auto"/>
          <w:highlight w:val="none"/>
        </w:rPr>
      </w:pPr>
    </w:p>
    <w:p>
      <w:pPr>
        <w:pStyle w:val="2"/>
        <w:rPr>
          <w:rFonts w:hint="eastAsia"/>
          <w:color w:val="auto"/>
          <w:highlight w:val="none"/>
        </w:rPr>
      </w:pPr>
      <w:bookmarkStart w:id="100" w:name="_Toc12769"/>
      <w:bookmarkStart w:id="101" w:name="_Toc5342"/>
      <w:bookmarkStart w:id="102" w:name="_Toc88209951"/>
      <w:bookmarkStart w:id="103" w:name="_Toc22764"/>
      <w:bookmarkStart w:id="104" w:name="_Toc30157"/>
      <w:bookmarkStart w:id="105" w:name="_Toc24490"/>
      <w:bookmarkStart w:id="106" w:name="_Toc31564"/>
      <w:bookmarkStart w:id="107" w:name="_Toc21675"/>
      <w:bookmarkStart w:id="108" w:name="_Toc12610"/>
      <w:bookmarkStart w:id="109" w:name="_Toc24815"/>
      <w:bookmarkStart w:id="110" w:name="_Toc87616388"/>
      <w:bookmarkStart w:id="111" w:name="_Toc10840"/>
      <w:bookmarkStart w:id="112" w:name="_Toc17119"/>
      <w:r>
        <w:rPr>
          <w:rFonts w:hint="eastAsia"/>
          <w:color w:val="auto"/>
          <w:highlight w:val="none"/>
        </w:rPr>
        <w:t>响应文件格式要求</w:t>
      </w:r>
      <w:bookmarkEnd w:id="100"/>
      <w:bookmarkEnd w:id="101"/>
      <w:bookmarkEnd w:id="102"/>
      <w:bookmarkEnd w:id="103"/>
      <w:bookmarkEnd w:id="104"/>
      <w:bookmarkEnd w:id="105"/>
      <w:bookmarkEnd w:id="106"/>
      <w:bookmarkEnd w:id="107"/>
      <w:bookmarkEnd w:id="108"/>
      <w:bookmarkEnd w:id="109"/>
      <w:bookmarkEnd w:id="110"/>
      <w:bookmarkEnd w:id="111"/>
      <w:bookmarkEnd w:id="112"/>
    </w:p>
    <w:p>
      <w:pPr>
        <w:tabs>
          <w:tab w:val="left" w:pos="5222"/>
        </w:tabs>
        <w:adjustRightInd w:val="0"/>
        <w:snapToGrid w:val="0"/>
        <w:spacing w:before="120" w:beforeLines="50" w:after="120" w:afterLines="50" w:line="600" w:lineRule="exact"/>
        <w:rPr>
          <w:rFonts w:ascii="方正小标宋简体" w:eastAsia="方正小标宋简体"/>
          <w:color w:val="auto"/>
          <w:sz w:val="44"/>
          <w:szCs w:val="44"/>
          <w:highlight w:val="none"/>
        </w:rPr>
      </w:pPr>
      <w:r>
        <w:rPr>
          <w:rFonts w:hint="eastAsia" w:ascii="方正小标宋简体" w:eastAsia="方正小标宋简体"/>
          <w:color w:val="auto"/>
          <w:sz w:val="44"/>
          <w:szCs w:val="44"/>
          <w:highlight w:val="none"/>
        </w:rPr>
        <w:tab/>
      </w:r>
    </w:p>
    <w:p>
      <w:pPr>
        <w:tabs>
          <w:tab w:val="left" w:pos="5222"/>
        </w:tabs>
        <w:adjustRightInd w:val="0"/>
        <w:snapToGrid w:val="0"/>
        <w:spacing w:before="120" w:beforeLines="50" w:after="120" w:afterLines="50" w:line="600" w:lineRule="exact"/>
        <w:rPr>
          <w:rFonts w:ascii="方正小标宋简体" w:eastAsia="方正小标宋简体"/>
          <w:color w:val="auto"/>
          <w:sz w:val="44"/>
          <w:szCs w:val="44"/>
          <w:highlight w:val="none"/>
        </w:rPr>
      </w:pPr>
    </w:p>
    <w:p>
      <w:pPr>
        <w:tabs>
          <w:tab w:val="left" w:pos="5222"/>
        </w:tabs>
        <w:adjustRightInd w:val="0"/>
        <w:snapToGrid w:val="0"/>
        <w:spacing w:before="120" w:beforeLines="50" w:after="120" w:afterLines="50" w:line="600" w:lineRule="exact"/>
        <w:rPr>
          <w:rFonts w:ascii="方正小标宋简体" w:eastAsia="方正小标宋简体"/>
          <w:color w:val="auto"/>
          <w:sz w:val="44"/>
          <w:szCs w:val="44"/>
          <w:highlight w:val="none"/>
        </w:rPr>
      </w:pPr>
    </w:p>
    <w:p>
      <w:pPr>
        <w:tabs>
          <w:tab w:val="left" w:pos="5222"/>
        </w:tabs>
        <w:adjustRightInd w:val="0"/>
        <w:snapToGrid w:val="0"/>
        <w:spacing w:before="120" w:beforeLines="50" w:after="120" w:afterLines="50" w:line="600" w:lineRule="exact"/>
        <w:rPr>
          <w:rFonts w:ascii="方正小标宋简体" w:eastAsia="方正小标宋简体"/>
          <w:color w:val="auto"/>
          <w:sz w:val="44"/>
          <w:szCs w:val="44"/>
          <w:highlight w:val="none"/>
        </w:rPr>
      </w:pPr>
    </w:p>
    <w:p>
      <w:pPr>
        <w:tabs>
          <w:tab w:val="left" w:pos="5222"/>
        </w:tabs>
        <w:adjustRightInd w:val="0"/>
        <w:snapToGrid w:val="0"/>
        <w:spacing w:before="120" w:beforeLines="50" w:after="120" w:afterLines="50" w:line="600" w:lineRule="exact"/>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both"/>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u w:val="single"/>
        </w:rPr>
      </w:pPr>
    </w:p>
    <w:p>
      <w:pPr>
        <w:pStyle w:val="84"/>
        <w:ind w:firstLine="480"/>
        <w:rPr>
          <w:rFonts w:hint="default"/>
          <w:highlight w:val="none"/>
        </w:rPr>
      </w:pPr>
    </w:p>
    <w:p>
      <w:pPr>
        <w:pStyle w:val="84"/>
        <w:ind w:firstLine="480"/>
        <w:rPr>
          <w:rFonts w:hint="default"/>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u w:val="singl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u w:val="singl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u w:val="single"/>
        </w:rPr>
      </w:pPr>
      <w:r>
        <w:rPr>
          <w:rFonts w:hint="eastAsia" w:ascii="方正小标宋简体" w:eastAsia="方正小标宋简体"/>
          <w:color w:val="auto"/>
          <w:sz w:val="44"/>
          <w:szCs w:val="44"/>
          <w:highlight w:val="none"/>
          <w:u w:val="single"/>
        </w:rPr>
        <w:t>（项目名称、标段/标包号）</w:t>
      </w:r>
    </w:p>
    <w:p>
      <w:pPr>
        <w:adjustRightInd w:val="0"/>
        <w:snapToGrid w:val="0"/>
        <w:spacing w:before="120" w:beforeLines="50" w:after="120" w:afterLines="50" w:line="600" w:lineRule="exact"/>
        <w:jc w:val="center"/>
        <w:rPr>
          <w:rFonts w:ascii="仿宋_GB2312" w:eastAsia="仿宋_GB2312"/>
          <w:color w:val="auto"/>
          <w:sz w:val="30"/>
          <w:szCs w:val="30"/>
          <w:highlight w:val="none"/>
        </w:rPr>
      </w:pPr>
    </w:p>
    <w:p>
      <w:pPr>
        <w:adjustRightInd w:val="0"/>
        <w:snapToGrid w:val="0"/>
        <w:spacing w:before="120" w:beforeLines="50" w:after="120" w:afterLines="50" w:line="600" w:lineRule="exact"/>
        <w:jc w:val="center"/>
        <w:rPr>
          <w:rFonts w:ascii="仿宋_GB2312" w:eastAsia="仿宋_GB2312"/>
          <w:color w:val="auto"/>
          <w:sz w:val="30"/>
          <w:szCs w:val="30"/>
          <w:highlight w:val="none"/>
        </w:rPr>
      </w:pPr>
      <w:r>
        <w:rPr>
          <w:rFonts w:hint="eastAsia" w:ascii="仿宋_GB2312" w:eastAsia="仿宋_GB2312"/>
          <w:color w:val="auto"/>
          <w:sz w:val="30"/>
          <w:szCs w:val="30"/>
          <w:highlight w:val="none"/>
        </w:rPr>
        <w:t>（项目编号：   ）</w:t>
      </w: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jc w:val="center"/>
        <w:rPr>
          <w:rFonts w:ascii="方正小标宋简体" w:eastAsia="方正小标宋简体"/>
          <w:color w:val="auto"/>
          <w:sz w:val="48"/>
          <w:szCs w:val="48"/>
          <w:highlight w:val="none"/>
        </w:rPr>
      </w:pPr>
    </w:p>
    <w:p>
      <w:pPr>
        <w:pStyle w:val="50"/>
        <w:rPr>
          <w:rFonts w:ascii="方正小标宋简体" w:eastAsia="方正小标宋简体"/>
          <w:sz w:val="48"/>
          <w:szCs w:val="48"/>
          <w:highlight w:val="none"/>
        </w:rPr>
      </w:pPr>
    </w:p>
    <w:p>
      <w:pPr>
        <w:pStyle w:val="50"/>
        <w:rPr>
          <w:rFonts w:ascii="方正小标宋简体" w:eastAsia="方正小标宋简体"/>
          <w:sz w:val="48"/>
          <w:szCs w:val="48"/>
          <w:highlight w:val="none"/>
        </w:rPr>
      </w:pPr>
    </w:p>
    <w:p>
      <w:pPr>
        <w:pStyle w:val="50"/>
        <w:ind w:left="0"/>
        <w:rPr>
          <w:rFonts w:ascii="方正小标宋简体" w:eastAsia="方正小标宋简体"/>
          <w:sz w:val="48"/>
          <w:szCs w:val="48"/>
          <w:highlight w:val="none"/>
        </w:rPr>
      </w:pPr>
    </w:p>
    <w:p>
      <w:pPr>
        <w:adjustRightInd w:val="0"/>
        <w:snapToGrid w:val="0"/>
        <w:spacing w:line="600" w:lineRule="exact"/>
        <w:ind w:left="1" w:firstLine="709" w:firstLineChars="197"/>
        <w:jc w:val="center"/>
        <w:rPr>
          <w:rFonts w:hint="eastAsia" w:ascii="仿宋_GB2312" w:hAnsi="等线" w:eastAsia="仿宋_GB2312"/>
          <w:color w:val="auto"/>
          <w:sz w:val="36"/>
          <w:szCs w:val="36"/>
          <w:highlight w:val="none"/>
        </w:rPr>
      </w:pPr>
      <w:r>
        <w:rPr>
          <w:rFonts w:hint="eastAsia" w:ascii="仿宋_GB2312" w:hAnsi="等线" w:eastAsia="仿宋_GB2312"/>
          <w:color w:val="auto"/>
          <w:sz w:val="36"/>
          <w:szCs w:val="36"/>
          <w:highlight w:val="none"/>
        </w:rPr>
        <w:t>供应商：</w:t>
      </w:r>
      <w:r>
        <w:rPr>
          <w:rFonts w:hint="eastAsia" w:ascii="仿宋_GB2312" w:hAnsi="等线" w:eastAsia="仿宋_GB2312"/>
          <w:color w:val="auto"/>
          <w:sz w:val="36"/>
          <w:szCs w:val="36"/>
          <w:highlight w:val="none"/>
          <w:u w:val="single"/>
        </w:rPr>
        <w:t xml:space="preserve">                 </w:t>
      </w:r>
      <w:r>
        <w:rPr>
          <w:rFonts w:hint="eastAsia" w:ascii="仿宋_GB2312" w:hAnsi="等线" w:eastAsia="仿宋_GB2312"/>
          <w:color w:val="auto"/>
          <w:sz w:val="36"/>
          <w:szCs w:val="36"/>
          <w:highlight w:val="none"/>
        </w:rPr>
        <w:t>（单位公章）</w:t>
      </w:r>
    </w:p>
    <w:p>
      <w:pPr>
        <w:adjustRightInd w:val="0"/>
        <w:snapToGrid w:val="0"/>
        <w:spacing w:line="600" w:lineRule="exact"/>
        <w:ind w:left="1" w:right="560" w:firstLine="709" w:firstLineChars="197"/>
        <w:jc w:val="center"/>
        <w:rPr>
          <w:rFonts w:ascii="方正小标宋简体" w:eastAsia="方正小标宋简体"/>
          <w:color w:val="auto"/>
          <w:sz w:val="44"/>
          <w:szCs w:val="44"/>
          <w:highlight w:val="none"/>
        </w:rPr>
      </w:pPr>
      <w:r>
        <w:rPr>
          <w:rFonts w:hint="eastAsia" w:ascii="仿宋_GB2312" w:hAnsi="等线" w:eastAsia="仿宋_GB2312"/>
          <w:color w:val="auto"/>
          <w:sz w:val="36"/>
          <w:szCs w:val="36"/>
          <w:highlight w:val="none"/>
          <w:u w:val="single"/>
        </w:rPr>
        <w:t xml:space="preserve">    </w:t>
      </w:r>
      <w:r>
        <w:rPr>
          <w:rFonts w:hint="eastAsia" w:ascii="仿宋_GB2312" w:hAnsi="等线" w:eastAsia="仿宋_GB2312"/>
          <w:color w:val="auto"/>
          <w:sz w:val="36"/>
          <w:szCs w:val="36"/>
          <w:highlight w:val="none"/>
        </w:rPr>
        <w:t>年</w:t>
      </w:r>
      <w:r>
        <w:rPr>
          <w:rFonts w:hint="eastAsia" w:ascii="仿宋_GB2312" w:hAnsi="等线" w:eastAsia="仿宋_GB2312"/>
          <w:color w:val="auto"/>
          <w:sz w:val="36"/>
          <w:szCs w:val="36"/>
          <w:highlight w:val="none"/>
          <w:u w:val="single"/>
        </w:rPr>
        <w:t xml:space="preserve">    </w:t>
      </w:r>
      <w:r>
        <w:rPr>
          <w:rFonts w:hint="eastAsia" w:ascii="仿宋_GB2312" w:hAnsi="等线" w:eastAsia="仿宋_GB2312"/>
          <w:color w:val="auto"/>
          <w:sz w:val="36"/>
          <w:szCs w:val="36"/>
          <w:highlight w:val="none"/>
        </w:rPr>
        <w:t>月</w:t>
      </w:r>
      <w:r>
        <w:rPr>
          <w:rFonts w:hint="eastAsia" w:ascii="仿宋_GB2312" w:hAnsi="等线" w:eastAsia="仿宋_GB2312"/>
          <w:color w:val="auto"/>
          <w:sz w:val="36"/>
          <w:szCs w:val="36"/>
          <w:highlight w:val="none"/>
          <w:u w:val="single"/>
        </w:rPr>
        <w:t xml:space="preserve">    </w:t>
      </w:r>
      <w:r>
        <w:rPr>
          <w:rFonts w:hint="eastAsia" w:ascii="仿宋_GB2312" w:hAnsi="等线" w:eastAsia="仿宋_GB2312"/>
          <w:color w:val="auto"/>
          <w:sz w:val="36"/>
          <w:szCs w:val="36"/>
          <w:highlight w:val="none"/>
        </w:rPr>
        <w:t>日</w:t>
      </w: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pStyle w:val="84"/>
        <w:ind w:firstLine="480"/>
        <w:rPr>
          <w:rFonts w:hint="default"/>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r>
        <w:rPr>
          <w:rFonts w:ascii="方正小标宋简体" w:eastAsia="方正小标宋简体"/>
          <w:color w:val="auto"/>
          <w:sz w:val="44"/>
          <w:szCs w:val="44"/>
          <w:highlight w:val="none"/>
        </w:rPr>
        <w:t>目</w:t>
      </w:r>
      <w:r>
        <w:rPr>
          <w:rFonts w:hint="eastAsia" w:ascii="方正小标宋简体" w:eastAsia="方正小标宋简体"/>
          <w:color w:val="auto"/>
          <w:sz w:val="44"/>
          <w:szCs w:val="44"/>
          <w:highlight w:val="none"/>
        </w:rPr>
        <w:t xml:space="preserve">  </w:t>
      </w:r>
      <w:r>
        <w:rPr>
          <w:rFonts w:ascii="方正小标宋简体" w:eastAsia="方正小标宋简体"/>
          <w:color w:val="auto"/>
          <w:sz w:val="44"/>
          <w:szCs w:val="44"/>
          <w:highlight w:val="none"/>
        </w:rPr>
        <w:t>录</w:t>
      </w: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line="600" w:lineRule="exact"/>
        <w:jc w:val="center"/>
        <w:rPr>
          <w:rFonts w:ascii="方正小标宋简体" w:eastAsia="方正小标宋简体"/>
          <w:color w:val="auto"/>
          <w:sz w:val="44"/>
          <w:szCs w:val="44"/>
          <w:highlight w:val="none"/>
        </w:rPr>
      </w:pPr>
    </w:p>
    <w:p>
      <w:pPr>
        <w:spacing w:line="600" w:lineRule="exact"/>
        <w:rPr>
          <w:rFonts w:ascii="仿宋_GB2312" w:eastAsia="仿宋_GB2312"/>
          <w:color w:val="auto"/>
          <w:sz w:val="28"/>
          <w:szCs w:val="28"/>
          <w:highlight w:val="none"/>
        </w:rPr>
      </w:pPr>
      <w:bookmarkStart w:id="113" w:name="_Toc87616389"/>
      <w:bookmarkStart w:id="114" w:name="_Toc88209952"/>
      <w:r>
        <w:rPr>
          <w:rFonts w:hint="eastAsia" w:ascii="仿宋_GB2312" w:eastAsia="仿宋_GB2312"/>
          <w:color w:val="auto"/>
          <w:sz w:val="28"/>
          <w:szCs w:val="28"/>
          <w:highlight w:val="none"/>
        </w:rPr>
        <w:t>1.响应函</w:t>
      </w:r>
      <w:bookmarkEnd w:id="113"/>
      <w:bookmarkEnd w:id="114"/>
    </w:p>
    <w:p>
      <w:pPr>
        <w:spacing w:line="600" w:lineRule="exact"/>
        <w:rPr>
          <w:rFonts w:ascii="仿宋_GB2312" w:eastAsia="仿宋_GB2312"/>
          <w:color w:val="auto"/>
          <w:sz w:val="28"/>
          <w:szCs w:val="28"/>
          <w:highlight w:val="none"/>
        </w:rPr>
      </w:pPr>
      <w:bookmarkStart w:id="115" w:name="_Toc88209953"/>
      <w:bookmarkStart w:id="116" w:name="_Toc87616390"/>
      <w:r>
        <w:rPr>
          <w:rFonts w:hint="eastAsia" w:ascii="仿宋_GB2312" w:eastAsia="仿宋_GB2312"/>
          <w:color w:val="auto"/>
          <w:sz w:val="28"/>
          <w:szCs w:val="28"/>
          <w:highlight w:val="none"/>
        </w:rPr>
        <w:t>2.法定代表人证明或授权委托书</w:t>
      </w:r>
      <w:bookmarkEnd w:id="115"/>
      <w:bookmarkEnd w:id="116"/>
      <w:bookmarkStart w:id="117" w:name="_Toc88209956"/>
      <w:bookmarkStart w:id="118" w:name="_Toc87616393"/>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3.资格审查资料</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4.拟投入本项目的项目负责人情况表</w:t>
      </w:r>
    </w:p>
    <w:p>
      <w:pPr>
        <w:spacing w:line="600" w:lineRule="exact"/>
        <w:rPr>
          <w:rFonts w:ascii="仿宋_GB2312" w:eastAsia="仿宋_GB2312"/>
          <w:color w:val="auto"/>
          <w:sz w:val="28"/>
          <w:szCs w:val="28"/>
          <w:highlight w:val="none"/>
        </w:rPr>
      </w:pPr>
      <w:r>
        <w:rPr>
          <w:rFonts w:hint="eastAsia" w:ascii="仿宋_GB2312" w:eastAsia="仿宋_GB2312"/>
          <w:color w:val="auto"/>
          <w:sz w:val="28"/>
          <w:szCs w:val="28"/>
          <w:highlight w:val="none"/>
        </w:rPr>
        <w:t>5.报价表</w:t>
      </w:r>
      <w:r>
        <w:rPr>
          <w:rFonts w:hint="eastAsia" w:ascii="仿宋_GB2312" w:eastAsia="仿宋_GB2312"/>
          <w:color w:val="auto"/>
          <w:sz w:val="28"/>
          <w:szCs w:val="28"/>
          <w:highlight w:val="none"/>
        </w:rPr>
        <w:cr/>
      </w:r>
      <w:r>
        <w:rPr>
          <w:rFonts w:hint="eastAsia" w:ascii="仿宋_GB2312" w:eastAsia="仿宋_GB2312"/>
          <w:color w:val="auto"/>
          <w:sz w:val="28"/>
          <w:szCs w:val="28"/>
          <w:highlight w:val="none"/>
        </w:rPr>
        <w:t>6.其他资料</w:t>
      </w:r>
      <w:bookmarkEnd w:id="117"/>
      <w:bookmarkEnd w:id="118"/>
      <w:r>
        <w:rPr>
          <w:rFonts w:hint="eastAsia" w:ascii="仿宋_GB2312" w:eastAsia="仿宋_GB2312"/>
          <w:color w:val="auto"/>
          <w:sz w:val="28"/>
          <w:szCs w:val="28"/>
          <w:highlight w:val="none"/>
        </w:rPr>
        <w:cr/>
      </w: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adjustRightInd w:val="0"/>
        <w:snapToGrid w:val="0"/>
        <w:spacing w:before="120" w:beforeLines="50" w:after="120" w:afterLines="50" w:line="600" w:lineRule="exact"/>
        <w:jc w:val="center"/>
        <w:rPr>
          <w:rFonts w:ascii="方正小标宋简体" w:eastAsia="方正小标宋简体"/>
          <w:color w:val="auto"/>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880"/>
        <w:rPr>
          <w:rFonts w:hint="default" w:ascii="方正小标宋简体" w:eastAsia="方正小标宋简体"/>
          <w:sz w:val="44"/>
          <w:szCs w:val="44"/>
          <w:highlight w:val="none"/>
        </w:rPr>
      </w:pPr>
    </w:p>
    <w:p>
      <w:pPr>
        <w:pStyle w:val="84"/>
        <w:ind w:firstLine="480"/>
        <w:rPr>
          <w:rFonts w:hint="default"/>
          <w:highlight w:val="none"/>
        </w:rPr>
      </w:pPr>
    </w:p>
    <w:p>
      <w:pPr>
        <w:pStyle w:val="50"/>
        <w:ind w:left="0"/>
        <w:rPr>
          <w:rFonts w:ascii="方正小标宋简体" w:eastAsia="方正小标宋简体"/>
          <w:sz w:val="44"/>
          <w:szCs w:val="44"/>
          <w:highlight w:val="none"/>
        </w:rPr>
      </w:pPr>
    </w:p>
    <w:p>
      <w:pPr>
        <w:pStyle w:val="19"/>
        <w:ind w:firstLine="0"/>
        <w:rPr>
          <w:highlight w:val="none"/>
        </w:rPr>
      </w:pPr>
    </w:p>
    <w:p>
      <w:pPr>
        <w:pStyle w:val="4"/>
        <w:ind w:left="0" w:firstLine="0"/>
        <w:rPr>
          <w:rFonts w:hint="eastAsia" w:ascii="等线" w:hAnsi="等线" w:eastAsia="等线"/>
          <w:color w:val="auto"/>
          <w:szCs w:val="28"/>
          <w:highlight w:val="none"/>
        </w:rPr>
      </w:pPr>
      <w:bookmarkStart w:id="119" w:name="_Toc28619645"/>
      <w:bookmarkStart w:id="120" w:name="_Toc87616394"/>
      <w:bookmarkStart w:id="121" w:name="_Toc88209957"/>
      <w:bookmarkStart w:id="122" w:name="_Toc6313"/>
      <w:bookmarkStart w:id="123" w:name="_Toc12665"/>
      <w:r>
        <w:rPr>
          <w:rFonts w:hint="eastAsia" w:ascii="等线" w:hAnsi="等线" w:eastAsia="等线"/>
          <w:color w:val="auto"/>
          <w:szCs w:val="28"/>
          <w:highlight w:val="none"/>
        </w:rPr>
        <w:t>1.响应函</w:t>
      </w:r>
      <w:bookmarkEnd w:id="119"/>
      <w:bookmarkEnd w:id="120"/>
      <w:bookmarkEnd w:id="121"/>
      <w:bookmarkEnd w:id="122"/>
      <w:bookmarkEnd w:id="123"/>
    </w:p>
    <w:p>
      <w:pPr>
        <w:spacing w:line="360" w:lineRule="auto"/>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1.1响应函</w:t>
      </w:r>
    </w:p>
    <w:p>
      <w:pPr>
        <w:spacing w:line="360" w:lineRule="auto"/>
        <w:rPr>
          <w:rFonts w:hint="eastAsia" w:ascii="仿宋_GB2312" w:hAnsi="黑体" w:eastAsia="仿宋_GB2312"/>
          <w:color w:val="auto"/>
          <w:sz w:val="28"/>
          <w:szCs w:val="28"/>
          <w:highlight w:val="none"/>
          <w:u w:val="single"/>
        </w:rPr>
      </w:pPr>
      <w:r>
        <w:rPr>
          <w:rFonts w:hint="eastAsia" w:ascii="仿宋_GB2312" w:hAnsi="黑体" w:eastAsia="仿宋_GB2312"/>
          <w:color w:val="auto"/>
          <w:sz w:val="28"/>
          <w:szCs w:val="28"/>
          <w:highlight w:val="none"/>
          <w:u w:val="single"/>
        </w:rPr>
        <w:t>（采购人名称）：</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1.我方已仔细研究了（项目名称、项目编号、标段/标包号）   采购文件的全部内容，以含税价人民币（大写）</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w:t>
      </w:r>
      <w:r>
        <w:rPr>
          <w:rFonts w:hint="eastAsia" w:ascii="宋体" w:hAnsi="宋体" w:eastAsia="仿宋_GB2312"/>
          <w:color w:val="auto"/>
          <w:sz w:val="28"/>
          <w:szCs w:val="28"/>
          <w:highlight w:val="none"/>
        </w:rPr>
        <w:t>¥</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u w:val="single"/>
        </w:rPr>
        <w:tab/>
      </w:r>
      <w:r>
        <w:rPr>
          <w:rFonts w:hint="eastAsia" w:ascii="仿宋_GB2312" w:hAnsi="黑体" w:eastAsia="仿宋_GB2312"/>
          <w:color w:val="auto"/>
          <w:sz w:val="28"/>
          <w:szCs w:val="28"/>
          <w:highlight w:val="none"/>
        </w:rPr>
        <w:t>）的报价（其中，不含税价为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；增值税为</w:t>
      </w:r>
      <w:r>
        <w:rPr>
          <w:rFonts w:hint="eastAsia" w:ascii="仿宋_GB2312" w:hAnsi="黑体" w:eastAsia="仿宋_GB2312"/>
          <w:color w:val="auto"/>
          <w:sz w:val="28"/>
          <w:szCs w:val="28"/>
          <w:highlight w:val="none"/>
          <w:u w:val="single"/>
        </w:rPr>
        <w:t xml:space="preserve">       </w:t>
      </w:r>
      <w:r>
        <w:rPr>
          <w:rFonts w:hint="eastAsia" w:ascii="仿宋_GB2312" w:hAnsi="黑体" w:eastAsia="仿宋_GB2312"/>
          <w:color w:val="auto"/>
          <w:sz w:val="28"/>
          <w:szCs w:val="28"/>
          <w:highlight w:val="none"/>
        </w:rPr>
        <w:t>）完成/提供本项目</w:t>
      </w:r>
      <w:r>
        <w:rPr>
          <w:rFonts w:hint="eastAsia" w:ascii="仿宋_GB2312" w:hAnsi="黑体" w:eastAsia="仿宋_GB2312"/>
          <w:color w:val="auto"/>
          <w:sz w:val="28"/>
          <w:szCs w:val="28"/>
          <w:highlight w:val="none"/>
          <w:lang w:eastAsia="zh-CN"/>
        </w:rPr>
        <w:t>□</w:t>
      </w:r>
      <w:r>
        <w:rPr>
          <w:rFonts w:hint="eastAsia" w:ascii="仿宋_GB2312" w:hAnsi="黑体" w:eastAsia="仿宋_GB2312"/>
          <w:color w:val="auto"/>
          <w:sz w:val="28"/>
          <w:szCs w:val="28"/>
          <w:highlight w:val="none"/>
        </w:rPr>
        <w:t xml:space="preserve">工程 </w:t>
      </w:r>
      <w:r>
        <w:rPr>
          <w:rFonts w:hint="eastAsia" w:ascii="仿宋_GB2312" w:hAnsi="黑体" w:eastAsia="仿宋_GB2312"/>
          <w:color w:val="auto"/>
          <w:sz w:val="28"/>
          <w:szCs w:val="28"/>
          <w:highlight w:val="none"/>
        </w:rPr>
        <w:sym w:font="Wingdings 2" w:char="00A3"/>
      </w:r>
      <w:r>
        <w:rPr>
          <w:rFonts w:hint="eastAsia" w:ascii="仿宋_GB2312" w:hAnsi="黑体" w:eastAsia="仿宋_GB2312"/>
          <w:color w:val="auto"/>
          <w:sz w:val="28"/>
          <w:szCs w:val="28"/>
          <w:highlight w:val="none"/>
        </w:rPr>
        <w:t>货物</w:t>
      </w:r>
      <w:r>
        <w:rPr>
          <w:rFonts w:hint="eastAsia" w:ascii="仿宋_GB2312" w:hAnsi="黑体" w:eastAsia="仿宋_GB2312"/>
          <w:color w:val="auto"/>
          <w:sz w:val="28"/>
          <w:szCs w:val="28"/>
          <w:highlight w:val="none"/>
        </w:rPr>
        <w:sym w:font="Wingdings 2" w:char="0052"/>
      </w:r>
      <w:r>
        <w:rPr>
          <w:rFonts w:hint="eastAsia" w:ascii="仿宋_GB2312" w:hAnsi="黑体" w:eastAsia="仿宋_GB2312"/>
          <w:color w:val="auto"/>
          <w:sz w:val="28"/>
          <w:szCs w:val="28"/>
          <w:highlight w:val="none"/>
        </w:rPr>
        <w:t>服务并按合同约定履行义务。</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2.我方响应文件包括下列内容：</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（1）响应函</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（2）法定代表人证明或授权委托书</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（3）资格审查资料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（4）拟投入本项目的项目负责人情况表</w:t>
      </w:r>
    </w:p>
    <w:p>
      <w:pPr>
        <w:spacing w:line="360" w:lineRule="auto"/>
        <w:ind w:left="559" w:leftChars="266"/>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（5）报价表</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（6）其他资料</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响应文件的上述组成部分如有不一致的内容，以响应函为准。</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3.</w:t>
      </w:r>
      <w:r>
        <w:rPr>
          <w:rFonts w:hint="eastAsia" w:ascii="仿宋_GB2312" w:hAnsi="黑体" w:eastAsia="仿宋_GB2312"/>
          <w:color w:val="auto"/>
          <w:sz w:val="28"/>
          <w:szCs w:val="28"/>
          <w:highlight w:val="none"/>
        </w:rPr>
        <w:t>我方完全理解采购文件中所有要求均为实质性响应条款，如有任何一条负偏离或者不满足将导致响应文件无效。由于我方提供资料不实或与需求书中所有条款不符而造成的责任和后果由我方承担。</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4.</w:t>
      </w:r>
      <w:r>
        <w:rPr>
          <w:rFonts w:hint="eastAsia" w:ascii="仿宋_GB2312" w:hAnsi="黑体" w:eastAsia="仿宋_GB2312"/>
          <w:color w:val="auto"/>
          <w:sz w:val="28"/>
          <w:szCs w:val="28"/>
          <w:highlight w:val="none"/>
        </w:rPr>
        <w:t>若我方发生不履约行为情形的，我方愿意接受采购人按《广州市净水有限公司经营建设项目参建企业不履约评价管理办法（试行）》处理。具体处理标准详见合同草案附件。</w:t>
      </w:r>
    </w:p>
    <w:p>
      <w:pPr>
        <w:spacing w:line="360" w:lineRule="auto"/>
        <w:ind w:firstLine="560" w:firstLineChars="200"/>
        <w:rPr>
          <w:rFonts w:hint="eastAsia"/>
          <w:color w:val="auto"/>
          <w:highlight w:val="none"/>
        </w:rPr>
      </w:pPr>
      <w:r>
        <w:rPr>
          <w:rFonts w:hint="eastAsia" w:ascii="仿宋_GB2312" w:hAnsi="黑体" w:eastAsia="仿宋_GB2312"/>
          <w:color w:val="auto"/>
          <w:sz w:val="28"/>
          <w:szCs w:val="28"/>
          <w:highlight w:val="none"/>
          <w:lang w:val="en-US" w:eastAsia="zh-CN"/>
        </w:rPr>
        <w:t>5.</w:t>
      </w:r>
      <w:r>
        <w:rPr>
          <w:rFonts w:hint="eastAsia" w:ascii="仿宋_GB2312" w:hAnsi="黑体" w:eastAsia="仿宋_GB2312"/>
          <w:color w:val="auto"/>
          <w:sz w:val="28"/>
          <w:szCs w:val="28"/>
          <w:highlight w:val="none"/>
        </w:rPr>
        <w:t>我方在参与采购前已仔细研究了采购文件和所有相关资料，我方完全明白并认为此采购文件没有倾向性，也没有存在排斥潜在供应商的内容，我方同意采购文件的相关条款，放弃对采购文件提出误解和异议的一切权利。</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6</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我方承诺在</w:t>
      </w:r>
      <w:r>
        <w:rPr>
          <w:rFonts w:hint="eastAsia" w:ascii="仿宋_GB2312" w:hAnsi="黑体" w:eastAsia="仿宋_GB2312"/>
          <w:color w:val="auto"/>
          <w:sz w:val="28"/>
          <w:szCs w:val="28"/>
          <w:highlight w:val="none"/>
        </w:rPr>
        <w:t>采购</w:t>
      </w:r>
      <w:r>
        <w:rPr>
          <w:rFonts w:ascii="仿宋_GB2312" w:hAnsi="黑体" w:eastAsia="仿宋_GB2312"/>
          <w:color w:val="auto"/>
          <w:sz w:val="28"/>
          <w:szCs w:val="28"/>
          <w:highlight w:val="none"/>
        </w:rPr>
        <w:t>文件有效期内不撤销响应文件。</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lang w:val="en-US" w:eastAsia="zh-CN"/>
        </w:rPr>
        <w:t>7</w:t>
      </w: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如我方</w:t>
      </w:r>
      <w:r>
        <w:rPr>
          <w:rFonts w:hint="eastAsia" w:ascii="仿宋_GB2312" w:hAnsi="黑体" w:eastAsia="仿宋_GB2312"/>
          <w:color w:val="auto"/>
          <w:sz w:val="28"/>
          <w:szCs w:val="28"/>
          <w:highlight w:val="none"/>
        </w:rPr>
        <w:t>成交</w:t>
      </w:r>
      <w:r>
        <w:rPr>
          <w:rFonts w:ascii="仿宋_GB2312" w:hAnsi="黑体" w:eastAsia="仿宋_GB2312"/>
          <w:color w:val="auto"/>
          <w:sz w:val="28"/>
          <w:szCs w:val="28"/>
          <w:highlight w:val="none"/>
        </w:rPr>
        <w:t>，我方承诺：</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1）在收到成交通知书后，在成交通知书规定的期限内与你方签订合同；</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2）在签订合同时不向你方提出附加条件；</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3）按照采购文件要求提交履约保证金；</w:t>
      </w:r>
    </w:p>
    <w:p>
      <w:pPr>
        <w:spacing w:line="360" w:lineRule="auto"/>
        <w:ind w:firstLine="560" w:firstLineChars="200"/>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w:t>
      </w:r>
      <w:r>
        <w:rPr>
          <w:rFonts w:ascii="仿宋_GB2312" w:hAnsi="黑体" w:eastAsia="仿宋_GB2312"/>
          <w:color w:val="auto"/>
          <w:sz w:val="28"/>
          <w:szCs w:val="28"/>
          <w:highlight w:val="none"/>
        </w:rPr>
        <w:t>4）在合同约定的期限内完成合同规定的全部义务。</w:t>
      </w:r>
    </w:p>
    <w:p>
      <w:pPr>
        <w:pStyle w:val="84"/>
        <w:ind w:firstLine="560"/>
        <w:rPr>
          <w:rFonts w:hint="default" w:eastAsia="仿宋_GB2312"/>
          <w:highlight w:val="none"/>
        </w:rPr>
      </w:pPr>
      <w:r>
        <w:rPr>
          <w:rFonts w:hint="default" w:ascii="仿宋_GB2312" w:hAnsi="黑体" w:eastAsia="仿宋_GB2312" w:cs="Times New Roman"/>
          <w:sz w:val="28"/>
          <w:szCs w:val="28"/>
          <w:highlight w:val="none"/>
        </w:rPr>
        <w:t>（5）如放弃成交，我方依法</w:t>
      </w:r>
      <w:r>
        <w:rPr>
          <w:rFonts w:ascii="仿宋_GB2312" w:hAnsi="黑体" w:eastAsia="仿宋_GB2312"/>
          <w:sz w:val="28"/>
          <w:szCs w:val="28"/>
          <w:highlight w:val="none"/>
        </w:rPr>
        <w:t>承担相应的法律责任。</w:t>
      </w:r>
    </w:p>
    <w:p>
      <w:pPr>
        <w:spacing w:line="360" w:lineRule="auto"/>
        <w:ind w:firstLine="560" w:firstLineChars="200"/>
        <w:rPr>
          <w:rFonts w:hint="eastAsia" w:ascii="仿宋_GB2312" w:hAnsi="黑体" w:eastAsia="仿宋_GB2312"/>
          <w:color w:val="auto"/>
          <w:sz w:val="28"/>
          <w:szCs w:val="28"/>
          <w:highlight w:val="none"/>
        </w:rPr>
      </w:pPr>
      <w:r>
        <w:rPr>
          <w:rFonts w:ascii="仿宋_GB2312" w:hAnsi="黑体" w:eastAsia="仿宋_GB2312"/>
          <w:color w:val="auto"/>
          <w:sz w:val="28"/>
          <w:szCs w:val="28"/>
          <w:highlight w:val="none"/>
        </w:rPr>
        <w:t>6</w:t>
      </w:r>
      <w:r>
        <w:rPr>
          <w:rFonts w:hint="eastAsia" w:ascii="仿宋_GB2312" w:hAnsi="黑体" w:eastAsia="仿宋_GB2312"/>
          <w:color w:val="auto"/>
          <w:sz w:val="28"/>
          <w:szCs w:val="28"/>
          <w:highlight w:val="none"/>
        </w:rPr>
        <w:t>.我方在此声明，所递交的响应文件及有关资料内容完整、真实和准确，且不存在采购公告（采购邀请书）中供应商不得存在的情形。</w:t>
      </w:r>
    </w:p>
    <w:p>
      <w:pPr>
        <w:spacing w:line="360" w:lineRule="auto"/>
        <w:ind w:firstLine="560" w:firstLineChars="200"/>
        <w:rPr>
          <w:rFonts w:hint="eastAsia" w:ascii="仿宋_GB2312" w:hAnsi="黑体" w:eastAsia="仿宋_GB2312"/>
          <w:color w:val="auto"/>
          <w:sz w:val="28"/>
          <w:szCs w:val="28"/>
          <w:highlight w:val="none"/>
        </w:rPr>
      </w:pPr>
      <w:r>
        <w:rPr>
          <w:rFonts w:ascii="仿宋_GB2312" w:hAnsi="黑体" w:eastAsia="仿宋_GB2312"/>
          <w:color w:val="auto"/>
          <w:sz w:val="28"/>
          <w:szCs w:val="28"/>
          <w:highlight w:val="none"/>
        </w:rPr>
        <w:t>7</w:t>
      </w:r>
      <w:r>
        <w:rPr>
          <w:rFonts w:hint="eastAsia" w:ascii="仿宋_GB2312" w:hAnsi="黑体" w:eastAsia="仿宋_GB2312"/>
          <w:color w:val="auto"/>
          <w:sz w:val="28"/>
          <w:szCs w:val="28"/>
          <w:highlight w:val="none"/>
        </w:rPr>
        <w:t>.</w:t>
      </w:r>
      <w:r>
        <w:rPr>
          <w:rFonts w:hint="eastAsia" w:ascii="仿宋_GB2312" w:hAnsi="黑体" w:eastAsia="仿宋_GB2312"/>
          <w:color w:val="auto"/>
          <w:sz w:val="28"/>
          <w:szCs w:val="28"/>
          <w:highlight w:val="none"/>
          <w:u w:val="single"/>
        </w:rPr>
        <w:t xml:space="preserve">       （其他补充说明）</w:t>
      </w:r>
      <w:r>
        <w:rPr>
          <w:rFonts w:hint="eastAsia" w:ascii="仿宋_GB2312" w:hAnsi="黑体" w:eastAsia="仿宋_GB2312"/>
          <w:color w:val="auto"/>
          <w:sz w:val="28"/>
          <w:szCs w:val="28"/>
          <w:highlight w:val="none"/>
        </w:rPr>
        <w:t>。</w:t>
      </w:r>
    </w:p>
    <w:p>
      <w:pPr>
        <w:adjustRightInd w:val="0"/>
        <w:snapToGrid w:val="0"/>
        <w:spacing w:line="600" w:lineRule="exact"/>
        <w:ind w:left="0" w:firstLine="0" w:firstLineChars="0"/>
        <w:rPr>
          <w:rFonts w:hint="eastAsia" w:ascii="仿宋_GB2312" w:hAnsi="等线" w:eastAsia="仿宋_GB2312"/>
          <w:color w:val="auto"/>
          <w:sz w:val="28"/>
          <w:szCs w:val="28"/>
          <w:highlight w:val="none"/>
        </w:rPr>
      </w:pPr>
    </w:p>
    <w:p>
      <w:pPr>
        <w:adjustRightInd w:val="0"/>
        <w:snapToGrid w:val="0"/>
        <w:spacing w:line="600" w:lineRule="exact"/>
        <w:ind w:left="1" w:firstLine="551" w:firstLineChars="197"/>
        <w:jc w:val="right"/>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供应商：</w:t>
      </w:r>
      <w:r>
        <w:rPr>
          <w:rFonts w:hint="eastAsia" w:ascii="仿宋_GB2312" w:hAnsi="等线" w:eastAsia="仿宋_GB2312"/>
          <w:color w:val="auto"/>
          <w:sz w:val="28"/>
          <w:szCs w:val="28"/>
          <w:highlight w:val="none"/>
          <w:u w:val="single"/>
        </w:rPr>
        <w:t xml:space="preserve">                 </w:t>
      </w:r>
      <w:r>
        <w:rPr>
          <w:rFonts w:hint="eastAsia" w:ascii="仿宋_GB2312" w:hAnsi="等线" w:eastAsia="仿宋_GB2312"/>
          <w:color w:val="auto"/>
          <w:sz w:val="28"/>
          <w:szCs w:val="28"/>
          <w:highlight w:val="none"/>
        </w:rPr>
        <w:t>（单位公章）</w:t>
      </w:r>
    </w:p>
    <w:p>
      <w:pPr>
        <w:adjustRightInd w:val="0"/>
        <w:snapToGrid w:val="0"/>
        <w:spacing w:line="600" w:lineRule="exact"/>
        <w:ind w:left="1" w:firstLine="551" w:firstLineChars="197"/>
        <w:jc w:val="right"/>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法定代表人或委托代理人：</w:t>
      </w:r>
      <w:r>
        <w:rPr>
          <w:rFonts w:hint="eastAsia" w:ascii="仿宋_GB2312" w:hAnsi="等线" w:eastAsia="仿宋_GB2312"/>
          <w:color w:val="auto"/>
          <w:sz w:val="28"/>
          <w:szCs w:val="28"/>
          <w:highlight w:val="none"/>
          <w:u w:val="single"/>
        </w:rPr>
        <w:t xml:space="preserve">                </w:t>
      </w:r>
      <w:r>
        <w:rPr>
          <w:rFonts w:hint="eastAsia" w:ascii="仿宋_GB2312" w:hAnsi="等线" w:eastAsia="仿宋_GB2312"/>
          <w:color w:val="auto"/>
          <w:sz w:val="28"/>
          <w:szCs w:val="28"/>
          <w:highlight w:val="none"/>
        </w:rPr>
        <w:t>（签字或签章）</w:t>
      </w:r>
    </w:p>
    <w:p>
      <w:pPr>
        <w:adjustRightInd w:val="0"/>
        <w:snapToGrid w:val="0"/>
        <w:spacing w:line="600" w:lineRule="exact"/>
        <w:ind w:left="1" w:firstLine="3771" w:firstLineChars="1347"/>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地址：</w:t>
      </w:r>
      <w:r>
        <w:rPr>
          <w:rFonts w:hint="eastAsia" w:ascii="仿宋_GB2312" w:hAnsi="等线" w:eastAsia="仿宋_GB2312"/>
          <w:color w:val="auto"/>
          <w:sz w:val="28"/>
          <w:szCs w:val="28"/>
          <w:highlight w:val="none"/>
          <w:u w:val="single"/>
        </w:rPr>
        <w:t xml:space="preserve">                              </w:t>
      </w:r>
    </w:p>
    <w:p>
      <w:pPr>
        <w:adjustRightInd w:val="0"/>
        <w:snapToGrid w:val="0"/>
        <w:spacing w:line="600" w:lineRule="exact"/>
        <w:ind w:left="1" w:firstLine="3771" w:firstLineChars="1347"/>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电子邮箱：</w:t>
      </w:r>
      <w:r>
        <w:rPr>
          <w:rFonts w:hint="eastAsia" w:ascii="仿宋_GB2312" w:hAnsi="等线" w:eastAsia="仿宋_GB2312"/>
          <w:color w:val="auto"/>
          <w:sz w:val="28"/>
          <w:szCs w:val="28"/>
          <w:highlight w:val="none"/>
          <w:u w:val="single"/>
        </w:rPr>
        <w:t xml:space="preserve">                          </w:t>
      </w:r>
    </w:p>
    <w:p>
      <w:pPr>
        <w:adjustRightInd w:val="0"/>
        <w:snapToGrid w:val="0"/>
        <w:spacing w:line="600" w:lineRule="exact"/>
        <w:ind w:left="1" w:firstLine="3771" w:firstLineChars="1347"/>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电话：</w:t>
      </w:r>
      <w:r>
        <w:rPr>
          <w:rFonts w:hint="eastAsia" w:ascii="仿宋_GB2312" w:hAnsi="等线" w:eastAsia="仿宋_GB2312"/>
          <w:color w:val="auto"/>
          <w:sz w:val="28"/>
          <w:szCs w:val="28"/>
          <w:highlight w:val="none"/>
          <w:u w:val="single"/>
        </w:rPr>
        <w:t xml:space="preserve">                              </w:t>
      </w:r>
    </w:p>
    <w:p>
      <w:pPr>
        <w:adjustRightInd w:val="0"/>
        <w:snapToGrid w:val="0"/>
        <w:spacing w:line="600" w:lineRule="exact"/>
        <w:ind w:left="1" w:firstLine="3771" w:firstLineChars="1347"/>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rPr>
        <w:t>传真：</w:t>
      </w:r>
      <w:r>
        <w:rPr>
          <w:rFonts w:hint="eastAsia" w:ascii="仿宋_GB2312" w:hAnsi="等线" w:eastAsia="仿宋_GB2312"/>
          <w:color w:val="auto"/>
          <w:sz w:val="28"/>
          <w:szCs w:val="28"/>
          <w:highlight w:val="none"/>
          <w:u w:val="single"/>
        </w:rPr>
        <w:t xml:space="preserve">                              </w:t>
      </w:r>
    </w:p>
    <w:p>
      <w:pPr>
        <w:spacing w:line="600" w:lineRule="exact"/>
        <w:ind w:left="1" w:firstLine="551" w:firstLineChars="197"/>
        <w:jc w:val="right"/>
        <w:rPr>
          <w:rFonts w:hint="eastAsia" w:ascii="仿宋_GB2312" w:hAnsi="等线" w:eastAsia="仿宋_GB2312"/>
          <w:color w:val="auto"/>
          <w:sz w:val="28"/>
          <w:szCs w:val="28"/>
          <w:highlight w:val="none"/>
        </w:rPr>
      </w:pPr>
      <w:r>
        <w:rPr>
          <w:rFonts w:hint="eastAsia" w:ascii="仿宋_GB2312" w:hAnsi="等线" w:eastAsia="仿宋_GB2312"/>
          <w:color w:val="auto"/>
          <w:sz w:val="28"/>
          <w:szCs w:val="28"/>
          <w:highlight w:val="none"/>
          <w:u w:val="single"/>
        </w:rPr>
        <w:t xml:space="preserve">    </w:t>
      </w:r>
      <w:r>
        <w:rPr>
          <w:rFonts w:hint="eastAsia" w:ascii="仿宋_GB2312" w:hAnsi="等线" w:eastAsia="仿宋_GB2312"/>
          <w:color w:val="auto"/>
          <w:sz w:val="28"/>
          <w:szCs w:val="28"/>
          <w:highlight w:val="none"/>
        </w:rPr>
        <w:t>年</w:t>
      </w:r>
      <w:r>
        <w:rPr>
          <w:rFonts w:hint="eastAsia" w:ascii="仿宋_GB2312" w:hAnsi="等线" w:eastAsia="仿宋_GB2312"/>
          <w:color w:val="auto"/>
          <w:sz w:val="28"/>
          <w:szCs w:val="28"/>
          <w:highlight w:val="none"/>
          <w:u w:val="single"/>
        </w:rPr>
        <w:t xml:space="preserve">    </w:t>
      </w:r>
      <w:r>
        <w:rPr>
          <w:rFonts w:hint="eastAsia" w:ascii="仿宋_GB2312" w:hAnsi="等线" w:eastAsia="仿宋_GB2312"/>
          <w:color w:val="auto"/>
          <w:sz w:val="28"/>
          <w:szCs w:val="28"/>
          <w:highlight w:val="none"/>
        </w:rPr>
        <w:t>月</w:t>
      </w:r>
      <w:r>
        <w:rPr>
          <w:rFonts w:hint="eastAsia" w:ascii="仿宋_GB2312" w:hAnsi="等线" w:eastAsia="仿宋_GB2312"/>
          <w:color w:val="auto"/>
          <w:sz w:val="28"/>
          <w:szCs w:val="28"/>
          <w:highlight w:val="none"/>
          <w:u w:val="single"/>
        </w:rPr>
        <w:t xml:space="preserve">    </w:t>
      </w:r>
      <w:r>
        <w:rPr>
          <w:rFonts w:hint="eastAsia" w:ascii="仿宋_GB2312" w:hAnsi="等线" w:eastAsia="仿宋_GB2312"/>
          <w:color w:val="auto"/>
          <w:sz w:val="28"/>
          <w:szCs w:val="28"/>
          <w:highlight w:val="none"/>
        </w:rPr>
        <w:t>日</w:t>
      </w:r>
      <w:bookmarkStart w:id="124" w:name="_Toc88209958"/>
      <w:bookmarkStart w:id="125" w:name="_Toc22527"/>
      <w:bookmarkStart w:id="126" w:name="_Toc29833"/>
      <w:bookmarkStart w:id="127" w:name="_Toc87616395"/>
    </w:p>
    <w:p>
      <w:pPr>
        <w:pStyle w:val="50"/>
        <w:rPr>
          <w:highlight w:val="none"/>
        </w:rPr>
      </w:pPr>
    </w:p>
    <w:p>
      <w:pPr>
        <w:pStyle w:val="4"/>
        <w:rPr>
          <w:rFonts w:hint="eastAsia" w:ascii="等线" w:hAnsi="等线" w:eastAsia="等线"/>
          <w:color w:val="auto"/>
          <w:szCs w:val="28"/>
          <w:highlight w:val="none"/>
        </w:rPr>
      </w:pPr>
    </w:p>
    <w:p>
      <w:pPr>
        <w:pStyle w:val="4"/>
        <w:rPr>
          <w:rFonts w:hint="eastAsia" w:ascii="等线" w:hAnsi="等线" w:eastAsia="等线"/>
          <w:color w:val="auto"/>
          <w:szCs w:val="28"/>
          <w:highlight w:val="none"/>
        </w:rPr>
      </w:pPr>
    </w:p>
    <w:p>
      <w:pPr>
        <w:pStyle w:val="4"/>
        <w:rPr>
          <w:rFonts w:hint="eastAsia" w:ascii="等线" w:hAnsi="等线" w:eastAsia="等线"/>
          <w:color w:val="auto"/>
          <w:szCs w:val="28"/>
          <w:highlight w:val="none"/>
        </w:rPr>
      </w:pPr>
    </w:p>
    <w:p>
      <w:pPr>
        <w:pStyle w:val="4"/>
        <w:rPr>
          <w:rFonts w:hint="eastAsia" w:ascii="等线" w:hAnsi="等线" w:eastAsia="等线"/>
          <w:color w:val="auto"/>
          <w:szCs w:val="28"/>
          <w:highlight w:val="none"/>
        </w:rPr>
      </w:pPr>
    </w:p>
    <w:p>
      <w:pPr>
        <w:pStyle w:val="4"/>
        <w:rPr>
          <w:rFonts w:hint="eastAsia" w:ascii="等线" w:hAnsi="等线" w:eastAsia="等线"/>
          <w:color w:val="auto"/>
          <w:szCs w:val="28"/>
          <w:highlight w:val="none"/>
        </w:rPr>
      </w:pPr>
    </w:p>
    <w:p>
      <w:pPr>
        <w:pStyle w:val="4"/>
        <w:rPr>
          <w:rFonts w:hint="eastAsia" w:ascii="等线" w:hAnsi="等线" w:eastAsia="等线"/>
          <w:color w:val="auto"/>
          <w:szCs w:val="28"/>
          <w:highlight w:val="none"/>
        </w:rPr>
      </w:pPr>
    </w:p>
    <w:p>
      <w:pPr>
        <w:rPr>
          <w:rFonts w:hint="eastAsia" w:ascii="等线" w:hAnsi="等线" w:eastAsia="等线"/>
          <w:color w:val="auto"/>
          <w:szCs w:val="28"/>
          <w:highlight w:val="none"/>
        </w:rPr>
      </w:pPr>
    </w:p>
    <w:p>
      <w:pPr>
        <w:pStyle w:val="2"/>
        <w:rPr>
          <w:rFonts w:hint="eastAsia" w:ascii="等线" w:hAnsi="等线" w:eastAsia="等线"/>
          <w:color w:val="auto"/>
          <w:szCs w:val="28"/>
          <w:highlight w:val="none"/>
        </w:rPr>
      </w:pPr>
    </w:p>
    <w:p>
      <w:pPr>
        <w:pStyle w:val="3"/>
        <w:rPr>
          <w:rFonts w:hint="eastAsia" w:ascii="等线" w:hAnsi="等线" w:eastAsia="等线"/>
          <w:color w:val="auto"/>
          <w:szCs w:val="28"/>
          <w:highlight w:val="none"/>
        </w:rPr>
      </w:pPr>
    </w:p>
    <w:p>
      <w:pPr>
        <w:rPr>
          <w:rFonts w:hint="eastAsia" w:ascii="等线" w:hAnsi="等线" w:eastAsia="等线"/>
          <w:color w:val="auto"/>
          <w:szCs w:val="28"/>
          <w:highlight w:val="none"/>
        </w:rPr>
      </w:pPr>
    </w:p>
    <w:p>
      <w:pPr>
        <w:pStyle w:val="4"/>
        <w:ind w:left="0" w:firstLine="0"/>
        <w:rPr>
          <w:rFonts w:hint="eastAsia" w:ascii="等线" w:hAnsi="等线" w:eastAsia="等线"/>
          <w:color w:val="auto"/>
          <w:szCs w:val="28"/>
          <w:highlight w:val="none"/>
        </w:rPr>
      </w:pPr>
      <w:r>
        <w:rPr>
          <w:rFonts w:hint="eastAsia" w:ascii="等线" w:hAnsi="等线" w:eastAsia="等线"/>
          <w:color w:val="auto"/>
          <w:szCs w:val="28"/>
          <w:highlight w:val="none"/>
        </w:rPr>
        <w:t>2.法定代表人证明或授权委托书</w:t>
      </w:r>
      <w:bookmarkEnd w:id="124"/>
      <w:bookmarkEnd w:id="125"/>
      <w:bookmarkEnd w:id="126"/>
      <w:bookmarkEnd w:id="127"/>
    </w:p>
    <w:p>
      <w:pPr>
        <w:spacing w:line="360" w:lineRule="auto"/>
        <w:rPr>
          <w:color w:val="auto"/>
          <w:highlight w:val="none"/>
        </w:rPr>
      </w:pPr>
      <w:r>
        <w:rPr>
          <w:rFonts w:hint="eastAsia" w:ascii="仿宋_GB2312" w:hAnsi="黑体" w:eastAsia="仿宋_GB2312"/>
          <w:color w:val="auto"/>
          <w:sz w:val="28"/>
          <w:szCs w:val="28"/>
          <w:highlight w:val="none"/>
        </w:rPr>
        <w:t>2.1法定代表人证明格式</w:t>
      </w:r>
    </w:p>
    <w:p>
      <w:pPr>
        <w:adjustRightInd w:val="0"/>
        <w:snapToGrid w:val="0"/>
        <w:spacing w:before="120" w:beforeLines="50" w:after="12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法定代表人证明书</w:t>
      </w:r>
    </w:p>
    <w:p>
      <w:pPr>
        <w:pStyle w:val="613"/>
        <w:snapToGrid w:val="0"/>
        <w:spacing w:after="0" w:line="600" w:lineRule="exact"/>
        <w:jc w:val="both"/>
        <w:rPr>
          <w:rFonts w:hint="eastAsia" w:ascii="仿宋_GB2312" w:hAnsi="宋体" w:eastAsia="仿宋_GB2312"/>
          <w:sz w:val="30"/>
          <w:szCs w:val="30"/>
          <w:highlight w:val="none"/>
          <w:u w:val="single"/>
        </w:rPr>
      </w:pPr>
      <w:r>
        <w:rPr>
          <w:rFonts w:hint="eastAsia" w:ascii="仿宋_GB2312" w:hAnsi="宋体" w:eastAsia="仿宋_GB2312"/>
          <w:sz w:val="32"/>
          <w:szCs w:val="32"/>
          <w:highlight w:val="none"/>
        </w:rPr>
        <w:t xml:space="preserve">     </w:t>
      </w:r>
      <w:r>
        <w:rPr>
          <w:rFonts w:hint="eastAsia" w:ascii="仿宋_GB2312" w:hAnsi="宋体" w:eastAsia="仿宋_GB2312"/>
          <w:sz w:val="30"/>
          <w:szCs w:val="30"/>
          <w:highlight w:val="none"/>
        </w:rPr>
        <w:t>供应商名称：</w:t>
      </w:r>
      <w:r>
        <w:rPr>
          <w:rFonts w:hint="eastAsia" w:ascii="仿宋_GB2312" w:hAnsi="宋体" w:eastAsia="仿宋_GB2312"/>
          <w:sz w:val="30"/>
          <w:szCs w:val="30"/>
          <w:highlight w:val="none"/>
          <w:u w:val="single"/>
        </w:rPr>
        <w:t xml:space="preserve">                          </w:t>
      </w:r>
    </w:p>
    <w:p>
      <w:pPr>
        <w:pStyle w:val="185"/>
        <w:snapToGrid w:val="0"/>
        <w:spacing w:line="600" w:lineRule="exact"/>
        <w:rPr>
          <w:rFonts w:hint="eastAsia" w:ascii="仿宋_GB2312" w:hAnsi="宋体" w:eastAsia="仿宋_GB2312"/>
          <w:color w:val="auto"/>
          <w:sz w:val="30"/>
          <w:szCs w:val="30"/>
          <w:highlight w:val="none"/>
          <w:u w:val="single"/>
        </w:rPr>
      </w:pPr>
      <w:r>
        <w:rPr>
          <w:rFonts w:hint="eastAsia" w:ascii="仿宋_GB2312" w:hAnsi="宋体" w:eastAsia="仿宋_GB2312"/>
          <w:color w:val="auto"/>
          <w:sz w:val="30"/>
          <w:szCs w:val="30"/>
          <w:highlight w:val="none"/>
        </w:rPr>
        <w:t xml:space="preserve">     单位性质：</w:t>
      </w:r>
      <w:r>
        <w:rPr>
          <w:rFonts w:hint="eastAsia" w:ascii="仿宋_GB2312" w:hAnsi="宋体" w:eastAsia="仿宋_GB2312"/>
          <w:color w:val="auto"/>
          <w:sz w:val="30"/>
          <w:szCs w:val="30"/>
          <w:highlight w:val="none"/>
          <w:u w:val="single"/>
        </w:rPr>
        <w:t xml:space="preserve">                            </w:t>
      </w:r>
    </w:p>
    <w:p>
      <w:pPr>
        <w:pStyle w:val="614"/>
        <w:snapToGrid w:val="0"/>
        <w:spacing w:after="0" w:line="600" w:lineRule="exact"/>
        <w:ind w:firstLine="750" w:firstLineChars="250"/>
        <w:rPr>
          <w:rFonts w:hint="eastAsia" w:ascii="仿宋_GB2312" w:hAnsi="宋体" w:eastAsia="仿宋_GB2312"/>
          <w:sz w:val="30"/>
          <w:szCs w:val="30"/>
          <w:highlight w:val="none"/>
          <w:u w:val="single"/>
        </w:rPr>
      </w:pPr>
      <w:r>
        <w:rPr>
          <w:rFonts w:hint="eastAsia" w:ascii="仿宋_GB2312" w:hAnsi="宋体" w:eastAsia="仿宋_GB2312"/>
          <w:sz w:val="30"/>
          <w:szCs w:val="30"/>
          <w:highlight w:val="none"/>
        </w:rPr>
        <w:t>地    址：</w:t>
      </w:r>
      <w:r>
        <w:rPr>
          <w:rFonts w:hint="eastAsia" w:ascii="仿宋_GB2312" w:hAnsi="宋体" w:eastAsia="仿宋_GB2312"/>
          <w:sz w:val="30"/>
          <w:szCs w:val="30"/>
          <w:highlight w:val="none"/>
          <w:u w:val="single"/>
        </w:rPr>
        <w:t xml:space="preserve">                            </w:t>
      </w:r>
    </w:p>
    <w:p>
      <w:pPr>
        <w:pStyle w:val="185"/>
        <w:snapToGrid w:val="0"/>
        <w:spacing w:line="600" w:lineRule="exact"/>
        <w:ind w:firstLine="771" w:firstLineChars="257"/>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成立时间：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185"/>
        <w:snapToGrid w:val="0"/>
        <w:spacing w:line="600" w:lineRule="exact"/>
        <w:ind w:firstLine="771" w:firstLineChars="257"/>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经营期限：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 xml:space="preserve">   </w:t>
      </w:r>
    </w:p>
    <w:p>
      <w:pPr>
        <w:pStyle w:val="185"/>
        <w:snapToGrid w:val="0"/>
        <w:spacing w:line="600" w:lineRule="exact"/>
        <w:ind w:firstLine="771" w:firstLineChars="257"/>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姓名：</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 xml:space="preserve"> 性别：</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 xml:space="preserve"> 年龄：</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 xml:space="preserve"> 身份证号码：</w:t>
      </w:r>
      <w:r>
        <w:rPr>
          <w:rFonts w:hint="eastAsia" w:ascii="仿宋_GB2312" w:hAnsi="宋体" w:eastAsia="仿宋_GB2312"/>
          <w:color w:val="auto"/>
          <w:sz w:val="30"/>
          <w:szCs w:val="30"/>
          <w:highlight w:val="none"/>
          <w:u w:val="single"/>
        </w:rPr>
        <w:t xml:space="preserve">          </w:t>
      </w:r>
    </w:p>
    <w:p>
      <w:pPr>
        <w:pStyle w:val="185"/>
        <w:snapToGrid w:val="0"/>
        <w:spacing w:line="600" w:lineRule="exact"/>
        <w:ind w:firstLine="771" w:firstLineChars="257"/>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职务：</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 xml:space="preserve"> 的法定代表人。</w:t>
      </w:r>
    </w:p>
    <w:p>
      <w:pPr>
        <w:pStyle w:val="185"/>
        <w:snapToGrid w:val="0"/>
        <w:spacing w:line="600" w:lineRule="exact"/>
        <w:ind w:firstLine="771" w:firstLineChars="257"/>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特此证明。</w:t>
      </w:r>
    </w:p>
    <w:p>
      <w:pPr>
        <w:adjustRightInd w:val="0"/>
        <w:snapToGrid w:val="0"/>
        <w:spacing w:line="600" w:lineRule="exact"/>
        <w:ind w:firstLine="702" w:firstLineChars="234"/>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附：法定代表人身份证(正反两面)复印件</w:t>
      </w:r>
    </w:p>
    <w:p>
      <w:pPr>
        <w:pStyle w:val="185"/>
        <w:snapToGrid w:val="0"/>
        <w:spacing w:line="600" w:lineRule="exact"/>
        <w:ind w:firstLine="3907" w:firstLineChars="1221"/>
        <w:rPr>
          <w:rFonts w:hint="eastAsia" w:ascii="仿宋_GB2312" w:hAnsi="宋体" w:eastAsia="仿宋_GB2312"/>
          <w:color w:val="auto"/>
          <w:sz w:val="32"/>
          <w:szCs w:val="32"/>
          <w:highlight w:val="none"/>
        </w:rPr>
      </w:pPr>
    </w:p>
    <w:p>
      <w:pPr>
        <w:pStyle w:val="185"/>
        <w:snapToGrid w:val="0"/>
        <w:spacing w:line="600" w:lineRule="exact"/>
        <w:ind w:firstLine="3663" w:firstLineChars="1221"/>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供应商：</w:t>
      </w:r>
      <w:r>
        <w:rPr>
          <w:rFonts w:hint="eastAsia" w:ascii="仿宋_GB2312" w:hAnsi="宋体" w:eastAsia="仿宋_GB2312"/>
          <w:color w:val="auto"/>
          <w:sz w:val="30"/>
          <w:szCs w:val="30"/>
          <w:highlight w:val="none"/>
          <w:u w:val="single"/>
        </w:rPr>
        <w:t xml:space="preserve">       (盖单位章)      </w:t>
      </w:r>
    </w:p>
    <w:p>
      <w:pPr>
        <w:adjustRightInd w:val="0"/>
        <w:snapToGrid w:val="0"/>
        <w:spacing w:line="600" w:lineRule="exact"/>
        <w:jc w:val="righ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adjustRightInd w:val="0"/>
        <w:snapToGrid w:val="0"/>
        <w:spacing w:line="600" w:lineRule="exact"/>
        <w:rPr>
          <w:rFonts w:hint="eastAsia" w:ascii="仿宋_GB2312" w:hAnsi="宋体" w:eastAsia="仿宋_GB2312" w:cs="宋体"/>
          <w:color w:val="auto"/>
          <w:kern w:val="0"/>
          <w:sz w:val="28"/>
          <w:szCs w:val="28"/>
          <w:highlight w:val="none"/>
        </w:rPr>
      </w:pPr>
      <w:r>
        <w:rPr>
          <w:rFonts w:ascii="仿宋_GB2312" w:hAnsi="宋体" w:eastAsia="仿宋_GB2312" w:cs="宋体"/>
          <w:color w:val="auto"/>
          <w:kern w:val="0"/>
          <w:sz w:val="28"/>
          <w:szCs w:val="28"/>
          <w:highlight w:val="none"/>
        </w:rPr>
        <mc:AlternateContent>
          <mc:Choice Requires="wps">
            <w:drawing>
              <wp:anchor distT="0" distB="0" distL="114300" distR="114300" simplePos="0" relativeHeight="251672576" behindDoc="0" locked="0" layoutInCell="1" allowOverlap="1">
                <wp:simplePos x="0" y="0"/>
                <wp:positionH relativeFrom="column">
                  <wp:posOffset>406400</wp:posOffset>
                </wp:positionH>
                <wp:positionV relativeFrom="paragraph">
                  <wp:posOffset>187960</wp:posOffset>
                </wp:positionV>
                <wp:extent cx="3771900" cy="1287780"/>
                <wp:effectExtent l="4445" t="5080" r="14605" b="21590"/>
                <wp:wrapSquare wrapText="bothSides"/>
                <wp:docPr id="9"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32pt;margin-top:14.8pt;height:101.4pt;width:297pt;mso-wrap-distance-bottom:0pt;mso-wrap-distance-left:9pt;mso-wrap-distance-right:9pt;mso-wrap-distance-top:0pt;z-index:251672576;mso-width-relative:page;mso-height-relative:page;" fillcolor="#FFFFFF" filled="t" stroked="t" coordsize="21600,21600" o:gfxdata="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D2qfxf2AAAAAkBAAAPAAAAAAAAAAEA&#10;IAAAACIAAABkcnMvZG93bnJldi54bWxQSwECFAAUAAAACACHTuJArjLyqUgCAACWBAAADgAAAAAA&#10;AAABACAAAAAnAQAAZHJzL2Uyb0RvYy54bWxQSwUGAAAAAAYABgBZAQAA4QU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adjustRightInd w:val="0"/>
        <w:snapToGrid w:val="0"/>
        <w:spacing w:line="600" w:lineRule="exact"/>
        <w:rPr>
          <w:rFonts w:hint="eastAsia" w:ascii="仿宋_GB2312" w:hAnsi="宋体" w:eastAsia="仿宋_GB2312" w:cs="宋体"/>
          <w:color w:val="auto"/>
          <w:kern w:val="0"/>
          <w:sz w:val="28"/>
          <w:szCs w:val="28"/>
          <w:highlight w:val="none"/>
        </w:rPr>
      </w:pPr>
    </w:p>
    <w:p>
      <w:pPr>
        <w:adjustRightInd w:val="0"/>
        <w:snapToGrid w:val="0"/>
        <w:spacing w:line="600" w:lineRule="exact"/>
        <w:rPr>
          <w:rFonts w:hint="eastAsia" w:ascii="仿宋_GB2312" w:hAnsi="宋体" w:eastAsia="仿宋_GB2312" w:cs="宋体"/>
          <w:color w:val="auto"/>
          <w:kern w:val="0"/>
          <w:sz w:val="28"/>
          <w:szCs w:val="28"/>
          <w:highlight w:val="none"/>
        </w:rPr>
      </w:pPr>
    </w:p>
    <w:p>
      <w:pPr>
        <w:adjustRightInd w:val="0"/>
        <w:snapToGrid w:val="0"/>
        <w:spacing w:line="600" w:lineRule="exact"/>
        <w:rPr>
          <w:rFonts w:hint="eastAsia" w:ascii="仿宋_GB2312" w:hAnsi="宋体" w:eastAsia="仿宋_GB2312" w:cs="宋体"/>
          <w:color w:val="auto"/>
          <w:kern w:val="0"/>
          <w:sz w:val="28"/>
          <w:szCs w:val="28"/>
          <w:highlight w:val="none"/>
        </w:rPr>
      </w:pPr>
    </w:p>
    <w:p>
      <w:pPr>
        <w:adjustRightInd w:val="0"/>
        <w:snapToGrid w:val="0"/>
        <w:spacing w:line="600" w:lineRule="exact"/>
        <w:ind w:firstLine="480"/>
        <w:rPr>
          <w:rFonts w:ascii="仿宋_GB2312" w:eastAsia="仿宋_GB2312"/>
          <w:color w:val="auto"/>
          <w:highlight w:val="none"/>
        </w:rPr>
      </w:pPr>
      <w:r>
        <w:rPr>
          <w:rFonts w:hint="eastAsia" w:ascii="仿宋_GB2312" w:hAnsi="宋体" w:eastAsia="仿宋_GB2312"/>
          <w:color w:val="auto"/>
          <w:kern w:val="0"/>
          <w:szCs w:val="21"/>
          <w:highlight w:val="none"/>
        </w:rPr>
        <w:t>注：法定代表人证明书亦可采用工商行政管理局统一制订的格式。</w:t>
      </w:r>
    </w:p>
    <w:p>
      <w:pPr>
        <w:spacing w:line="360" w:lineRule="auto"/>
        <w:rPr>
          <w:color w:val="auto"/>
          <w:highlight w:val="none"/>
        </w:rPr>
      </w:pPr>
      <w:r>
        <w:rPr>
          <w:rFonts w:hint="eastAsia" w:ascii="宋体" w:hAnsi="宋体" w:cs="宋体"/>
          <w:color w:val="auto"/>
          <w:kern w:val="0"/>
          <w:sz w:val="28"/>
          <w:szCs w:val="28"/>
          <w:highlight w:val="none"/>
        </w:rPr>
        <w:br w:type="page"/>
      </w:r>
      <w:r>
        <w:rPr>
          <w:rFonts w:hint="eastAsia" w:ascii="仿宋_GB2312" w:hAnsi="黑体" w:eastAsia="仿宋_GB2312"/>
          <w:color w:val="auto"/>
          <w:sz w:val="28"/>
          <w:szCs w:val="28"/>
          <w:highlight w:val="none"/>
        </w:rPr>
        <w:t>2.2法人授权委托书</w:t>
      </w:r>
    </w:p>
    <w:p>
      <w:pPr>
        <w:adjustRightInd w:val="0"/>
        <w:snapToGrid w:val="0"/>
        <w:spacing w:before="120" w:beforeLines="50" w:after="120" w:afterLines="50" w:line="600" w:lineRule="exact"/>
        <w:jc w:val="center"/>
        <w:rPr>
          <w:rFonts w:ascii="方正小标宋简体" w:hAnsi="Times New Roman" w:eastAsia="方正小标宋简体" w:cs="Tahoma"/>
          <w:color w:val="auto"/>
          <w:kern w:val="0"/>
          <w:sz w:val="44"/>
          <w:szCs w:val="44"/>
          <w:highlight w:val="none"/>
        </w:rPr>
      </w:pPr>
      <w:r>
        <w:rPr>
          <w:rFonts w:hint="eastAsia" w:ascii="方正小标宋简体" w:hAnsi="Times New Roman" w:eastAsia="方正小标宋简体" w:cs="Tahoma"/>
          <w:color w:val="auto"/>
          <w:kern w:val="0"/>
          <w:sz w:val="44"/>
          <w:szCs w:val="44"/>
          <w:highlight w:val="none"/>
        </w:rPr>
        <w:t>法定代表人授权委托书</w:t>
      </w:r>
    </w:p>
    <w:p>
      <w:pPr>
        <w:adjustRightInd w:val="0"/>
        <w:snapToGrid w:val="0"/>
        <w:spacing w:line="600" w:lineRule="exact"/>
        <w:ind w:firstLine="600" w:firstLineChars="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本人</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系</w:t>
      </w:r>
      <w:r>
        <w:rPr>
          <w:rFonts w:hint="eastAsia" w:ascii="仿宋_GB2312" w:hAnsi="宋体" w:eastAsia="仿宋_GB2312"/>
          <w:color w:val="auto"/>
          <w:sz w:val="30"/>
          <w:szCs w:val="30"/>
          <w:highlight w:val="none"/>
          <w:u w:val="single"/>
        </w:rPr>
        <w:t xml:space="preserve">        (供应商名称)          </w:t>
      </w:r>
      <w:r>
        <w:rPr>
          <w:rFonts w:hint="eastAsia" w:ascii="仿宋_GB2312" w:hAnsi="宋体" w:eastAsia="仿宋_GB2312"/>
          <w:color w:val="auto"/>
          <w:sz w:val="30"/>
          <w:szCs w:val="30"/>
          <w:highlight w:val="none"/>
        </w:rPr>
        <w:t>的法定代表人，现授权</w:t>
      </w:r>
      <w:r>
        <w:rPr>
          <w:rFonts w:hint="eastAsia" w:ascii="仿宋_GB2312" w:hAnsi="宋体" w:eastAsia="仿宋_GB2312"/>
          <w:color w:val="auto"/>
          <w:sz w:val="30"/>
          <w:szCs w:val="30"/>
          <w:highlight w:val="none"/>
          <w:u w:val="single"/>
        </w:rPr>
        <w:t xml:space="preserve">   (姓名)   </w:t>
      </w:r>
      <w:r>
        <w:rPr>
          <w:rFonts w:hint="eastAsia" w:ascii="仿宋_GB2312" w:hAnsi="宋体" w:eastAsia="仿宋_GB2312"/>
          <w:color w:val="auto"/>
          <w:sz w:val="30"/>
          <w:szCs w:val="30"/>
          <w:highlight w:val="none"/>
        </w:rPr>
        <w:t>为我方代理人。代理人根据授权，以我方名义签署、澄清、说明、提交、撤回、修改</w:t>
      </w:r>
      <w:r>
        <w:rPr>
          <w:rFonts w:hint="eastAsia" w:ascii="仿宋_GB2312" w:hAnsi="宋体" w:eastAsia="仿宋_GB2312"/>
          <w:color w:val="auto"/>
          <w:sz w:val="30"/>
          <w:szCs w:val="30"/>
          <w:highlight w:val="none"/>
          <w:u w:val="single"/>
        </w:rPr>
        <w:t xml:space="preserve"> （项目名称、项目编号、标段/标包号）  </w:t>
      </w:r>
      <w:r>
        <w:rPr>
          <w:rFonts w:hint="eastAsia" w:ascii="仿宋_GB2312" w:hAnsi="宋体" w:eastAsia="仿宋_GB2312"/>
          <w:color w:val="auto"/>
          <w:sz w:val="30"/>
          <w:szCs w:val="30"/>
          <w:highlight w:val="none"/>
        </w:rPr>
        <w:t>的响应文件、签订合同和处理有关事宜，其法律后果由我方承担。</w:t>
      </w:r>
    </w:p>
    <w:p>
      <w:pPr>
        <w:adjustRightInd w:val="0"/>
        <w:snapToGrid w:val="0"/>
        <w:spacing w:line="600" w:lineRule="exact"/>
        <w:ind w:firstLine="59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委托期限：</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w:t>
      </w:r>
    </w:p>
    <w:p>
      <w:pPr>
        <w:adjustRightInd w:val="0"/>
        <w:snapToGrid w:val="0"/>
        <w:spacing w:line="600" w:lineRule="exact"/>
        <w:ind w:firstLine="59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代理人无转委托权。</w:t>
      </w:r>
    </w:p>
    <w:p>
      <w:pPr>
        <w:pStyle w:val="582"/>
        <w:adjustRightInd w:val="0"/>
        <w:snapToGrid w:val="0"/>
        <w:spacing w:line="600" w:lineRule="exact"/>
        <w:ind w:firstLine="600" w:firstLineChars="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附：1.委托代理人身份证(正反两面)复印件，提供授权委托代理人身份证原件备查。</w:t>
      </w:r>
    </w:p>
    <w:p>
      <w:pPr>
        <w:pStyle w:val="582"/>
        <w:numPr>
          <w:ilvl w:val="0"/>
          <w:numId w:val="0"/>
        </w:numPr>
        <w:ind w:firstLine="600" w:firstLineChars="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2.提供授权委托人自公告发布当月起在本单位近三个月社保记录（以加盖社会保险基金管理中心印章的《缴费历史明细表》或《社会保险参保人员证明》为准），否则为无效代理人，响应文件无效。</w:t>
      </w:r>
    </w:p>
    <w:p>
      <w:pPr>
        <w:pStyle w:val="582"/>
        <w:numPr>
          <w:ilvl w:val="0"/>
          <w:numId w:val="0"/>
        </w:numPr>
        <w:rPr>
          <w:rFonts w:hint="eastAsia" w:ascii="仿宋_GB2312" w:hAnsi="宋体" w:eastAsia="仿宋_GB2312"/>
          <w:color w:val="auto"/>
          <w:sz w:val="30"/>
          <w:szCs w:val="30"/>
          <w:highlight w:val="none"/>
        </w:rPr>
      </w:pPr>
    </w:p>
    <w:p>
      <w:pPr>
        <w:pStyle w:val="185"/>
        <w:snapToGrid w:val="0"/>
        <w:spacing w:line="600" w:lineRule="exact"/>
        <w:ind w:firstLine="3618" w:firstLineChars="1005"/>
        <w:rPr>
          <w:rFonts w:hint="eastAsia" w:ascii="仿宋_GB2312" w:hAnsi="宋体" w:eastAsia="仿宋_GB2312"/>
          <w:color w:val="auto"/>
          <w:sz w:val="30"/>
          <w:szCs w:val="30"/>
          <w:highlight w:val="none"/>
        </w:rPr>
      </w:pPr>
      <w:r>
        <w:rPr>
          <w:rFonts w:hint="eastAsia" w:ascii="仿宋_GB2312" w:hAnsi="宋体" w:eastAsia="仿宋_GB2312"/>
          <w:color w:val="auto"/>
          <w:spacing w:val="30"/>
          <w:sz w:val="30"/>
          <w:szCs w:val="30"/>
          <w:highlight w:val="none"/>
        </w:rPr>
        <w:t>供应商</w:t>
      </w:r>
      <w:r>
        <w:rPr>
          <w:rFonts w:hint="eastAsia" w:ascii="仿宋_GB2312" w:hAnsi="宋体" w:eastAsia="仿宋_GB2312"/>
          <w:color w:val="auto"/>
          <w:sz w:val="30"/>
          <w:szCs w:val="30"/>
          <w:highlight w:val="none"/>
        </w:rPr>
        <w:t>：</w:t>
      </w:r>
      <w:r>
        <w:rPr>
          <w:rFonts w:hint="eastAsia" w:ascii="仿宋_GB2312" w:hAnsi="宋体" w:eastAsia="仿宋_GB2312"/>
          <w:color w:val="auto"/>
          <w:sz w:val="30"/>
          <w:szCs w:val="30"/>
          <w:highlight w:val="none"/>
          <w:u w:val="single"/>
        </w:rPr>
        <w:t xml:space="preserve">      (单位公章)         </w:t>
      </w:r>
    </w:p>
    <w:p>
      <w:pPr>
        <w:pStyle w:val="185"/>
        <w:snapToGrid w:val="0"/>
        <w:spacing w:line="600" w:lineRule="exact"/>
        <w:ind w:firstLine="3600" w:firstLineChars="1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法定代表人：</w:t>
      </w:r>
      <w:r>
        <w:rPr>
          <w:rFonts w:hint="eastAsia" w:ascii="仿宋_GB2312" w:hAnsi="宋体" w:eastAsia="仿宋_GB2312"/>
          <w:color w:val="auto"/>
          <w:sz w:val="30"/>
          <w:szCs w:val="30"/>
          <w:highlight w:val="none"/>
          <w:u w:val="single"/>
        </w:rPr>
        <w:t xml:space="preserve">  (签字或签章)            </w:t>
      </w:r>
    </w:p>
    <w:p>
      <w:pPr>
        <w:pStyle w:val="185"/>
        <w:snapToGrid w:val="0"/>
        <w:spacing w:line="600" w:lineRule="exact"/>
        <w:ind w:firstLine="3600" w:firstLineChars="1200"/>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委托代理人：</w:t>
      </w:r>
      <w:r>
        <w:rPr>
          <w:rFonts w:hint="eastAsia" w:ascii="仿宋_GB2312" w:hAnsi="宋体" w:eastAsia="仿宋_GB2312"/>
          <w:color w:val="auto"/>
          <w:sz w:val="30"/>
          <w:szCs w:val="30"/>
          <w:highlight w:val="none"/>
          <w:u w:val="single"/>
        </w:rPr>
        <w:t xml:space="preserve">       (签字或签章)            </w:t>
      </w:r>
    </w:p>
    <w:p>
      <w:pPr>
        <w:adjustRightInd w:val="0"/>
        <w:snapToGrid w:val="0"/>
        <w:spacing w:line="600" w:lineRule="exact"/>
        <w:rPr>
          <w:rFonts w:hint="eastAsia" w:ascii="仿宋_GB2312" w:hAnsi="宋体" w:eastAsia="仿宋_GB2312"/>
          <w:color w:val="auto"/>
          <w:sz w:val="30"/>
          <w:szCs w:val="30"/>
          <w:highlight w:val="none"/>
        </w:rPr>
      </w:pPr>
      <w:r>
        <w:rPr>
          <w:rFonts w:hint="eastAsia" w:ascii="仿宋_GB2312" w:hAnsi="宋体" w:eastAsia="仿宋_GB2312"/>
          <w:color w:val="auto"/>
          <w:sz w:val="30"/>
          <w:szCs w:val="30"/>
          <w:highlight w:val="none"/>
        </w:rPr>
        <w:t xml:space="preserve">                        日    期：</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年</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月</w:t>
      </w:r>
      <w:r>
        <w:rPr>
          <w:rFonts w:hint="eastAsia" w:ascii="仿宋_GB2312" w:hAnsi="宋体" w:eastAsia="仿宋_GB2312"/>
          <w:color w:val="auto"/>
          <w:sz w:val="30"/>
          <w:szCs w:val="30"/>
          <w:highlight w:val="none"/>
          <w:u w:val="single"/>
        </w:rPr>
        <w:t xml:space="preserve">     </w:t>
      </w:r>
      <w:r>
        <w:rPr>
          <w:rFonts w:hint="eastAsia" w:ascii="仿宋_GB2312" w:hAnsi="宋体" w:eastAsia="仿宋_GB2312"/>
          <w:color w:val="auto"/>
          <w:sz w:val="30"/>
          <w:szCs w:val="30"/>
          <w:highlight w:val="none"/>
        </w:rPr>
        <w:t>日</w:t>
      </w:r>
    </w:p>
    <w:p>
      <w:pPr>
        <w:pStyle w:val="84"/>
        <w:ind w:firstLine="600"/>
        <w:rPr>
          <w:rFonts w:ascii="仿宋_GB2312" w:hAnsi="宋体" w:eastAsia="仿宋_GB2312"/>
          <w:sz w:val="30"/>
          <w:szCs w:val="30"/>
          <w:highlight w:val="none"/>
        </w:rPr>
      </w:pPr>
    </w:p>
    <w:p>
      <w:pPr>
        <w:pStyle w:val="84"/>
        <w:ind w:firstLine="600"/>
        <w:rPr>
          <w:rFonts w:ascii="仿宋_GB2312" w:hAnsi="宋体" w:eastAsia="仿宋_GB2312"/>
          <w:sz w:val="30"/>
          <w:szCs w:val="30"/>
          <w:highlight w:val="none"/>
        </w:rPr>
      </w:pPr>
    </w:p>
    <w:p>
      <w:pPr>
        <w:pStyle w:val="84"/>
        <w:ind w:firstLine="600"/>
        <w:rPr>
          <w:rFonts w:ascii="仿宋_GB2312" w:hAnsi="宋体" w:eastAsia="仿宋_GB2312"/>
          <w:sz w:val="30"/>
          <w:szCs w:val="30"/>
          <w:highlight w:val="none"/>
        </w:rPr>
      </w:pPr>
    </w:p>
    <w:p>
      <w:pPr>
        <w:pStyle w:val="84"/>
        <w:ind w:firstLine="600"/>
        <w:rPr>
          <w:rFonts w:ascii="仿宋_GB2312" w:hAnsi="宋体" w:eastAsia="仿宋_GB2312"/>
          <w:sz w:val="30"/>
          <w:szCs w:val="30"/>
          <w:highlight w:val="none"/>
        </w:rPr>
      </w:pPr>
    </w:p>
    <w:p>
      <w:pPr>
        <w:pStyle w:val="19"/>
        <w:spacing w:line="600" w:lineRule="exact"/>
        <w:rPr>
          <w:rFonts w:ascii="仿宋_GB2312" w:eastAsia="仿宋_GB2312"/>
          <w:highlight w:val="none"/>
        </w:rPr>
      </w:pPr>
      <w:r>
        <w:rPr>
          <w:rFonts w:ascii="仿宋_GB2312" w:eastAsia="仿宋_GB2312"/>
          <w:sz w:val="44"/>
          <w:szCs w:val="44"/>
          <w:highlight w:val="none"/>
          <w:u w:val="single"/>
        </w:rPr>
        <mc:AlternateContent>
          <mc:Choice Requires="wps">
            <w:drawing>
              <wp:anchor distT="0" distB="0" distL="114300" distR="114300" simplePos="0" relativeHeight="251673600" behindDoc="0" locked="0" layoutInCell="1" allowOverlap="1">
                <wp:simplePos x="0" y="0"/>
                <wp:positionH relativeFrom="column">
                  <wp:posOffset>615950</wp:posOffset>
                </wp:positionH>
                <wp:positionV relativeFrom="paragraph">
                  <wp:posOffset>200025</wp:posOffset>
                </wp:positionV>
                <wp:extent cx="3771900" cy="1287780"/>
                <wp:effectExtent l="4445" t="5080" r="14605" b="21590"/>
                <wp:wrapSquare wrapText="bothSides"/>
                <wp:docPr id="10" name="文本框 2"/>
                <wp:cNvGraphicFramePr/>
                <a:graphic xmlns:a="http://schemas.openxmlformats.org/drawingml/2006/main">
                  <a:graphicData uri="http://schemas.microsoft.com/office/word/2010/wordprocessingShape">
                    <wps:wsp>
                      <wps:cNvSpPr txBox="1">
                        <a:spLocks noChangeArrowheads="1"/>
                      </wps:cNvSpPr>
                      <wps:spPr bwMode="auto">
                        <a:xfrm>
                          <a:off x="0" y="0"/>
                          <a:ext cx="3771900" cy="1287780"/>
                        </a:xfrm>
                        <a:prstGeom prst="rect">
                          <a:avLst/>
                        </a:prstGeom>
                        <a:solidFill>
                          <a:srgbClr val="FFFFFF"/>
                        </a:solidFill>
                        <a:ln w="9525">
                          <a:solidFill>
                            <a:srgbClr val="000000"/>
                          </a:solidFill>
                          <a:miter lim="800000"/>
                        </a:ln>
                        <a:effectLst/>
                      </wps:spPr>
                      <wps:txb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8.5pt;margin-top:15.75pt;height:101.4pt;width:297pt;mso-wrap-distance-bottom:0pt;mso-wrap-distance-left:9pt;mso-wrap-distance-right:9pt;mso-wrap-distance-top:0pt;z-index:251673600;mso-width-relative:page;mso-height-relative:page;" fillcolor="#FFFFFF" filled="t" stroked="t" coordsize="21600,21600" o:gfxdata="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PUyKI7ZAAAACQEAAA8AAAAAAAAA&#10;AQAgAAAAIgAAAGRycy9kb3ducmV2LnhtbFBLAQIUABQAAAAIAIdO4kCLD53XSQIAAJcEAAAOAAAA&#10;AAAAAAEAIAAAACgBAABkcnMvZTJvRG9jLnhtbFBLBQYAAAAABgAGAFkBAADjBQAAAAA=&#10;">
                <v:fill on="t" focussize="0,0"/>
                <v:stroke color="#000000" miterlimit="8" joinstyle="miter"/>
                <v:imagedata o:title=""/>
                <o:lock v:ext="edit" aspectratio="f"/>
                <v:textbox>
                  <w:txbxContent>
                    <w:p>
                      <w:pPr>
                        <w:jc w:val="center"/>
                        <w:rPr>
                          <w:sz w:val="24"/>
                        </w:rPr>
                      </w:pPr>
                    </w:p>
                    <w:p>
                      <w:pPr>
                        <w:jc w:val="center"/>
                        <w:rPr>
                          <w:color w:val="FF0000"/>
                          <w:sz w:val="24"/>
                        </w:rPr>
                      </w:pPr>
                    </w:p>
                    <w:p>
                      <w:pPr>
                        <w:jc w:val="center"/>
                        <w:rPr>
                          <w:sz w:val="24"/>
                        </w:rPr>
                      </w:pPr>
                      <w:r>
                        <w:rPr>
                          <w:rFonts w:hint="eastAsia"/>
                          <w:sz w:val="24"/>
                        </w:rPr>
                        <w:t>身份证复印件（含正反面）</w:t>
                      </w:r>
                    </w:p>
                  </w:txbxContent>
                </v:textbox>
                <w10:wrap type="square"/>
              </v:shape>
            </w:pict>
          </mc:Fallback>
        </mc:AlternateContent>
      </w:r>
    </w:p>
    <w:p>
      <w:pPr>
        <w:pStyle w:val="19"/>
        <w:spacing w:line="600" w:lineRule="exact"/>
        <w:rPr>
          <w:rFonts w:ascii="仿宋_GB2312" w:eastAsia="仿宋_GB2312"/>
          <w:highlight w:val="none"/>
        </w:rPr>
      </w:pPr>
    </w:p>
    <w:p>
      <w:pPr>
        <w:pStyle w:val="19"/>
        <w:spacing w:line="600" w:lineRule="exact"/>
        <w:rPr>
          <w:rFonts w:ascii="仿宋_GB2312" w:eastAsia="仿宋_GB2312"/>
          <w:highlight w:val="none"/>
        </w:rPr>
      </w:pPr>
    </w:p>
    <w:p>
      <w:pPr>
        <w:pStyle w:val="19"/>
        <w:spacing w:line="600" w:lineRule="exact"/>
        <w:ind w:firstLine="0"/>
        <w:rPr>
          <w:rFonts w:ascii="仿宋_GB2312" w:eastAsia="仿宋_GB2312"/>
          <w:highlight w:val="none"/>
        </w:rPr>
      </w:pPr>
    </w:p>
    <w:p>
      <w:pPr>
        <w:pStyle w:val="19"/>
        <w:spacing w:line="600" w:lineRule="exact"/>
        <w:rPr>
          <w:rFonts w:ascii="仿宋_GB2312" w:eastAsia="仿宋_GB2312"/>
          <w:highlight w:val="none"/>
        </w:rPr>
      </w:pPr>
    </w:p>
    <w:p>
      <w:pPr>
        <w:adjustRightInd w:val="0"/>
        <w:snapToGrid w:val="0"/>
        <w:spacing w:line="600" w:lineRule="exact"/>
        <w:ind w:firstLine="480"/>
        <w:rPr>
          <w:rFonts w:hint="eastAsia" w:ascii="仿宋_GB2312" w:hAnsi="宋体" w:eastAsia="仿宋_GB2312"/>
          <w:color w:val="auto"/>
          <w:kern w:val="0"/>
          <w:szCs w:val="21"/>
          <w:highlight w:val="none"/>
        </w:rPr>
      </w:pPr>
      <w:r>
        <w:rPr>
          <w:rFonts w:hint="eastAsia" w:ascii="仿宋_GB2312" w:hAnsi="宋体" w:eastAsia="仿宋_GB2312"/>
          <w:color w:val="auto"/>
          <w:kern w:val="0"/>
          <w:szCs w:val="21"/>
          <w:highlight w:val="none"/>
        </w:rPr>
        <w:t>注：法人（单位负责人）授权委托书亦可采用工商行政管理局统一制订的格式。</w:t>
      </w:r>
    </w:p>
    <w:tbl>
      <w:tblPr>
        <w:tblStyle w:val="8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0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6" w:hRule="atLeast"/>
        </w:trPr>
        <w:tc>
          <w:tcPr>
            <w:tcW w:w="9608" w:type="dxa"/>
            <w:noWrap w:val="0"/>
            <w:vAlign w:val="top"/>
          </w:tcPr>
          <w:p>
            <w:pPr>
              <w:widowControl w:val="0"/>
              <w:adjustRightInd w:val="0"/>
              <w:spacing w:line="360" w:lineRule="auto"/>
              <w:jc w:val="both"/>
              <w:textAlignment w:val="baseline"/>
              <w:rPr>
                <w:rFonts w:hint="eastAsia" w:ascii="宋体" w:hAnsi="宋体" w:cs="Times New Roman"/>
                <w:color w:val="auto"/>
                <w:sz w:val="24"/>
                <w:szCs w:val="24"/>
                <w:highlight w:val="none"/>
              </w:rPr>
            </w:pPr>
          </w:p>
          <w:p>
            <w:pPr>
              <w:widowControl w:val="0"/>
              <w:adjustRightInd w:val="0"/>
              <w:spacing w:line="360" w:lineRule="auto"/>
              <w:jc w:val="center"/>
              <w:textAlignment w:val="baseline"/>
              <w:rPr>
                <w:rFonts w:hint="eastAsia" w:ascii="宋体" w:hAnsi="宋体" w:cs="Times New Roman"/>
                <w:color w:val="auto"/>
                <w:sz w:val="24"/>
                <w:szCs w:val="24"/>
                <w:highlight w:val="none"/>
              </w:rPr>
            </w:pPr>
          </w:p>
          <w:p>
            <w:pPr>
              <w:widowControl w:val="0"/>
              <w:adjustRightInd w:val="0"/>
              <w:spacing w:line="360" w:lineRule="auto"/>
              <w:jc w:val="center"/>
              <w:textAlignment w:val="baseline"/>
              <w:rPr>
                <w:rFonts w:hint="eastAsia" w:ascii="宋体" w:hAnsi="宋体"/>
                <w:color w:val="auto"/>
                <w:sz w:val="24"/>
                <w:szCs w:val="24"/>
                <w:highlight w:val="none"/>
              </w:rPr>
            </w:pPr>
            <w:r>
              <w:rPr>
                <w:rFonts w:hint="eastAsia" w:ascii="宋体" w:hAnsi="宋体" w:cs="Times New Roman"/>
                <w:color w:val="auto"/>
                <w:sz w:val="24"/>
                <w:szCs w:val="24"/>
                <w:highlight w:val="none"/>
              </w:rPr>
              <w:t>授权代理人自公告发布当月起在本单位近三个月社保记录，（以加盖社会保险基金管理中心印章的《缴费历史明细表》或《社会保险参保人员证明》为准，加</w:t>
            </w:r>
            <w:r>
              <w:rPr>
                <w:rFonts w:hint="eastAsia" w:ascii="宋体" w:hAnsi="宋体"/>
                <w:color w:val="auto"/>
                <w:sz w:val="24"/>
                <w:szCs w:val="24"/>
                <w:highlight w:val="none"/>
              </w:rPr>
              <w:t>盖单位公章</w:t>
            </w:r>
          </w:p>
          <w:p>
            <w:pPr>
              <w:widowControl w:val="0"/>
              <w:adjustRightInd w:val="0"/>
              <w:spacing w:line="360" w:lineRule="auto"/>
              <w:jc w:val="center"/>
              <w:textAlignment w:val="baseline"/>
              <w:rPr>
                <w:rFonts w:hint="eastAsia" w:ascii="宋体" w:hAnsi="宋体"/>
                <w:color w:val="auto"/>
                <w:sz w:val="24"/>
                <w:szCs w:val="24"/>
                <w:highlight w:val="none"/>
              </w:rPr>
            </w:pPr>
          </w:p>
          <w:p>
            <w:pPr>
              <w:widowControl w:val="0"/>
              <w:adjustRightInd w:val="0"/>
              <w:spacing w:line="360" w:lineRule="auto"/>
              <w:jc w:val="left"/>
              <w:textAlignment w:val="baseline"/>
              <w:rPr>
                <w:rFonts w:hint="eastAsia" w:ascii="宋体" w:hAnsi="宋体"/>
                <w:color w:val="auto"/>
                <w:sz w:val="24"/>
                <w:szCs w:val="24"/>
                <w:highlight w:val="none"/>
              </w:rPr>
            </w:pPr>
          </w:p>
          <w:p>
            <w:pPr>
              <w:widowControl w:val="0"/>
              <w:adjustRightInd w:val="0"/>
              <w:spacing w:line="360" w:lineRule="auto"/>
              <w:jc w:val="left"/>
              <w:textAlignment w:val="baseline"/>
              <w:rPr>
                <w:rFonts w:hint="eastAsia" w:ascii="宋体" w:hAnsi="宋体"/>
                <w:color w:val="auto"/>
                <w:sz w:val="24"/>
                <w:szCs w:val="24"/>
                <w:highlight w:val="none"/>
              </w:rPr>
            </w:pPr>
          </w:p>
        </w:tc>
      </w:tr>
    </w:tbl>
    <w:p>
      <w:pPr>
        <w:spacing w:line="440" w:lineRule="exact"/>
        <w:ind w:firstLine="859" w:firstLineChars="307"/>
        <w:rPr>
          <w:rFonts w:hint="eastAsia" w:ascii="仿宋" w:hAnsi="仿宋" w:eastAsia="仿宋" w:cs="仿宋_GB2312"/>
          <w:color w:val="auto"/>
          <w:sz w:val="28"/>
          <w:szCs w:val="28"/>
          <w:highlight w:val="none"/>
        </w:rPr>
      </w:pPr>
    </w:p>
    <w:p>
      <w:pPr>
        <w:spacing w:line="480" w:lineRule="exact"/>
        <w:ind w:firstLine="843" w:firstLineChars="300"/>
        <w:rPr>
          <w:rFonts w:hint="eastAsia" w:ascii="仿宋" w:hAnsi="仿宋" w:eastAsia="仿宋" w:cs="仿宋_GB2312"/>
          <w:b/>
          <w:color w:val="auto"/>
          <w:sz w:val="28"/>
          <w:szCs w:val="28"/>
          <w:highlight w:val="none"/>
        </w:rPr>
      </w:pPr>
    </w:p>
    <w:p>
      <w:pPr>
        <w:pStyle w:val="84"/>
        <w:ind w:firstLine="562"/>
        <w:rPr>
          <w:rFonts w:ascii="仿宋" w:hAnsi="仿宋" w:eastAsia="仿宋" w:cs="仿宋_GB2312"/>
          <w:b/>
          <w:sz w:val="28"/>
          <w:szCs w:val="28"/>
          <w:highlight w:val="none"/>
        </w:rPr>
      </w:pPr>
    </w:p>
    <w:p>
      <w:pPr>
        <w:pStyle w:val="84"/>
        <w:ind w:firstLine="562"/>
        <w:rPr>
          <w:rFonts w:ascii="仿宋" w:hAnsi="仿宋" w:eastAsia="仿宋" w:cs="仿宋_GB2312"/>
          <w:b/>
          <w:sz w:val="28"/>
          <w:szCs w:val="28"/>
          <w:highlight w:val="none"/>
        </w:rPr>
      </w:pPr>
    </w:p>
    <w:p>
      <w:pPr>
        <w:pStyle w:val="84"/>
        <w:ind w:firstLine="562"/>
        <w:rPr>
          <w:rFonts w:ascii="仿宋" w:hAnsi="仿宋" w:eastAsia="仿宋" w:cs="仿宋_GB2312"/>
          <w:b/>
          <w:sz w:val="28"/>
          <w:szCs w:val="28"/>
          <w:highlight w:val="none"/>
        </w:rPr>
      </w:pPr>
    </w:p>
    <w:p>
      <w:pPr>
        <w:pStyle w:val="84"/>
        <w:ind w:firstLine="480"/>
        <w:rPr>
          <w:rFonts w:hint="default"/>
          <w:highlight w:val="none"/>
        </w:rPr>
      </w:pPr>
    </w:p>
    <w:p>
      <w:pPr>
        <w:pStyle w:val="4"/>
        <w:rPr>
          <w:rFonts w:hint="eastAsia" w:ascii="等线" w:hAnsi="等线" w:eastAsia="等线"/>
          <w:color w:val="auto"/>
          <w:szCs w:val="28"/>
          <w:highlight w:val="none"/>
        </w:rPr>
      </w:pPr>
      <w:bookmarkStart w:id="128" w:name="_Toc88209963"/>
      <w:bookmarkStart w:id="129" w:name="_Toc19830"/>
      <w:bookmarkStart w:id="130" w:name="_Toc87616400"/>
      <w:bookmarkStart w:id="131" w:name="_Toc8086"/>
      <w:r>
        <w:rPr>
          <w:rFonts w:hint="eastAsia" w:ascii="仿宋_GB2312" w:hAnsi="等线" w:eastAsia="仿宋_GB2312"/>
          <w:color w:val="auto"/>
          <w:szCs w:val="28"/>
          <w:highlight w:val="none"/>
        </w:rPr>
        <w:t>3</w:t>
      </w:r>
      <w:r>
        <w:rPr>
          <w:rFonts w:hint="eastAsia" w:ascii="等线" w:hAnsi="等线" w:eastAsia="等线"/>
          <w:color w:val="auto"/>
          <w:szCs w:val="28"/>
          <w:highlight w:val="none"/>
        </w:rPr>
        <w:t>.资格审查资料</w:t>
      </w:r>
      <w:bookmarkEnd w:id="128"/>
      <w:bookmarkEnd w:id="129"/>
      <w:bookmarkEnd w:id="130"/>
      <w:bookmarkEnd w:id="131"/>
    </w:p>
    <w:p>
      <w:pPr>
        <w:spacing w:line="360" w:lineRule="auto"/>
        <w:rPr>
          <w:rFonts w:hint="eastAsia" w:ascii="仿宋_GB2312" w:hAnsi="黑体" w:eastAsia="仿宋_GB2312"/>
          <w:color w:val="auto"/>
          <w:sz w:val="28"/>
          <w:szCs w:val="28"/>
          <w:highlight w:val="none"/>
        </w:rPr>
      </w:pPr>
      <w:r>
        <w:rPr>
          <w:rFonts w:hint="eastAsia" w:ascii="仿宋_GB2312" w:hAnsi="黑体" w:eastAsia="仿宋_GB2312"/>
          <w:color w:val="auto"/>
          <w:sz w:val="28"/>
          <w:szCs w:val="28"/>
          <w:highlight w:val="none"/>
        </w:rPr>
        <w:t>3.1供应商基本情况表</w:t>
      </w:r>
    </w:p>
    <w:tbl>
      <w:tblPr>
        <w:tblStyle w:val="86"/>
        <w:tblW w:w="9264" w:type="dxa"/>
        <w:tblInd w:w="-20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986"/>
        <w:gridCol w:w="1134"/>
        <w:gridCol w:w="966"/>
        <w:gridCol w:w="1018"/>
        <w:gridCol w:w="142"/>
        <w:gridCol w:w="283"/>
        <w:gridCol w:w="1145"/>
        <w:gridCol w:w="840"/>
        <w:gridCol w:w="455"/>
        <w:gridCol w:w="129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供应商名称</w:t>
            </w:r>
          </w:p>
        </w:tc>
        <w:tc>
          <w:tcPr>
            <w:tcW w:w="7278" w:type="dxa"/>
            <w:gridSpan w:val="9"/>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注册地址</w:t>
            </w:r>
          </w:p>
        </w:tc>
        <w:tc>
          <w:tcPr>
            <w:tcW w:w="3118" w:type="dxa"/>
            <w:gridSpan w:val="3"/>
            <w:noWrap w:val="0"/>
            <w:vAlign w:val="top"/>
          </w:tcPr>
          <w:p>
            <w:pPr>
              <w:pStyle w:val="399"/>
              <w:adjustRightInd w:val="0"/>
              <w:textAlignment w:val="baseline"/>
              <w:rPr>
                <w:rFonts w:hint="eastAsia"/>
                <w:color w:val="auto"/>
                <w:highlight w:val="none"/>
              </w:rPr>
            </w:pPr>
          </w:p>
        </w:tc>
        <w:tc>
          <w:tcPr>
            <w:tcW w:w="1570"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邮政编码</w:t>
            </w:r>
          </w:p>
        </w:tc>
        <w:tc>
          <w:tcPr>
            <w:tcW w:w="2590" w:type="dxa"/>
            <w:gridSpan w:val="3"/>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vMerge w:val="restart"/>
            <w:noWrap w:val="0"/>
            <w:vAlign w:val="center"/>
          </w:tcPr>
          <w:p>
            <w:pPr>
              <w:pStyle w:val="399"/>
              <w:adjustRightInd w:val="0"/>
              <w:textAlignment w:val="baseline"/>
              <w:rPr>
                <w:rFonts w:hint="eastAsia"/>
                <w:color w:val="auto"/>
                <w:highlight w:val="none"/>
              </w:rPr>
            </w:pPr>
            <w:r>
              <w:rPr>
                <w:rFonts w:hint="eastAsia"/>
                <w:color w:val="auto"/>
                <w:highlight w:val="none"/>
              </w:rPr>
              <w:t>联系方式</w:t>
            </w:r>
          </w:p>
        </w:tc>
        <w:tc>
          <w:tcPr>
            <w:tcW w:w="1134" w:type="dxa"/>
            <w:noWrap w:val="0"/>
            <w:vAlign w:val="center"/>
          </w:tcPr>
          <w:p>
            <w:pPr>
              <w:pStyle w:val="399"/>
              <w:adjustRightInd w:val="0"/>
              <w:textAlignment w:val="baseline"/>
              <w:rPr>
                <w:rFonts w:hint="eastAsia"/>
                <w:color w:val="auto"/>
                <w:highlight w:val="none"/>
              </w:rPr>
            </w:pPr>
            <w:r>
              <w:rPr>
                <w:rFonts w:hint="eastAsia"/>
                <w:color w:val="auto"/>
                <w:highlight w:val="none"/>
              </w:rPr>
              <w:t>联系人</w:t>
            </w:r>
          </w:p>
        </w:tc>
        <w:tc>
          <w:tcPr>
            <w:tcW w:w="1984" w:type="dxa"/>
            <w:gridSpan w:val="2"/>
            <w:noWrap w:val="0"/>
            <w:vAlign w:val="center"/>
          </w:tcPr>
          <w:p>
            <w:pPr>
              <w:pStyle w:val="399"/>
              <w:adjustRightInd w:val="0"/>
              <w:textAlignment w:val="baseline"/>
              <w:rPr>
                <w:rFonts w:hint="eastAsia"/>
                <w:color w:val="auto"/>
                <w:highlight w:val="none"/>
              </w:rPr>
            </w:pPr>
          </w:p>
        </w:tc>
        <w:tc>
          <w:tcPr>
            <w:tcW w:w="1570" w:type="dxa"/>
            <w:gridSpan w:val="3"/>
            <w:noWrap w:val="0"/>
            <w:vAlign w:val="center"/>
          </w:tcPr>
          <w:p>
            <w:pPr>
              <w:pStyle w:val="399"/>
              <w:adjustRightInd w:val="0"/>
              <w:textAlignment w:val="baseline"/>
              <w:rPr>
                <w:rFonts w:hint="eastAsia"/>
                <w:color w:val="auto"/>
                <w:highlight w:val="none"/>
              </w:rPr>
            </w:pPr>
            <w:r>
              <w:rPr>
                <w:rFonts w:hint="eastAsia"/>
                <w:color w:val="auto"/>
                <w:highlight w:val="none"/>
              </w:rPr>
              <w:t>电话</w:t>
            </w:r>
          </w:p>
        </w:tc>
        <w:tc>
          <w:tcPr>
            <w:tcW w:w="2590" w:type="dxa"/>
            <w:gridSpan w:val="3"/>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vMerge w:val="continue"/>
            <w:noWrap w:val="0"/>
            <w:vAlign w:val="center"/>
          </w:tcPr>
          <w:p>
            <w:pPr>
              <w:pStyle w:val="399"/>
              <w:adjustRightInd w:val="0"/>
              <w:textAlignment w:val="baseline"/>
              <w:rPr>
                <w:rFonts w:hint="eastAsia"/>
                <w:color w:val="auto"/>
                <w:highlight w:val="none"/>
              </w:rPr>
            </w:pPr>
          </w:p>
        </w:tc>
        <w:tc>
          <w:tcPr>
            <w:tcW w:w="1134" w:type="dxa"/>
            <w:noWrap w:val="0"/>
            <w:vAlign w:val="center"/>
          </w:tcPr>
          <w:p>
            <w:pPr>
              <w:pStyle w:val="399"/>
              <w:adjustRightInd w:val="0"/>
              <w:textAlignment w:val="baseline"/>
              <w:rPr>
                <w:rFonts w:hint="eastAsia"/>
                <w:color w:val="auto"/>
                <w:highlight w:val="none"/>
              </w:rPr>
            </w:pPr>
            <w:r>
              <w:rPr>
                <w:rFonts w:hint="eastAsia"/>
                <w:color w:val="auto"/>
                <w:highlight w:val="none"/>
              </w:rPr>
              <w:t>传真</w:t>
            </w:r>
          </w:p>
        </w:tc>
        <w:tc>
          <w:tcPr>
            <w:tcW w:w="1984" w:type="dxa"/>
            <w:gridSpan w:val="2"/>
            <w:noWrap w:val="0"/>
            <w:vAlign w:val="center"/>
          </w:tcPr>
          <w:p>
            <w:pPr>
              <w:pStyle w:val="399"/>
              <w:adjustRightInd w:val="0"/>
              <w:textAlignment w:val="baseline"/>
              <w:rPr>
                <w:rFonts w:hint="eastAsia"/>
                <w:color w:val="auto"/>
                <w:highlight w:val="none"/>
              </w:rPr>
            </w:pPr>
          </w:p>
        </w:tc>
        <w:tc>
          <w:tcPr>
            <w:tcW w:w="1570" w:type="dxa"/>
            <w:gridSpan w:val="3"/>
            <w:noWrap w:val="0"/>
            <w:vAlign w:val="center"/>
          </w:tcPr>
          <w:p>
            <w:pPr>
              <w:pStyle w:val="399"/>
              <w:adjustRightInd w:val="0"/>
              <w:textAlignment w:val="baseline"/>
              <w:rPr>
                <w:rFonts w:hint="eastAsia"/>
                <w:color w:val="auto"/>
                <w:highlight w:val="none"/>
              </w:rPr>
            </w:pPr>
            <w:r>
              <w:rPr>
                <w:rFonts w:hint="eastAsia"/>
                <w:color w:val="auto"/>
                <w:highlight w:val="none"/>
              </w:rPr>
              <w:t>网址</w:t>
            </w:r>
          </w:p>
        </w:tc>
        <w:tc>
          <w:tcPr>
            <w:tcW w:w="2590" w:type="dxa"/>
            <w:gridSpan w:val="3"/>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组织结构</w:t>
            </w:r>
          </w:p>
        </w:tc>
        <w:tc>
          <w:tcPr>
            <w:tcW w:w="7278" w:type="dxa"/>
            <w:gridSpan w:val="9"/>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法定代表人</w:t>
            </w:r>
          </w:p>
        </w:tc>
        <w:tc>
          <w:tcPr>
            <w:tcW w:w="1134" w:type="dxa"/>
            <w:noWrap w:val="0"/>
            <w:vAlign w:val="top"/>
          </w:tcPr>
          <w:p>
            <w:pPr>
              <w:pStyle w:val="399"/>
              <w:adjustRightInd w:val="0"/>
              <w:textAlignment w:val="baseline"/>
              <w:rPr>
                <w:rFonts w:hint="eastAsia"/>
                <w:color w:val="auto"/>
                <w:highlight w:val="none"/>
              </w:rPr>
            </w:pPr>
            <w:r>
              <w:rPr>
                <w:rFonts w:hint="eastAsia"/>
                <w:color w:val="auto"/>
                <w:highlight w:val="none"/>
              </w:rPr>
              <w:t>姓名</w:t>
            </w:r>
          </w:p>
        </w:tc>
        <w:tc>
          <w:tcPr>
            <w:tcW w:w="966" w:type="dxa"/>
            <w:noWrap w:val="0"/>
            <w:vAlign w:val="top"/>
          </w:tcPr>
          <w:p>
            <w:pPr>
              <w:pStyle w:val="399"/>
              <w:adjustRightInd w:val="0"/>
              <w:textAlignment w:val="baseline"/>
              <w:rPr>
                <w:rFonts w:hint="eastAsia"/>
                <w:color w:val="auto"/>
                <w:highlight w:val="none"/>
              </w:rPr>
            </w:pPr>
          </w:p>
        </w:tc>
        <w:tc>
          <w:tcPr>
            <w:tcW w:w="1443"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技术职称</w:t>
            </w:r>
          </w:p>
        </w:tc>
        <w:tc>
          <w:tcPr>
            <w:tcW w:w="1145" w:type="dxa"/>
            <w:noWrap w:val="0"/>
            <w:vAlign w:val="top"/>
          </w:tcPr>
          <w:p>
            <w:pPr>
              <w:pStyle w:val="399"/>
              <w:adjustRightInd w:val="0"/>
              <w:textAlignment w:val="baseline"/>
              <w:rPr>
                <w:rFonts w:hint="eastAsia"/>
                <w:color w:val="auto"/>
                <w:highlight w:val="none"/>
              </w:rPr>
            </w:pPr>
          </w:p>
        </w:tc>
        <w:tc>
          <w:tcPr>
            <w:tcW w:w="1295" w:type="dxa"/>
            <w:gridSpan w:val="2"/>
            <w:noWrap w:val="0"/>
            <w:vAlign w:val="top"/>
          </w:tcPr>
          <w:p>
            <w:pPr>
              <w:pStyle w:val="399"/>
              <w:adjustRightInd w:val="0"/>
              <w:textAlignment w:val="baseline"/>
              <w:rPr>
                <w:rFonts w:hint="eastAsia"/>
                <w:color w:val="auto"/>
                <w:highlight w:val="none"/>
              </w:rPr>
            </w:pPr>
            <w:r>
              <w:rPr>
                <w:rFonts w:hint="eastAsia"/>
                <w:color w:val="auto"/>
                <w:highlight w:val="none"/>
              </w:rPr>
              <w:t>电话</w:t>
            </w:r>
          </w:p>
        </w:tc>
        <w:tc>
          <w:tcPr>
            <w:tcW w:w="1295" w:type="dxa"/>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技术负责人</w:t>
            </w:r>
          </w:p>
        </w:tc>
        <w:tc>
          <w:tcPr>
            <w:tcW w:w="1134" w:type="dxa"/>
            <w:noWrap w:val="0"/>
            <w:vAlign w:val="top"/>
          </w:tcPr>
          <w:p>
            <w:pPr>
              <w:pStyle w:val="399"/>
              <w:adjustRightInd w:val="0"/>
              <w:textAlignment w:val="baseline"/>
              <w:rPr>
                <w:rFonts w:hint="eastAsia"/>
                <w:color w:val="auto"/>
                <w:highlight w:val="none"/>
              </w:rPr>
            </w:pPr>
            <w:r>
              <w:rPr>
                <w:rFonts w:hint="eastAsia"/>
                <w:color w:val="auto"/>
                <w:highlight w:val="none"/>
              </w:rPr>
              <w:t>姓名</w:t>
            </w:r>
          </w:p>
        </w:tc>
        <w:tc>
          <w:tcPr>
            <w:tcW w:w="966" w:type="dxa"/>
            <w:noWrap w:val="0"/>
            <w:vAlign w:val="top"/>
          </w:tcPr>
          <w:p>
            <w:pPr>
              <w:pStyle w:val="399"/>
              <w:adjustRightInd w:val="0"/>
              <w:textAlignment w:val="baseline"/>
              <w:rPr>
                <w:rFonts w:hint="eastAsia"/>
                <w:color w:val="auto"/>
                <w:highlight w:val="none"/>
              </w:rPr>
            </w:pPr>
          </w:p>
        </w:tc>
        <w:tc>
          <w:tcPr>
            <w:tcW w:w="1443"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技术职称</w:t>
            </w:r>
          </w:p>
        </w:tc>
        <w:tc>
          <w:tcPr>
            <w:tcW w:w="1145" w:type="dxa"/>
            <w:noWrap w:val="0"/>
            <w:vAlign w:val="top"/>
          </w:tcPr>
          <w:p>
            <w:pPr>
              <w:pStyle w:val="399"/>
              <w:adjustRightInd w:val="0"/>
              <w:textAlignment w:val="baseline"/>
              <w:rPr>
                <w:rFonts w:hint="eastAsia"/>
                <w:color w:val="auto"/>
                <w:highlight w:val="none"/>
              </w:rPr>
            </w:pPr>
          </w:p>
        </w:tc>
        <w:tc>
          <w:tcPr>
            <w:tcW w:w="1295" w:type="dxa"/>
            <w:gridSpan w:val="2"/>
            <w:noWrap w:val="0"/>
            <w:vAlign w:val="top"/>
          </w:tcPr>
          <w:p>
            <w:pPr>
              <w:pStyle w:val="399"/>
              <w:adjustRightInd w:val="0"/>
              <w:textAlignment w:val="baseline"/>
              <w:rPr>
                <w:rFonts w:hint="eastAsia"/>
                <w:color w:val="auto"/>
                <w:highlight w:val="none"/>
              </w:rPr>
            </w:pPr>
            <w:r>
              <w:rPr>
                <w:rFonts w:hint="eastAsia"/>
                <w:color w:val="auto"/>
                <w:highlight w:val="none"/>
              </w:rPr>
              <w:t>电话</w:t>
            </w:r>
          </w:p>
        </w:tc>
        <w:tc>
          <w:tcPr>
            <w:tcW w:w="1295" w:type="dxa"/>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成立时间</w:t>
            </w:r>
          </w:p>
        </w:tc>
        <w:tc>
          <w:tcPr>
            <w:tcW w:w="2100" w:type="dxa"/>
            <w:gridSpan w:val="2"/>
            <w:noWrap w:val="0"/>
            <w:vAlign w:val="top"/>
          </w:tcPr>
          <w:p>
            <w:pPr>
              <w:pStyle w:val="399"/>
              <w:adjustRightInd w:val="0"/>
              <w:textAlignment w:val="baseline"/>
              <w:rPr>
                <w:rFonts w:hint="eastAsia"/>
                <w:color w:val="auto"/>
                <w:highlight w:val="none"/>
              </w:rPr>
            </w:pPr>
          </w:p>
        </w:tc>
        <w:tc>
          <w:tcPr>
            <w:tcW w:w="5178" w:type="dxa"/>
            <w:gridSpan w:val="7"/>
            <w:noWrap w:val="0"/>
            <w:vAlign w:val="top"/>
          </w:tcPr>
          <w:p>
            <w:pPr>
              <w:pStyle w:val="399"/>
              <w:adjustRightInd w:val="0"/>
              <w:textAlignment w:val="baseline"/>
              <w:rPr>
                <w:rFonts w:hint="eastAsia"/>
                <w:color w:val="auto"/>
                <w:highlight w:val="none"/>
              </w:rPr>
            </w:pPr>
            <w:r>
              <w:rPr>
                <w:rFonts w:hint="eastAsia"/>
                <w:color w:val="auto"/>
                <w:highlight w:val="none"/>
              </w:rPr>
              <w:t>□员工总人数：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企业资质等级</w:t>
            </w:r>
          </w:p>
        </w:tc>
        <w:tc>
          <w:tcPr>
            <w:tcW w:w="2100" w:type="dxa"/>
            <w:gridSpan w:val="2"/>
            <w:noWrap w:val="0"/>
            <w:vAlign w:val="top"/>
          </w:tcPr>
          <w:p>
            <w:pPr>
              <w:pStyle w:val="399"/>
              <w:adjustRightInd w:val="0"/>
              <w:textAlignment w:val="baseline"/>
              <w:rPr>
                <w:rFonts w:hint="eastAsia"/>
                <w:color w:val="auto"/>
                <w:highlight w:val="none"/>
              </w:rPr>
            </w:pPr>
          </w:p>
        </w:tc>
        <w:tc>
          <w:tcPr>
            <w:tcW w:w="1160" w:type="dxa"/>
            <w:gridSpan w:val="2"/>
            <w:vMerge w:val="restart"/>
            <w:noWrap w:val="0"/>
            <w:vAlign w:val="top"/>
          </w:tcPr>
          <w:p>
            <w:pPr>
              <w:pStyle w:val="399"/>
              <w:adjustRightInd w:val="0"/>
              <w:textAlignment w:val="baseline"/>
              <w:rPr>
                <w:rFonts w:hint="eastAsia"/>
                <w:color w:val="auto"/>
                <w:highlight w:val="none"/>
              </w:rPr>
            </w:pPr>
            <w:r>
              <w:rPr>
                <w:rFonts w:hint="eastAsia"/>
                <w:color w:val="auto"/>
                <w:highlight w:val="none"/>
              </w:rPr>
              <w:t>其中</w:t>
            </w:r>
          </w:p>
        </w:tc>
        <w:tc>
          <w:tcPr>
            <w:tcW w:w="2268"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项目负责人</w:t>
            </w:r>
          </w:p>
        </w:tc>
        <w:tc>
          <w:tcPr>
            <w:tcW w:w="1750" w:type="dxa"/>
            <w:gridSpan w:val="2"/>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营业执照号</w:t>
            </w:r>
          </w:p>
        </w:tc>
        <w:tc>
          <w:tcPr>
            <w:tcW w:w="2100" w:type="dxa"/>
            <w:gridSpan w:val="2"/>
            <w:noWrap w:val="0"/>
            <w:vAlign w:val="top"/>
          </w:tcPr>
          <w:p>
            <w:pPr>
              <w:pStyle w:val="399"/>
              <w:adjustRightInd w:val="0"/>
              <w:textAlignment w:val="baseline"/>
              <w:rPr>
                <w:rFonts w:hint="eastAsia"/>
                <w:color w:val="auto"/>
                <w:highlight w:val="none"/>
              </w:rPr>
            </w:pPr>
          </w:p>
        </w:tc>
        <w:tc>
          <w:tcPr>
            <w:tcW w:w="1160" w:type="dxa"/>
            <w:gridSpan w:val="2"/>
            <w:vMerge w:val="continue"/>
            <w:noWrap w:val="0"/>
            <w:vAlign w:val="top"/>
          </w:tcPr>
          <w:p>
            <w:pPr>
              <w:pStyle w:val="399"/>
              <w:adjustRightInd w:val="0"/>
              <w:textAlignment w:val="baseline"/>
              <w:rPr>
                <w:rFonts w:hint="eastAsia"/>
                <w:color w:val="auto"/>
                <w:highlight w:val="none"/>
              </w:rPr>
            </w:pPr>
          </w:p>
        </w:tc>
        <w:tc>
          <w:tcPr>
            <w:tcW w:w="2268"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□高级职称人员</w:t>
            </w:r>
          </w:p>
        </w:tc>
        <w:tc>
          <w:tcPr>
            <w:tcW w:w="1750" w:type="dxa"/>
            <w:gridSpan w:val="2"/>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注册资金</w:t>
            </w:r>
          </w:p>
        </w:tc>
        <w:tc>
          <w:tcPr>
            <w:tcW w:w="2100" w:type="dxa"/>
            <w:gridSpan w:val="2"/>
            <w:noWrap w:val="0"/>
            <w:vAlign w:val="top"/>
          </w:tcPr>
          <w:p>
            <w:pPr>
              <w:pStyle w:val="399"/>
              <w:adjustRightInd w:val="0"/>
              <w:textAlignment w:val="baseline"/>
              <w:rPr>
                <w:rFonts w:hint="eastAsia"/>
                <w:color w:val="auto"/>
                <w:highlight w:val="none"/>
              </w:rPr>
            </w:pPr>
          </w:p>
        </w:tc>
        <w:tc>
          <w:tcPr>
            <w:tcW w:w="1160" w:type="dxa"/>
            <w:gridSpan w:val="2"/>
            <w:vMerge w:val="continue"/>
            <w:noWrap w:val="0"/>
            <w:vAlign w:val="top"/>
          </w:tcPr>
          <w:p>
            <w:pPr>
              <w:pStyle w:val="399"/>
              <w:adjustRightInd w:val="0"/>
              <w:textAlignment w:val="baseline"/>
              <w:rPr>
                <w:rFonts w:hint="eastAsia"/>
                <w:color w:val="auto"/>
                <w:highlight w:val="none"/>
              </w:rPr>
            </w:pPr>
          </w:p>
        </w:tc>
        <w:tc>
          <w:tcPr>
            <w:tcW w:w="2268"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□中级职称人员</w:t>
            </w:r>
          </w:p>
        </w:tc>
        <w:tc>
          <w:tcPr>
            <w:tcW w:w="1750" w:type="dxa"/>
            <w:gridSpan w:val="2"/>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开户银行</w:t>
            </w:r>
          </w:p>
        </w:tc>
        <w:tc>
          <w:tcPr>
            <w:tcW w:w="2100" w:type="dxa"/>
            <w:gridSpan w:val="2"/>
            <w:noWrap w:val="0"/>
            <w:vAlign w:val="top"/>
          </w:tcPr>
          <w:p>
            <w:pPr>
              <w:pStyle w:val="399"/>
              <w:adjustRightInd w:val="0"/>
              <w:textAlignment w:val="baseline"/>
              <w:rPr>
                <w:rFonts w:hint="eastAsia"/>
                <w:color w:val="auto"/>
                <w:highlight w:val="none"/>
              </w:rPr>
            </w:pPr>
          </w:p>
        </w:tc>
        <w:tc>
          <w:tcPr>
            <w:tcW w:w="1160" w:type="dxa"/>
            <w:gridSpan w:val="2"/>
            <w:vMerge w:val="continue"/>
            <w:noWrap w:val="0"/>
            <w:vAlign w:val="top"/>
          </w:tcPr>
          <w:p>
            <w:pPr>
              <w:pStyle w:val="399"/>
              <w:adjustRightInd w:val="0"/>
              <w:textAlignment w:val="baseline"/>
              <w:rPr>
                <w:rFonts w:hint="eastAsia"/>
                <w:color w:val="auto"/>
                <w:highlight w:val="none"/>
              </w:rPr>
            </w:pPr>
          </w:p>
        </w:tc>
        <w:tc>
          <w:tcPr>
            <w:tcW w:w="2268"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□初级职称人员</w:t>
            </w:r>
          </w:p>
        </w:tc>
        <w:tc>
          <w:tcPr>
            <w:tcW w:w="1750" w:type="dxa"/>
            <w:gridSpan w:val="2"/>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账户</w:t>
            </w:r>
          </w:p>
        </w:tc>
        <w:tc>
          <w:tcPr>
            <w:tcW w:w="2100" w:type="dxa"/>
            <w:gridSpan w:val="2"/>
            <w:noWrap w:val="0"/>
            <w:vAlign w:val="top"/>
          </w:tcPr>
          <w:p>
            <w:pPr>
              <w:pStyle w:val="399"/>
              <w:adjustRightInd w:val="0"/>
              <w:textAlignment w:val="baseline"/>
              <w:rPr>
                <w:rFonts w:hint="eastAsia"/>
                <w:color w:val="auto"/>
                <w:highlight w:val="none"/>
              </w:rPr>
            </w:pPr>
          </w:p>
        </w:tc>
        <w:tc>
          <w:tcPr>
            <w:tcW w:w="1160" w:type="dxa"/>
            <w:gridSpan w:val="2"/>
            <w:vMerge w:val="continue"/>
            <w:noWrap w:val="0"/>
            <w:vAlign w:val="top"/>
          </w:tcPr>
          <w:p>
            <w:pPr>
              <w:pStyle w:val="399"/>
              <w:adjustRightInd w:val="0"/>
              <w:textAlignment w:val="baseline"/>
              <w:rPr>
                <w:rFonts w:hint="eastAsia"/>
                <w:color w:val="auto"/>
                <w:highlight w:val="none"/>
              </w:rPr>
            </w:pPr>
          </w:p>
        </w:tc>
        <w:tc>
          <w:tcPr>
            <w:tcW w:w="2268" w:type="dxa"/>
            <w:gridSpan w:val="3"/>
            <w:noWrap w:val="0"/>
            <w:vAlign w:val="top"/>
          </w:tcPr>
          <w:p>
            <w:pPr>
              <w:pStyle w:val="399"/>
              <w:adjustRightInd w:val="0"/>
              <w:textAlignment w:val="baseline"/>
              <w:rPr>
                <w:rFonts w:hint="eastAsia"/>
                <w:color w:val="auto"/>
                <w:highlight w:val="none"/>
              </w:rPr>
            </w:pPr>
            <w:r>
              <w:rPr>
                <w:rFonts w:hint="eastAsia"/>
                <w:color w:val="auto"/>
                <w:highlight w:val="none"/>
              </w:rPr>
              <w:t>□技工</w:t>
            </w:r>
          </w:p>
        </w:tc>
        <w:tc>
          <w:tcPr>
            <w:tcW w:w="1750" w:type="dxa"/>
            <w:gridSpan w:val="2"/>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86" w:hRule="atLeast"/>
        </w:trPr>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经营范围</w:t>
            </w:r>
          </w:p>
        </w:tc>
        <w:tc>
          <w:tcPr>
            <w:tcW w:w="7278" w:type="dxa"/>
            <w:gridSpan w:val="9"/>
            <w:noWrap w:val="0"/>
            <w:vAlign w:val="top"/>
          </w:tcPr>
          <w:p>
            <w:pPr>
              <w:pStyle w:val="399"/>
              <w:adjustRightInd w:val="0"/>
              <w:textAlignment w:val="baseline"/>
              <w:rPr>
                <w:rFonts w:hint="eastAsia"/>
                <w:color w:val="auto"/>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2" w:hRule="atLeast"/>
        </w:trPr>
        <w:tc>
          <w:tcPr>
            <w:tcW w:w="1986" w:type="dxa"/>
            <w:noWrap w:val="0"/>
            <w:vAlign w:val="top"/>
          </w:tcPr>
          <w:p>
            <w:pPr>
              <w:pStyle w:val="399"/>
              <w:adjustRightInd w:val="0"/>
              <w:textAlignment w:val="baseline"/>
              <w:rPr>
                <w:rFonts w:hint="eastAsia"/>
                <w:color w:val="auto"/>
                <w:highlight w:val="none"/>
              </w:rPr>
            </w:pPr>
            <w:r>
              <w:rPr>
                <w:rFonts w:hint="eastAsia"/>
                <w:color w:val="auto"/>
                <w:highlight w:val="none"/>
              </w:rPr>
              <w:t>备注</w:t>
            </w:r>
          </w:p>
        </w:tc>
        <w:tc>
          <w:tcPr>
            <w:tcW w:w="7278" w:type="dxa"/>
            <w:gridSpan w:val="9"/>
            <w:noWrap w:val="0"/>
            <w:vAlign w:val="top"/>
          </w:tcPr>
          <w:p>
            <w:pPr>
              <w:pStyle w:val="399"/>
              <w:adjustRightInd w:val="0"/>
              <w:textAlignment w:val="baseline"/>
              <w:rPr>
                <w:rFonts w:hint="eastAsia"/>
                <w:color w:val="auto"/>
                <w:highlight w:val="none"/>
              </w:rPr>
            </w:pPr>
          </w:p>
        </w:tc>
      </w:tr>
    </w:tbl>
    <w:p>
      <w:pPr>
        <w:adjustRightInd w:val="0"/>
        <w:snapToGrid w:val="0"/>
        <w:ind w:firstLine="573"/>
        <w:rPr>
          <w:rFonts w:hint="eastAsia" w:ascii="等线" w:hAnsi="等线" w:eastAsia="等线" w:cs="Times New Roman"/>
          <w:b/>
          <w:bCs/>
          <w:color w:val="auto"/>
          <w:sz w:val="28"/>
          <w:szCs w:val="28"/>
          <w:highlight w:val="none"/>
        </w:rPr>
      </w:pPr>
      <w:r>
        <w:rPr>
          <w:rFonts w:ascii="仿宋_GB2312" w:hAnsi="等线" w:eastAsia="仿宋_GB2312"/>
          <w:color w:val="auto"/>
          <w:sz w:val="28"/>
          <w:szCs w:val="28"/>
          <w:highlight w:val="none"/>
        </w:rPr>
        <w:t>注</w:t>
      </w:r>
      <w:r>
        <w:rPr>
          <w:rFonts w:hint="eastAsia" w:ascii="仿宋_GB2312" w:hAnsi="等线" w:eastAsia="仿宋_GB2312"/>
          <w:color w:val="auto"/>
          <w:sz w:val="28"/>
          <w:szCs w:val="28"/>
          <w:highlight w:val="none"/>
        </w:rPr>
        <w:t>：</w:t>
      </w:r>
      <w:r>
        <w:rPr>
          <w:rFonts w:ascii="仿宋_GB2312" w:hAnsi="等线" w:eastAsia="仿宋_GB2312"/>
          <w:color w:val="auto"/>
          <w:sz w:val="28"/>
          <w:szCs w:val="28"/>
          <w:highlight w:val="none"/>
        </w:rPr>
        <w:t>供应商应按供应商须知的要求提供主体资格证明材料及相关资质证明材料</w:t>
      </w:r>
      <w:r>
        <w:rPr>
          <w:rFonts w:hint="eastAsia" w:ascii="仿宋_GB2312" w:hAnsi="等线" w:eastAsia="仿宋_GB2312"/>
          <w:color w:val="auto"/>
          <w:sz w:val="28"/>
          <w:szCs w:val="28"/>
          <w:highlight w:val="none"/>
        </w:rPr>
        <w:t>。</w:t>
      </w:r>
      <w:r>
        <w:rPr>
          <w:rFonts w:hint="eastAsia" w:ascii="等线" w:hAnsi="等线" w:eastAsia="等线" w:cs="Times New Roman"/>
          <w:b/>
          <w:bCs/>
          <w:color w:val="auto"/>
          <w:sz w:val="28"/>
          <w:szCs w:val="28"/>
          <w:highlight w:val="none"/>
        </w:rPr>
        <w:t>（相关证明文件附后）</w:t>
      </w:r>
    </w:p>
    <w:p>
      <w:pPr>
        <w:adjustRightInd w:val="0"/>
        <w:snapToGrid w:val="0"/>
        <w:spacing w:line="360" w:lineRule="auto"/>
        <w:jc w:val="right"/>
        <w:rPr>
          <w:rFonts w:hint="eastAsia" w:ascii="宋体" w:hAnsi="宋体" w:cs="宋体"/>
          <w:color w:val="auto"/>
          <w:sz w:val="24"/>
          <w:szCs w:val="24"/>
          <w:highlight w:val="none"/>
          <w:lang w:val="en-GB"/>
        </w:rPr>
      </w:pPr>
      <w:bookmarkStart w:id="132" w:name="_Hlk59025866"/>
      <w:r>
        <w:rPr>
          <w:rFonts w:hint="eastAsia" w:ascii="宋体" w:hAnsi="宋体" w:cs="宋体"/>
          <w:color w:val="auto"/>
          <w:sz w:val="24"/>
          <w:szCs w:val="24"/>
          <w:highlight w:val="none"/>
          <w:lang w:val="en-GB"/>
        </w:rPr>
        <w:t>供应商名称（加盖公章）：</w:t>
      </w:r>
    </w:p>
    <w:p>
      <w:pPr>
        <w:pStyle w:val="84"/>
        <w:ind w:firstLine="480"/>
        <w:rPr>
          <w:rFonts w:hAnsi="宋体" w:cs="宋体"/>
          <w:szCs w:val="24"/>
          <w:highlight w:val="none"/>
          <w:lang w:val="en-GB"/>
        </w:rPr>
      </w:pPr>
    </w:p>
    <w:p>
      <w:pPr>
        <w:pStyle w:val="84"/>
        <w:ind w:firstLine="480"/>
        <w:rPr>
          <w:rFonts w:hAnsi="宋体" w:cs="宋体"/>
          <w:szCs w:val="24"/>
          <w:highlight w:val="none"/>
          <w:lang w:val="en-GB"/>
        </w:rPr>
      </w:pPr>
    </w:p>
    <w:p>
      <w:pPr>
        <w:pStyle w:val="84"/>
        <w:ind w:firstLine="480"/>
        <w:rPr>
          <w:rFonts w:hAnsi="宋体" w:cs="宋体"/>
          <w:szCs w:val="24"/>
          <w:highlight w:val="none"/>
          <w:lang w:val="en-GB"/>
        </w:rPr>
      </w:pPr>
    </w:p>
    <w:p>
      <w:pPr>
        <w:pStyle w:val="84"/>
        <w:ind w:firstLine="480"/>
        <w:rPr>
          <w:rFonts w:hAnsi="宋体" w:cs="宋体"/>
          <w:szCs w:val="24"/>
          <w:highlight w:val="none"/>
          <w:lang w:val="en-GB"/>
        </w:rPr>
      </w:pPr>
    </w:p>
    <w:p>
      <w:pPr>
        <w:pStyle w:val="84"/>
        <w:ind w:firstLine="480"/>
        <w:rPr>
          <w:rFonts w:hAnsi="宋体" w:cs="宋体"/>
          <w:szCs w:val="24"/>
          <w:highlight w:val="none"/>
          <w:lang w:val="en-GB"/>
        </w:rPr>
      </w:pPr>
    </w:p>
    <w:p>
      <w:pPr>
        <w:pStyle w:val="84"/>
        <w:ind w:firstLine="480"/>
        <w:rPr>
          <w:rFonts w:hAnsi="宋体" w:cs="宋体"/>
          <w:szCs w:val="24"/>
          <w:highlight w:val="none"/>
        </w:rPr>
      </w:pPr>
    </w:p>
    <w:p>
      <w:pPr>
        <w:adjustRightInd w:val="0"/>
        <w:snapToGrid w:val="0"/>
        <w:spacing w:line="360" w:lineRule="auto"/>
        <w:rPr>
          <w:rFonts w:hint="eastAsia" w:ascii="等线" w:hAnsi="等线" w:eastAsia="等线" w:cs="Times New Roman"/>
          <w:b/>
          <w:bCs/>
          <w:color w:val="auto"/>
          <w:sz w:val="28"/>
          <w:szCs w:val="28"/>
          <w:highlight w:val="none"/>
        </w:rPr>
      </w:pPr>
      <w:r>
        <w:rPr>
          <w:rFonts w:hint="eastAsia" w:ascii="等线" w:hAnsi="等线" w:eastAsia="等线" w:cs="Times New Roman"/>
          <w:b/>
          <w:bCs/>
          <w:color w:val="auto"/>
          <w:sz w:val="28"/>
          <w:szCs w:val="28"/>
          <w:highlight w:val="none"/>
        </w:rPr>
        <w:t>3.2不得存在情形承诺函</w:t>
      </w:r>
    </w:p>
    <w:bookmarkEnd w:id="132"/>
    <w:p>
      <w:pPr>
        <w:adjustRightInd w:val="0"/>
        <w:snapToGrid w:val="0"/>
        <w:spacing w:line="360" w:lineRule="auto"/>
        <w:rPr>
          <w:rFonts w:hint="eastAsia" w:ascii="宋体" w:hAnsi="宋体" w:cs="宋体"/>
          <w:color w:val="auto"/>
          <w:sz w:val="24"/>
          <w:szCs w:val="24"/>
          <w:highlight w:val="none"/>
          <w:lang w:val="en-GB"/>
        </w:rPr>
      </w:pPr>
    </w:p>
    <w:p>
      <w:pPr>
        <w:adjustRightInd w:val="0"/>
        <w:snapToGrid w:val="0"/>
        <w:spacing w:line="360" w:lineRule="auto"/>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致：</w:t>
      </w:r>
      <w:r>
        <w:rPr>
          <w:rFonts w:hint="eastAsia" w:ascii="宋体" w:hAnsi="宋体" w:cs="宋体"/>
          <w:b/>
          <w:bCs/>
          <w:color w:val="auto"/>
          <w:sz w:val="24"/>
          <w:szCs w:val="24"/>
          <w:highlight w:val="none"/>
          <w:shd w:val="clear" w:color="auto" w:fill="FFFFFF"/>
        </w:rPr>
        <w:t>广州市净水有限公司</w:t>
      </w:r>
    </w:p>
    <w:p>
      <w:pPr>
        <w:adjustRightInd w:val="0"/>
        <w:snapToGrid w:val="0"/>
        <w:spacing w:line="360" w:lineRule="auto"/>
        <w:ind w:firstLine="480" w:firstLineChars="200"/>
        <w:jc w:val="both"/>
        <w:rPr>
          <w:rFonts w:ascii="仿宋_GB2312" w:eastAsia="仿宋_GB2312"/>
          <w:color w:val="auto"/>
          <w:sz w:val="28"/>
          <w:szCs w:val="28"/>
          <w:highlight w:val="none"/>
        </w:rPr>
      </w:pPr>
      <w:r>
        <w:rPr>
          <w:rFonts w:hint="eastAsia" w:ascii="宋体" w:hAnsi="宋体" w:cs="宋体"/>
          <w:color w:val="auto"/>
          <w:sz w:val="24"/>
          <w:szCs w:val="24"/>
          <w:highlight w:val="none"/>
          <w:lang w:val="en-GB"/>
        </w:rPr>
        <w:t>我方郑重承诺，在参与</w:t>
      </w:r>
      <w:r>
        <w:rPr>
          <w:rFonts w:hint="eastAsia" w:ascii="宋体" w:hAnsi="宋体" w:cs="宋体"/>
          <w:color w:val="auto"/>
          <w:sz w:val="24"/>
          <w:szCs w:val="24"/>
          <w:highlight w:val="none"/>
          <w:u w:val="single"/>
          <w:lang w:val="en-GB"/>
        </w:rPr>
        <w:t>广州市净水有限公司化龙堆存污泥综合处理处置项目废弃烟囱爆破拆除工程监理（项目编号：）</w:t>
      </w:r>
      <w:r>
        <w:rPr>
          <w:rFonts w:hint="eastAsia" w:ascii="宋体" w:hAnsi="宋体" w:cs="宋体"/>
          <w:color w:val="auto"/>
          <w:sz w:val="24"/>
          <w:szCs w:val="24"/>
          <w:highlight w:val="none"/>
          <w:lang w:val="en-GB"/>
        </w:rPr>
        <w:t>采购期间，未被</w:t>
      </w:r>
      <w:r>
        <w:rPr>
          <w:rFonts w:hint="eastAsia" w:ascii="仿宋_GB2312" w:eastAsia="仿宋_GB2312"/>
          <w:color w:val="auto"/>
          <w:sz w:val="28"/>
          <w:szCs w:val="28"/>
          <w:highlight w:val="none"/>
        </w:rPr>
        <w:t>列入下列情形之一：</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（1）与本项目其他供应商的单位负责人为同一人。</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（2）与本项目其他供应商存在控股关系。</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（3）与本项目其他供应商存在管理关系。</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（4）被本项目所在地省级以上行业主管部门依法暂停、取消投标或禁止参加采购活动且处于有效期内的。</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（5）处于被责令停产停业、暂扣或者吊销执照、暂扣或者吊销许可证、吊销资质证书状态。</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（6）进入清算程序，或被宣告破产，或其他丧失履约能力情形的。</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（7）在“信用中国”网站（www.creditchina.gov.cn）中被列入失信被执行人、安全生产领域严重失信惩戒名单、拖欠农民工工资失信联合惩戒对象名单。</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（8）在“信用中国”网站（www.creditchina.gov.cn）中被列入严重失信主体名单。</w:t>
      </w:r>
    </w:p>
    <w:p>
      <w:pPr>
        <w:adjustRightInd w:val="0"/>
        <w:snapToGrid w:val="0"/>
        <w:spacing w:line="360" w:lineRule="auto"/>
        <w:ind w:firstLine="480" w:firstLineChars="200"/>
        <w:jc w:val="both"/>
        <w:rPr>
          <w:rFonts w:hint="eastAsia" w:ascii="宋体" w:hAnsi="宋体" w:eastAsia="等线" w:cs="宋体"/>
          <w:color w:val="auto"/>
          <w:sz w:val="24"/>
          <w:szCs w:val="24"/>
          <w:highlight w:val="none"/>
          <w:lang w:val="en-GB"/>
        </w:rPr>
      </w:pPr>
      <w:r>
        <w:rPr>
          <w:rFonts w:hint="eastAsia" w:ascii="宋体" w:hAnsi="宋体" w:eastAsia="等线" w:cs="宋体"/>
          <w:color w:val="auto"/>
          <w:sz w:val="24"/>
          <w:szCs w:val="24"/>
          <w:highlight w:val="none"/>
          <w:lang w:val="en-GB"/>
        </w:rPr>
        <w:t>（9）其他违法违纪行为，经审查认为不宜被邀请参加采购活动的。</w:t>
      </w:r>
    </w:p>
    <w:p>
      <w:pPr>
        <w:adjustRightInd w:val="0"/>
        <w:snapToGrid w:val="0"/>
        <w:spacing w:line="360" w:lineRule="auto"/>
        <w:ind w:firstLine="480" w:firstLineChars="200"/>
        <w:rPr>
          <w:rFonts w:hint="eastAsia" w:ascii="宋体" w:hAnsi="宋体" w:eastAsia="等线" w:cs="宋体"/>
          <w:color w:val="auto"/>
          <w:sz w:val="24"/>
          <w:szCs w:val="24"/>
          <w:highlight w:val="none"/>
          <w:lang w:val="en-GB" w:eastAsia="zh-CN"/>
        </w:rPr>
      </w:pPr>
      <w:r>
        <w:rPr>
          <w:rFonts w:hint="eastAsia" w:ascii="宋体" w:hAnsi="宋体" w:eastAsia="等线" w:cs="宋体"/>
          <w:color w:val="auto"/>
          <w:sz w:val="24"/>
          <w:szCs w:val="24"/>
          <w:highlight w:val="none"/>
          <w:lang w:val="en-GB"/>
        </w:rPr>
        <w:t>（10）其他禁止情形：被纳入参建企业不履约行为处理清单</w:t>
      </w:r>
      <w:r>
        <w:rPr>
          <w:rFonts w:hint="eastAsia" w:ascii="宋体" w:hAnsi="宋体" w:eastAsia="等线" w:cs="宋体"/>
          <w:color w:val="auto"/>
          <w:sz w:val="24"/>
          <w:szCs w:val="24"/>
          <w:highlight w:val="none"/>
          <w:lang w:val="en-GB" w:eastAsia="zh-CN"/>
        </w:rPr>
        <w:t>.</w:t>
      </w:r>
    </w:p>
    <w:p>
      <w:pPr>
        <w:adjustRightInd w:val="0"/>
        <w:snapToGrid w:val="0"/>
        <w:spacing w:line="360" w:lineRule="auto"/>
        <w:rPr>
          <w:rFonts w:hint="eastAsia" w:ascii="宋体" w:hAnsi="宋体" w:cs="宋体"/>
          <w:b/>
          <w:color w:val="auto"/>
          <w:szCs w:val="21"/>
          <w:highlight w:val="none"/>
        </w:rPr>
      </w:pPr>
    </w:p>
    <w:p>
      <w:pPr>
        <w:adjustRightInd w:val="0"/>
        <w:snapToGrid w:val="0"/>
        <w:spacing w:line="360" w:lineRule="auto"/>
        <w:jc w:val="right"/>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 xml:space="preserve">供应商名称（加盖公章）： </w:t>
      </w:r>
    </w:p>
    <w:p>
      <w:pPr>
        <w:jc w:val="right"/>
        <w:rPr>
          <w:rFonts w:hint="eastAsia" w:ascii="等线" w:hAnsi="等线" w:cs="Times New Roman"/>
          <w:b/>
          <w:bCs/>
          <w:color w:val="auto"/>
          <w:sz w:val="28"/>
          <w:szCs w:val="28"/>
          <w:highlight w:val="none"/>
        </w:rPr>
      </w:pPr>
      <w:r>
        <w:rPr>
          <w:rFonts w:hint="eastAsia" w:ascii="宋体" w:hAnsi="宋体" w:cs="宋体"/>
          <w:color w:val="auto"/>
          <w:sz w:val="24"/>
          <w:szCs w:val="24"/>
          <w:highlight w:val="none"/>
          <w:lang w:val="en-GB"/>
        </w:rPr>
        <w:t>年  月  日</w:t>
      </w:r>
    </w:p>
    <w:p>
      <w:pPr>
        <w:rPr>
          <w:rFonts w:hint="eastAsia" w:ascii="等线" w:hAnsi="等线" w:cs="Times New Roman"/>
          <w:b/>
          <w:bCs/>
          <w:color w:val="auto"/>
          <w:sz w:val="28"/>
          <w:szCs w:val="28"/>
          <w:highlight w:val="none"/>
        </w:rPr>
      </w:pPr>
    </w:p>
    <w:p>
      <w:pPr>
        <w:rPr>
          <w:rFonts w:hint="eastAsia" w:ascii="等线" w:hAnsi="等线" w:eastAsia="等线" w:cs="Times New Roman"/>
          <w:b/>
          <w:bCs/>
          <w:color w:val="auto"/>
          <w:sz w:val="28"/>
          <w:szCs w:val="28"/>
          <w:highlight w:val="none"/>
        </w:rPr>
      </w:pPr>
      <w:r>
        <w:rPr>
          <w:rFonts w:hint="eastAsia" w:ascii="等线" w:hAnsi="等线" w:cs="Times New Roman"/>
          <w:b/>
          <w:bCs/>
          <w:color w:val="auto"/>
          <w:sz w:val="28"/>
          <w:szCs w:val="28"/>
          <w:highlight w:val="none"/>
        </w:rPr>
        <w:t>4</w:t>
      </w:r>
      <w:r>
        <w:rPr>
          <w:rFonts w:hint="eastAsia" w:ascii="等线" w:hAnsi="等线" w:eastAsia="等线" w:cs="Times New Roman"/>
          <w:b/>
          <w:bCs/>
          <w:color w:val="auto"/>
          <w:sz w:val="28"/>
          <w:szCs w:val="28"/>
          <w:highlight w:val="none"/>
        </w:rPr>
        <w:t>.拟投入本项目的项目负责人情况表</w:t>
      </w:r>
    </w:p>
    <w:p>
      <w:pPr>
        <w:pStyle w:val="84"/>
        <w:ind w:firstLine="560"/>
        <w:rPr>
          <w:rFonts w:ascii="仿宋_GB2312" w:hAnsi="等线" w:eastAsia="仿宋_GB2312"/>
          <w:sz w:val="28"/>
          <w:szCs w:val="28"/>
          <w:highlight w:val="none"/>
        </w:rPr>
      </w:pPr>
    </w:p>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 xml:space="preserve"> 拟投入本项目的项目负责人情况表</w:t>
      </w:r>
    </w:p>
    <w:tbl>
      <w:tblPr>
        <w:tblStyle w:val="85"/>
        <w:tblW w:w="95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124"/>
        <w:gridCol w:w="208"/>
        <w:gridCol w:w="797"/>
        <w:gridCol w:w="368"/>
        <w:gridCol w:w="487"/>
        <w:gridCol w:w="341"/>
        <w:gridCol w:w="785"/>
        <w:gridCol w:w="1208"/>
        <w:gridCol w:w="36"/>
        <w:gridCol w:w="93"/>
        <w:gridCol w:w="1864"/>
        <w:gridCol w:w="334"/>
        <w:gridCol w:w="282"/>
        <w:gridCol w:w="837"/>
        <w:gridCol w:w="1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661" w:type="dxa"/>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姓名</w:t>
            </w:r>
          </w:p>
        </w:tc>
        <w:tc>
          <w:tcPr>
            <w:tcW w:w="1497" w:type="dxa"/>
            <w:gridSpan w:val="4"/>
            <w:noWrap w:val="0"/>
            <w:vAlign w:val="top"/>
          </w:tcPr>
          <w:p>
            <w:pPr>
              <w:jc w:val="center"/>
              <w:rPr>
                <w:rFonts w:hint="eastAsia" w:ascii="仿宋" w:hAnsi="仿宋" w:eastAsia="仿宋" w:cs="仿宋_GB2312"/>
                <w:b/>
                <w:color w:val="auto"/>
                <w:sz w:val="28"/>
                <w:szCs w:val="28"/>
                <w:highlight w:val="none"/>
              </w:rPr>
            </w:pPr>
          </w:p>
        </w:tc>
        <w:tc>
          <w:tcPr>
            <w:tcW w:w="1613" w:type="dxa"/>
            <w:gridSpan w:val="3"/>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出生年月</w:t>
            </w:r>
          </w:p>
        </w:tc>
        <w:tc>
          <w:tcPr>
            <w:tcW w:w="1337" w:type="dxa"/>
            <w:gridSpan w:val="3"/>
            <w:noWrap w:val="0"/>
            <w:vAlign w:val="top"/>
          </w:tcPr>
          <w:p>
            <w:pPr>
              <w:jc w:val="center"/>
              <w:rPr>
                <w:rFonts w:hint="eastAsia" w:ascii="仿宋" w:hAnsi="仿宋" w:eastAsia="仿宋" w:cs="仿宋_GB2312"/>
                <w:b/>
                <w:color w:val="auto"/>
                <w:sz w:val="28"/>
                <w:szCs w:val="28"/>
                <w:highlight w:val="none"/>
              </w:rPr>
            </w:pPr>
          </w:p>
        </w:tc>
        <w:tc>
          <w:tcPr>
            <w:tcW w:w="2198" w:type="dxa"/>
            <w:gridSpan w:val="2"/>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学历</w:t>
            </w:r>
          </w:p>
        </w:tc>
        <w:tc>
          <w:tcPr>
            <w:tcW w:w="1119" w:type="dxa"/>
            <w:gridSpan w:val="2"/>
            <w:noWrap w:val="0"/>
            <w:vAlign w:val="top"/>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661" w:type="dxa"/>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w:t>
            </w:r>
          </w:p>
        </w:tc>
        <w:tc>
          <w:tcPr>
            <w:tcW w:w="1497" w:type="dxa"/>
            <w:gridSpan w:val="4"/>
            <w:noWrap w:val="0"/>
            <w:vAlign w:val="top"/>
          </w:tcPr>
          <w:p>
            <w:pPr>
              <w:spacing w:line="360" w:lineRule="exact"/>
              <w:jc w:val="center"/>
              <w:rPr>
                <w:rFonts w:hint="eastAsia" w:ascii="仿宋" w:hAnsi="仿宋" w:eastAsia="仿宋" w:cs="仿宋_GB2312"/>
                <w:b/>
                <w:color w:val="auto"/>
                <w:sz w:val="28"/>
                <w:szCs w:val="28"/>
                <w:highlight w:val="none"/>
              </w:rPr>
            </w:pPr>
          </w:p>
        </w:tc>
        <w:tc>
          <w:tcPr>
            <w:tcW w:w="1613" w:type="dxa"/>
            <w:gridSpan w:val="3"/>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职务</w:t>
            </w:r>
          </w:p>
        </w:tc>
        <w:tc>
          <w:tcPr>
            <w:tcW w:w="1337" w:type="dxa"/>
            <w:gridSpan w:val="3"/>
            <w:noWrap w:val="0"/>
            <w:vAlign w:val="top"/>
          </w:tcPr>
          <w:p>
            <w:pPr>
              <w:spacing w:line="360" w:lineRule="exact"/>
              <w:jc w:val="center"/>
              <w:rPr>
                <w:rFonts w:hint="eastAsia"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从事本工作时间</w:t>
            </w:r>
          </w:p>
        </w:tc>
        <w:tc>
          <w:tcPr>
            <w:tcW w:w="1119" w:type="dxa"/>
            <w:gridSpan w:val="2"/>
            <w:noWrap w:val="0"/>
            <w:vAlign w:val="top"/>
          </w:tcPr>
          <w:p>
            <w:pPr>
              <w:spacing w:line="360" w:lineRule="exact"/>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Height w:val="595" w:hRule="atLeast"/>
        </w:trPr>
        <w:tc>
          <w:tcPr>
            <w:tcW w:w="1661" w:type="dxa"/>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毕业院校</w:t>
            </w:r>
          </w:p>
        </w:tc>
        <w:tc>
          <w:tcPr>
            <w:tcW w:w="1497" w:type="dxa"/>
            <w:gridSpan w:val="4"/>
            <w:noWrap w:val="0"/>
            <w:vAlign w:val="top"/>
          </w:tcPr>
          <w:p>
            <w:pPr>
              <w:spacing w:line="360" w:lineRule="exact"/>
              <w:jc w:val="center"/>
              <w:rPr>
                <w:rFonts w:hint="eastAsia" w:ascii="仿宋" w:hAnsi="仿宋" w:eastAsia="仿宋" w:cs="仿宋_GB2312"/>
                <w:b/>
                <w:color w:val="auto"/>
                <w:sz w:val="28"/>
                <w:szCs w:val="28"/>
                <w:highlight w:val="none"/>
              </w:rPr>
            </w:pPr>
          </w:p>
        </w:tc>
        <w:tc>
          <w:tcPr>
            <w:tcW w:w="1613" w:type="dxa"/>
            <w:gridSpan w:val="3"/>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毕业时间</w:t>
            </w:r>
          </w:p>
        </w:tc>
        <w:tc>
          <w:tcPr>
            <w:tcW w:w="1337" w:type="dxa"/>
            <w:gridSpan w:val="3"/>
            <w:noWrap w:val="0"/>
            <w:vAlign w:val="top"/>
          </w:tcPr>
          <w:p>
            <w:pPr>
              <w:spacing w:line="360" w:lineRule="exact"/>
              <w:jc w:val="center"/>
              <w:rPr>
                <w:rFonts w:hint="eastAsia"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专业</w:t>
            </w:r>
          </w:p>
        </w:tc>
        <w:tc>
          <w:tcPr>
            <w:tcW w:w="1119" w:type="dxa"/>
            <w:gridSpan w:val="2"/>
            <w:noWrap w:val="0"/>
            <w:vAlign w:val="top"/>
          </w:tcPr>
          <w:p>
            <w:pPr>
              <w:spacing w:line="360" w:lineRule="exact"/>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3158" w:type="dxa"/>
            <w:gridSpan w:val="5"/>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注册证书等级</w:t>
            </w:r>
          </w:p>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和专业</w:t>
            </w:r>
          </w:p>
        </w:tc>
        <w:tc>
          <w:tcPr>
            <w:tcW w:w="2950" w:type="dxa"/>
            <w:gridSpan w:val="6"/>
            <w:noWrap w:val="0"/>
            <w:vAlign w:val="top"/>
          </w:tcPr>
          <w:p>
            <w:pPr>
              <w:spacing w:line="360" w:lineRule="exact"/>
              <w:jc w:val="center"/>
              <w:rPr>
                <w:rFonts w:hint="eastAsia" w:ascii="仿宋" w:hAnsi="仿宋" w:eastAsia="仿宋" w:cs="仿宋_GB2312"/>
                <w:b/>
                <w:color w:val="auto"/>
                <w:sz w:val="28"/>
                <w:szCs w:val="28"/>
                <w:highlight w:val="none"/>
              </w:rPr>
            </w:pPr>
          </w:p>
        </w:tc>
        <w:tc>
          <w:tcPr>
            <w:tcW w:w="2198" w:type="dxa"/>
            <w:gridSpan w:val="2"/>
            <w:noWrap w:val="0"/>
            <w:vAlign w:val="top"/>
          </w:tcPr>
          <w:p>
            <w:pPr>
              <w:spacing w:line="360" w:lineRule="exact"/>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gridSpan w:val="2"/>
            <w:noWrap w:val="0"/>
            <w:vAlign w:val="top"/>
          </w:tcPr>
          <w:p>
            <w:pPr>
              <w:spacing w:line="360" w:lineRule="exact"/>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3158" w:type="dxa"/>
            <w:gridSpan w:val="5"/>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职称证专业</w:t>
            </w:r>
          </w:p>
        </w:tc>
        <w:tc>
          <w:tcPr>
            <w:tcW w:w="2950" w:type="dxa"/>
            <w:gridSpan w:val="6"/>
            <w:noWrap w:val="0"/>
            <w:vAlign w:val="top"/>
          </w:tcPr>
          <w:p>
            <w:pPr>
              <w:jc w:val="center"/>
              <w:rPr>
                <w:rFonts w:hint="eastAsia" w:ascii="仿宋" w:hAnsi="仿宋" w:eastAsia="仿宋" w:cs="仿宋_GB2312"/>
                <w:b/>
                <w:color w:val="auto"/>
                <w:sz w:val="28"/>
                <w:szCs w:val="28"/>
                <w:highlight w:val="none"/>
              </w:rPr>
            </w:pPr>
          </w:p>
        </w:tc>
        <w:tc>
          <w:tcPr>
            <w:tcW w:w="2198" w:type="dxa"/>
            <w:gridSpan w:val="2"/>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证书编号</w:t>
            </w:r>
          </w:p>
        </w:tc>
        <w:tc>
          <w:tcPr>
            <w:tcW w:w="1119" w:type="dxa"/>
            <w:gridSpan w:val="2"/>
            <w:noWrap w:val="0"/>
            <w:vAlign w:val="top"/>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9425" w:type="dxa"/>
            <w:gridSpan w:val="15"/>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参加过的项目情况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993" w:type="dxa"/>
            <w:gridSpan w:val="3"/>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项目名称</w:t>
            </w:r>
          </w:p>
        </w:tc>
        <w:tc>
          <w:tcPr>
            <w:tcW w:w="1993" w:type="dxa"/>
            <w:gridSpan w:val="4"/>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合同金额</w:t>
            </w:r>
          </w:p>
        </w:tc>
        <w:tc>
          <w:tcPr>
            <w:tcW w:w="1993" w:type="dxa"/>
            <w:gridSpan w:val="2"/>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开、竣工时间</w:t>
            </w:r>
          </w:p>
        </w:tc>
        <w:tc>
          <w:tcPr>
            <w:tcW w:w="1993" w:type="dxa"/>
            <w:gridSpan w:val="3"/>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担任职务</w:t>
            </w:r>
          </w:p>
        </w:tc>
        <w:tc>
          <w:tcPr>
            <w:tcW w:w="1453" w:type="dxa"/>
            <w:gridSpan w:val="3"/>
            <w:noWrap w:val="0"/>
            <w:vAlign w:val="top"/>
          </w:tcPr>
          <w:p>
            <w:pPr>
              <w:jc w:val="center"/>
              <w:rPr>
                <w:rFonts w:hint="eastAsia" w:ascii="仿宋" w:hAnsi="仿宋" w:eastAsia="仿宋" w:cs="仿宋_GB2312"/>
                <w:b/>
                <w:color w:val="auto"/>
                <w:sz w:val="28"/>
                <w:szCs w:val="28"/>
                <w:highlight w:val="none"/>
              </w:rPr>
            </w:pPr>
            <w:r>
              <w:rPr>
                <w:rFonts w:hint="eastAsia" w:ascii="仿宋" w:hAnsi="仿宋" w:eastAsia="仿宋" w:cs="仿宋_GB2312"/>
                <w:b/>
                <w:color w:val="auto"/>
                <w:sz w:val="28"/>
                <w:szCs w:val="28"/>
                <w:highlight w:val="none"/>
              </w:rPr>
              <w:t>发包人及联系电话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993" w:type="dxa"/>
            <w:gridSpan w:val="4"/>
            <w:noWrap w:val="0"/>
            <w:vAlign w:val="top"/>
          </w:tcPr>
          <w:p>
            <w:pPr>
              <w:jc w:val="center"/>
              <w:rPr>
                <w:rFonts w:hint="eastAsia" w:ascii="仿宋" w:hAnsi="仿宋" w:eastAsia="仿宋" w:cs="仿宋_GB2312"/>
                <w:b/>
                <w:color w:val="auto"/>
                <w:sz w:val="28"/>
                <w:szCs w:val="28"/>
                <w:highlight w:val="none"/>
              </w:rPr>
            </w:pPr>
          </w:p>
        </w:tc>
        <w:tc>
          <w:tcPr>
            <w:tcW w:w="1993" w:type="dxa"/>
            <w:gridSpan w:val="2"/>
            <w:noWrap w:val="0"/>
            <w:vAlign w:val="top"/>
          </w:tcPr>
          <w:p>
            <w:pPr>
              <w:jc w:val="center"/>
              <w:rPr>
                <w:rFonts w:hint="eastAsia" w:ascii="仿宋" w:hAnsi="仿宋" w:eastAsia="仿宋" w:cs="仿宋_GB2312"/>
                <w:b/>
                <w:color w:val="auto"/>
                <w:sz w:val="28"/>
                <w:szCs w:val="28"/>
                <w:highlight w:val="none"/>
              </w:rPr>
            </w:pPr>
          </w:p>
        </w:tc>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453" w:type="dxa"/>
            <w:gridSpan w:val="3"/>
            <w:noWrap w:val="0"/>
            <w:vAlign w:val="top"/>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993" w:type="dxa"/>
            <w:gridSpan w:val="4"/>
            <w:noWrap w:val="0"/>
            <w:vAlign w:val="top"/>
          </w:tcPr>
          <w:p>
            <w:pPr>
              <w:jc w:val="center"/>
              <w:rPr>
                <w:rFonts w:hint="eastAsia" w:ascii="仿宋" w:hAnsi="仿宋" w:eastAsia="仿宋" w:cs="仿宋_GB2312"/>
                <w:b/>
                <w:color w:val="auto"/>
                <w:sz w:val="28"/>
                <w:szCs w:val="28"/>
                <w:highlight w:val="none"/>
              </w:rPr>
            </w:pPr>
          </w:p>
        </w:tc>
        <w:tc>
          <w:tcPr>
            <w:tcW w:w="1993" w:type="dxa"/>
            <w:gridSpan w:val="2"/>
            <w:noWrap w:val="0"/>
            <w:vAlign w:val="top"/>
          </w:tcPr>
          <w:p>
            <w:pPr>
              <w:jc w:val="center"/>
              <w:rPr>
                <w:rFonts w:hint="eastAsia" w:ascii="仿宋" w:hAnsi="仿宋" w:eastAsia="仿宋" w:cs="仿宋_GB2312"/>
                <w:b/>
                <w:color w:val="auto"/>
                <w:sz w:val="28"/>
                <w:szCs w:val="28"/>
                <w:highlight w:val="none"/>
              </w:rPr>
            </w:pPr>
          </w:p>
        </w:tc>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453" w:type="dxa"/>
            <w:gridSpan w:val="3"/>
            <w:noWrap w:val="0"/>
            <w:vAlign w:val="top"/>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174" w:type="dxa"/>
        </w:trPr>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993" w:type="dxa"/>
            <w:gridSpan w:val="4"/>
            <w:noWrap w:val="0"/>
            <w:vAlign w:val="top"/>
          </w:tcPr>
          <w:p>
            <w:pPr>
              <w:jc w:val="center"/>
              <w:rPr>
                <w:rFonts w:hint="eastAsia" w:ascii="仿宋" w:hAnsi="仿宋" w:eastAsia="仿宋" w:cs="仿宋_GB2312"/>
                <w:b/>
                <w:color w:val="auto"/>
                <w:sz w:val="28"/>
                <w:szCs w:val="28"/>
                <w:highlight w:val="none"/>
              </w:rPr>
            </w:pPr>
          </w:p>
        </w:tc>
        <w:tc>
          <w:tcPr>
            <w:tcW w:w="1993" w:type="dxa"/>
            <w:gridSpan w:val="2"/>
            <w:noWrap w:val="0"/>
            <w:vAlign w:val="top"/>
          </w:tcPr>
          <w:p>
            <w:pPr>
              <w:jc w:val="center"/>
              <w:rPr>
                <w:rFonts w:hint="eastAsia" w:ascii="仿宋" w:hAnsi="仿宋" w:eastAsia="仿宋" w:cs="仿宋_GB2312"/>
                <w:b/>
                <w:color w:val="auto"/>
                <w:sz w:val="28"/>
                <w:szCs w:val="28"/>
                <w:highlight w:val="none"/>
              </w:rPr>
            </w:pPr>
          </w:p>
        </w:tc>
        <w:tc>
          <w:tcPr>
            <w:tcW w:w="1993" w:type="dxa"/>
            <w:gridSpan w:val="3"/>
            <w:noWrap w:val="0"/>
            <w:vAlign w:val="top"/>
          </w:tcPr>
          <w:p>
            <w:pPr>
              <w:jc w:val="center"/>
              <w:rPr>
                <w:rFonts w:hint="eastAsia" w:ascii="仿宋" w:hAnsi="仿宋" w:eastAsia="仿宋" w:cs="仿宋_GB2312"/>
                <w:b/>
                <w:color w:val="auto"/>
                <w:sz w:val="28"/>
                <w:szCs w:val="28"/>
                <w:highlight w:val="none"/>
              </w:rPr>
            </w:pPr>
          </w:p>
        </w:tc>
        <w:tc>
          <w:tcPr>
            <w:tcW w:w="1453" w:type="dxa"/>
            <w:gridSpan w:val="3"/>
            <w:noWrap w:val="0"/>
            <w:vAlign w:val="top"/>
          </w:tcPr>
          <w:p>
            <w:pPr>
              <w:jc w:val="center"/>
              <w:rPr>
                <w:rFonts w:hint="eastAsia" w:ascii="仿宋" w:hAnsi="仿宋" w:eastAsia="仿宋" w:cs="仿宋_GB2312"/>
                <w:b/>
                <w:color w:val="auto"/>
                <w:sz w:val="28"/>
                <w:szCs w:val="28"/>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岗位</w:t>
            </w:r>
          </w:p>
        </w:tc>
        <w:tc>
          <w:tcPr>
            <w:tcW w:w="100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姓名</w:t>
            </w:r>
          </w:p>
        </w:tc>
        <w:tc>
          <w:tcPr>
            <w:tcW w:w="85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性别</w:t>
            </w:r>
          </w:p>
        </w:tc>
        <w:tc>
          <w:tcPr>
            <w:tcW w:w="237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身份证号</w:t>
            </w:r>
          </w:p>
        </w:tc>
        <w:tc>
          <w:tcPr>
            <w:tcW w:w="257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执业或职业资格证明</w:t>
            </w:r>
          </w:p>
        </w:tc>
        <w:tc>
          <w:tcPr>
            <w:tcW w:w="10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r>
              <w:rPr>
                <w:rFonts w:hint="eastAsia" w:ascii="宋体" w:hAnsi="宋体" w:cs="宋体"/>
                <w:b/>
                <w:bCs/>
                <w:color w:val="auto"/>
                <w:sz w:val="24"/>
                <w:szCs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总监理工程师</w:t>
            </w:r>
          </w:p>
        </w:tc>
        <w:tc>
          <w:tcPr>
            <w:tcW w:w="100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default"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专业监理工程师</w:t>
            </w:r>
          </w:p>
        </w:tc>
        <w:tc>
          <w:tcPr>
            <w:tcW w:w="100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b/>
                <w:bCs/>
                <w:color w:val="auto"/>
                <w:sz w:val="24"/>
                <w:szCs w:val="24"/>
                <w:highlight w:val="none"/>
              </w:rPr>
            </w:pPr>
          </w:p>
        </w:tc>
        <w:tc>
          <w:tcPr>
            <w:tcW w:w="100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r>
              <w:rPr>
                <w:rFonts w:hint="eastAsia" w:ascii="宋体" w:hAnsi="宋体" w:cs="宋体"/>
                <w:color w:val="auto"/>
                <w:sz w:val="24"/>
                <w:szCs w:val="24"/>
                <w:highlight w:val="none"/>
              </w:rPr>
              <w:t>...</w:t>
            </w:r>
          </w:p>
        </w:tc>
        <w:tc>
          <w:tcPr>
            <w:tcW w:w="100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855"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370"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2573" w:type="dxa"/>
            <w:gridSpan w:val="4"/>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c>
          <w:tcPr>
            <w:tcW w:w="1011" w:type="dxa"/>
            <w:gridSpan w:val="2"/>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宋体" w:hAnsi="宋体" w:cs="宋体"/>
                <w:color w:val="auto"/>
                <w:sz w:val="24"/>
                <w:szCs w:val="24"/>
                <w:highlight w:val="none"/>
              </w:rPr>
            </w:pPr>
          </w:p>
        </w:tc>
      </w:tr>
    </w:tbl>
    <w:p>
      <w:pPr>
        <w:pStyle w:val="84"/>
        <w:ind w:firstLine="560"/>
        <w:rPr>
          <w:rFonts w:ascii="仿宋_GB2312" w:hAnsi="等线" w:eastAsia="仿宋_GB2312"/>
          <w:sz w:val="28"/>
          <w:szCs w:val="28"/>
          <w:highlight w:val="none"/>
        </w:rPr>
      </w:pPr>
    </w:p>
    <w:p>
      <w:pPr>
        <w:pStyle w:val="84"/>
        <w:ind w:firstLine="560"/>
        <w:rPr>
          <w:rFonts w:ascii="仿宋_GB2312" w:hAnsi="等线" w:eastAsia="仿宋_GB2312"/>
          <w:sz w:val="28"/>
          <w:szCs w:val="28"/>
          <w:highlight w:val="none"/>
        </w:rPr>
      </w:pPr>
    </w:p>
    <w:p>
      <w:pPr>
        <w:adjustRightInd w:val="0"/>
        <w:snapToGrid w:val="0"/>
        <w:spacing w:line="360" w:lineRule="auto"/>
        <w:jc w:val="right"/>
        <w:rPr>
          <w:rFonts w:hint="eastAsia" w:ascii="宋体" w:hAnsi="宋体" w:cs="宋体"/>
          <w:color w:val="auto"/>
          <w:sz w:val="24"/>
          <w:szCs w:val="24"/>
          <w:highlight w:val="none"/>
          <w:lang w:val="en-GB"/>
        </w:rPr>
      </w:pPr>
      <w:r>
        <w:rPr>
          <w:rFonts w:hint="eastAsia" w:ascii="宋体" w:hAnsi="宋体" w:cs="宋体"/>
          <w:color w:val="auto"/>
          <w:sz w:val="24"/>
          <w:szCs w:val="24"/>
          <w:highlight w:val="none"/>
          <w:lang w:val="en-GB"/>
        </w:rPr>
        <w:t xml:space="preserve">供应商名称（加盖公章）： </w:t>
      </w:r>
    </w:p>
    <w:p>
      <w:pPr>
        <w:adjustRightInd w:val="0"/>
        <w:snapToGrid w:val="0"/>
        <w:jc w:val="right"/>
        <w:rPr>
          <w:rFonts w:ascii="仿宋_GB2312" w:hAnsi="等线" w:eastAsia="仿宋_GB2312"/>
          <w:color w:val="auto"/>
          <w:sz w:val="28"/>
          <w:szCs w:val="28"/>
          <w:highlight w:val="none"/>
        </w:rPr>
      </w:pPr>
      <w:r>
        <w:rPr>
          <w:rFonts w:hint="eastAsia" w:ascii="宋体" w:hAnsi="宋体" w:cs="宋体"/>
          <w:color w:val="auto"/>
          <w:sz w:val="24"/>
          <w:szCs w:val="24"/>
          <w:highlight w:val="none"/>
          <w:lang w:val="en-GB"/>
        </w:rPr>
        <w:t>年  月  日</w:t>
      </w:r>
    </w:p>
    <w:p>
      <w:pPr>
        <w:pStyle w:val="84"/>
        <w:ind w:firstLine="0" w:firstLineChars="0"/>
        <w:rPr>
          <w:rFonts w:hint="eastAsia" w:ascii="等线" w:hAnsi="等线" w:eastAsia="等线" w:cs="Times New Roman"/>
          <w:b/>
          <w:bCs/>
          <w:sz w:val="28"/>
          <w:szCs w:val="28"/>
          <w:highlight w:val="none"/>
          <w:lang w:val="en-US" w:eastAsia="zh-CN"/>
        </w:rPr>
      </w:pPr>
      <w:r>
        <w:rPr>
          <w:rFonts w:hint="eastAsia" w:ascii="等线" w:hAnsi="等线" w:eastAsia="等线" w:cs="Times New Roman"/>
          <w:b/>
          <w:bCs/>
          <w:sz w:val="28"/>
          <w:szCs w:val="28"/>
          <w:highlight w:val="none"/>
          <w:lang w:val="en-US" w:eastAsia="zh-CN"/>
        </w:rPr>
        <w:t>5报价表</w:t>
      </w:r>
    </w:p>
    <w:tbl>
      <w:tblPr>
        <w:tblStyle w:val="623"/>
        <w:tblpPr w:leftFromText="180" w:rightFromText="180" w:vertAnchor="text" w:horzAnchor="page" w:tblpX="936" w:tblpY="570"/>
        <w:tblOverlap w:val="never"/>
        <w:tblW w:w="9756" w:type="dxa"/>
        <w:tblInd w:w="0" w:type="dxa"/>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Layout w:type="fixed"/>
        <w:tblCellMar>
          <w:top w:w="0" w:type="dxa"/>
          <w:left w:w="0" w:type="dxa"/>
          <w:bottom w:w="0" w:type="dxa"/>
          <w:right w:w="0" w:type="dxa"/>
        </w:tblCellMar>
      </w:tblPr>
      <w:tblGrid>
        <w:gridCol w:w="585"/>
        <w:gridCol w:w="1059"/>
        <w:gridCol w:w="592"/>
        <w:gridCol w:w="585"/>
        <w:gridCol w:w="1526"/>
        <w:gridCol w:w="1786"/>
        <w:gridCol w:w="1152"/>
        <w:gridCol w:w="1173"/>
        <w:gridCol w:w="1298"/>
      </w:tblGrid>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179" w:hRule="atLeast"/>
        </w:trPr>
        <w:tc>
          <w:tcPr>
            <w:tcW w:w="585" w:type="dxa"/>
            <w:vAlign w:val="center"/>
          </w:tcPr>
          <w:p>
            <w:pPr>
              <w:pStyle w:val="446"/>
              <w:spacing w:before="12"/>
              <w:jc w:val="center"/>
              <w:rPr>
                <w:sz w:val="29"/>
                <w:highlight w:val="none"/>
                <w:lang w:eastAsia="zh-CN"/>
              </w:rPr>
            </w:pPr>
          </w:p>
          <w:p>
            <w:pPr>
              <w:pStyle w:val="446"/>
              <w:ind w:left="100" w:right="51"/>
              <w:jc w:val="center"/>
              <w:rPr>
                <w:highlight w:val="none"/>
              </w:rPr>
            </w:pPr>
            <w:r>
              <w:rPr>
                <w:color w:val="auto"/>
                <w:w w:val="110"/>
                <w:highlight w:val="none"/>
              </w:rPr>
              <w:t>序号</w:t>
            </w:r>
          </w:p>
        </w:tc>
        <w:tc>
          <w:tcPr>
            <w:tcW w:w="1059" w:type="dxa"/>
            <w:vAlign w:val="center"/>
          </w:tcPr>
          <w:p>
            <w:pPr>
              <w:pStyle w:val="446"/>
              <w:spacing w:line="271" w:lineRule="auto"/>
              <w:ind w:left="0" w:right="58" w:firstLine="0"/>
              <w:jc w:val="center"/>
              <w:rPr>
                <w:highlight w:val="none"/>
              </w:rPr>
            </w:pPr>
            <w:r>
              <w:rPr>
                <w:color w:val="auto"/>
                <w:w w:val="105"/>
                <w:highlight w:val="none"/>
              </w:rPr>
              <w:t>分部分项</w:t>
            </w:r>
            <w:r>
              <w:rPr>
                <w:color w:val="auto"/>
                <w:w w:val="110"/>
                <w:highlight w:val="none"/>
              </w:rPr>
              <w:t>工程名称</w:t>
            </w:r>
          </w:p>
        </w:tc>
        <w:tc>
          <w:tcPr>
            <w:tcW w:w="592" w:type="dxa"/>
            <w:vAlign w:val="center"/>
          </w:tcPr>
          <w:p>
            <w:pPr>
              <w:pStyle w:val="446"/>
              <w:jc w:val="center"/>
              <w:rPr>
                <w:highlight w:val="none"/>
              </w:rPr>
            </w:pPr>
          </w:p>
          <w:p>
            <w:pPr>
              <w:pStyle w:val="446"/>
              <w:spacing w:before="5"/>
              <w:jc w:val="center"/>
              <w:rPr>
                <w:sz w:val="16"/>
                <w:highlight w:val="none"/>
              </w:rPr>
            </w:pPr>
          </w:p>
          <w:p>
            <w:pPr>
              <w:pStyle w:val="446"/>
              <w:spacing w:before="1" w:line="264" w:lineRule="auto"/>
              <w:ind w:left="137" w:right="68" w:hanging="6"/>
              <w:jc w:val="center"/>
              <w:rPr>
                <w:highlight w:val="none"/>
              </w:rPr>
            </w:pPr>
            <w:r>
              <w:rPr>
                <w:color w:val="auto"/>
                <w:w w:val="110"/>
                <w:highlight w:val="none"/>
              </w:rPr>
              <w:t>计量</w:t>
            </w:r>
            <w:r>
              <w:rPr>
                <w:color w:val="auto"/>
                <w:w w:val="105"/>
                <w:highlight w:val="none"/>
              </w:rPr>
              <w:t>单位</w:t>
            </w:r>
          </w:p>
        </w:tc>
        <w:tc>
          <w:tcPr>
            <w:tcW w:w="585" w:type="dxa"/>
            <w:vAlign w:val="center"/>
          </w:tcPr>
          <w:p>
            <w:pPr>
              <w:pStyle w:val="446"/>
              <w:spacing w:before="11"/>
              <w:jc w:val="center"/>
              <w:rPr>
                <w:sz w:val="15"/>
                <w:highlight w:val="none"/>
              </w:rPr>
            </w:pPr>
          </w:p>
          <w:p>
            <w:pPr>
              <w:pStyle w:val="446"/>
              <w:spacing w:line="271" w:lineRule="auto"/>
              <w:ind w:left="247" w:right="63" w:hanging="118"/>
              <w:jc w:val="center"/>
              <w:rPr>
                <w:highlight w:val="none"/>
              </w:rPr>
            </w:pPr>
            <w:r>
              <w:rPr>
                <w:color w:val="auto"/>
                <w:w w:val="110"/>
                <w:highlight w:val="none"/>
              </w:rPr>
              <w:t>工程量</w:t>
            </w:r>
          </w:p>
        </w:tc>
        <w:tc>
          <w:tcPr>
            <w:tcW w:w="1526" w:type="dxa"/>
            <w:vAlign w:val="center"/>
          </w:tcPr>
          <w:p>
            <w:pPr>
              <w:pStyle w:val="446"/>
              <w:spacing w:before="2"/>
              <w:jc w:val="center"/>
              <w:rPr>
                <w:sz w:val="27"/>
                <w:highlight w:val="none"/>
              </w:rPr>
            </w:pPr>
          </w:p>
          <w:p>
            <w:pPr>
              <w:pStyle w:val="446"/>
              <w:ind w:left="454"/>
              <w:jc w:val="center"/>
              <w:rPr>
                <w:highlight w:val="none"/>
              </w:rPr>
            </w:pPr>
            <w:r>
              <w:rPr>
                <w:color w:val="auto"/>
                <w:w w:val="110"/>
                <w:highlight w:val="none"/>
              </w:rPr>
              <w:t>工程内容</w:t>
            </w:r>
          </w:p>
        </w:tc>
        <w:tc>
          <w:tcPr>
            <w:tcW w:w="1786" w:type="dxa"/>
            <w:vAlign w:val="center"/>
          </w:tcPr>
          <w:p>
            <w:pPr>
              <w:pStyle w:val="446"/>
              <w:jc w:val="center"/>
              <w:rPr>
                <w:highlight w:val="none"/>
              </w:rPr>
            </w:pPr>
          </w:p>
          <w:p>
            <w:pPr>
              <w:pStyle w:val="446"/>
              <w:ind w:left="0"/>
              <w:jc w:val="center"/>
              <w:rPr>
                <w:highlight w:val="none"/>
              </w:rPr>
            </w:pPr>
            <w:r>
              <w:rPr>
                <w:color w:val="auto"/>
                <w:w w:val="110"/>
                <w:highlight w:val="none"/>
              </w:rPr>
              <w:t>费用内容</w:t>
            </w:r>
          </w:p>
        </w:tc>
        <w:tc>
          <w:tcPr>
            <w:tcW w:w="1152" w:type="dxa"/>
            <w:vAlign w:val="center"/>
          </w:tcPr>
          <w:p>
            <w:pPr>
              <w:pStyle w:val="446"/>
              <w:jc w:val="center"/>
              <w:rPr>
                <w:highlight w:val="none"/>
                <w:lang w:eastAsia="zh-CN"/>
              </w:rPr>
            </w:pPr>
          </w:p>
          <w:p>
            <w:pPr>
              <w:pStyle w:val="446"/>
              <w:spacing w:before="146" w:line="271" w:lineRule="auto"/>
              <w:ind w:left="287" w:right="38" w:hanging="125"/>
              <w:jc w:val="center"/>
              <w:rPr>
                <w:highlight w:val="none"/>
              </w:rPr>
            </w:pPr>
            <w:r>
              <w:rPr>
                <w:color w:val="auto"/>
                <w:w w:val="110"/>
                <w:highlight w:val="none"/>
              </w:rPr>
              <w:t>增值税税率</w:t>
            </w:r>
          </w:p>
        </w:tc>
        <w:tc>
          <w:tcPr>
            <w:tcW w:w="1173" w:type="dxa"/>
            <w:vAlign w:val="center"/>
          </w:tcPr>
          <w:p>
            <w:pPr>
              <w:pStyle w:val="446"/>
              <w:spacing w:before="10"/>
              <w:jc w:val="center"/>
              <w:rPr>
                <w:sz w:val="32"/>
                <w:highlight w:val="none"/>
              </w:rPr>
            </w:pPr>
          </w:p>
          <w:p>
            <w:pPr>
              <w:pStyle w:val="446"/>
              <w:ind w:left="258"/>
              <w:jc w:val="center"/>
              <w:rPr>
                <w:highlight w:val="none"/>
              </w:rPr>
            </w:pPr>
            <w:r>
              <w:rPr>
                <w:color w:val="auto"/>
                <w:w w:val="105"/>
                <w:highlight w:val="none"/>
              </w:rPr>
              <w:t>含税单价</w:t>
            </w:r>
          </w:p>
          <w:p>
            <w:pPr>
              <w:pStyle w:val="446"/>
              <w:spacing w:before="11"/>
              <w:ind w:left="307"/>
              <w:jc w:val="center"/>
              <w:rPr>
                <w:sz w:val="23"/>
                <w:highlight w:val="none"/>
              </w:rPr>
            </w:pPr>
            <w:r>
              <w:rPr>
                <w:color w:val="auto"/>
                <w:w w:val="70"/>
                <w:sz w:val="23"/>
                <w:highlight w:val="none"/>
              </w:rPr>
              <w:t>（元／月）</w:t>
            </w:r>
          </w:p>
        </w:tc>
        <w:tc>
          <w:tcPr>
            <w:tcW w:w="1298" w:type="dxa"/>
            <w:tcBorders>
              <w:bottom w:val="single" w:color="000000" w:sz="4" w:space="0"/>
              <w:right w:val="single" w:color="000000" w:sz="4" w:space="0"/>
            </w:tcBorders>
            <w:vAlign w:val="center"/>
          </w:tcPr>
          <w:p>
            <w:pPr>
              <w:pStyle w:val="446"/>
              <w:spacing w:before="7"/>
              <w:jc w:val="center"/>
              <w:rPr>
                <w:sz w:val="30"/>
                <w:highlight w:val="none"/>
                <w:lang w:eastAsia="zh-CN"/>
              </w:rPr>
            </w:pPr>
          </w:p>
          <w:p>
            <w:pPr>
              <w:pStyle w:val="446"/>
              <w:ind w:left="307" w:right="228"/>
              <w:jc w:val="center"/>
              <w:rPr>
                <w:highlight w:val="none"/>
              </w:rPr>
            </w:pPr>
            <w:r>
              <w:rPr>
                <w:color w:val="auto"/>
                <w:w w:val="110"/>
                <w:highlight w:val="none"/>
              </w:rPr>
              <w:t>含税总价</w:t>
            </w:r>
          </w:p>
          <w:p>
            <w:pPr>
              <w:pStyle w:val="446"/>
              <w:spacing w:before="26"/>
              <w:ind w:left="307" w:right="225"/>
              <w:jc w:val="center"/>
              <w:rPr>
                <w:sz w:val="23"/>
                <w:highlight w:val="none"/>
              </w:rPr>
            </w:pPr>
            <w:r>
              <w:rPr>
                <w:color w:val="auto"/>
                <w:w w:val="80"/>
                <w:sz w:val="23"/>
                <w:highlight w:val="none"/>
              </w:rPr>
              <w:t>（元）</w:t>
            </w:r>
          </w:p>
        </w:tc>
      </w:tr>
      <w:tr>
        <w:tblPrEx>
          <w:tblBorders>
            <w:top w:val="single" w:color="000000" w:sz="12" w:space="0"/>
            <w:left w:val="single" w:color="000000" w:sz="12" w:space="0"/>
            <w:bottom w:val="single" w:color="000000" w:sz="12" w:space="0"/>
            <w:right w:val="single" w:color="000000" w:sz="12" w:space="0"/>
            <w:insideH w:val="single" w:color="000000" w:sz="12" w:space="0"/>
            <w:insideV w:val="single" w:color="000000" w:sz="12" w:space="0"/>
          </w:tblBorders>
          <w:tblCellMar>
            <w:top w:w="0" w:type="dxa"/>
            <w:left w:w="0" w:type="dxa"/>
            <w:bottom w:w="0" w:type="dxa"/>
            <w:right w:w="0" w:type="dxa"/>
          </w:tblCellMar>
        </w:tblPrEx>
        <w:trPr>
          <w:trHeight w:val="1912" w:hRule="atLeast"/>
        </w:trPr>
        <w:tc>
          <w:tcPr>
            <w:tcW w:w="585" w:type="dxa"/>
          </w:tcPr>
          <w:p>
            <w:pPr>
              <w:pStyle w:val="446"/>
              <w:rPr>
                <w:sz w:val="26"/>
                <w:highlight w:val="none"/>
              </w:rPr>
            </w:pPr>
          </w:p>
          <w:p>
            <w:pPr>
              <w:pStyle w:val="446"/>
              <w:spacing w:before="9"/>
              <w:rPr>
                <w:sz w:val="30"/>
                <w:highlight w:val="none"/>
              </w:rPr>
            </w:pPr>
          </w:p>
          <w:p>
            <w:pPr>
              <w:pStyle w:val="446"/>
              <w:spacing w:before="1"/>
              <w:ind w:left="80"/>
              <w:jc w:val="center"/>
              <w:rPr>
                <w:rFonts w:ascii="Times New Roman"/>
                <w:sz w:val="24"/>
                <w:highlight w:val="none"/>
              </w:rPr>
            </w:pPr>
            <w:r>
              <w:rPr>
                <w:rFonts w:ascii="Times New Roman"/>
                <w:color w:val="auto"/>
                <w:w w:val="107"/>
                <w:sz w:val="24"/>
                <w:highlight w:val="none"/>
              </w:rPr>
              <w:t>1</w:t>
            </w:r>
          </w:p>
        </w:tc>
        <w:tc>
          <w:tcPr>
            <w:tcW w:w="1059" w:type="dxa"/>
          </w:tcPr>
          <w:p>
            <w:pPr>
              <w:pStyle w:val="446"/>
              <w:rPr>
                <w:highlight w:val="none"/>
              </w:rPr>
            </w:pPr>
          </w:p>
          <w:p>
            <w:pPr>
              <w:pStyle w:val="446"/>
              <w:spacing w:before="1"/>
              <w:rPr>
                <w:highlight w:val="none"/>
              </w:rPr>
            </w:pPr>
          </w:p>
          <w:p>
            <w:pPr>
              <w:pStyle w:val="446"/>
              <w:spacing w:line="276" w:lineRule="auto"/>
              <w:ind w:left="318" w:right="102" w:hanging="129"/>
              <w:rPr>
                <w:highlight w:val="none"/>
              </w:rPr>
            </w:pPr>
            <w:r>
              <w:rPr>
                <w:color w:val="auto"/>
                <w:w w:val="105"/>
                <w:highlight w:val="none"/>
              </w:rPr>
              <w:t>爆破安全</w:t>
            </w:r>
            <w:r>
              <w:rPr>
                <w:color w:val="auto"/>
                <w:w w:val="110"/>
                <w:highlight w:val="none"/>
              </w:rPr>
              <w:t>监理费</w:t>
            </w:r>
          </w:p>
        </w:tc>
        <w:tc>
          <w:tcPr>
            <w:tcW w:w="592" w:type="dxa"/>
          </w:tcPr>
          <w:p>
            <w:pPr>
              <w:pStyle w:val="446"/>
              <w:rPr>
                <w:highlight w:val="none"/>
              </w:rPr>
            </w:pPr>
          </w:p>
          <w:p>
            <w:pPr>
              <w:pStyle w:val="446"/>
              <w:rPr>
                <w:highlight w:val="none"/>
              </w:rPr>
            </w:pPr>
          </w:p>
          <w:p>
            <w:pPr>
              <w:pStyle w:val="446"/>
              <w:spacing w:before="153"/>
              <w:ind w:left="270"/>
              <w:rPr>
                <w:highlight w:val="none"/>
              </w:rPr>
            </w:pPr>
            <w:r>
              <w:rPr>
                <w:color w:val="auto"/>
                <w:w w:val="108"/>
                <w:highlight w:val="none"/>
              </w:rPr>
              <w:t>次</w:t>
            </w:r>
          </w:p>
        </w:tc>
        <w:tc>
          <w:tcPr>
            <w:tcW w:w="585" w:type="dxa"/>
          </w:tcPr>
          <w:p>
            <w:pPr>
              <w:pStyle w:val="446"/>
              <w:rPr>
                <w:sz w:val="26"/>
                <w:highlight w:val="none"/>
              </w:rPr>
            </w:pPr>
          </w:p>
          <w:p>
            <w:pPr>
              <w:pStyle w:val="446"/>
              <w:spacing w:before="1"/>
              <w:rPr>
                <w:sz w:val="29"/>
                <w:highlight w:val="none"/>
              </w:rPr>
            </w:pPr>
          </w:p>
          <w:p>
            <w:pPr>
              <w:pStyle w:val="446"/>
              <w:ind w:left="69"/>
              <w:jc w:val="center"/>
              <w:rPr>
                <w:rFonts w:ascii="Times New Roman"/>
                <w:sz w:val="24"/>
                <w:highlight w:val="none"/>
              </w:rPr>
            </w:pPr>
            <w:r>
              <w:rPr>
                <w:rFonts w:ascii="Times New Roman"/>
                <w:color w:val="auto"/>
                <w:w w:val="108"/>
                <w:sz w:val="24"/>
                <w:highlight w:val="none"/>
              </w:rPr>
              <w:t>1</w:t>
            </w:r>
          </w:p>
        </w:tc>
        <w:tc>
          <w:tcPr>
            <w:tcW w:w="1526" w:type="dxa"/>
          </w:tcPr>
          <w:p>
            <w:pPr>
              <w:pStyle w:val="446"/>
              <w:spacing w:before="75" w:line="266" w:lineRule="auto"/>
              <w:ind w:left="225" w:right="144" w:hanging="1"/>
              <w:jc w:val="both"/>
              <w:rPr>
                <w:highlight w:val="none"/>
                <w:lang w:eastAsia="zh-CN"/>
              </w:rPr>
            </w:pPr>
            <w:r>
              <w:rPr>
                <w:color w:val="auto"/>
                <w:w w:val="105"/>
                <w:highlight w:val="none"/>
                <w:lang w:eastAsia="zh-CN"/>
              </w:rPr>
              <w:t>按照国家和广州市相关法律法规规定开展爆破安全监理</w:t>
            </w:r>
          </w:p>
          <w:p>
            <w:pPr>
              <w:pStyle w:val="446"/>
              <w:spacing w:line="239" w:lineRule="exact"/>
              <w:ind w:left="691" w:right="591"/>
              <w:jc w:val="center"/>
              <w:rPr>
                <w:highlight w:val="none"/>
              </w:rPr>
            </w:pPr>
            <w:r>
              <w:rPr>
                <w:color w:val="auto"/>
                <w:w w:val="110"/>
                <w:highlight w:val="none"/>
              </w:rPr>
              <w:t>工作</w:t>
            </w:r>
          </w:p>
        </w:tc>
        <w:tc>
          <w:tcPr>
            <w:tcW w:w="1786" w:type="dxa"/>
          </w:tcPr>
          <w:p>
            <w:pPr>
              <w:pStyle w:val="446"/>
              <w:spacing w:before="4"/>
              <w:rPr>
                <w:sz w:val="28"/>
                <w:highlight w:val="none"/>
                <w:lang w:eastAsia="zh-CN"/>
              </w:rPr>
            </w:pPr>
          </w:p>
          <w:p>
            <w:pPr>
              <w:pStyle w:val="446"/>
              <w:spacing w:before="1" w:line="271" w:lineRule="auto"/>
              <w:ind w:left="138" w:right="-29" w:firstLine="2"/>
              <w:jc w:val="center"/>
              <w:rPr>
                <w:highlight w:val="none"/>
                <w:lang w:eastAsia="zh-CN"/>
              </w:rPr>
            </w:pPr>
            <w:r>
              <w:rPr>
                <w:color w:val="auto"/>
                <w:spacing w:val="1"/>
                <w:w w:val="105"/>
                <w:highlight w:val="none"/>
                <w:lang w:eastAsia="zh-CN"/>
              </w:rPr>
              <w:t>包含监理人员的</w:t>
            </w:r>
            <w:r>
              <w:rPr>
                <w:color w:val="auto"/>
                <w:spacing w:val="8"/>
                <w:w w:val="105"/>
                <w:highlight w:val="none"/>
                <w:lang w:eastAsia="zh-CN"/>
              </w:rPr>
              <w:t>报</w:t>
            </w:r>
            <w:r>
              <w:rPr>
                <w:color w:val="auto"/>
                <w:spacing w:val="-4"/>
                <w:w w:val="105"/>
                <w:highlight w:val="none"/>
                <w:lang w:eastAsia="zh-CN"/>
              </w:rPr>
              <w:t>酬</w:t>
            </w:r>
            <w:r>
              <w:rPr>
                <w:color w:val="auto"/>
                <w:w w:val="105"/>
                <w:highlight w:val="none"/>
                <w:lang w:eastAsia="zh-CN"/>
              </w:rPr>
              <w:t>、</w:t>
            </w:r>
            <w:r>
              <w:rPr>
                <w:color w:val="auto"/>
                <w:spacing w:val="3"/>
                <w:w w:val="110"/>
                <w:highlight w:val="none"/>
                <w:lang w:eastAsia="zh-CN"/>
              </w:rPr>
              <w:t>差旅费</w:t>
            </w:r>
            <w:r>
              <w:rPr>
                <w:color w:val="auto"/>
                <w:spacing w:val="-72"/>
                <w:w w:val="110"/>
                <w:highlight w:val="none"/>
                <w:lang w:eastAsia="zh-CN"/>
              </w:rPr>
              <w:t>、</w:t>
            </w:r>
            <w:r>
              <w:rPr>
                <w:color w:val="auto"/>
                <w:spacing w:val="-1"/>
                <w:w w:val="110"/>
                <w:highlight w:val="none"/>
                <w:lang w:eastAsia="zh-CN"/>
              </w:rPr>
              <w:t>业务费和税金</w:t>
            </w:r>
          </w:p>
          <w:p>
            <w:pPr>
              <w:pStyle w:val="446"/>
              <w:spacing w:line="272" w:lineRule="exact"/>
              <w:ind w:left="1033" w:right="1044"/>
              <w:jc w:val="center"/>
              <w:rPr>
                <w:highlight w:val="none"/>
              </w:rPr>
            </w:pPr>
            <w:r>
              <w:rPr>
                <w:color w:val="auto"/>
                <w:w w:val="90"/>
                <w:highlight w:val="none"/>
              </w:rPr>
              <w:t>等。</w:t>
            </w:r>
          </w:p>
        </w:tc>
        <w:tc>
          <w:tcPr>
            <w:tcW w:w="1152" w:type="dxa"/>
          </w:tcPr>
          <w:p>
            <w:pPr>
              <w:pStyle w:val="446"/>
              <w:spacing w:before="1"/>
              <w:ind w:left="422"/>
              <w:rPr>
                <w:rFonts w:ascii="Times New Roman"/>
                <w:sz w:val="23"/>
                <w:highlight w:val="none"/>
              </w:rPr>
            </w:pPr>
          </w:p>
        </w:tc>
        <w:tc>
          <w:tcPr>
            <w:tcW w:w="1173" w:type="dxa"/>
          </w:tcPr>
          <w:p>
            <w:pPr>
              <w:pStyle w:val="446"/>
              <w:ind w:left="264"/>
              <w:rPr>
                <w:rFonts w:ascii="Times New Roman"/>
                <w:sz w:val="23"/>
                <w:highlight w:val="none"/>
              </w:rPr>
            </w:pPr>
          </w:p>
        </w:tc>
        <w:tc>
          <w:tcPr>
            <w:tcW w:w="1298" w:type="dxa"/>
            <w:tcBorders>
              <w:top w:val="single" w:color="000000" w:sz="4" w:space="0"/>
            </w:tcBorders>
          </w:tcPr>
          <w:p>
            <w:pPr>
              <w:pStyle w:val="446"/>
              <w:ind w:left="344"/>
              <w:rPr>
                <w:rFonts w:ascii="Times New Roman"/>
                <w:sz w:val="23"/>
                <w:highlight w:val="none"/>
              </w:rPr>
            </w:pPr>
          </w:p>
        </w:tc>
      </w:tr>
    </w:tbl>
    <w:p>
      <w:pPr>
        <w:pStyle w:val="84"/>
        <w:ind w:firstLine="0" w:firstLineChars="0"/>
        <w:rPr>
          <w:rFonts w:hint="default" w:ascii="等线" w:hAnsi="等线" w:eastAsia="等线" w:cs="Times New Roman"/>
          <w:b/>
          <w:bCs/>
          <w:sz w:val="28"/>
          <w:szCs w:val="28"/>
          <w:highlight w:val="none"/>
          <w:lang w:val="en-US" w:eastAsia="zh-CN"/>
        </w:rPr>
      </w:pPr>
    </w:p>
    <w:p>
      <w:pPr>
        <w:pStyle w:val="50"/>
        <w:keepNext w:val="0"/>
        <w:keepLines w:val="0"/>
        <w:pageBreakBefore w:val="0"/>
        <w:widowControl/>
        <w:numPr>
          <w:ilvl w:val="-1"/>
          <w:numId w:val="0"/>
        </w:numPr>
        <w:kinsoku/>
        <w:wordWrap/>
        <w:overflowPunct/>
        <w:topLinePunct w:val="0"/>
        <w:autoSpaceDE/>
        <w:autoSpaceDN/>
        <w:bidi w:val="0"/>
        <w:adjustRightInd/>
        <w:snapToGrid/>
        <w:spacing w:after="0" w:line="360" w:lineRule="auto"/>
        <w:ind w:left="0" w:leftChars="0" w:firstLine="0" w:firstLineChars="0"/>
        <w:jc w:val="both"/>
        <w:textAlignment w:val="auto"/>
        <w:rPr>
          <w:rFonts w:hint="eastAsia" w:ascii="宋体" w:hAnsi="宋体" w:cs="宋体"/>
          <w:sz w:val="24"/>
          <w:szCs w:val="24"/>
          <w:highlight w:val="none"/>
          <w:lang w:eastAsia="zh-CN"/>
        </w:rPr>
      </w:pPr>
      <w:r>
        <w:rPr>
          <w:rFonts w:hint="eastAsia" w:ascii="宋体" w:hAnsi="Times New Roman" w:cs="宋体"/>
          <w:color w:val="auto"/>
          <w:sz w:val="24"/>
          <w:szCs w:val="24"/>
          <w:highlight w:val="none"/>
          <w:lang w:val="en-US" w:eastAsia="zh-CN"/>
        </w:rPr>
        <w:t>备注：</w:t>
      </w:r>
      <w:r>
        <w:rPr>
          <w:rFonts w:hint="eastAsia" w:ascii="宋体" w:hAnsi="Times New Roman" w:eastAsia="宋体" w:cs="宋体"/>
          <w:color w:val="auto"/>
          <w:sz w:val="24"/>
          <w:szCs w:val="24"/>
          <w:highlight w:val="none"/>
        </w:rPr>
        <w:t>供应商需按国家法定</w:t>
      </w:r>
      <w:r>
        <w:rPr>
          <w:rFonts w:hint="eastAsia" w:ascii="宋体" w:hAnsi="Times New Roman" w:eastAsia="宋体" w:cs="宋体"/>
          <w:color w:val="auto"/>
          <w:sz w:val="24"/>
          <w:szCs w:val="24"/>
          <w:highlight w:val="none"/>
          <w:lang w:val="en-US" w:eastAsia="zh-CN"/>
        </w:rPr>
        <w:t>适用本项</w:t>
      </w:r>
      <w:r>
        <w:rPr>
          <w:rFonts w:hint="eastAsia" w:ascii="宋体" w:hAnsi="宋体" w:eastAsia="宋体" w:cs="宋体"/>
          <w:sz w:val="24"/>
          <w:szCs w:val="24"/>
          <w:highlight w:val="none"/>
          <w:lang w:val="en-GB" w:eastAsia="zh-CN"/>
        </w:rPr>
        <w:t>目类型的</w:t>
      </w:r>
      <w:r>
        <w:rPr>
          <w:rFonts w:ascii="宋体" w:hAnsi="宋体" w:eastAsia="宋体" w:cs="宋体"/>
          <w:sz w:val="24"/>
          <w:szCs w:val="24"/>
          <w:highlight w:val="none"/>
        </w:rPr>
        <w:t>税率报价，报价包含实施本项目所包含的全部税费，本报价表税率仅限增值税</w:t>
      </w:r>
      <w:r>
        <w:rPr>
          <w:rFonts w:hint="eastAsia" w:ascii="宋体" w:hAnsi="宋体" w:cs="宋体"/>
          <w:sz w:val="24"/>
          <w:szCs w:val="24"/>
          <w:highlight w:val="none"/>
          <w:lang w:eastAsia="zh-CN"/>
        </w:rPr>
        <w:t>。</w:t>
      </w:r>
    </w:p>
    <w:p>
      <w:pPr>
        <w:pStyle w:val="84"/>
        <w:ind w:firstLine="0" w:firstLineChars="0"/>
        <w:rPr>
          <w:rFonts w:hint="eastAsia" w:ascii="等线" w:hAnsi="等线" w:eastAsia="等线" w:cs="Times New Roman"/>
          <w:b/>
          <w:bCs/>
          <w:sz w:val="28"/>
          <w:szCs w:val="28"/>
          <w:highlight w:val="none"/>
          <w:lang w:val="en-US" w:eastAsia="zh-CN"/>
        </w:rPr>
      </w:pPr>
    </w:p>
    <w:p>
      <w:pPr>
        <w:pStyle w:val="4"/>
        <w:rPr>
          <w:rFonts w:hint="eastAsia" w:ascii="等线" w:hAnsi="等线" w:eastAsia="等线" w:cs="Times New Roman"/>
          <w:b/>
          <w:bCs/>
          <w:color w:val="auto"/>
          <w:szCs w:val="28"/>
          <w:highlight w:val="none"/>
        </w:rPr>
      </w:pPr>
      <w:r>
        <w:rPr>
          <w:rFonts w:hint="eastAsia" w:ascii="等线" w:hAnsi="等线" w:eastAsia="等线" w:cs="Times New Roman"/>
          <w:b/>
          <w:bCs/>
          <w:color w:val="auto"/>
          <w:szCs w:val="28"/>
          <w:highlight w:val="none"/>
          <w:lang w:val="en-US" w:eastAsia="zh-CN"/>
        </w:rPr>
        <w:t>6</w:t>
      </w:r>
      <w:r>
        <w:rPr>
          <w:rFonts w:hint="eastAsia" w:ascii="等线" w:hAnsi="等线" w:eastAsia="等线" w:cs="Times New Roman"/>
          <w:b/>
          <w:bCs/>
          <w:color w:val="auto"/>
          <w:szCs w:val="28"/>
          <w:highlight w:val="none"/>
        </w:rPr>
        <w:t>.其他资料</w:t>
      </w:r>
    </w:p>
    <w:p>
      <w:pPr>
        <w:adjustRightInd w:val="0"/>
        <w:snapToGrid w:val="0"/>
        <w:spacing w:line="600" w:lineRule="exact"/>
        <w:ind w:firstLine="570"/>
        <w:rPr>
          <w:rFonts w:hint="eastAsia" w:ascii="仿宋_GB2312" w:hAnsi="等线" w:eastAsia="仿宋_GB2312"/>
          <w:color w:val="auto"/>
          <w:sz w:val="28"/>
          <w:szCs w:val="28"/>
          <w:highlight w:val="none"/>
        </w:rPr>
      </w:pPr>
      <w:r>
        <w:rPr>
          <w:rFonts w:ascii="仿宋_GB2312" w:hAnsi="等线" w:eastAsia="仿宋_GB2312"/>
          <w:color w:val="auto"/>
          <w:sz w:val="28"/>
          <w:szCs w:val="28"/>
          <w:highlight w:val="none"/>
        </w:rPr>
        <w:t>供应商须提交的其他资料</w:t>
      </w:r>
      <w:r>
        <w:rPr>
          <w:rFonts w:hint="eastAsia" w:ascii="仿宋_GB2312" w:hAnsi="等线" w:eastAsia="仿宋_GB2312"/>
          <w:color w:val="auto"/>
          <w:sz w:val="28"/>
          <w:szCs w:val="28"/>
          <w:highlight w:val="none"/>
        </w:rPr>
        <w:t>。</w:t>
      </w:r>
    </w:p>
    <w:p>
      <w:pPr>
        <w:pStyle w:val="84"/>
        <w:ind w:firstLine="480"/>
        <w:rPr>
          <w:rFonts w:hint="default"/>
          <w:highlight w:val="none"/>
        </w:rPr>
      </w:pPr>
    </w:p>
    <w:p>
      <w:pPr>
        <w:pStyle w:val="84"/>
        <w:ind w:firstLine="480"/>
        <w:rPr>
          <w:rFonts w:hAnsi="宋体" w:cs="宋体"/>
          <w:szCs w:val="24"/>
          <w:highlight w:val="none"/>
        </w:rPr>
      </w:pPr>
    </w:p>
    <w:p>
      <w:pPr>
        <w:spacing w:line="360" w:lineRule="auto"/>
        <w:jc w:val="center"/>
        <w:rPr>
          <w:rFonts w:hint="eastAsia" w:ascii="宋体" w:hAnsi="宋体" w:cs="宋体"/>
          <w:color w:val="auto"/>
          <w:sz w:val="24"/>
          <w:szCs w:val="24"/>
          <w:highlight w:val="none"/>
        </w:rPr>
      </w:pPr>
    </w:p>
    <w:sectPr>
      <w:pgSz w:w="11907" w:h="16839"/>
      <w:pgMar w:top="1588" w:right="1474" w:bottom="1134" w:left="1588" w:header="720" w:footer="720" w:gutter="0"/>
      <w:pgNumType w:fmt="decimal"/>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3412799E-28A7-4736-8B60-30B507E04153}"/>
  </w:font>
  <w:font w:name="黑体">
    <w:panose1 w:val="02010609060101010101"/>
    <w:charset w:val="86"/>
    <w:family w:val="auto"/>
    <w:pitch w:val="default"/>
    <w:sig w:usb0="800002BF" w:usb1="38CF7CFA" w:usb2="00000016" w:usb3="00000000" w:csb0="00040001" w:csb1="00000000"/>
    <w:embedRegular r:id="rId2" w:fontKey="{506549E5-814C-4B59-9522-76582A4B8E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2E4764AE-50B3-4CF2-B299-6C5117D0C666}"/>
  </w:font>
  <w:font w:name="等线">
    <w:panose1 w:val="02010600030101010101"/>
    <w:charset w:val="86"/>
    <w:family w:val="auto"/>
    <w:pitch w:val="default"/>
    <w:sig w:usb0="A00002BF" w:usb1="38CF7CFA" w:usb2="00000016" w:usb3="00000000" w:csb0="0004000F" w:csb1="00000000"/>
    <w:embedRegular r:id="rId4" w:fontKey="{67CAD913-4683-4468-9748-A953E7F95907}"/>
  </w:font>
  <w:font w:name="仿宋_GB2312">
    <w:panose1 w:val="02010609030101010101"/>
    <w:charset w:val="86"/>
    <w:family w:val="modern"/>
    <w:pitch w:val="default"/>
    <w:sig w:usb0="00000001" w:usb1="080E0000" w:usb2="00000000" w:usb3="00000000" w:csb0="00040000" w:csb1="00000000"/>
    <w:embedRegular r:id="rId5" w:fontKey="{2F060C5C-F2F7-4831-96CE-5E68E6CC5D66}"/>
  </w:font>
  <w:font w:name="MS Sans Serif">
    <w:altName w:val="Courier New"/>
    <w:panose1 w:val="00000000000000000000"/>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Tms Rmn">
    <w:altName w:val="Segoe Print"/>
    <w:panose1 w:val="02020603040505020304"/>
    <w:charset w:val="00"/>
    <w:family w:val="roman"/>
    <w:pitch w:val="default"/>
    <w:sig w:usb0="00000000" w:usb1="00000000" w:usb2="00000000" w:usb3="00000000" w:csb0="00000001" w:csb1="00000000"/>
  </w:font>
  <w:font w:name="Tahoma">
    <w:panose1 w:val="020B0604030504040204"/>
    <w:charset w:val="00"/>
    <w:family w:val="swiss"/>
    <w:pitch w:val="default"/>
    <w:sig w:usb0="E1002EFF" w:usb1="C000605B" w:usb2="00000029" w:usb3="00000000" w:csb0="200101FF" w:csb1="20280000"/>
    <w:embedRegular r:id="rId6" w:fontKey="{AD7980FD-F890-4540-A3B2-9A2B86F96285}"/>
  </w:font>
  <w:font w:name="楷体_GB2312">
    <w:altName w:val="楷体"/>
    <w:panose1 w:val="02010609030101010101"/>
    <w:charset w:val="86"/>
    <w:family w:val="modern"/>
    <w:pitch w:val="default"/>
    <w:sig w:usb0="00000000" w:usb1="00000000" w:usb2="00000010" w:usb3="00000000" w:csb0="00040000" w:csb1="00000000"/>
  </w:font>
  <w:font w:name="PMingLiU">
    <w:altName w:val="PMingLiU-ExtB"/>
    <w:panose1 w:val="02020500000000000000"/>
    <w:charset w:val="88"/>
    <w:family w:val="roman"/>
    <w:pitch w:val="default"/>
    <w:sig w:usb0="00000000" w:usb1="00000000" w:usb2="00000016" w:usb3="00000000" w:csb0="00100001" w:csb1="00000000"/>
  </w:font>
  <w:font w:name="长城仿宋">
    <w:altName w:val="宋体"/>
    <w:panose1 w:val="00000000000000000000"/>
    <w:charset w:val="86"/>
    <w:family w:val="modern"/>
    <w:pitch w:val="default"/>
    <w:sig w:usb0="00000000" w:usb1="00000000" w:usb2="00000010" w:usb3="00000000" w:csb0="00040000" w:csb1="00000000"/>
  </w:font>
  <w:font w:name="New York">
    <w:altName w:val="DejaVu Math TeX Gyre"/>
    <w:panose1 w:val="02040503060506020304"/>
    <w:charset w:val="00"/>
    <w:family w:val="roman"/>
    <w:pitch w:val="default"/>
    <w:sig w:usb0="00000000" w:usb1="00000000" w:usb2="00000000" w:usb3="00000000" w:csb0="00000001" w:csb1="00000000"/>
  </w:font>
  <w:font w:name="Arial Unicode MS">
    <w:altName w:val="宋体"/>
    <w:panose1 w:val="020B0604020202020204"/>
    <w:charset w:val="86"/>
    <w:family w:val="roman"/>
    <w:pitch w:val="default"/>
    <w:sig w:usb0="00000000" w:usb1="00000000" w:usb2="0000003F" w:usb3="00000000" w:csb0="603F01FF" w:csb1="FFFF0000"/>
  </w:font>
  <w:font w:name="华文中宋">
    <w:panose1 w:val="02010600040101010101"/>
    <w:charset w:val="86"/>
    <w:family w:val="auto"/>
    <w:pitch w:val="default"/>
    <w:sig w:usb0="00000287" w:usb1="080F0000" w:usb2="00000000" w:usb3="00000000" w:csb0="0004009F" w:csb1="DFD70000"/>
  </w:font>
  <w:font w:name="汉仪大宋简">
    <w:altName w:val="宋体"/>
    <w:panose1 w:val="00000000000000000000"/>
    <w:charset w:val="86"/>
    <w:family w:val="modern"/>
    <w:pitch w:val="default"/>
    <w:sig w:usb0="00000000" w:usb1="00000000" w:usb2="00000012" w:usb3="00000000" w:csb0="00040000" w:csb1="00000000"/>
  </w:font>
  <w:font w:name="方正书宋简体">
    <w:altName w:val="宋体"/>
    <w:panose1 w:val="02010601030101010101"/>
    <w:charset w:val="86"/>
    <w:family w:val="auto"/>
    <w:pitch w:val="default"/>
    <w:sig w:usb0="00000000" w:usb1="00000000" w:usb2="00000010" w:usb3="00000000" w:csb0="00040000" w:csb1="00000000"/>
  </w:font>
  <w:font w:name="Plotter">
    <w:altName w:val="Times New Roman"/>
    <w:panose1 w:val="00000000000000000000"/>
    <w:charset w:val="00"/>
    <w:family w:val="roman"/>
    <w:pitch w:val="default"/>
    <w:sig w:usb0="00000000" w:usb1="00000000" w:usb2="00000000" w:usb3="00000000" w:csb0="00000001" w:csb1="00000000"/>
  </w:font>
  <w:font w:name="Arial Black">
    <w:panose1 w:val="020B0A04020102020204"/>
    <w:charset w:val="00"/>
    <w:family w:val="swiss"/>
    <w:pitch w:val="default"/>
    <w:sig w:usb0="A00002AF" w:usb1="400078FB" w:usb2="00000000" w:usb3="00000000" w:csb0="6000009F" w:csb1="DFD70000"/>
  </w:font>
  <w:font w:name="华文新魏">
    <w:panose1 w:val="02010800040101010101"/>
    <w:charset w:val="86"/>
    <w:family w:val="auto"/>
    <w:pitch w:val="default"/>
    <w:sig w:usb0="00000001" w:usb1="080F0000" w:usb2="00000000" w:usb3="00000000" w:csb0="00040000" w:csb1="00000000"/>
  </w:font>
  <w:font w:name="全真中明體">
    <w:altName w:val="MingLiU-ExtB"/>
    <w:panose1 w:val="00000000000000000000"/>
    <w:charset w:val="88"/>
    <w:family w:val="modern"/>
    <w:pitch w:val="default"/>
    <w:sig w:usb0="00000000" w:usb1="00000000" w:usb2="00000010" w:usb3="00000000" w:csb0="00100000" w:csb1="00000000"/>
  </w:font>
  <w:font w:name="等线 Light">
    <w:panose1 w:val="02010600030101010101"/>
    <w:charset w:val="86"/>
    <w:family w:val="auto"/>
    <w:pitch w:val="default"/>
    <w:sig w:usb0="A00002BF" w:usb1="38CF7CFA" w:usb2="00000016" w:usb3="00000000" w:csb0="0004000F" w:csb1="00000000"/>
    <w:embedRegular r:id="rId7" w:fontKey="{5997A805-9DEA-4D8A-9F63-3A5E095990A0}"/>
  </w:font>
  <w:font w:name="方正小标宋简体">
    <w:panose1 w:val="03000509000000000000"/>
    <w:charset w:val="86"/>
    <w:family w:val="script"/>
    <w:pitch w:val="default"/>
    <w:sig w:usb0="00000001" w:usb1="080E0000" w:usb2="00000000" w:usb3="00000000" w:csb0="00040000" w:csb1="00000000"/>
    <w:embedRegular r:id="rId8" w:fontKey="{CAF1BFF2-A217-4487-A037-EBC842D93DB6}"/>
  </w:font>
  <w:font w:name="Wingdings 2">
    <w:panose1 w:val="05020102010507070707"/>
    <w:charset w:val="02"/>
    <w:family w:val="roman"/>
    <w:pitch w:val="default"/>
    <w:sig w:usb0="00000000" w:usb1="00000000" w:usb2="00000000" w:usb3="00000000" w:csb0="80000000" w:csb1="00000000"/>
    <w:embedRegular r:id="rId9" w:fontKey="{2EF0F8AE-9879-4516-8A66-F292E890ECF2}"/>
  </w:font>
  <w:font w:name="仿宋">
    <w:panose1 w:val="02010609060101010101"/>
    <w:charset w:val="86"/>
    <w:family w:val="modern"/>
    <w:pitch w:val="default"/>
    <w:sig w:usb0="800002BF" w:usb1="38CF7CFA" w:usb2="00000016" w:usb3="00000000" w:csb0="00040001" w:csb1="00000000"/>
    <w:embedRegular r:id="rId10" w:fontKey="{38E3B8B7-B8D6-4B88-B44C-EB28B179A367}"/>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auto"/>
    <w:pitch w:val="default"/>
    <w:sig w:usb0="800002BF" w:usb1="38CF7CFA" w:usb2="00000016" w:usb3="00000000" w:csb0="00040001" w:csb1="00000000"/>
  </w:font>
  <w:font w:name="PMingLiU-ExtB">
    <w:panose1 w:val="02020500000000000000"/>
    <w:charset w:val="88"/>
    <w:family w:val="auto"/>
    <w:pitch w:val="default"/>
    <w:sig w:usb0="8000002F" w:usb1="02000008" w:usb2="00000000" w:usb3="00000000" w:csb0="00100001" w:csb1="00000000"/>
  </w:font>
  <w:font w:name="DejaVu Math TeX Gyre">
    <w:panose1 w:val="02000503000000000000"/>
    <w:charset w:val="00"/>
    <w:family w:val="auto"/>
    <w:pitch w:val="default"/>
    <w:sig w:usb0="A10000EF" w:usb1="4201F9EE" w:usb2="02000000" w:usb3="00000000" w:csb0="60000193" w:csb1="0DD40000"/>
  </w:font>
  <w:font w:name="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8233"/>
      <w:jc w:val="right"/>
    </w:pPr>
  </w:p>
  <w:p>
    <w:pPr>
      <w:spacing w:after="0"/>
      <w:ind w:lef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8233"/>
      <w:jc w:val="right"/>
    </w:pPr>
    <w:r>
      <w:fldChar w:fldCharType="begin"/>
    </w:r>
    <w:r>
      <w:instrText xml:space="preserve"> PAGE   \* MERGEFORMAT </w:instrText>
    </w:r>
    <w:r>
      <w:fldChar w:fldCharType="separate"/>
    </w:r>
    <w:r>
      <w:rPr>
        <w:sz w:val="18"/>
      </w:rPr>
      <w:t>1</w:t>
    </w:r>
    <w:r>
      <w:rPr>
        <w:sz w:val="18"/>
      </w:rPr>
      <w:fldChar w:fldCharType="end"/>
    </w:r>
  </w:p>
  <w:p>
    <w:pPr>
      <w:spacing w:after="0"/>
      <w:ind w:lef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after="0"/>
      <w:ind w:right="8233"/>
      <w:jc w:val="right"/>
    </w:pPr>
    <w:r>
      <w:fldChar w:fldCharType="begin"/>
    </w:r>
    <w:r>
      <w:instrText xml:space="preserve"> PAGE   \* MERGEFORMAT </w:instrText>
    </w:r>
    <w:r>
      <w:fldChar w:fldCharType="separate"/>
    </w:r>
    <w:r>
      <w:rPr>
        <w:sz w:val="18"/>
      </w:rPr>
      <w:t>1</w:t>
    </w:r>
    <w:r>
      <w:rPr>
        <w:sz w:val="18"/>
      </w:rPr>
      <w:fldChar w:fldCharType="end"/>
    </w:r>
  </w:p>
  <w:p>
    <w:pPr>
      <w:spacing w:after="0"/>
      <w:ind w:lef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3"/>
                            <w:jc w:val="center"/>
                          </w:pPr>
                          <w:r>
                            <w:fldChar w:fldCharType="begin"/>
                          </w:r>
                          <w:r>
                            <w:instrText xml:space="preserve"> PAGE   \* MERGEFORMAT </w:instrText>
                          </w:r>
                          <w:r>
                            <w:fldChar w:fldCharType="separate"/>
                          </w:r>
                          <w:r>
                            <w:rPr>
                              <w:lang w:val="zh-CN"/>
                            </w:rPr>
                            <w:t>51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53"/>
                      <w:jc w:val="center"/>
                    </w:pPr>
                    <w:r>
                      <w:fldChar w:fldCharType="begin"/>
                    </w:r>
                    <w:r>
                      <w:instrText xml:space="preserve"> PAGE   \* MERGEFORMAT </w:instrText>
                    </w:r>
                    <w:r>
                      <w:fldChar w:fldCharType="separate"/>
                    </w:r>
                    <w:r>
                      <w:rPr>
                        <w:lang w:val="zh-CN"/>
                      </w:rPr>
                      <w:t>51</w:t>
                    </w:r>
                    <w:r>
                      <w:fldChar w:fldCharType="end"/>
                    </w:r>
                  </w:p>
                </w:txbxContent>
              </v:textbox>
            </v:shape>
          </w:pict>
        </mc:Fallback>
      </mc:AlternateContent>
    </w:r>
  </w:p>
  <w:p>
    <w:pPr>
      <w:pStyle w:val="5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E52F7C"/>
    <w:multiLevelType w:val="singleLevel"/>
    <w:tmpl w:val="BFE52F7C"/>
    <w:lvl w:ilvl="0" w:tentative="0">
      <w:start w:val="4"/>
      <w:numFmt w:val="chineseCounting"/>
      <w:suff w:val="space"/>
      <w:lvlText w:val="第%1节"/>
      <w:lvlJc w:val="left"/>
      <w:rPr>
        <w:rFonts w:hint="eastAsia"/>
      </w:rPr>
    </w:lvl>
  </w:abstractNum>
  <w:abstractNum w:abstractNumId="1">
    <w:nsid w:val="CC9CF724"/>
    <w:multiLevelType w:val="singleLevel"/>
    <w:tmpl w:val="CC9CF724"/>
    <w:lvl w:ilvl="0" w:tentative="0">
      <w:start w:val="1"/>
      <w:numFmt w:val="chineseCounting"/>
      <w:suff w:val="space"/>
      <w:lvlText w:val="第%1章"/>
      <w:lvlJc w:val="left"/>
      <w:rPr>
        <w:rFonts w:hint="eastAsia"/>
      </w:rPr>
    </w:lvl>
  </w:abstractNum>
  <w:abstractNum w:abstractNumId="2">
    <w:nsid w:val="D02A2C91"/>
    <w:multiLevelType w:val="singleLevel"/>
    <w:tmpl w:val="D02A2C91"/>
    <w:lvl w:ilvl="0" w:tentative="0">
      <w:start w:val="1"/>
      <w:numFmt w:val="decimal"/>
      <w:suff w:val="nothing"/>
      <w:lvlText w:val="%1．"/>
      <w:lvlJc w:val="left"/>
      <w:pPr>
        <w:ind w:left="0" w:firstLine="400"/>
      </w:pPr>
      <w:rPr>
        <w:rFonts w:hint="default"/>
      </w:rPr>
    </w:lvl>
  </w:abstractNum>
  <w:abstractNum w:abstractNumId="3">
    <w:nsid w:val="D0A7FBD8"/>
    <w:multiLevelType w:val="singleLevel"/>
    <w:tmpl w:val="D0A7FBD8"/>
    <w:lvl w:ilvl="0" w:tentative="0">
      <w:start w:val="1"/>
      <w:numFmt w:val="chineseCounting"/>
      <w:suff w:val="nothing"/>
      <w:lvlText w:val="%1、"/>
      <w:lvlJc w:val="left"/>
      <w:rPr>
        <w:rFonts w:hint="eastAsia"/>
      </w:rPr>
    </w:lvl>
  </w:abstractNum>
  <w:abstractNum w:abstractNumId="4">
    <w:nsid w:val="00000013"/>
    <w:multiLevelType w:val="multilevel"/>
    <w:tmpl w:val="00000013"/>
    <w:lvl w:ilvl="0" w:tentative="0">
      <w:start w:val="1"/>
      <w:numFmt w:val="bullet"/>
      <w:pStyle w:val="281"/>
      <w:lvlText w:val=""/>
      <w:lvlJc w:val="left"/>
      <w:pPr>
        <w:tabs>
          <w:tab w:val="left" w:pos="2465"/>
        </w:tabs>
        <w:ind w:left="2465" w:hanging="567"/>
      </w:pPr>
      <w:rPr>
        <w:rFonts w:hint="default" w:ascii="Wingdings" w:hAnsi="Wingdings"/>
        <w:color w:val="auto"/>
      </w:rPr>
    </w:lvl>
    <w:lvl w:ilvl="1" w:tentative="0">
      <w:start w:val="1"/>
      <w:numFmt w:val="bullet"/>
      <w:lvlText w:val=""/>
      <w:lvlJc w:val="left"/>
      <w:pPr>
        <w:tabs>
          <w:tab w:val="left" w:pos="2367"/>
        </w:tabs>
        <w:ind w:left="2367" w:hanging="420"/>
      </w:pPr>
      <w:rPr>
        <w:rFonts w:hint="default" w:ascii="Wingdings" w:hAnsi="Wingdings"/>
      </w:rPr>
    </w:lvl>
    <w:lvl w:ilvl="2" w:tentative="0">
      <w:start w:val="1"/>
      <w:numFmt w:val="bullet"/>
      <w:lvlText w:val=""/>
      <w:lvlJc w:val="left"/>
      <w:pPr>
        <w:tabs>
          <w:tab w:val="left" w:pos="2787"/>
        </w:tabs>
        <w:ind w:left="2787" w:hanging="420"/>
      </w:pPr>
      <w:rPr>
        <w:rFonts w:hint="default" w:ascii="Wingdings" w:hAnsi="Wingdings"/>
      </w:rPr>
    </w:lvl>
    <w:lvl w:ilvl="3" w:tentative="0">
      <w:start w:val="1"/>
      <w:numFmt w:val="bullet"/>
      <w:lvlText w:val=""/>
      <w:lvlJc w:val="left"/>
      <w:pPr>
        <w:tabs>
          <w:tab w:val="left" w:pos="3207"/>
        </w:tabs>
        <w:ind w:left="3207" w:hanging="420"/>
      </w:pPr>
      <w:rPr>
        <w:rFonts w:hint="default" w:ascii="Wingdings" w:hAnsi="Wingdings"/>
      </w:rPr>
    </w:lvl>
    <w:lvl w:ilvl="4" w:tentative="0">
      <w:start w:val="1"/>
      <w:numFmt w:val="bullet"/>
      <w:lvlText w:val=""/>
      <w:lvlJc w:val="left"/>
      <w:pPr>
        <w:tabs>
          <w:tab w:val="left" w:pos="3627"/>
        </w:tabs>
        <w:ind w:left="3627" w:hanging="420"/>
      </w:pPr>
      <w:rPr>
        <w:rFonts w:hint="default" w:ascii="Wingdings" w:hAnsi="Wingdings"/>
      </w:rPr>
    </w:lvl>
    <w:lvl w:ilvl="5" w:tentative="0">
      <w:start w:val="1"/>
      <w:numFmt w:val="bullet"/>
      <w:lvlText w:val=""/>
      <w:lvlJc w:val="left"/>
      <w:pPr>
        <w:tabs>
          <w:tab w:val="left" w:pos="4047"/>
        </w:tabs>
        <w:ind w:left="4047" w:hanging="420"/>
      </w:pPr>
      <w:rPr>
        <w:rFonts w:hint="default" w:ascii="Wingdings" w:hAnsi="Wingdings"/>
      </w:rPr>
    </w:lvl>
    <w:lvl w:ilvl="6" w:tentative="0">
      <w:start w:val="1"/>
      <w:numFmt w:val="bullet"/>
      <w:lvlText w:val=""/>
      <w:lvlJc w:val="left"/>
      <w:pPr>
        <w:tabs>
          <w:tab w:val="left" w:pos="4467"/>
        </w:tabs>
        <w:ind w:left="4467" w:hanging="420"/>
      </w:pPr>
      <w:rPr>
        <w:rFonts w:hint="default" w:ascii="Wingdings" w:hAnsi="Wingdings"/>
      </w:rPr>
    </w:lvl>
    <w:lvl w:ilvl="7" w:tentative="0">
      <w:start w:val="1"/>
      <w:numFmt w:val="bullet"/>
      <w:lvlText w:val=""/>
      <w:lvlJc w:val="left"/>
      <w:pPr>
        <w:tabs>
          <w:tab w:val="left" w:pos="4887"/>
        </w:tabs>
        <w:ind w:left="4887" w:hanging="420"/>
      </w:pPr>
      <w:rPr>
        <w:rFonts w:hint="default" w:ascii="Wingdings" w:hAnsi="Wingdings"/>
      </w:rPr>
    </w:lvl>
    <w:lvl w:ilvl="8" w:tentative="0">
      <w:start w:val="1"/>
      <w:numFmt w:val="bullet"/>
      <w:lvlText w:val=""/>
      <w:lvlJc w:val="left"/>
      <w:pPr>
        <w:tabs>
          <w:tab w:val="left" w:pos="5307"/>
        </w:tabs>
        <w:ind w:left="5307" w:hanging="420"/>
      </w:pPr>
      <w:rPr>
        <w:rFonts w:hint="default" w:ascii="Wingdings" w:hAnsi="Wingdings"/>
      </w:rPr>
    </w:lvl>
  </w:abstractNum>
  <w:abstractNum w:abstractNumId="5">
    <w:nsid w:val="0000001C"/>
    <w:multiLevelType w:val="multilevel"/>
    <w:tmpl w:val="0000001C"/>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6">
    <w:nsid w:val="0000001E"/>
    <w:multiLevelType w:val="multilevel"/>
    <w:tmpl w:val="0000001E"/>
    <w:lvl w:ilvl="0" w:tentative="0">
      <w:start w:val="3"/>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7">
    <w:nsid w:val="0000001F"/>
    <w:multiLevelType w:val="multilevel"/>
    <w:tmpl w:val="0000001F"/>
    <w:lvl w:ilvl="0" w:tentative="0">
      <w:start w:val="4"/>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8">
    <w:nsid w:val="00000020"/>
    <w:multiLevelType w:val="multilevel"/>
    <w:tmpl w:val="00000020"/>
    <w:lvl w:ilvl="0" w:tentative="0">
      <w:start w:val="5"/>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9">
    <w:nsid w:val="00000021"/>
    <w:multiLevelType w:val="multilevel"/>
    <w:tmpl w:val="00000021"/>
    <w:lvl w:ilvl="0" w:tentative="0">
      <w:start w:val="6"/>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0">
    <w:nsid w:val="00000022"/>
    <w:multiLevelType w:val="multilevel"/>
    <w:tmpl w:val="00000022"/>
    <w:lvl w:ilvl="0" w:tentative="0">
      <w:start w:val="7"/>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1">
    <w:nsid w:val="00000023"/>
    <w:multiLevelType w:val="multilevel"/>
    <w:tmpl w:val="00000023"/>
    <w:lvl w:ilvl="0" w:tentative="0">
      <w:start w:val="8"/>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2">
    <w:nsid w:val="00000024"/>
    <w:multiLevelType w:val="multilevel"/>
    <w:tmpl w:val="00000024"/>
    <w:lvl w:ilvl="0" w:tentative="0">
      <w:start w:val="9"/>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3">
    <w:nsid w:val="00000025"/>
    <w:multiLevelType w:val="multilevel"/>
    <w:tmpl w:val="00000025"/>
    <w:lvl w:ilvl="0" w:tentative="0">
      <w:start w:val="10"/>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4">
    <w:nsid w:val="00000026"/>
    <w:multiLevelType w:val="multilevel"/>
    <w:tmpl w:val="00000026"/>
    <w:lvl w:ilvl="0" w:tentative="0">
      <w:start w:val="1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5">
    <w:nsid w:val="00000027"/>
    <w:multiLevelType w:val="multilevel"/>
    <w:tmpl w:val="00000027"/>
    <w:lvl w:ilvl="0" w:tentative="0">
      <w:start w:val="12"/>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6">
    <w:nsid w:val="00000028"/>
    <w:multiLevelType w:val="multilevel"/>
    <w:tmpl w:val="00000028"/>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7">
    <w:nsid w:val="00000055"/>
    <w:multiLevelType w:val="multilevel"/>
    <w:tmpl w:val="00000055"/>
    <w:lvl w:ilvl="0" w:tentative="0">
      <w:start w:val="1"/>
      <w:numFmt w:val="none"/>
      <w:suff w:val="nothing"/>
      <w:lvlText w:val="%1"/>
      <w:lvlJc w:val="left"/>
      <w:rPr>
        <w:rFonts w:hint="default" w:ascii="Times New Roman" w:hAnsi="Times New Roman" w:cs="Times New Roman"/>
        <w:b/>
        <w:bCs/>
        <w:i w:val="0"/>
        <w:iCs w:val="0"/>
        <w:sz w:val="21"/>
        <w:szCs w:val="21"/>
      </w:rPr>
    </w:lvl>
    <w:lvl w:ilvl="1" w:tentative="0">
      <w:start w:val="1"/>
      <w:numFmt w:val="decimal"/>
      <w:pStyle w:val="282"/>
      <w:suff w:val="nothing"/>
      <w:lvlText w:val="%1%2　"/>
      <w:lvlJc w:val="left"/>
      <w:rPr>
        <w:rFonts w:hint="eastAsia" w:ascii="黑体" w:hAnsi="Times New Roman" w:eastAsia="黑体"/>
        <w:b w:val="0"/>
        <w:bCs w:val="0"/>
        <w:i w:val="0"/>
        <w:iCs w:val="0"/>
        <w:sz w:val="21"/>
        <w:szCs w:val="21"/>
      </w:rPr>
    </w:lvl>
    <w:lvl w:ilvl="2" w:tentative="0">
      <w:start w:val="1"/>
      <w:numFmt w:val="decimal"/>
      <w:pStyle w:val="284"/>
      <w:suff w:val="nothing"/>
      <w:lvlText w:val="%1%2.%3　"/>
      <w:lvlJc w:val="left"/>
      <w:rPr>
        <w:rFonts w:hint="eastAsia" w:ascii="黑体" w:hAnsi="Times New Roman" w:eastAsia="黑体"/>
        <w:b w:val="0"/>
        <w:bCs w:val="0"/>
        <w:i w:val="0"/>
        <w:iCs w:val="0"/>
        <w:sz w:val="21"/>
        <w:szCs w:val="21"/>
      </w:rPr>
    </w:lvl>
    <w:lvl w:ilvl="3" w:tentative="0">
      <w:start w:val="1"/>
      <w:numFmt w:val="decimal"/>
      <w:pStyle w:val="283"/>
      <w:suff w:val="nothing"/>
      <w:lvlText w:val="%1%2.%3.%4　"/>
      <w:lvlJc w:val="left"/>
      <w:pPr>
        <w:ind w:left="630"/>
      </w:pPr>
      <w:rPr>
        <w:rFonts w:hint="eastAsia" w:ascii="黑体" w:hAnsi="Times New Roman" w:eastAsia="黑体"/>
        <w:b w:val="0"/>
        <w:bCs w:val="0"/>
        <w:i w:val="0"/>
        <w:iCs w:val="0"/>
        <w:sz w:val="21"/>
        <w:szCs w:val="21"/>
      </w:rPr>
    </w:lvl>
    <w:lvl w:ilvl="4" w:tentative="0">
      <w:start w:val="1"/>
      <w:numFmt w:val="decimal"/>
      <w:suff w:val="nothing"/>
      <w:lvlText w:val="%1%2.%3.%4.%5　"/>
      <w:lvlJc w:val="left"/>
      <w:rPr>
        <w:rFonts w:hint="eastAsia" w:ascii="黑体" w:hAnsi="Times New Roman" w:eastAsia="黑体"/>
        <w:b w:val="0"/>
        <w:bCs w:val="0"/>
        <w:i w:val="0"/>
        <w:iCs w:val="0"/>
        <w:sz w:val="21"/>
        <w:szCs w:val="21"/>
      </w:rPr>
    </w:lvl>
    <w:lvl w:ilvl="5" w:tentative="0">
      <w:start w:val="1"/>
      <w:numFmt w:val="decimal"/>
      <w:suff w:val="nothing"/>
      <w:lvlText w:val="%1%2.%3.%4.%5.%6　"/>
      <w:lvlJc w:val="left"/>
      <w:rPr>
        <w:rFonts w:hint="eastAsia" w:ascii="黑体" w:hAnsi="Times New Roman" w:eastAsia="黑体"/>
        <w:b w:val="0"/>
        <w:bCs w:val="0"/>
        <w:i w:val="0"/>
        <w:iCs w:val="0"/>
        <w:sz w:val="21"/>
        <w:szCs w:val="21"/>
      </w:rPr>
    </w:lvl>
    <w:lvl w:ilvl="6" w:tentative="0">
      <w:start w:val="1"/>
      <w:numFmt w:val="decimal"/>
      <w:suff w:val="nothing"/>
      <w:lvlText w:val="%1%2.%3.%4.%5.%6.%7　"/>
      <w:lvlJc w:val="left"/>
      <w:rPr>
        <w:rFonts w:hint="eastAsia" w:ascii="黑体" w:hAnsi="Times New Roman" w:eastAsia="黑体"/>
        <w:b w:val="0"/>
        <w:bCs w:val="0"/>
        <w:i w:val="0"/>
        <w:iCs w:val="0"/>
        <w:sz w:val="21"/>
        <w:szCs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18">
    <w:nsid w:val="00000060"/>
    <w:multiLevelType w:val="multilevel"/>
    <w:tmpl w:val="00000060"/>
    <w:lvl w:ilvl="0" w:tentative="0">
      <w:start w:val="1"/>
      <w:numFmt w:val="chineseCountingThousand"/>
      <w:pStyle w:val="253"/>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9">
    <w:nsid w:val="0000006E"/>
    <w:multiLevelType w:val="singleLevel"/>
    <w:tmpl w:val="0000006E"/>
    <w:lvl w:ilvl="0" w:tentative="0">
      <w:start w:val="1"/>
      <w:numFmt w:val="bullet"/>
      <w:pStyle w:val="269"/>
      <w:lvlText w:val=""/>
      <w:lvlJc w:val="left"/>
      <w:pPr>
        <w:tabs>
          <w:tab w:val="left" w:pos="1834"/>
        </w:tabs>
        <w:ind w:left="1758" w:hanging="284"/>
      </w:pPr>
      <w:rPr>
        <w:rFonts w:hint="default" w:ascii="Wingdings" w:hAnsi="Wingdings"/>
      </w:rPr>
    </w:lvl>
  </w:abstractNum>
  <w:abstractNum w:abstractNumId="20">
    <w:nsid w:val="00000078"/>
    <w:multiLevelType w:val="multilevel"/>
    <w:tmpl w:val="00000078"/>
    <w:lvl w:ilvl="0" w:tentative="0">
      <w:start w:val="1"/>
      <w:numFmt w:val="japaneseCounting"/>
      <w:pStyle w:val="228"/>
      <w:lvlText w:val="第%1章"/>
      <w:lvlJc w:val="left"/>
      <w:pPr>
        <w:tabs>
          <w:tab w:val="left" w:pos="1440"/>
        </w:tabs>
        <w:ind w:left="1440" w:hanging="1440"/>
      </w:pPr>
      <w:rPr>
        <w:rFonts w:hint="eastAsia"/>
      </w:rPr>
    </w:lvl>
    <w:lvl w:ilvl="1" w:tentative="0">
      <w:start w:val="7"/>
      <w:numFmt w:val="decimal"/>
      <w:lvlText w:val="%2．"/>
      <w:lvlJc w:val="left"/>
      <w:pPr>
        <w:tabs>
          <w:tab w:val="left" w:pos="780"/>
        </w:tabs>
        <w:ind w:left="780" w:hanging="360"/>
      </w:pPr>
      <w:rPr>
        <w:rFonts w:hint="eastAsia"/>
      </w:rPr>
    </w:lvl>
    <w:lvl w:ilvl="2" w:tentative="0">
      <w:start w:val="9"/>
      <w:numFmt w:val="decimal"/>
      <w:lvlText w:val="%3"/>
      <w:lvlJc w:val="left"/>
      <w:pPr>
        <w:tabs>
          <w:tab w:val="left" w:pos="1200"/>
        </w:tabs>
        <w:ind w:left="1200" w:hanging="360"/>
      </w:pPr>
      <w:rPr>
        <w:rFonts w:hint="default"/>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1">
    <w:nsid w:val="00000088"/>
    <w:multiLevelType w:val="multilevel"/>
    <w:tmpl w:val="00000088"/>
    <w:lvl w:ilvl="0" w:tentative="0">
      <w:start w:val="1"/>
      <w:numFmt w:val="chineseCountingThousand"/>
      <w:pStyle w:val="273"/>
      <w:lvlText w:val="第%1章"/>
      <w:lvlJc w:val="center"/>
      <w:pPr>
        <w:tabs>
          <w:tab w:val="left" w:pos="0"/>
        </w:tabs>
        <w:ind w:left="0" w:firstLine="0"/>
      </w:pPr>
      <w:rPr>
        <w:rFonts w:hint="eastAsia" w:eastAsia="宋体"/>
        <w:b/>
        <w:i w:val="0"/>
        <w:sz w:val="30"/>
        <w:szCs w:val="30"/>
      </w:rPr>
    </w:lvl>
    <w:lvl w:ilvl="1" w:tentative="0">
      <w:start w:val="1"/>
      <w:numFmt w:val="upperLetter"/>
      <w:lvlText w:val="%2."/>
      <w:lvlJc w:val="left"/>
      <w:pPr>
        <w:tabs>
          <w:tab w:val="left" w:pos="567"/>
        </w:tabs>
        <w:ind w:left="567" w:hanging="567"/>
      </w:pPr>
      <w:rPr>
        <w:rFonts w:hint="eastAsia"/>
        <w:b/>
        <w:i w:val="0"/>
        <w:sz w:val="21"/>
        <w:szCs w:val="21"/>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2205"/>
        </w:tabs>
        <w:ind w:left="2205" w:hanging="945"/>
      </w:pPr>
      <w:rPr>
        <w:rFonts w:hint="default"/>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2">
    <w:nsid w:val="007B121F"/>
    <w:multiLevelType w:val="multilevel"/>
    <w:tmpl w:val="007B121F"/>
    <w:lvl w:ilvl="0" w:tentative="0">
      <w:start w:val="1"/>
      <w:numFmt w:val="bullet"/>
      <w:pStyle w:val="36"/>
      <w:lvlText w:val=""/>
      <w:lvlJc w:val="left"/>
      <w:pPr>
        <w:tabs>
          <w:tab w:val="left" w:pos="540"/>
        </w:tabs>
        <w:ind w:left="540" w:hanging="360"/>
      </w:pPr>
      <w:rPr>
        <w:rFonts w:hint="default" w:ascii="Symbol" w:hAnsi="Symbol"/>
      </w:rPr>
    </w:lvl>
    <w:lvl w:ilvl="1" w:tentative="0">
      <w:start w:val="1"/>
      <w:numFmt w:val="bullet"/>
      <w:lvlText w:val="-"/>
      <w:lvlJc w:val="left"/>
      <w:pPr>
        <w:tabs>
          <w:tab w:val="left" w:pos="1440"/>
        </w:tabs>
        <w:ind w:left="1440" w:hanging="360"/>
      </w:pPr>
      <w:rPr>
        <w:rFonts w:hint="default"/>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3">
    <w:nsid w:val="0BCA73EE"/>
    <w:multiLevelType w:val="multilevel"/>
    <w:tmpl w:val="0BCA73EE"/>
    <w:lvl w:ilvl="0" w:tentative="0">
      <w:start w:val="1"/>
      <w:numFmt w:val="decimal"/>
      <w:pStyle w:val="18"/>
      <w:lvlText w:val="（%1）"/>
      <w:lvlJc w:val="left"/>
      <w:pPr>
        <w:ind w:left="718"/>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798"/>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518"/>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3238"/>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958"/>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678"/>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398"/>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6118"/>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838"/>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24">
    <w:nsid w:val="111A3CFF"/>
    <w:multiLevelType w:val="multilevel"/>
    <w:tmpl w:val="111A3CFF"/>
    <w:lvl w:ilvl="0" w:tentative="0">
      <w:start w:val="1"/>
      <w:numFmt w:val="decimal"/>
      <w:pStyle w:val="560"/>
      <w:lvlText w:val="（%1）"/>
      <w:lvlJc w:val="left"/>
      <w:pPr>
        <w:ind w:left="420"/>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25">
    <w:nsid w:val="112A2131"/>
    <w:multiLevelType w:val="multilevel"/>
    <w:tmpl w:val="112A2131"/>
    <w:lvl w:ilvl="0" w:tentative="0">
      <w:start w:val="1"/>
      <w:numFmt w:val="decimal"/>
      <w:pStyle w:val="45"/>
      <w:lvlText w:val="（%1）"/>
      <w:lvlJc w:val="left"/>
      <w:pPr>
        <w:ind w:left="0"/>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394"/>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114"/>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834"/>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554"/>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274"/>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4994"/>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714"/>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434"/>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26">
    <w:nsid w:val="22973DB3"/>
    <w:multiLevelType w:val="multilevel"/>
    <w:tmpl w:val="22973DB3"/>
    <w:lvl w:ilvl="0" w:tentative="0">
      <w:start w:val="1"/>
      <w:numFmt w:val="decimal"/>
      <w:pStyle w:val="39"/>
      <w:lvlText w:val="%1."/>
      <w:lvlJc w:val="left"/>
      <w:pPr>
        <w:tabs>
          <w:tab w:val="left" w:pos="780"/>
        </w:tabs>
        <w:ind w:left="780" w:hanging="420"/>
      </w:pPr>
      <w:rPr>
        <w:rFonts w:hint="eastAsia" w:eastAsia="宋体"/>
      </w:rPr>
    </w:lvl>
    <w:lvl w:ilvl="1" w:tentative="0">
      <w:start w:val="1"/>
      <w:numFmt w:val="decimal"/>
      <w:lvlText w:val="%2．"/>
      <w:lvlJc w:val="left"/>
      <w:pPr>
        <w:tabs>
          <w:tab w:val="left" w:pos="1140"/>
        </w:tabs>
        <w:ind w:left="1140" w:hanging="360"/>
      </w:pPr>
      <w:rPr>
        <w:rFonts w:hint="eastAsia"/>
      </w:rPr>
    </w:lvl>
    <w:lvl w:ilvl="2" w:tentative="0">
      <w:start w:val="2"/>
      <w:numFmt w:val="decimal"/>
      <w:lvlText w:val="%3、"/>
      <w:lvlJc w:val="left"/>
      <w:pPr>
        <w:tabs>
          <w:tab w:val="left" w:pos="1560"/>
        </w:tabs>
        <w:ind w:left="1560" w:hanging="360"/>
      </w:pPr>
      <w:rPr>
        <w:rFonts w:hint="eastAsia"/>
      </w:rPr>
    </w:lvl>
    <w:lvl w:ilvl="3" w:tentative="0">
      <w:start w:val="7"/>
      <w:numFmt w:val="decimal"/>
      <w:lvlText w:val="(%4)"/>
      <w:lvlJc w:val="left"/>
      <w:pPr>
        <w:tabs>
          <w:tab w:val="left" w:pos="1980"/>
        </w:tabs>
        <w:ind w:left="1980" w:hanging="360"/>
      </w:pPr>
      <w:rPr>
        <w:rFonts w:hint="eastAsia"/>
      </w:rPr>
    </w:lvl>
    <w:lvl w:ilvl="4" w:tentative="0">
      <w:start w:val="5"/>
      <w:numFmt w:val="decimal"/>
      <w:lvlText w:val="第%5条"/>
      <w:lvlJc w:val="left"/>
      <w:pPr>
        <w:tabs>
          <w:tab w:val="left" w:pos="3165"/>
        </w:tabs>
        <w:ind w:left="3165" w:hanging="1125"/>
      </w:pPr>
      <w:rPr>
        <w:rFonts w:hint="eastAsia"/>
      </w:rPr>
    </w:lvl>
    <w:lvl w:ilvl="5" w:tentative="0">
      <w:start w:val="1"/>
      <w:numFmt w:val="lowerRoman"/>
      <w:lvlText w:val="%6."/>
      <w:lvlJc w:val="right"/>
      <w:pPr>
        <w:tabs>
          <w:tab w:val="left" w:pos="2880"/>
        </w:tabs>
        <w:ind w:left="2880" w:hanging="420"/>
      </w:pPr>
    </w:lvl>
    <w:lvl w:ilvl="6" w:tentative="0">
      <w:start w:val="1"/>
      <w:numFmt w:val="decimal"/>
      <w:lvlText w:val="%7."/>
      <w:lvlJc w:val="left"/>
      <w:pPr>
        <w:tabs>
          <w:tab w:val="left" w:pos="3300"/>
        </w:tabs>
        <w:ind w:left="3300" w:hanging="420"/>
      </w:pPr>
    </w:lvl>
    <w:lvl w:ilvl="7" w:tentative="0">
      <w:start w:val="1"/>
      <w:numFmt w:val="lowerLetter"/>
      <w:lvlText w:val="%8)"/>
      <w:lvlJc w:val="left"/>
      <w:pPr>
        <w:tabs>
          <w:tab w:val="left" w:pos="3720"/>
        </w:tabs>
        <w:ind w:left="3720" w:hanging="420"/>
      </w:pPr>
    </w:lvl>
    <w:lvl w:ilvl="8" w:tentative="0">
      <w:start w:val="1"/>
      <w:numFmt w:val="lowerRoman"/>
      <w:lvlText w:val="%9."/>
      <w:lvlJc w:val="right"/>
      <w:pPr>
        <w:tabs>
          <w:tab w:val="left" w:pos="4140"/>
        </w:tabs>
        <w:ind w:left="4140" w:hanging="420"/>
      </w:pPr>
    </w:lvl>
  </w:abstractNum>
  <w:abstractNum w:abstractNumId="27">
    <w:nsid w:val="23BB6FB0"/>
    <w:multiLevelType w:val="multilevel"/>
    <w:tmpl w:val="23BB6FB0"/>
    <w:lvl w:ilvl="0" w:tentative="0">
      <w:start w:val="1"/>
      <w:numFmt w:val="bullet"/>
      <w:pStyle w:val="407"/>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8">
    <w:nsid w:val="2A0545BB"/>
    <w:multiLevelType w:val="multilevel"/>
    <w:tmpl w:val="2A0545BB"/>
    <w:lvl w:ilvl="0" w:tentative="0">
      <w:start w:val="0"/>
      <w:numFmt w:val="none"/>
      <w:pStyle w:val="15"/>
      <w:lvlText w:val=""/>
      <w:lvlJc w:val="left"/>
      <w:pPr>
        <w:tabs>
          <w:tab w:val="left" w:pos="540"/>
        </w:tabs>
        <w:ind w:left="520" w:hanging="340"/>
      </w:pPr>
      <w:rPr>
        <w:rFonts w:hint="default" w:ascii="Symbol" w:hAnsi="Symbol" w:cs="Times New Roman"/>
      </w:rPr>
    </w:lvl>
    <w:lvl w:ilvl="1" w:tentative="0">
      <w:start w:val="0"/>
      <w:numFmt w:val="bullet"/>
      <w:lvlText w:val="-"/>
      <w:lvlJc w:val="left"/>
      <w:pPr>
        <w:tabs>
          <w:tab w:val="left" w:pos="1440"/>
        </w:tabs>
        <w:ind w:left="1440" w:hanging="360"/>
      </w:pPr>
      <w:rPr>
        <w:rFonts w:hint="default" w:ascii="Arial" w:hAnsi="Arial" w:eastAsia="Times New Roman" w:cs="Arial"/>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29">
    <w:nsid w:val="2F493093"/>
    <w:multiLevelType w:val="multilevel"/>
    <w:tmpl w:val="2F493093"/>
    <w:lvl w:ilvl="0" w:tentative="0">
      <w:start w:val="1"/>
      <w:numFmt w:val="decimal"/>
      <w:pStyle w:val="46"/>
      <w:lvlText w:val="（%1）"/>
      <w:lvlJc w:val="left"/>
      <w:pPr>
        <w:ind w:left="1051"/>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30">
    <w:nsid w:val="380B0DB7"/>
    <w:multiLevelType w:val="singleLevel"/>
    <w:tmpl w:val="380B0DB7"/>
    <w:lvl w:ilvl="0" w:tentative="0">
      <w:start w:val="4"/>
      <w:numFmt w:val="decimal"/>
      <w:suff w:val="nothing"/>
      <w:lvlText w:val="%1、"/>
      <w:lvlJc w:val="left"/>
    </w:lvl>
  </w:abstractNum>
  <w:abstractNum w:abstractNumId="31">
    <w:nsid w:val="41436D45"/>
    <w:multiLevelType w:val="multilevel"/>
    <w:tmpl w:val="41436D45"/>
    <w:lvl w:ilvl="0" w:tentative="0">
      <w:start w:val="1"/>
      <w:numFmt w:val="decimal"/>
      <w:pStyle w:val="546"/>
      <w:lvlText w:val="（%1）"/>
      <w:lvlJc w:val="left"/>
      <w:pPr>
        <w:ind w:left="0"/>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32">
    <w:nsid w:val="461F4531"/>
    <w:multiLevelType w:val="singleLevel"/>
    <w:tmpl w:val="461F4531"/>
    <w:lvl w:ilvl="0" w:tentative="0">
      <w:start w:val="1"/>
      <w:numFmt w:val="decimal"/>
      <w:suff w:val="nothing"/>
      <w:lvlText w:val="%1．"/>
      <w:lvlJc w:val="left"/>
      <w:pPr>
        <w:ind w:left="0" w:firstLine="400"/>
      </w:pPr>
      <w:rPr>
        <w:rFonts w:hint="default"/>
      </w:rPr>
    </w:lvl>
  </w:abstractNum>
  <w:abstractNum w:abstractNumId="33">
    <w:nsid w:val="46B673B6"/>
    <w:multiLevelType w:val="multilevel"/>
    <w:tmpl w:val="46B673B6"/>
    <w:lvl w:ilvl="0" w:tentative="0">
      <w:start w:val="1"/>
      <w:numFmt w:val="decimal"/>
      <w:lvlText w:val="%1"/>
      <w:lvlJc w:val="left"/>
      <w:pPr>
        <w:tabs>
          <w:tab w:val="left" w:pos="432"/>
        </w:tabs>
        <w:ind w:left="432" w:hanging="432"/>
      </w:pPr>
      <w:rPr>
        <w:rFonts w:hint="default"/>
      </w:rPr>
    </w:lvl>
    <w:lvl w:ilvl="1" w:tentative="0">
      <w:start w:val="1"/>
      <w:numFmt w:val="decimal"/>
      <w:pStyle w:val="236"/>
      <w:lvlText w:val="%1.%2"/>
      <w:lvlJc w:val="left"/>
      <w:pPr>
        <w:tabs>
          <w:tab w:val="left" w:pos="576"/>
        </w:tabs>
        <w:ind w:left="576" w:hanging="576"/>
      </w:pPr>
      <w:rPr>
        <w:rFonts w:hint="default"/>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864"/>
        </w:tabs>
        <w:ind w:left="864" w:hanging="864"/>
      </w:pPr>
      <w:rPr>
        <w:rFonts w:hint="default"/>
      </w:rPr>
    </w:lvl>
    <w:lvl w:ilvl="4" w:tentative="0">
      <w:start w:val="1"/>
      <w:numFmt w:val="decimal"/>
      <w:lvlText w:val="%1.%2.%3.%4.%5"/>
      <w:lvlJc w:val="left"/>
      <w:pPr>
        <w:tabs>
          <w:tab w:val="left" w:pos="1008"/>
        </w:tabs>
        <w:ind w:left="1008" w:hanging="1008"/>
      </w:pPr>
      <w:rPr>
        <w:rFonts w:hint="default"/>
      </w:rPr>
    </w:lvl>
    <w:lvl w:ilvl="5" w:tentative="0">
      <w:start w:val="1"/>
      <w:numFmt w:val="decimal"/>
      <w:lvlText w:val="%1.%2.%3.%4.%5.%6"/>
      <w:lvlJc w:val="left"/>
      <w:pPr>
        <w:tabs>
          <w:tab w:val="left" w:pos="1152"/>
        </w:tabs>
        <w:ind w:left="1152" w:hanging="1152"/>
      </w:pPr>
      <w:rPr>
        <w:rFonts w:hint="default"/>
      </w:rPr>
    </w:lvl>
    <w:lvl w:ilvl="6" w:tentative="0">
      <w:start w:val="1"/>
      <w:numFmt w:val="decimal"/>
      <w:lvlText w:val="%1.%2.%3.%4.%5.%6.%7"/>
      <w:lvlJc w:val="left"/>
      <w:pPr>
        <w:tabs>
          <w:tab w:val="left" w:pos="1296"/>
        </w:tabs>
        <w:ind w:left="1296" w:hanging="1296"/>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584"/>
        </w:tabs>
        <w:ind w:left="1584" w:hanging="1584"/>
      </w:pPr>
      <w:rPr>
        <w:rFonts w:hint="default"/>
      </w:rPr>
    </w:lvl>
  </w:abstractNum>
  <w:abstractNum w:abstractNumId="34">
    <w:nsid w:val="4734DCE6"/>
    <w:multiLevelType w:val="singleLevel"/>
    <w:tmpl w:val="4734DCE6"/>
    <w:lvl w:ilvl="0" w:tentative="0">
      <w:start w:val="1"/>
      <w:numFmt w:val="decimal"/>
      <w:lvlText w:val="%1."/>
      <w:lvlJc w:val="left"/>
      <w:pPr>
        <w:tabs>
          <w:tab w:val="left" w:pos="312"/>
        </w:tabs>
      </w:pPr>
    </w:lvl>
  </w:abstractNum>
  <w:abstractNum w:abstractNumId="35">
    <w:nsid w:val="506459DB"/>
    <w:multiLevelType w:val="multilevel"/>
    <w:tmpl w:val="506459DB"/>
    <w:lvl w:ilvl="0" w:tentative="0">
      <w:start w:val="1"/>
      <w:numFmt w:val="decimal"/>
      <w:pStyle w:val="605"/>
      <w:lvlText w:val="（%1）"/>
      <w:lvlJc w:val="left"/>
      <w:pPr>
        <w:ind w:left="946"/>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36">
    <w:nsid w:val="558403FB"/>
    <w:multiLevelType w:val="multilevel"/>
    <w:tmpl w:val="558403FB"/>
    <w:lvl w:ilvl="0" w:tentative="0">
      <w:start w:val="1"/>
      <w:numFmt w:val="decimal"/>
      <w:pStyle w:val="31"/>
      <w:lvlText w:val="%1."/>
      <w:lvlJc w:val="left"/>
      <w:pPr>
        <w:tabs>
          <w:tab w:val="left" w:pos="840"/>
        </w:tabs>
        <w:ind w:left="840" w:hanging="420"/>
      </w:pPr>
      <w:rPr>
        <w:rFonts w:hint="eastAsia" w:eastAsia="宋体"/>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37">
    <w:nsid w:val="571931FB"/>
    <w:multiLevelType w:val="multilevel"/>
    <w:tmpl w:val="571931FB"/>
    <w:lvl w:ilvl="0" w:tentative="0">
      <w:start w:val="1"/>
      <w:numFmt w:val="decimal"/>
      <w:pStyle w:val="62"/>
      <w:lvlText w:val="（%1）"/>
      <w:lvlJc w:val="left"/>
      <w:pPr>
        <w:ind w:left="1051"/>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38">
    <w:nsid w:val="6A4931F5"/>
    <w:multiLevelType w:val="multilevel"/>
    <w:tmpl w:val="6A4931F5"/>
    <w:lvl w:ilvl="0" w:tentative="0">
      <w:start w:val="1"/>
      <w:numFmt w:val="decimal"/>
      <w:pStyle w:val="35"/>
      <w:lvlText w:val="（%1）"/>
      <w:lvlJc w:val="left"/>
      <w:pPr>
        <w:ind w:left="946"/>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39">
    <w:nsid w:val="705D32C3"/>
    <w:multiLevelType w:val="singleLevel"/>
    <w:tmpl w:val="705D32C3"/>
    <w:lvl w:ilvl="0" w:tentative="0">
      <w:start w:val="5"/>
      <w:numFmt w:val="decimal"/>
      <w:lvlText w:val="%1."/>
      <w:lvlJc w:val="left"/>
      <w:pPr>
        <w:tabs>
          <w:tab w:val="left" w:pos="312"/>
        </w:tabs>
      </w:pPr>
    </w:lvl>
  </w:abstractNum>
  <w:abstractNum w:abstractNumId="40">
    <w:nsid w:val="7AEC05DD"/>
    <w:multiLevelType w:val="multilevel"/>
    <w:tmpl w:val="7AEC05DD"/>
    <w:lvl w:ilvl="0" w:tentative="0">
      <w:start w:val="1"/>
      <w:numFmt w:val="decimal"/>
      <w:pStyle w:val="13"/>
      <w:lvlText w:val="（%1）"/>
      <w:lvlJc w:val="left"/>
      <w:pPr>
        <w:ind w:left="886"/>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44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lvlText w:val="%3"/>
      <w:lvlJc w:val="left"/>
      <w:pPr>
        <w:ind w:left="216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88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0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2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04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76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480"/>
      </w:pPr>
      <w:rPr>
        <w:rFonts w:ascii="宋体" w:hAnsi="宋体" w:eastAsia="宋体" w:cs="宋体"/>
        <w:b w:val="0"/>
        <w:i w:val="0"/>
        <w:strike w:val="0"/>
        <w:dstrike w:val="0"/>
        <w:color w:val="000000"/>
        <w:sz w:val="21"/>
        <w:szCs w:val="21"/>
        <w:u w:val="none" w:color="000000"/>
        <w:shd w:val="clear" w:color="auto" w:fill="auto"/>
        <w:vertAlign w:val="baseline"/>
      </w:rPr>
    </w:lvl>
  </w:abstractNum>
  <w:abstractNum w:abstractNumId="41">
    <w:nsid w:val="7FB22ECE"/>
    <w:multiLevelType w:val="multilevel"/>
    <w:tmpl w:val="7FB22ECE"/>
    <w:lvl w:ilvl="0" w:tentative="0">
      <w:start w:val="1"/>
      <w:numFmt w:val="decimal"/>
      <w:lvlText w:val="（%1）"/>
      <w:lvlJc w:val="left"/>
      <w:pPr>
        <w:ind w:left="946"/>
      </w:pPr>
      <w:rPr>
        <w:rFonts w:ascii="宋体" w:hAnsi="宋体" w:eastAsia="宋体" w:cs="宋体"/>
        <w:b w:val="0"/>
        <w:i w:val="0"/>
        <w:strike w:val="0"/>
        <w:dstrike w:val="0"/>
        <w:color w:val="000000"/>
        <w:sz w:val="21"/>
        <w:szCs w:val="21"/>
        <w:u w:val="none" w:color="000000"/>
        <w:shd w:val="clear" w:color="auto" w:fill="auto"/>
        <w:vertAlign w:val="baseline"/>
      </w:rPr>
    </w:lvl>
    <w:lvl w:ilvl="1" w:tentative="0">
      <w:start w:val="1"/>
      <w:numFmt w:val="lowerLetter"/>
      <w:lvlText w:val="%2"/>
      <w:lvlJc w:val="left"/>
      <w:pPr>
        <w:ind w:left="1500"/>
      </w:pPr>
      <w:rPr>
        <w:rFonts w:ascii="宋体" w:hAnsi="宋体" w:eastAsia="宋体" w:cs="宋体"/>
        <w:b w:val="0"/>
        <w:i w:val="0"/>
        <w:strike w:val="0"/>
        <w:dstrike w:val="0"/>
        <w:color w:val="000000"/>
        <w:sz w:val="21"/>
        <w:szCs w:val="21"/>
        <w:u w:val="none" w:color="000000"/>
        <w:shd w:val="clear" w:color="auto" w:fill="auto"/>
        <w:vertAlign w:val="baseline"/>
      </w:rPr>
    </w:lvl>
    <w:lvl w:ilvl="2" w:tentative="0">
      <w:start w:val="1"/>
      <w:numFmt w:val="lowerRoman"/>
      <w:pStyle w:val="494"/>
      <w:lvlText w:val="%3"/>
      <w:lvlJc w:val="left"/>
      <w:pPr>
        <w:ind w:left="2220"/>
      </w:pPr>
      <w:rPr>
        <w:rFonts w:ascii="宋体" w:hAnsi="宋体" w:eastAsia="宋体" w:cs="宋体"/>
        <w:b w:val="0"/>
        <w:i w:val="0"/>
        <w:strike w:val="0"/>
        <w:dstrike w:val="0"/>
        <w:color w:val="000000"/>
        <w:sz w:val="21"/>
        <w:szCs w:val="21"/>
        <w:u w:val="none" w:color="000000"/>
        <w:shd w:val="clear" w:color="auto" w:fill="auto"/>
        <w:vertAlign w:val="baseline"/>
      </w:rPr>
    </w:lvl>
    <w:lvl w:ilvl="3" w:tentative="0">
      <w:start w:val="1"/>
      <w:numFmt w:val="decimal"/>
      <w:lvlText w:val="%4"/>
      <w:lvlJc w:val="left"/>
      <w:pPr>
        <w:ind w:left="2940"/>
      </w:pPr>
      <w:rPr>
        <w:rFonts w:ascii="宋体" w:hAnsi="宋体" w:eastAsia="宋体" w:cs="宋体"/>
        <w:b w:val="0"/>
        <w:i w:val="0"/>
        <w:strike w:val="0"/>
        <w:dstrike w:val="0"/>
        <w:color w:val="000000"/>
        <w:sz w:val="21"/>
        <w:szCs w:val="21"/>
        <w:u w:val="none" w:color="000000"/>
        <w:shd w:val="clear" w:color="auto" w:fill="auto"/>
        <w:vertAlign w:val="baseline"/>
      </w:rPr>
    </w:lvl>
    <w:lvl w:ilvl="4" w:tentative="0">
      <w:start w:val="1"/>
      <w:numFmt w:val="lowerLetter"/>
      <w:lvlText w:val="%5"/>
      <w:lvlJc w:val="left"/>
      <w:pPr>
        <w:ind w:left="3660"/>
      </w:pPr>
      <w:rPr>
        <w:rFonts w:ascii="宋体" w:hAnsi="宋体" w:eastAsia="宋体" w:cs="宋体"/>
        <w:b w:val="0"/>
        <w:i w:val="0"/>
        <w:strike w:val="0"/>
        <w:dstrike w:val="0"/>
        <w:color w:val="000000"/>
        <w:sz w:val="21"/>
        <w:szCs w:val="21"/>
        <w:u w:val="none" w:color="000000"/>
        <w:shd w:val="clear" w:color="auto" w:fill="auto"/>
        <w:vertAlign w:val="baseline"/>
      </w:rPr>
    </w:lvl>
    <w:lvl w:ilvl="5" w:tentative="0">
      <w:start w:val="1"/>
      <w:numFmt w:val="lowerRoman"/>
      <w:lvlText w:val="%6"/>
      <w:lvlJc w:val="left"/>
      <w:pPr>
        <w:ind w:left="4380"/>
      </w:pPr>
      <w:rPr>
        <w:rFonts w:ascii="宋体" w:hAnsi="宋体" w:eastAsia="宋体" w:cs="宋体"/>
        <w:b w:val="0"/>
        <w:i w:val="0"/>
        <w:strike w:val="0"/>
        <w:dstrike w:val="0"/>
        <w:color w:val="000000"/>
        <w:sz w:val="21"/>
        <w:szCs w:val="21"/>
        <w:u w:val="none" w:color="000000"/>
        <w:shd w:val="clear" w:color="auto" w:fill="auto"/>
        <w:vertAlign w:val="baseline"/>
      </w:rPr>
    </w:lvl>
    <w:lvl w:ilvl="6" w:tentative="0">
      <w:start w:val="1"/>
      <w:numFmt w:val="decimal"/>
      <w:lvlText w:val="%7"/>
      <w:lvlJc w:val="left"/>
      <w:pPr>
        <w:ind w:left="5100"/>
      </w:pPr>
      <w:rPr>
        <w:rFonts w:ascii="宋体" w:hAnsi="宋体" w:eastAsia="宋体" w:cs="宋体"/>
        <w:b w:val="0"/>
        <w:i w:val="0"/>
        <w:strike w:val="0"/>
        <w:dstrike w:val="0"/>
        <w:color w:val="000000"/>
        <w:sz w:val="21"/>
        <w:szCs w:val="21"/>
        <w:u w:val="none" w:color="000000"/>
        <w:shd w:val="clear" w:color="auto" w:fill="auto"/>
        <w:vertAlign w:val="baseline"/>
      </w:rPr>
    </w:lvl>
    <w:lvl w:ilvl="7" w:tentative="0">
      <w:start w:val="1"/>
      <w:numFmt w:val="lowerLetter"/>
      <w:lvlText w:val="%8"/>
      <w:lvlJc w:val="left"/>
      <w:pPr>
        <w:ind w:left="5820"/>
      </w:pPr>
      <w:rPr>
        <w:rFonts w:ascii="宋体" w:hAnsi="宋体" w:eastAsia="宋体" w:cs="宋体"/>
        <w:b w:val="0"/>
        <w:i w:val="0"/>
        <w:strike w:val="0"/>
        <w:dstrike w:val="0"/>
        <w:color w:val="000000"/>
        <w:sz w:val="21"/>
        <w:szCs w:val="21"/>
        <w:u w:val="none" w:color="000000"/>
        <w:shd w:val="clear" w:color="auto" w:fill="auto"/>
        <w:vertAlign w:val="baseline"/>
      </w:rPr>
    </w:lvl>
    <w:lvl w:ilvl="8" w:tentative="0">
      <w:start w:val="1"/>
      <w:numFmt w:val="lowerRoman"/>
      <w:lvlText w:val="%9"/>
      <w:lvlJc w:val="left"/>
      <w:pPr>
        <w:ind w:left="6540"/>
      </w:pPr>
      <w:rPr>
        <w:rFonts w:ascii="宋体" w:hAnsi="宋体" w:eastAsia="宋体" w:cs="宋体"/>
        <w:b w:val="0"/>
        <w:i w:val="0"/>
        <w:strike w:val="0"/>
        <w:dstrike w:val="0"/>
        <w:color w:val="000000"/>
        <w:sz w:val="21"/>
        <w:szCs w:val="21"/>
        <w:u w:val="none" w:color="000000"/>
        <w:shd w:val="clear" w:color="auto" w:fill="auto"/>
        <w:vertAlign w:val="baseline"/>
      </w:rPr>
    </w:lvl>
  </w:abstractNum>
  <w:num w:numId="1">
    <w:abstractNumId w:val="40"/>
  </w:num>
  <w:num w:numId="2">
    <w:abstractNumId w:val="28"/>
  </w:num>
  <w:num w:numId="3">
    <w:abstractNumId w:val="23"/>
  </w:num>
  <w:num w:numId="4">
    <w:abstractNumId w:val="36"/>
  </w:num>
  <w:num w:numId="5">
    <w:abstractNumId w:val="38"/>
  </w:num>
  <w:num w:numId="6">
    <w:abstractNumId w:val="22"/>
  </w:num>
  <w:num w:numId="7">
    <w:abstractNumId w:val="26"/>
  </w:num>
  <w:num w:numId="8">
    <w:abstractNumId w:val="25"/>
  </w:num>
  <w:num w:numId="9">
    <w:abstractNumId w:val="29"/>
  </w:num>
  <w:num w:numId="10">
    <w:abstractNumId w:val="37"/>
  </w:num>
  <w:num w:numId="11">
    <w:abstractNumId w:val="20"/>
  </w:num>
  <w:num w:numId="12">
    <w:abstractNumId w:val="33"/>
  </w:num>
  <w:num w:numId="13">
    <w:abstractNumId w:val="18"/>
  </w:num>
  <w:num w:numId="14">
    <w:abstractNumId w:val="19"/>
  </w:num>
  <w:num w:numId="15">
    <w:abstractNumId w:val="21"/>
  </w:num>
  <w:num w:numId="16">
    <w:abstractNumId w:val="4"/>
  </w:num>
  <w:num w:numId="17">
    <w:abstractNumId w:val="17"/>
  </w:num>
  <w:num w:numId="18">
    <w:abstractNumId w:val="27"/>
  </w:num>
  <w:num w:numId="19">
    <w:abstractNumId w:val="41"/>
  </w:num>
  <w:num w:numId="20">
    <w:abstractNumId w:val="31"/>
  </w:num>
  <w:num w:numId="21">
    <w:abstractNumId w:val="24"/>
  </w:num>
  <w:num w:numId="22">
    <w:abstractNumId w:val="35"/>
  </w:num>
  <w:num w:numId="23">
    <w:abstractNumId w:val="1"/>
  </w:num>
  <w:num w:numId="24">
    <w:abstractNumId w:val="39"/>
  </w:num>
  <w:num w:numId="25">
    <w:abstractNumId w:val="34"/>
  </w:num>
  <w:num w:numId="26">
    <w:abstractNumId w:val="3"/>
  </w:num>
  <w:num w:numId="27">
    <w:abstractNumId w:val="2"/>
  </w:num>
  <w:num w:numId="28">
    <w:abstractNumId w:val="32"/>
  </w:num>
  <w:num w:numId="29">
    <w:abstractNumId w:val="0"/>
  </w:num>
  <w:num w:numId="30">
    <w:abstractNumId w:val="16"/>
  </w:num>
  <w:num w:numId="31">
    <w:abstractNumId w:val="5"/>
  </w:num>
  <w:num w:numId="32">
    <w:abstractNumId w:val="6"/>
  </w:num>
  <w:num w:numId="33">
    <w:abstractNumId w:val="7"/>
  </w:num>
  <w:num w:numId="34">
    <w:abstractNumId w:val="8"/>
  </w:num>
  <w:num w:numId="35">
    <w:abstractNumId w:val="9"/>
  </w:num>
  <w:num w:numId="36">
    <w:abstractNumId w:val="10"/>
  </w:num>
  <w:num w:numId="37">
    <w:abstractNumId w:val="11"/>
  </w:num>
  <w:num w:numId="38">
    <w:abstractNumId w:val="12"/>
  </w:num>
  <w:num w:numId="39">
    <w:abstractNumId w:val="13"/>
  </w:num>
  <w:num w:numId="40">
    <w:abstractNumId w:val="14"/>
  </w:num>
  <w:num w:numId="41">
    <w:abstractNumId w:val="15"/>
  </w:num>
  <w:num w:numId="4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TrueTypeFonts/>
  <w:saveSubsetFonts/>
  <w:bordersDoNotSurroundHeader w:val="0"/>
  <w:bordersDoNotSurroundFooter w:val="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val="1"/>
  <w:documentProtection w:enforcement="0"/>
  <w:defaultTabStop w:val="420"/>
  <w:hyphenationZone w:val="36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doNotLeaveBackslashAlon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xOWI5ZjY1NzIwMzQ1MWE0MjhiNDMxMDc2MWY2NDkifQ=="/>
    <w:docVar w:name="KSO_WPS_MARK_KEY" w:val="ce479347-2d25-44ed-97ad-8e280e1e8af0"/>
  </w:docVars>
  <w:rsids>
    <w:rsidRoot w:val="00172A27"/>
    <w:rsid w:val="00002D68"/>
    <w:rsid w:val="000159B9"/>
    <w:rsid w:val="00016E1B"/>
    <w:rsid w:val="00021961"/>
    <w:rsid w:val="00022501"/>
    <w:rsid w:val="0002263D"/>
    <w:rsid w:val="000234B3"/>
    <w:rsid w:val="000247E9"/>
    <w:rsid w:val="00025AFF"/>
    <w:rsid w:val="0002667A"/>
    <w:rsid w:val="00032F26"/>
    <w:rsid w:val="000348A2"/>
    <w:rsid w:val="0003496B"/>
    <w:rsid w:val="000351CB"/>
    <w:rsid w:val="00036D73"/>
    <w:rsid w:val="0004041F"/>
    <w:rsid w:val="00041815"/>
    <w:rsid w:val="00042A79"/>
    <w:rsid w:val="0004475F"/>
    <w:rsid w:val="000456A9"/>
    <w:rsid w:val="00047DB6"/>
    <w:rsid w:val="00051BD5"/>
    <w:rsid w:val="00051C03"/>
    <w:rsid w:val="000543B7"/>
    <w:rsid w:val="0005446E"/>
    <w:rsid w:val="0005454D"/>
    <w:rsid w:val="00055F4C"/>
    <w:rsid w:val="0005646B"/>
    <w:rsid w:val="00056A4C"/>
    <w:rsid w:val="0006036D"/>
    <w:rsid w:val="00062364"/>
    <w:rsid w:val="00062DF9"/>
    <w:rsid w:val="000630FD"/>
    <w:rsid w:val="0006313E"/>
    <w:rsid w:val="000716FA"/>
    <w:rsid w:val="000765B5"/>
    <w:rsid w:val="00077611"/>
    <w:rsid w:val="000818F8"/>
    <w:rsid w:val="00082E85"/>
    <w:rsid w:val="000870D2"/>
    <w:rsid w:val="0008720F"/>
    <w:rsid w:val="00091128"/>
    <w:rsid w:val="0009343F"/>
    <w:rsid w:val="0009389F"/>
    <w:rsid w:val="00094952"/>
    <w:rsid w:val="00095A21"/>
    <w:rsid w:val="00096EF8"/>
    <w:rsid w:val="000A2FE6"/>
    <w:rsid w:val="000A4147"/>
    <w:rsid w:val="000A591F"/>
    <w:rsid w:val="000A6A3C"/>
    <w:rsid w:val="000B1BAE"/>
    <w:rsid w:val="000B4A13"/>
    <w:rsid w:val="000B5352"/>
    <w:rsid w:val="000C1A0C"/>
    <w:rsid w:val="000C20CC"/>
    <w:rsid w:val="000C279B"/>
    <w:rsid w:val="000C2C06"/>
    <w:rsid w:val="000C3C93"/>
    <w:rsid w:val="000C6538"/>
    <w:rsid w:val="000C7318"/>
    <w:rsid w:val="000C74E4"/>
    <w:rsid w:val="000C7A7D"/>
    <w:rsid w:val="000D1414"/>
    <w:rsid w:val="000D2390"/>
    <w:rsid w:val="000D38FA"/>
    <w:rsid w:val="000D39C7"/>
    <w:rsid w:val="000D46AD"/>
    <w:rsid w:val="000D72DF"/>
    <w:rsid w:val="000D768E"/>
    <w:rsid w:val="000D7708"/>
    <w:rsid w:val="000E5302"/>
    <w:rsid w:val="000E6535"/>
    <w:rsid w:val="000E674F"/>
    <w:rsid w:val="000E6FB6"/>
    <w:rsid w:val="000F0683"/>
    <w:rsid w:val="000F101E"/>
    <w:rsid w:val="000F1737"/>
    <w:rsid w:val="000F18AD"/>
    <w:rsid w:val="000F3CD7"/>
    <w:rsid w:val="000F3D7F"/>
    <w:rsid w:val="000F4764"/>
    <w:rsid w:val="000F5A5B"/>
    <w:rsid w:val="00100E46"/>
    <w:rsid w:val="001021C9"/>
    <w:rsid w:val="00103FD4"/>
    <w:rsid w:val="00105C83"/>
    <w:rsid w:val="0010628F"/>
    <w:rsid w:val="00107386"/>
    <w:rsid w:val="0010788D"/>
    <w:rsid w:val="0011156C"/>
    <w:rsid w:val="001128D1"/>
    <w:rsid w:val="00115505"/>
    <w:rsid w:val="00122A57"/>
    <w:rsid w:val="001300A6"/>
    <w:rsid w:val="00130F54"/>
    <w:rsid w:val="00131CE2"/>
    <w:rsid w:val="001342EA"/>
    <w:rsid w:val="00135ECF"/>
    <w:rsid w:val="00136483"/>
    <w:rsid w:val="00137882"/>
    <w:rsid w:val="00140961"/>
    <w:rsid w:val="001410B6"/>
    <w:rsid w:val="001411E4"/>
    <w:rsid w:val="00141727"/>
    <w:rsid w:val="00144435"/>
    <w:rsid w:val="00152084"/>
    <w:rsid w:val="0015215E"/>
    <w:rsid w:val="00152F63"/>
    <w:rsid w:val="001541E5"/>
    <w:rsid w:val="00154965"/>
    <w:rsid w:val="001565B3"/>
    <w:rsid w:val="00157D6D"/>
    <w:rsid w:val="00161757"/>
    <w:rsid w:val="00161B78"/>
    <w:rsid w:val="00165DDC"/>
    <w:rsid w:val="00166815"/>
    <w:rsid w:val="001678B7"/>
    <w:rsid w:val="00167B19"/>
    <w:rsid w:val="00172A27"/>
    <w:rsid w:val="001732B4"/>
    <w:rsid w:val="00173BC8"/>
    <w:rsid w:val="001748CB"/>
    <w:rsid w:val="00174920"/>
    <w:rsid w:val="001759AE"/>
    <w:rsid w:val="00183C0B"/>
    <w:rsid w:val="00184031"/>
    <w:rsid w:val="00184D3D"/>
    <w:rsid w:val="00186331"/>
    <w:rsid w:val="00186AFF"/>
    <w:rsid w:val="00193F8E"/>
    <w:rsid w:val="0019416E"/>
    <w:rsid w:val="00195005"/>
    <w:rsid w:val="0019582E"/>
    <w:rsid w:val="00197DE8"/>
    <w:rsid w:val="001A0BFF"/>
    <w:rsid w:val="001A3600"/>
    <w:rsid w:val="001A6946"/>
    <w:rsid w:val="001A79D1"/>
    <w:rsid w:val="001B5045"/>
    <w:rsid w:val="001B5CD6"/>
    <w:rsid w:val="001B661F"/>
    <w:rsid w:val="001B662C"/>
    <w:rsid w:val="001B7FDA"/>
    <w:rsid w:val="001C1077"/>
    <w:rsid w:val="001C1329"/>
    <w:rsid w:val="001C5667"/>
    <w:rsid w:val="001C7002"/>
    <w:rsid w:val="001C71FA"/>
    <w:rsid w:val="001D0156"/>
    <w:rsid w:val="001D0E72"/>
    <w:rsid w:val="001D211C"/>
    <w:rsid w:val="001D27CC"/>
    <w:rsid w:val="001D2961"/>
    <w:rsid w:val="001D71F5"/>
    <w:rsid w:val="001E3EE7"/>
    <w:rsid w:val="001E4B7C"/>
    <w:rsid w:val="001E506B"/>
    <w:rsid w:val="001E5CD1"/>
    <w:rsid w:val="001E6AC8"/>
    <w:rsid w:val="001E7BA9"/>
    <w:rsid w:val="001F31E7"/>
    <w:rsid w:val="001F328A"/>
    <w:rsid w:val="001F37A3"/>
    <w:rsid w:val="001F43EB"/>
    <w:rsid w:val="001F5AC2"/>
    <w:rsid w:val="001F6E8F"/>
    <w:rsid w:val="002026F5"/>
    <w:rsid w:val="00203743"/>
    <w:rsid w:val="00203D25"/>
    <w:rsid w:val="00203E8E"/>
    <w:rsid w:val="0020510F"/>
    <w:rsid w:val="00205729"/>
    <w:rsid w:val="00206BA3"/>
    <w:rsid w:val="0021072D"/>
    <w:rsid w:val="00211EE6"/>
    <w:rsid w:val="00213C4C"/>
    <w:rsid w:val="0021609E"/>
    <w:rsid w:val="002210A9"/>
    <w:rsid w:val="00222943"/>
    <w:rsid w:val="00222CD8"/>
    <w:rsid w:val="00225F35"/>
    <w:rsid w:val="002304C7"/>
    <w:rsid w:val="00235FF2"/>
    <w:rsid w:val="0024147F"/>
    <w:rsid w:val="002430A6"/>
    <w:rsid w:val="0024507D"/>
    <w:rsid w:val="00245B71"/>
    <w:rsid w:val="00246EC9"/>
    <w:rsid w:val="002514F9"/>
    <w:rsid w:val="002534B8"/>
    <w:rsid w:val="002541C1"/>
    <w:rsid w:val="0025667D"/>
    <w:rsid w:val="00261296"/>
    <w:rsid w:val="002623A8"/>
    <w:rsid w:val="002630D9"/>
    <w:rsid w:val="00263535"/>
    <w:rsid w:val="0026409B"/>
    <w:rsid w:val="00266492"/>
    <w:rsid w:val="00266656"/>
    <w:rsid w:val="0027024A"/>
    <w:rsid w:val="00272FFF"/>
    <w:rsid w:val="00275BE2"/>
    <w:rsid w:val="00275C0F"/>
    <w:rsid w:val="00277162"/>
    <w:rsid w:val="00283735"/>
    <w:rsid w:val="00283884"/>
    <w:rsid w:val="002863C1"/>
    <w:rsid w:val="00292B21"/>
    <w:rsid w:val="0029391C"/>
    <w:rsid w:val="00294CE8"/>
    <w:rsid w:val="002A2C43"/>
    <w:rsid w:val="002A3099"/>
    <w:rsid w:val="002A371D"/>
    <w:rsid w:val="002A5DEB"/>
    <w:rsid w:val="002A610E"/>
    <w:rsid w:val="002A6710"/>
    <w:rsid w:val="002B0B4A"/>
    <w:rsid w:val="002B0D11"/>
    <w:rsid w:val="002B7200"/>
    <w:rsid w:val="002C2680"/>
    <w:rsid w:val="002C7498"/>
    <w:rsid w:val="002D1303"/>
    <w:rsid w:val="002D2301"/>
    <w:rsid w:val="002D3CBD"/>
    <w:rsid w:val="002D3E7E"/>
    <w:rsid w:val="002D4355"/>
    <w:rsid w:val="002E01C1"/>
    <w:rsid w:val="002E03F5"/>
    <w:rsid w:val="002E5559"/>
    <w:rsid w:val="002E7A3D"/>
    <w:rsid w:val="002F1E7B"/>
    <w:rsid w:val="002F3B40"/>
    <w:rsid w:val="002F6F1F"/>
    <w:rsid w:val="00301F2D"/>
    <w:rsid w:val="00302AF1"/>
    <w:rsid w:val="00303373"/>
    <w:rsid w:val="00305216"/>
    <w:rsid w:val="00305D63"/>
    <w:rsid w:val="003132EA"/>
    <w:rsid w:val="003143D1"/>
    <w:rsid w:val="003149AF"/>
    <w:rsid w:val="003157F2"/>
    <w:rsid w:val="00320445"/>
    <w:rsid w:val="00321A94"/>
    <w:rsid w:val="00322A3F"/>
    <w:rsid w:val="00324555"/>
    <w:rsid w:val="00331331"/>
    <w:rsid w:val="00331472"/>
    <w:rsid w:val="003348E1"/>
    <w:rsid w:val="003351FE"/>
    <w:rsid w:val="00335371"/>
    <w:rsid w:val="00335427"/>
    <w:rsid w:val="003357DB"/>
    <w:rsid w:val="00335851"/>
    <w:rsid w:val="00341C95"/>
    <w:rsid w:val="00347995"/>
    <w:rsid w:val="00347AD2"/>
    <w:rsid w:val="003511C3"/>
    <w:rsid w:val="0035197E"/>
    <w:rsid w:val="00352A75"/>
    <w:rsid w:val="00352D92"/>
    <w:rsid w:val="0035425F"/>
    <w:rsid w:val="00356B5D"/>
    <w:rsid w:val="0035735B"/>
    <w:rsid w:val="00360A07"/>
    <w:rsid w:val="00361B19"/>
    <w:rsid w:val="00365D91"/>
    <w:rsid w:val="0036612B"/>
    <w:rsid w:val="00366F99"/>
    <w:rsid w:val="00367979"/>
    <w:rsid w:val="00370155"/>
    <w:rsid w:val="00370D3C"/>
    <w:rsid w:val="0037400F"/>
    <w:rsid w:val="00375E3E"/>
    <w:rsid w:val="00383C87"/>
    <w:rsid w:val="0038423C"/>
    <w:rsid w:val="003851A3"/>
    <w:rsid w:val="003859E7"/>
    <w:rsid w:val="00392619"/>
    <w:rsid w:val="00395D5E"/>
    <w:rsid w:val="003A0CB5"/>
    <w:rsid w:val="003A19AD"/>
    <w:rsid w:val="003A1EA5"/>
    <w:rsid w:val="003A57CA"/>
    <w:rsid w:val="003A652A"/>
    <w:rsid w:val="003A7163"/>
    <w:rsid w:val="003A79F8"/>
    <w:rsid w:val="003A7E31"/>
    <w:rsid w:val="003B47B7"/>
    <w:rsid w:val="003B5822"/>
    <w:rsid w:val="003B6FCD"/>
    <w:rsid w:val="003C0543"/>
    <w:rsid w:val="003C1598"/>
    <w:rsid w:val="003C462C"/>
    <w:rsid w:val="003C4654"/>
    <w:rsid w:val="003C6E75"/>
    <w:rsid w:val="003C71F3"/>
    <w:rsid w:val="003C798B"/>
    <w:rsid w:val="003D2476"/>
    <w:rsid w:val="003D30A2"/>
    <w:rsid w:val="003D7160"/>
    <w:rsid w:val="003E0988"/>
    <w:rsid w:val="003E1D50"/>
    <w:rsid w:val="003E2122"/>
    <w:rsid w:val="003E2853"/>
    <w:rsid w:val="003E59E3"/>
    <w:rsid w:val="003F07E3"/>
    <w:rsid w:val="003F0B28"/>
    <w:rsid w:val="003F12C8"/>
    <w:rsid w:val="003F177E"/>
    <w:rsid w:val="003F18EE"/>
    <w:rsid w:val="003F2A1E"/>
    <w:rsid w:val="003F37ED"/>
    <w:rsid w:val="003F3A87"/>
    <w:rsid w:val="003F56D3"/>
    <w:rsid w:val="003F6488"/>
    <w:rsid w:val="003F6F8E"/>
    <w:rsid w:val="004002B5"/>
    <w:rsid w:val="00403CAD"/>
    <w:rsid w:val="0040541B"/>
    <w:rsid w:val="004055EC"/>
    <w:rsid w:val="00406963"/>
    <w:rsid w:val="0040780D"/>
    <w:rsid w:val="004104DE"/>
    <w:rsid w:val="00410742"/>
    <w:rsid w:val="00410CE1"/>
    <w:rsid w:val="00413264"/>
    <w:rsid w:val="00413BFE"/>
    <w:rsid w:val="00413D36"/>
    <w:rsid w:val="00417821"/>
    <w:rsid w:val="00421685"/>
    <w:rsid w:val="004231F4"/>
    <w:rsid w:val="00425077"/>
    <w:rsid w:val="004257D7"/>
    <w:rsid w:val="00425875"/>
    <w:rsid w:val="00430A48"/>
    <w:rsid w:val="004312E2"/>
    <w:rsid w:val="00431DFF"/>
    <w:rsid w:val="00433B10"/>
    <w:rsid w:val="0043636A"/>
    <w:rsid w:val="004369C3"/>
    <w:rsid w:val="00436A9C"/>
    <w:rsid w:val="0043739C"/>
    <w:rsid w:val="004402EB"/>
    <w:rsid w:val="00440ED2"/>
    <w:rsid w:val="004443C2"/>
    <w:rsid w:val="00445BA5"/>
    <w:rsid w:val="00445F8B"/>
    <w:rsid w:val="004465B1"/>
    <w:rsid w:val="0044664D"/>
    <w:rsid w:val="004470B6"/>
    <w:rsid w:val="00451B6F"/>
    <w:rsid w:val="00452F5F"/>
    <w:rsid w:val="0045418D"/>
    <w:rsid w:val="00462939"/>
    <w:rsid w:val="00462F8E"/>
    <w:rsid w:val="00464000"/>
    <w:rsid w:val="00465B4B"/>
    <w:rsid w:val="004723B1"/>
    <w:rsid w:val="00472F9E"/>
    <w:rsid w:val="0047467E"/>
    <w:rsid w:val="004750FE"/>
    <w:rsid w:val="00475B56"/>
    <w:rsid w:val="00477F68"/>
    <w:rsid w:val="004814E0"/>
    <w:rsid w:val="00483757"/>
    <w:rsid w:val="00483CEE"/>
    <w:rsid w:val="00485D8E"/>
    <w:rsid w:val="00486C76"/>
    <w:rsid w:val="004935A9"/>
    <w:rsid w:val="004941EF"/>
    <w:rsid w:val="004A257F"/>
    <w:rsid w:val="004A3F5F"/>
    <w:rsid w:val="004A4D04"/>
    <w:rsid w:val="004A5544"/>
    <w:rsid w:val="004A73FE"/>
    <w:rsid w:val="004A78DA"/>
    <w:rsid w:val="004A7A12"/>
    <w:rsid w:val="004B0453"/>
    <w:rsid w:val="004B06AD"/>
    <w:rsid w:val="004B1030"/>
    <w:rsid w:val="004B10FD"/>
    <w:rsid w:val="004B347B"/>
    <w:rsid w:val="004C2B25"/>
    <w:rsid w:val="004C39B6"/>
    <w:rsid w:val="004C3D50"/>
    <w:rsid w:val="004C4200"/>
    <w:rsid w:val="004C6214"/>
    <w:rsid w:val="004C6E13"/>
    <w:rsid w:val="004C79BE"/>
    <w:rsid w:val="004C7F95"/>
    <w:rsid w:val="004D1B76"/>
    <w:rsid w:val="004D4083"/>
    <w:rsid w:val="004D629E"/>
    <w:rsid w:val="004D6D23"/>
    <w:rsid w:val="004E068D"/>
    <w:rsid w:val="004E1992"/>
    <w:rsid w:val="004E256A"/>
    <w:rsid w:val="004E3F18"/>
    <w:rsid w:val="004E547B"/>
    <w:rsid w:val="004E656B"/>
    <w:rsid w:val="004E680E"/>
    <w:rsid w:val="004E7F8A"/>
    <w:rsid w:val="004F2898"/>
    <w:rsid w:val="004F54A1"/>
    <w:rsid w:val="005002EC"/>
    <w:rsid w:val="00500845"/>
    <w:rsid w:val="00500EB5"/>
    <w:rsid w:val="00500F90"/>
    <w:rsid w:val="005014BC"/>
    <w:rsid w:val="005021E7"/>
    <w:rsid w:val="005037F2"/>
    <w:rsid w:val="00503A87"/>
    <w:rsid w:val="0050536D"/>
    <w:rsid w:val="00506387"/>
    <w:rsid w:val="00506725"/>
    <w:rsid w:val="0050694C"/>
    <w:rsid w:val="005075AB"/>
    <w:rsid w:val="005144BC"/>
    <w:rsid w:val="00517F38"/>
    <w:rsid w:val="00517FC7"/>
    <w:rsid w:val="00523B18"/>
    <w:rsid w:val="0052532B"/>
    <w:rsid w:val="00525354"/>
    <w:rsid w:val="005276C9"/>
    <w:rsid w:val="00531825"/>
    <w:rsid w:val="00532619"/>
    <w:rsid w:val="00535B63"/>
    <w:rsid w:val="00535CF1"/>
    <w:rsid w:val="00546556"/>
    <w:rsid w:val="0055026A"/>
    <w:rsid w:val="005512C9"/>
    <w:rsid w:val="00552329"/>
    <w:rsid w:val="005532D1"/>
    <w:rsid w:val="00554969"/>
    <w:rsid w:val="00555409"/>
    <w:rsid w:val="0055722B"/>
    <w:rsid w:val="005606C4"/>
    <w:rsid w:val="005615F6"/>
    <w:rsid w:val="00561A0D"/>
    <w:rsid w:val="00565709"/>
    <w:rsid w:val="00565808"/>
    <w:rsid w:val="0056582D"/>
    <w:rsid w:val="00566605"/>
    <w:rsid w:val="00566CDC"/>
    <w:rsid w:val="005711D9"/>
    <w:rsid w:val="0057252D"/>
    <w:rsid w:val="005767B2"/>
    <w:rsid w:val="0058030F"/>
    <w:rsid w:val="00581421"/>
    <w:rsid w:val="005815C7"/>
    <w:rsid w:val="00584B84"/>
    <w:rsid w:val="0058771E"/>
    <w:rsid w:val="00587EC4"/>
    <w:rsid w:val="00592394"/>
    <w:rsid w:val="0059249F"/>
    <w:rsid w:val="00592E45"/>
    <w:rsid w:val="00593A31"/>
    <w:rsid w:val="005943E7"/>
    <w:rsid w:val="0059493B"/>
    <w:rsid w:val="00595A1D"/>
    <w:rsid w:val="00596EE4"/>
    <w:rsid w:val="00597FEF"/>
    <w:rsid w:val="005A0358"/>
    <w:rsid w:val="005A0F4D"/>
    <w:rsid w:val="005A2757"/>
    <w:rsid w:val="005A7177"/>
    <w:rsid w:val="005B1547"/>
    <w:rsid w:val="005B29E2"/>
    <w:rsid w:val="005B3962"/>
    <w:rsid w:val="005B4A2E"/>
    <w:rsid w:val="005B592B"/>
    <w:rsid w:val="005B7545"/>
    <w:rsid w:val="005C2559"/>
    <w:rsid w:val="005C4102"/>
    <w:rsid w:val="005D05CA"/>
    <w:rsid w:val="005D2EDF"/>
    <w:rsid w:val="005D3B88"/>
    <w:rsid w:val="005D3BC7"/>
    <w:rsid w:val="005D4404"/>
    <w:rsid w:val="005D5E9B"/>
    <w:rsid w:val="005E19E0"/>
    <w:rsid w:val="005E51DE"/>
    <w:rsid w:val="005E5C0B"/>
    <w:rsid w:val="005E6D20"/>
    <w:rsid w:val="005F0959"/>
    <w:rsid w:val="005F1A53"/>
    <w:rsid w:val="005F679F"/>
    <w:rsid w:val="005F7A03"/>
    <w:rsid w:val="00600542"/>
    <w:rsid w:val="00600632"/>
    <w:rsid w:val="006067B2"/>
    <w:rsid w:val="00611C03"/>
    <w:rsid w:val="0061300F"/>
    <w:rsid w:val="006142D3"/>
    <w:rsid w:val="00614A11"/>
    <w:rsid w:val="00615F73"/>
    <w:rsid w:val="006220F4"/>
    <w:rsid w:val="00625CD0"/>
    <w:rsid w:val="006279AE"/>
    <w:rsid w:val="00630815"/>
    <w:rsid w:val="00632F1A"/>
    <w:rsid w:val="00633C33"/>
    <w:rsid w:val="00640C36"/>
    <w:rsid w:val="00641F63"/>
    <w:rsid w:val="00642E4D"/>
    <w:rsid w:val="00644A15"/>
    <w:rsid w:val="006546A2"/>
    <w:rsid w:val="00654AAD"/>
    <w:rsid w:val="00663733"/>
    <w:rsid w:val="00665715"/>
    <w:rsid w:val="00666D5B"/>
    <w:rsid w:val="00667944"/>
    <w:rsid w:val="00667BD3"/>
    <w:rsid w:val="00670E64"/>
    <w:rsid w:val="0067171E"/>
    <w:rsid w:val="00671C33"/>
    <w:rsid w:val="006746BC"/>
    <w:rsid w:val="00674A2F"/>
    <w:rsid w:val="00675608"/>
    <w:rsid w:val="006774AD"/>
    <w:rsid w:val="00681805"/>
    <w:rsid w:val="00683000"/>
    <w:rsid w:val="00683A97"/>
    <w:rsid w:val="00684F55"/>
    <w:rsid w:val="00686F08"/>
    <w:rsid w:val="006933B3"/>
    <w:rsid w:val="0069347B"/>
    <w:rsid w:val="00694831"/>
    <w:rsid w:val="006974D2"/>
    <w:rsid w:val="00697ADB"/>
    <w:rsid w:val="006A1036"/>
    <w:rsid w:val="006A111F"/>
    <w:rsid w:val="006A1957"/>
    <w:rsid w:val="006A3379"/>
    <w:rsid w:val="006A37F8"/>
    <w:rsid w:val="006A3D59"/>
    <w:rsid w:val="006A43AA"/>
    <w:rsid w:val="006B0C12"/>
    <w:rsid w:val="006B2BDA"/>
    <w:rsid w:val="006B4B2C"/>
    <w:rsid w:val="006B5CCA"/>
    <w:rsid w:val="006C0B7E"/>
    <w:rsid w:val="006C226A"/>
    <w:rsid w:val="006C3686"/>
    <w:rsid w:val="006C3CFE"/>
    <w:rsid w:val="006C7AFD"/>
    <w:rsid w:val="006D1A74"/>
    <w:rsid w:val="006D1FAD"/>
    <w:rsid w:val="006D2333"/>
    <w:rsid w:val="006D3B31"/>
    <w:rsid w:val="006D5E1D"/>
    <w:rsid w:val="006D7AF2"/>
    <w:rsid w:val="006E04CA"/>
    <w:rsid w:val="006E6F33"/>
    <w:rsid w:val="006E73C0"/>
    <w:rsid w:val="006E7506"/>
    <w:rsid w:val="006F1700"/>
    <w:rsid w:val="006F1A8A"/>
    <w:rsid w:val="006F5974"/>
    <w:rsid w:val="006F6087"/>
    <w:rsid w:val="006F62CD"/>
    <w:rsid w:val="00700CB6"/>
    <w:rsid w:val="00700D9C"/>
    <w:rsid w:val="00701378"/>
    <w:rsid w:val="00705DD0"/>
    <w:rsid w:val="00706DD9"/>
    <w:rsid w:val="00710B03"/>
    <w:rsid w:val="0071426B"/>
    <w:rsid w:val="00714839"/>
    <w:rsid w:val="0071581E"/>
    <w:rsid w:val="00716290"/>
    <w:rsid w:val="00717D1D"/>
    <w:rsid w:val="00722352"/>
    <w:rsid w:val="00722809"/>
    <w:rsid w:val="00723AB3"/>
    <w:rsid w:val="00727CD3"/>
    <w:rsid w:val="00730AC6"/>
    <w:rsid w:val="007345EF"/>
    <w:rsid w:val="0073683D"/>
    <w:rsid w:val="00743D7B"/>
    <w:rsid w:val="00747FB9"/>
    <w:rsid w:val="00750B96"/>
    <w:rsid w:val="00754D98"/>
    <w:rsid w:val="00756713"/>
    <w:rsid w:val="00756AAC"/>
    <w:rsid w:val="007605FF"/>
    <w:rsid w:val="007616B3"/>
    <w:rsid w:val="00765D4C"/>
    <w:rsid w:val="0077325A"/>
    <w:rsid w:val="007769DE"/>
    <w:rsid w:val="00776F8A"/>
    <w:rsid w:val="00777142"/>
    <w:rsid w:val="00777BBF"/>
    <w:rsid w:val="007809C6"/>
    <w:rsid w:val="00780D55"/>
    <w:rsid w:val="00782752"/>
    <w:rsid w:val="00783DAC"/>
    <w:rsid w:val="0078424D"/>
    <w:rsid w:val="0078771D"/>
    <w:rsid w:val="007877B5"/>
    <w:rsid w:val="007917BD"/>
    <w:rsid w:val="0079326B"/>
    <w:rsid w:val="00793DA7"/>
    <w:rsid w:val="00797351"/>
    <w:rsid w:val="0079790C"/>
    <w:rsid w:val="007A0AE9"/>
    <w:rsid w:val="007A1E75"/>
    <w:rsid w:val="007A5B42"/>
    <w:rsid w:val="007A5BC2"/>
    <w:rsid w:val="007A6DE8"/>
    <w:rsid w:val="007A6FCB"/>
    <w:rsid w:val="007B0F45"/>
    <w:rsid w:val="007B4925"/>
    <w:rsid w:val="007B51AD"/>
    <w:rsid w:val="007B66EF"/>
    <w:rsid w:val="007B6B02"/>
    <w:rsid w:val="007C04FE"/>
    <w:rsid w:val="007C27AA"/>
    <w:rsid w:val="007C3198"/>
    <w:rsid w:val="007C5A6D"/>
    <w:rsid w:val="007C7558"/>
    <w:rsid w:val="007D01F6"/>
    <w:rsid w:val="007D079A"/>
    <w:rsid w:val="007D17FD"/>
    <w:rsid w:val="007D3BBE"/>
    <w:rsid w:val="007D4D58"/>
    <w:rsid w:val="007D7C0F"/>
    <w:rsid w:val="007E2427"/>
    <w:rsid w:val="007E2828"/>
    <w:rsid w:val="007E3366"/>
    <w:rsid w:val="007E4A4F"/>
    <w:rsid w:val="007F1395"/>
    <w:rsid w:val="007F5281"/>
    <w:rsid w:val="007F55B3"/>
    <w:rsid w:val="007F69B3"/>
    <w:rsid w:val="007F7295"/>
    <w:rsid w:val="007F7410"/>
    <w:rsid w:val="008000D3"/>
    <w:rsid w:val="00800E27"/>
    <w:rsid w:val="00801896"/>
    <w:rsid w:val="00803240"/>
    <w:rsid w:val="00804BED"/>
    <w:rsid w:val="008059E5"/>
    <w:rsid w:val="00805FA5"/>
    <w:rsid w:val="008060C8"/>
    <w:rsid w:val="00807152"/>
    <w:rsid w:val="00807D67"/>
    <w:rsid w:val="00812450"/>
    <w:rsid w:val="00813BA5"/>
    <w:rsid w:val="00814795"/>
    <w:rsid w:val="00814911"/>
    <w:rsid w:val="0081497C"/>
    <w:rsid w:val="00814F5C"/>
    <w:rsid w:val="00815921"/>
    <w:rsid w:val="008163C2"/>
    <w:rsid w:val="00816AF8"/>
    <w:rsid w:val="00817C4F"/>
    <w:rsid w:val="00821AB4"/>
    <w:rsid w:val="00823351"/>
    <w:rsid w:val="00824607"/>
    <w:rsid w:val="008256F2"/>
    <w:rsid w:val="008257ED"/>
    <w:rsid w:val="00826D8F"/>
    <w:rsid w:val="00830485"/>
    <w:rsid w:val="00830A05"/>
    <w:rsid w:val="008317CE"/>
    <w:rsid w:val="00833339"/>
    <w:rsid w:val="008338CC"/>
    <w:rsid w:val="0083505A"/>
    <w:rsid w:val="00835174"/>
    <w:rsid w:val="00837E3F"/>
    <w:rsid w:val="00845D70"/>
    <w:rsid w:val="008460B3"/>
    <w:rsid w:val="00852F43"/>
    <w:rsid w:val="00852FC8"/>
    <w:rsid w:val="008608C8"/>
    <w:rsid w:val="0086383B"/>
    <w:rsid w:val="0086389A"/>
    <w:rsid w:val="00863FDC"/>
    <w:rsid w:val="0086756A"/>
    <w:rsid w:val="00871A07"/>
    <w:rsid w:val="00871D33"/>
    <w:rsid w:val="00872B6D"/>
    <w:rsid w:val="00873F98"/>
    <w:rsid w:val="008745CF"/>
    <w:rsid w:val="00875995"/>
    <w:rsid w:val="008770D2"/>
    <w:rsid w:val="008770EF"/>
    <w:rsid w:val="008850A5"/>
    <w:rsid w:val="00892B55"/>
    <w:rsid w:val="00893256"/>
    <w:rsid w:val="00893F67"/>
    <w:rsid w:val="00894EBE"/>
    <w:rsid w:val="00896433"/>
    <w:rsid w:val="00897D48"/>
    <w:rsid w:val="008A1A5A"/>
    <w:rsid w:val="008A1E4C"/>
    <w:rsid w:val="008A3444"/>
    <w:rsid w:val="008A3BB1"/>
    <w:rsid w:val="008A3F3F"/>
    <w:rsid w:val="008A47C8"/>
    <w:rsid w:val="008B0417"/>
    <w:rsid w:val="008B0CB1"/>
    <w:rsid w:val="008B33F5"/>
    <w:rsid w:val="008C302B"/>
    <w:rsid w:val="008D0AC3"/>
    <w:rsid w:val="008D0E76"/>
    <w:rsid w:val="008E10D8"/>
    <w:rsid w:val="008E13DA"/>
    <w:rsid w:val="008E2F99"/>
    <w:rsid w:val="008E4144"/>
    <w:rsid w:val="008E4B06"/>
    <w:rsid w:val="008E52AD"/>
    <w:rsid w:val="008E6E57"/>
    <w:rsid w:val="008E71CF"/>
    <w:rsid w:val="008F47C6"/>
    <w:rsid w:val="008F6C2F"/>
    <w:rsid w:val="008F7EC7"/>
    <w:rsid w:val="009000A5"/>
    <w:rsid w:val="0090010D"/>
    <w:rsid w:val="00900646"/>
    <w:rsid w:val="0090312B"/>
    <w:rsid w:val="009044AC"/>
    <w:rsid w:val="00906995"/>
    <w:rsid w:val="00907338"/>
    <w:rsid w:val="00911AFD"/>
    <w:rsid w:val="00911E16"/>
    <w:rsid w:val="00912293"/>
    <w:rsid w:val="009128AE"/>
    <w:rsid w:val="00912DAE"/>
    <w:rsid w:val="00913491"/>
    <w:rsid w:val="009155A3"/>
    <w:rsid w:val="00915CF0"/>
    <w:rsid w:val="00916336"/>
    <w:rsid w:val="009168C2"/>
    <w:rsid w:val="0092186A"/>
    <w:rsid w:val="009229EB"/>
    <w:rsid w:val="00925C0B"/>
    <w:rsid w:val="009261BA"/>
    <w:rsid w:val="00926532"/>
    <w:rsid w:val="00930A52"/>
    <w:rsid w:val="00931225"/>
    <w:rsid w:val="00934019"/>
    <w:rsid w:val="009342EF"/>
    <w:rsid w:val="00935302"/>
    <w:rsid w:val="00941225"/>
    <w:rsid w:val="00943BCD"/>
    <w:rsid w:val="0094517D"/>
    <w:rsid w:val="00945439"/>
    <w:rsid w:val="0094552B"/>
    <w:rsid w:val="009462B2"/>
    <w:rsid w:val="009465CB"/>
    <w:rsid w:val="00951CB4"/>
    <w:rsid w:val="00952646"/>
    <w:rsid w:val="00952B80"/>
    <w:rsid w:val="00952C0B"/>
    <w:rsid w:val="009530E8"/>
    <w:rsid w:val="009533FF"/>
    <w:rsid w:val="00953D40"/>
    <w:rsid w:val="00954006"/>
    <w:rsid w:val="0095557C"/>
    <w:rsid w:val="00956224"/>
    <w:rsid w:val="00957087"/>
    <w:rsid w:val="009574CA"/>
    <w:rsid w:val="0096276E"/>
    <w:rsid w:val="00964BD2"/>
    <w:rsid w:val="009723E4"/>
    <w:rsid w:val="00973BA5"/>
    <w:rsid w:val="009741E1"/>
    <w:rsid w:val="00974ADF"/>
    <w:rsid w:val="00974F4F"/>
    <w:rsid w:val="00974F5B"/>
    <w:rsid w:val="00975848"/>
    <w:rsid w:val="00975F81"/>
    <w:rsid w:val="00976053"/>
    <w:rsid w:val="00976949"/>
    <w:rsid w:val="00976FC7"/>
    <w:rsid w:val="00981A72"/>
    <w:rsid w:val="00991095"/>
    <w:rsid w:val="00992DC8"/>
    <w:rsid w:val="00992EA9"/>
    <w:rsid w:val="009961BD"/>
    <w:rsid w:val="0099651F"/>
    <w:rsid w:val="00996D7C"/>
    <w:rsid w:val="009A08D6"/>
    <w:rsid w:val="009A2053"/>
    <w:rsid w:val="009A3F3D"/>
    <w:rsid w:val="009A4A9E"/>
    <w:rsid w:val="009B29AF"/>
    <w:rsid w:val="009B3F81"/>
    <w:rsid w:val="009B4148"/>
    <w:rsid w:val="009B4702"/>
    <w:rsid w:val="009C07C3"/>
    <w:rsid w:val="009C2F21"/>
    <w:rsid w:val="009D1B91"/>
    <w:rsid w:val="009D2CE2"/>
    <w:rsid w:val="009D59CD"/>
    <w:rsid w:val="009D5E89"/>
    <w:rsid w:val="009D712F"/>
    <w:rsid w:val="009D7BB0"/>
    <w:rsid w:val="009D7D46"/>
    <w:rsid w:val="009E25CC"/>
    <w:rsid w:val="009E66A0"/>
    <w:rsid w:val="009E776E"/>
    <w:rsid w:val="009F2643"/>
    <w:rsid w:val="009F2A1C"/>
    <w:rsid w:val="009F3A1E"/>
    <w:rsid w:val="009F41C9"/>
    <w:rsid w:val="009F5C49"/>
    <w:rsid w:val="009F77E6"/>
    <w:rsid w:val="00A003BE"/>
    <w:rsid w:val="00A01236"/>
    <w:rsid w:val="00A02122"/>
    <w:rsid w:val="00A0447C"/>
    <w:rsid w:val="00A04655"/>
    <w:rsid w:val="00A04EEC"/>
    <w:rsid w:val="00A13330"/>
    <w:rsid w:val="00A1342D"/>
    <w:rsid w:val="00A14128"/>
    <w:rsid w:val="00A17DF4"/>
    <w:rsid w:val="00A2088A"/>
    <w:rsid w:val="00A20DFC"/>
    <w:rsid w:val="00A21809"/>
    <w:rsid w:val="00A218A3"/>
    <w:rsid w:val="00A233F9"/>
    <w:rsid w:val="00A23BA8"/>
    <w:rsid w:val="00A245CD"/>
    <w:rsid w:val="00A27491"/>
    <w:rsid w:val="00A27C3E"/>
    <w:rsid w:val="00A30DC0"/>
    <w:rsid w:val="00A3529A"/>
    <w:rsid w:val="00A37194"/>
    <w:rsid w:val="00A37AAB"/>
    <w:rsid w:val="00A4152D"/>
    <w:rsid w:val="00A4178F"/>
    <w:rsid w:val="00A431A1"/>
    <w:rsid w:val="00A438B6"/>
    <w:rsid w:val="00A442DE"/>
    <w:rsid w:val="00A45A34"/>
    <w:rsid w:val="00A45CCA"/>
    <w:rsid w:val="00A46EF3"/>
    <w:rsid w:val="00A47713"/>
    <w:rsid w:val="00A54C4E"/>
    <w:rsid w:val="00A55019"/>
    <w:rsid w:val="00A62E70"/>
    <w:rsid w:val="00A649EE"/>
    <w:rsid w:val="00A80DF2"/>
    <w:rsid w:val="00A81A67"/>
    <w:rsid w:val="00A8281E"/>
    <w:rsid w:val="00A86E1C"/>
    <w:rsid w:val="00A87B35"/>
    <w:rsid w:val="00A944F9"/>
    <w:rsid w:val="00AA389D"/>
    <w:rsid w:val="00AA77D1"/>
    <w:rsid w:val="00AB3ADD"/>
    <w:rsid w:val="00AB5D9A"/>
    <w:rsid w:val="00AB740B"/>
    <w:rsid w:val="00AC0041"/>
    <w:rsid w:val="00AD0183"/>
    <w:rsid w:val="00AD01FC"/>
    <w:rsid w:val="00AD0AC8"/>
    <w:rsid w:val="00AD1B04"/>
    <w:rsid w:val="00AD3462"/>
    <w:rsid w:val="00AD47C5"/>
    <w:rsid w:val="00AD49FA"/>
    <w:rsid w:val="00AD5385"/>
    <w:rsid w:val="00AD5A6E"/>
    <w:rsid w:val="00AD64F0"/>
    <w:rsid w:val="00AD71C8"/>
    <w:rsid w:val="00AD79E3"/>
    <w:rsid w:val="00AE1491"/>
    <w:rsid w:val="00AE24E5"/>
    <w:rsid w:val="00AE25E3"/>
    <w:rsid w:val="00AE3CA4"/>
    <w:rsid w:val="00AE3E01"/>
    <w:rsid w:val="00AE5390"/>
    <w:rsid w:val="00AE635A"/>
    <w:rsid w:val="00AF6FA8"/>
    <w:rsid w:val="00AF7139"/>
    <w:rsid w:val="00AF7CA0"/>
    <w:rsid w:val="00B00A13"/>
    <w:rsid w:val="00B07C08"/>
    <w:rsid w:val="00B11C2B"/>
    <w:rsid w:val="00B13F51"/>
    <w:rsid w:val="00B14779"/>
    <w:rsid w:val="00B1492B"/>
    <w:rsid w:val="00B203CE"/>
    <w:rsid w:val="00B2086C"/>
    <w:rsid w:val="00B21169"/>
    <w:rsid w:val="00B21E8C"/>
    <w:rsid w:val="00B228C4"/>
    <w:rsid w:val="00B34514"/>
    <w:rsid w:val="00B351F2"/>
    <w:rsid w:val="00B36DA4"/>
    <w:rsid w:val="00B37226"/>
    <w:rsid w:val="00B40B5F"/>
    <w:rsid w:val="00B40F7F"/>
    <w:rsid w:val="00B462C2"/>
    <w:rsid w:val="00B46ED6"/>
    <w:rsid w:val="00B504F2"/>
    <w:rsid w:val="00B51EC9"/>
    <w:rsid w:val="00B52D7D"/>
    <w:rsid w:val="00B535BB"/>
    <w:rsid w:val="00B5471A"/>
    <w:rsid w:val="00B60136"/>
    <w:rsid w:val="00B60600"/>
    <w:rsid w:val="00B624BB"/>
    <w:rsid w:val="00B625C9"/>
    <w:rsid w:val="00B6334F"/>
    <w:rsid w:val="00B64FD6"/>
    <w:rsid w:val="00B66360"/>
    <w:rsid w:val="00B67E69"/>
    <w:rsid w:val="00B707E4"/>
    <w:rsid w:val="00B70893"/>
    <w:rsid w:val="00B71667"/>
    <w:rsid w:val="00B71FFA"/>
    <w:rsid w:val="00B733BB"/>
    <w:rsid w:val="00B74613"/>
    <w:rsid w:val="00B750E3"/>
    <w:rsid w:val="00B75FFC"/>
    <w:rsid w:val="00B7763B"/>
    <w:rsid w:val="00B80DDB"/>
    <w:rsid w:val="00B81D0B"/>
    <w:rsid w:val="00B82BEC"/>
    <w:rsid w:val="00B8597F"/>
    <w:rsid w:val="00B87DA3"/>
    <w:rsid w:val="00B912B5"/>
    <w:rsid w:val="00B93C5D"/>
    <w:rsid w:val="00B95D8E"/>
    <w:rsid w:val="00B962C8"/>
    <w:rsid w:val="00BA1B04"/>
    <w:rsid w:val="00BA2A8C"/>
    <w:rsid w:val="00BA4BED"/>
    <w:rsid w:val="00BA509D"/>
    <w:rsid w:val="00BA5603"/>
    <w:rsid w:val="00BA6840"/>
    <w:rsid w:val="00BA7A1D"/>
    <w:rsid w:val="00BB0F7B"/>
    <w:rsid w:val="00BB1FC2"/>
    <w:rsid w:val="00BB2E80"/>
    <w:rsid w:val="00BB5331"/>
    <w:rsid w:val="00BC2157"/>
    <w:rsid w:val="00BC30F3"/>
    <w:rsid w:val="00BC3843"/>
    <w:rsid w:val="00BC5D51"/>
    <w:rsid w:val="00BD2747"/>
    <w:rsid w:val="00BD4E31"/>
    <w:rsid w:val="00BD5E45"/>
    <w:rsid w:val="00BD6876"/>
    <w:rsid w:val="00BE07F1"/>
    <w:rsid w:val="00BE0D37"/>
    <w:rsid w:val="00BE11F0"/>
    <w:rsid w:val="00BE6AB6"/>
    <w:rsid w:val="00BF5AC3"/>
    <w:rsid w:val="00BF74D3"/>
    <w:rsid w:val="00C00E07"/>
    <w:rsid w:val="00C051FB"/>
    <w:rsid w:val="00C0740A"/>
    <w:rsid w:val="00C10FD0"/>
    <w:rsid w:val="00C11780"/>
    <w:rsid w:val="00C14101"/>
    <w:rsid w:val="00C16964"/>
    <w:rsid w:val="00C21228"/>
    <w:rsid w:val="00C21E9D"/>
    <w:rsid w:val="00C2230C"/>
    <w:rsid w:val="00C229C0"/>
    <w:rsid w:val="00C25B69"/>
    <w:rsid w:val="00C30381"/>
    <w:rsid w:val="00C3175F"/>
    <w:rsid w:val="00C3295F"/>
    <w:rsid w:val="00C33502"/>
    <w:rsid w:val="00C34730"/>
    <w:rsid w:val="00C347FC"/>
    <w:rsid w:val="00C360C1"/>
    <w:rsid w:val="00C37266"/>
    <w:rsid w:val="00C407E7"/>
    <w:rsid w:val="00C40C66"/>
    <w:rsid w:val="00C43751"/>
    <w:rsid w:val="00C44D55"/>
    <w:rsid w:val="00C45D30"/>
    <w:rsid w:val="00C4612C"/>
    <w:rsid w:val="00C47D22"/>
    <w:rsid w:val="00C5085B"/>
    <w:rsid w:val="00C543F1"/>
    <w:rsid w:val="00C562A2"/>
    <w:rsid w:val="00C56644"/>
    <w:rsid w:val="00C57821"/>
    <w:rsid w:val="00C60645"/>
    <w:rsid w:val="00C62C2F"/>
    <w:rsid w:val="00C6697D"/>
    <w:rsid w:val="00C713E8"/>
    <w:rsid w:val="00C723A5"/>
    <w:rsid w:val="00C72F0A"/>
    <w:rsid w:val="00C7618D"/>
    <w:rsid w:val="00C80707"/>
    <w:rsid w:val="00C83062"/>
    <w:rsid w:val="00C85805"/>
    <w:rsid w:val="00C86322"/>
    <w:rsid w:val="00C93097"/>
    <w:rsid w:val="00C93250"/>
    <w:rsid w:val="00C96F1B"/>
    <w:rsid w:val="00CA46A6"/>
    <w:rsid w:val="00CA4B9E"/>
    <w:rsid w:val="00CA679F"/>
    <w:rsid w:val="00CA6EF9"/>
    <w:rsid w:val="00CA704C"/>
    <w:rsid w:val="00CB4032"/>
    <w:rsid w:val="00CB449B"/>
    <w:rsid w:val="00CB4909"/>
    <w:rsid w:val="00CB4A6A"/>
    <w:rsid w:val="00CB78AE"/>
    <w:rsid w:val="00CC13BA"/>
    <w:rsid w:val="00CC25D4"/>
    <w:rsid w:val="00CC3E3C"/>
    <w:rsid w:val="00CC6DC3"/>
    <w:rsid w:val="00CD11BE"/>
    <w:rsid w:val="00CD2DA4"/>
    <w:rsid w:val="00CD3864"/>
    <w:rsid w:val="00CD574A"/>
    <w:rsid w:val="00CD6410"/>
    <w:rsid w:val="00CE1347"/>
    <w:rsid w:val="00CE15E1"/>
    <w:rsid w:val="00CE4D27"/>
    <w:rsid w:val="00CE7ABC"/>
    <w:rsid w:val="00CF000D"/>
    <w:rsid w:val="00CF0110"/>
    <w:rsid w:val="00D0152D"/>
    <w:rsid w:val="00D02513"/>
    <w:rsid w:val="00D03107"/>
    <w:rsid w:val="00D067F8"/>
    <w:rsid w:val="00D07575"/>
    <w:rsid w:val="00D0780B"/>
    <w:rsid w:val="00D10504"/>
    <w:rsid w:val="00D13E1A"/>
    <w:rsid w:val="00D14505"/>
    <w:rsid w:val="00D14CCC"/>
    <w:rsid w:val="00D159B9"/>
    <w:rsid w:val="00D15AFF"/>
    <w:rsid w:val="00D2085F"/>
    <w:rsid w:val="00D243CE"/>
    <w:rsid w:val="00D308CE"/>
    <w:rsid w:val="00D3201A"/>
    <w:rsid w:val="00D3358C"/>
    <w:rsid w:val="00D337FE"/>
    <w:rsid w:val="00D345EB"/>
    <w:rsid w:val="00D36B7C"/>
    <w:rsid w:val="00D41A5C"/>
    <w:rsid w:val="00D4516B"/>
    <w:rsid w:val="00D46D2E"/>
    <w:rsid w:val="00D4712F"/>
    <w:rsid w:val="00D4721A"/>
    <w:rsid w:val="00D47F64"/>
    <w:rsid w:val="00D50A68"/>
    <w:rsid w:val="00D5120D"/>
    <w:rsid w:val="00D515E2"/>
    <w:rsid w:val="00D53686"/>
    <w:rsid w:val="00D53978"/>
    <w:rsid w:val="00D55A4D"/>
    <w:rsid w:val="00D61771"/>
    <w:rsid w:val="00D63A63"/>
    <w:rsid w:val="00D6508B"/>
    <w:rsid w:val="00D71095"/>
    <w:rsid w:val="00D7209E"/>
    <w:rsid w:val="00D721C9"/>
    <w:rsid w:val="00D72C00"/>
    <w:rsid w:val="00D732B1"/>
    <w:rsid w:val="00D74D8F"/>
    <w:rsid w:val="00D76AE0"/>
    <w:rsid w:val="00D80229"/>
    <w:rsid w:val="00D80F95"/>
    <w:rsid w:val="00D82330"/>
    <w:rsid w:val="00D83F65"/>
    <w:rsid w:val="00D848FE"/>
    <w:rsid w:val="00D85796"/>
    <w:rsid w:val="00D86007"/>
    <w:rsid w:val="00D87A5A"/>
    <w:rsid w:val="00D87B4A"/>
    <w:rsid w:val="00D90299"/>
    <w:rsid w:val="00D907F2"/>
    <w:rsid w:val="00D90970"/>
    <w:rsid w:val="00D91F75"/>
    <w:rsid w:val="00D93D25"/>
    <w:rsid w:val="00D945AE"/>
    <w:rsid w:val="00D958BF"/>
    <w:rsid w:val="00DA08CA"/>
    <w:rsid w:val="00DA20EF"/>
    <w:rsid w:val="00DA322A"/>
    <w:rsid w:val="00DA34C3"/>
    <w:rsid w:val="00DA3892"/>
    <w:rsid w:val="00DA6257"/>
    <w:rsid w:val="00DA6871"/>
    <w:rsid w:val="00DA6F30"/>
    <w:rsid w:val="00DB2193"/>
    <w:rsid w:val="00DB2FC2"/>
    <w:rsid w:val="00DB3130"/>
    <w:rsid w:val="00DB56C9"/>
    <w:rsid w:val="00DB7D24"/>
    <w:rsid w:val="00DC10FF"/>
    <w:rsid w:val="00DC3352"/>
    <w:rsid w:val="00DC44D1"/>
    <w:rsid w:val="00DC5445"/>
    <w:rsid w:val="00DC58E8"/>
    <w:rsid w:val="00DD1544"/>
    <w:rsid w:val="00DD26B7"/>
    <w:rsid w:val="00DD3ED2"/>
    <w:rsid w:val="00DD5420"/>
    <w:rsid w:val="00DD7B69"/>
    <w:rsid w:val="00DE2D8C"/>
    <w:rsid w:val="00DE3047"/>
    <w:rsid w:val="00DE6923"/>
    <w:rsid w:val="00DF11E7"/>
    <w:rsid w:val="00DF4BE1"/>
    <w:rsid w:val="00DF5C3A"/>
    <w:rsid w:val="00DF7B79"/>
    <w:rsid w:val="00DF7BFF"/>
    <w:rsid w:val="00E035AA"/>
    <w:rsid w:val="00E105AB"/>
    <w:rsid w:val="00E10F6B"/>
    <w:rsid w:val="00E11697"/>
    <w:rsid w:val="00E12220"/>
    <w:rsid w:val="00E1290C"/>
    <w:rsid w:val="00E1557E"/>
    <w:rsid w:val="00E15A55"/>
    <w:rsid w:val="00E15F3F"/>
    <w:rsid w:val="00E161D3"/>
    <w:rsid w:val="00E2364D"/>
    <w:rsid w:val="00E25A25"/>
    <w:rsid w:val="00E25A75"/>
    <w:rsid w:val="00E26225"/>
    <w:rsid w:val="00E26BB8"/>
    <w:rsid w:val="00E308B7"/>
    <w:rsid w:val="00E31BBC"/>
    <w:rsid w:val="00E32318"/>
    <w:rsid w:val="00E3326E"/>
    <w:rsid w:val="00E34C48"/>
    <w:rsid w:val="00E409ED"/>
    <w:rsid w:val="00E40F8C"/>
    <w:rsid w:val="00E43395"/>
    <w:rsid w:val="00E4595A"/>
    <w:rsid w:val="00E460C8"/>
    <w:rsid w:val="00E4681C"/>
    <w:rsid w:val="00E46F15"/>
    <w:rsid w:val="00E47523"/>
    <w:rsid w:val="00E507D2"/>
    <w:rsid w:val="00E52373"/>
    <w:rsid w:val="00E53F8F"/>
    <w:rsid w:val="00E54C81"/>
    <w:rsid w:val="00E5607A"/>
    <w:rsid w:val="00E64585"/>
    <w:rsid w:val="00E65D1F"/>
    <w:rsid w:val="00E66608"/>
    <w:rsid w:val="00E676A1"/>
    <w:rsid w:val="00E7740E"/>
    <w:rsid w:val="00E8462B"/>
    <w:rsid w:val="00E85F16"/>
    <w:rsid w:val="00E929DF"/>
    <w:rsid w:val="00E93489"/>
    <w:rsid w:val="00E93CAA"/>
    <w:rsid w:val="00E93DE0"/>
    <w:rsid w:val="00E94E1E"/>
    <w:rsid w:val="00E97540"/>
    <w:rsid w:val="00E97E78"/>
    <w:rsid w:val="00EA2F97"/>
    <w:rsid w:val="00EA3948"/>
    <w:rsid w:val="00EA5F78"/>
    <w:rsid w:val="00EB1798"/>
    <w:rsid w:val="00EB2776"/>
    <w:rsid w:val="00EB3404"/>
    <w:rsid w:val="00EB3D2A"/>
    <w:rsid w:val="00EB42C5"/>
    <w:rsid w:val="00EB4B18"/>
    <w:rsid w:val="00EB590B"/>
    <w:rsid w:val="00EB5CD0"/>
    <w:rsid w:val="00EC1788"/>
    <w:rsid w:val="00EC1A2A"/>
    <w:rsid w:val="00EC638B"/>
    <w:rsid w:val="00EC7937"/>
    <w:rsid w:val="00ED4285"/>
    <w:rsid w:val="00ED669D"/>
    <w:rsid w:val="00ED6FFF"/>
    <w:rsid w:val="00EE36EF"/>
    <w:rsid w:val="00EE55E8"/>
    <w:rsid w:val="00EF1134"/>
    <w:rsid w:val="00EF2B32"/>
    <w:rsid w:val="00EF6825"/>
    <w:rsid w:val="00EF72B8"/>
    <w:rsid w:val="00F03E10"/>
    <w:rsid w:val="00F06311"/>
    <w:rsid w:val="00F065C5"/>
    <w:rsid w:val="00F06B27"/>
    <w:rsid w:val="00F10BA4"/>
    <w:rsid w:val="00F11D1B"/>
    <w:rsid w:val="00F12F37"/>
    <w:rsid w:val="00F1489A"/>
    <w:rsid w:val="00F17C07"/>
    <w:rsid w:val="00F17F83"/>
    <w:rsid w:val="00F20AB2"/>
    <w:rsid w:val="00F20FE7"/>
    <w:rsid w:val="00F23769"/>
    <w:rsid w:val="00F239A6"/>
    <w:rsid w:val="00F26040"/>
    <w:rsid w:val="00F2789D"/>
    <w:rsid w:val="00F3253F"/>
    <w:rsid w:val="00F328CD"/>
    <w:rsid w:val="00F342CF"/>
    <w:rsid w:val="00F40770"/>
    <w:rsid w:val="00F42A8E"/>
    <w:rsid w:val="00F437E4"/>
    <w:rsid w:val="00F46091"/>
    <w:rsid w:val="00F462EE"/>
    <w:rsid w:val="00F466A8"/>
    <w:rsid w:val="00F47BBE"/>
    <w:rsid w:val="00F510D0"/>
    <w:rsid w:val="00F53B2A"/>
    <w:rsid w:val="00F53CB0"/>
    <w:rsid w:val="00F57042"/>
    <w:rsid w:val="00F606F0"/>
    <w:rsid w:val="00F60EE0"/>
    <w:rsid w:val="00F678FB"/>
    <w:rsid w:val="00F715E5"/>
    <w:rsid w:val="00F71866"/>
    <w:rsid w:val="00F8305E"/>
    <w:rsid w:val="00F8417A"/>
    <w:rsid w:val="00F9142F"/>
    <w:rsid w:val="00F92392"/>
    <w:rsid w:val="00F94ABF"/>
    <w:rsid w:val="00F95933"/>
    <w:rsid w:val="00F95E18"/>
    <w:rsid w:val="00F96021"/>
    <w:rsid w:val="00F96382"/>
    <w:rsid w:val="00F96FE2"/>
    <w:rsid w:val="00FA4A57"/>
    <w:rsid w:val="00FA55E6"/>
    <w:rsid w:val="00FA6E29"/>
    <w:rsid w:val="00FB23C0"/>
    <w:rsid w:val="00FB37A5"/>
    <w:rsid w:val="00FB3A61"/>
    <w:rsid w:val="00FB4E21"/>
    <w:rsid w:val="00FB66E5"/>
    <w:rsid w:val="00FB6B0B"/>
    <w:rsid w:val="00FB7EAE"/>
    <w:rsid w:val="00FC4980"/>
    <w:rsid w:val="00FC723E"/>
    <w:rsid w:val="00FE0894"/>
    <w:rsid w:val="00FE2495"/>
    <w:rsid w:val="00FE67D9"/>
    <w:rsid w:val="00FF09B7"/>
    <w:rsid w:val="00FF2EE7"/>
    <w:rsid w:val="00FF307B"/>
    <w:rsid w:val="00FF4B83"/>
    <w:rsid w:val="01227AF5"/>
    <w:rsid w:val="012D57E2"/>
    <w:rsid w:val="013E648E"/>
    <w:rsid w:val="019273B6"/>
    <w:rsid w:val="01A07BBA"/>
    <w:rsid w:val="01DA7789"/>
    <w:rsid w:val="02D84414"/>
    <w:rsid w:val="030543A7"/>
    <w:rsid w:val="03393D20"/>
    <w:rsid w:val="0359140E"/>
    <w:rsid w:val="03965F6F"/>
    <w:rsid w:val="039D18E6"/>
    <w:rsid w:val="05060833"/>
    <w:rsid w:val="051536FE"/>
    <w:rsid w:val="05176DE6"/>
    <w:rsid w:val="051C0CE2"/>
    <w:rsid w:val="05EF03F3"/>
    <w:rsid w:val="05F064E3"/>
    <w:rsid w:val="068D34CF"/>
    <w:rsid w:val="06C867AC"/>
    <w:rsid w:val="073E518E"/>
    <w:rsid w:val="07520A7F"/>
    <w:rsid w:val="0764271A"/>
    <w:rsid w:val="07701CB5"/>
    <w:rsid w:val="079A3409"/>
    <w:rsid w:val="07C4574A"/>
    <w:rsid w:val="083E7B03"/>
    <w:rsid w:val="084602A2"/>
    <w:rsid w:val="08501C88"/>
    <w:rsid w:val="08AA03A3"/>
    <w:rsid w:val="08DE0647"/>
    <w:rsid w:val="08E0389B"/>
    <w:rsid w:val="08EA34D4"/>
    <w:rsid w:val="090960A0"/>
    <w:rsid w:val="09223B32"/>
    <w:rsid w:val="094758C6"/>
    <w:rsid w:val="096C0084"/>
    <w:rsid w:val="0976369F"/>
    <w:rsid w:val="09EB63D4"/>
    <w:rsid w:val="0A0003AB"/>
    <w:rsid w:val="0A915D2D"/>
    <w:rsid w:val="0AA572D2"/>
    <w:rsid w:val="0ABE63AC"/>
    <w:rsid w:val="0AE71698"/>
    <w:rsid w:val="0B297EB5"/>
    <w:rsid w:val="0B332F59"/>
    <w:rsid w:val="0B5E62B6"/>
    <w:rsid w:val="0B8F3E51"/>
    <w:rsid w:val="0BA75CF2"/>
    <w:rsid w:val="0BBA6759"/>
    <w:rsid w:val="0BFC0B72"/>
    <w:rsid w:val="0CB37910"/>
    <w:rsid w:val="0CCC2EED"/>
    <w:rsid w:val="0CDF4A36"/>
    <w:rsid w:val="0D134683"/>
    <w:rsid w:val="0D6F3FAC"/>
    <w:rsid w:val="0D717891"/>
    <w:rsid w:val="0D925E5E"/>
    <w:rsid w:val="0D9A4851"/>
    <w:rsid w:val="0DB759A5"/>
    <w:rsid w:val="0E0D73F0"/>
    <w:rsid w:val="0E4D7882"/>
    <w:rsid w:val="0E5105C9"/>
    <w:rsid w:val="0E5152D0"/>
    <w:rsid w:val="0E8A76E7"/>
    <w:rsid w:val="0EA1730C"/>
    <w:rsid w:val="0EEA0A05"/>
    <w:rsid w:val="0F2B2E6E"/>
    <w:rsid w:val="0F3934F8"/>
    <w:rsid w:val="0F85709C"/>
    <w:rsid w:val="0FE4268B"/>
    <w:rsid w:val="0FF33436"/>
    <w:rsid w:val="0FFA31F7"/>
    <w:rsid w:val="104E02CD"/>
    <w:rsid w:val="10632919"/>
    <w:rsid w:val="111B419D"/>
    <w:rsid w:val="112230C5"/>
    <w:rsid w:val="1124702B"/>
    <w:rsid w:val="117A68A7"/>
    <w:rsid w:val="119B31DD"/>
    <w:rsid w:val="11C540EA"/>
    <w:rsid w:val="120E6E2B"/>
    <w:rsid w:val="12145A3A"/>
    <w:rsid w:val="12360E39"/>
    <w:rsid w:val="12CD5E69"/>
    <w:rsid w:val="12F41825"/>
    <w:rsid w:val="13481EAF"/>
    <w:rsid w:val="13542B43"/>
    <w:rsid w:val="137358B9"/>
    <w:rsid w:val="13C03ED5"/>
    <w:rsid w:val="13CC1D73"/>
    <w:rsid w:val="14551234"/>
    <w:rsid w:val="149A53D9"/>
    <w:rsid w:val="14FB555F"/>
    <w:rsid w:val="14FB7062"/>
    <w:rsid w:val="14FC3F92"/>
    <w:rsid w:val="150478A2"/>
    <w:rsid w:val="157F67FF"/>
    <w:rsid w:val="15B84CA8"/>
    <w:rsid w:val="15C31CD5"/>
    <w:rsid w:val="15D85F15"/>
    <w:rsid w:val="160F7CA3"/>
    <w:rsid w:val="167B26BB"/>
    <w:rsid w:val="167B3370"/>
    <w:rsid w:val="168C39D5"/>
    <w:rsid w:val="16CD78F7"/>
    <w:rsid w:val="16CE42AA"/>
    <w:rsid w:val="171D4858"/>
    <w:rsid w:val="174E114A"/>
    <w:rsid w:val="1772096B"/>
    <w:rsid w:val="182A1DB2"/>
    <w:rsid w:val="18E018E0"/>
    <w:rsid w:val="18EA5BC0"/>
    <w:rsid w:val="1911333B"/>
    <w:rsid w:val="19133633"/>
    <w:rsid w:val="19452E9F"/>
    <w:rsid w:val="195924A3"/>
    <w:rsid w:val="195A6D12"/>
    <w:rsid w:val="19B03ED7"/>
    <w:rsid w:val="1A0F47AB"/>
    <w:rsid w:val="1A2D39D7"/>
    <w:rsid w:val="1AD302C2"/>
    <w:rsid w:val="1AD62C95"/>
    <w:rsid w:val="1AE26EF8"/>
    <w:rsid w:val="1AED4AA9"/>
    <w:rsid w:val="1AF60A17"/>
    <w:rsid w:val="1B2E2467"/>
    <w:rsid w:val="1B3968A3"/>
    <w:rsid w:val="1B560F8D"/>
    <w:rsid w:val="1B6D3826"/>
    <w:rsid w:val="1B986C00"/>
    <w:rsid w:val="1BE62AD2"/>
    <w:rsid w:val="1C0E6215"/>
    <w:rsid w:val="1C3B0CB3"/>
    <w:rsid w:val="1C491B88"/>
    <w:rsid w:val="1C715113"/>
    <w:rsid w:val="1C9343E4"/>
    <w:rsid w:val="1CBC4662"/>
    <w:rsid w:val="1D0C6137"/>
    <w:rsid w:val="1D9B2E45"/>
    <w:rsid w:val="1DAD243E"/>
    <w:rsid w:val="1DC874C6"/>
    <w:rsid w:val="1DCB5584"/>
    <w:rsid w:val="1E0E0968"/>
    <w:rsid w:val="1E250257"/>
    <w:rsid w:val="1E393EA3"/>
    <w:rsid w:val="1E707F7D"/>
    <w:rsid w:val="1F161646"/>
    <w:rsid w:val="1F610E5A"/>
    <w:rsid w:val="1F973235"/>
    <w:rsid w:val="20924E0D"/>
    <w:rsid w:val="2099170C"/>
    <w:rsid w:val="20FD2F21"/>
    <w:rsid w:val="21470912"/>
    <w:rsid w:val="214B11D0"/>
    <w:rsid w:val="21552A47"/>
    <w:rsid w:val="2162523A"/>
    <w:rsid w:val="21A842C7"/>
    <w:rsid w:val="21EF251F"/>
    <w:rsid w:val="2217457B"/>
    <w:rsid w:val="223C7F9D"/>
    <w:rsid w:val="22BE600E"/>
    <w:rsid w:val="230474F0"/>
    <w:rsid w:val="23536501"/>
    <w:rsid w:val="23D90D3E"/>
    <w:rsid w:val="23DF55EE"/>
    <w:rsid w:val="23E85F1D"/>
    <w:rsid w:val="240C252B"/>
    <w:rsid w:val="248B4057"/>
    <w:rsid w:val="2491699B"/>
    <w:rsid w:val="249C6C10"/>
    <w:rsid w:val="24C641C1"/>
    <w:rsid w:val="24E53415"/>
    <w:rsid w:val="254A443E"/>
    <w:rsid w:val="255B68D6"/>
    <w:rsid w:val="25D074A1"/>
    <w:rsid w:val="260C39AE"/>
    <w:rsid w:val="261A5A10"/>
    <w:rsid w:val="26715643"/>
    <w:rsid w:val="26814131"/>
    <w:rsid w:val="26BB1EFF"/>
    <w:rsid w:val="273264DD"/>
    <w:rsid w:val="277133AB"/>
    <w:rsid w:val="2771446F"/>
    <w:rsid w:val="27882941"/>
    <w:rsid w:val="27C154DE"/>
    <w:rsid w:val="27DD49FB"/>
    <w:rsid w:val="280B2A12"/>
    <w:rsid w:val="286A598B"/>
    <w:rsid w:val="286D29E1"/>
    <w:rsid w:val="28E107A2"/>
    <w:rsid w:val="28FF54A0"/>
    <w:rsid w:val="29424F5D"/>
    <w:rsid w:val="29436B92"/>
    <w:rsid w:val="295D0A84"/>
    <w:rsid w:val="295D5C75"/>
    <w:rsid w:val="29825C36"/>
    <w:rsid w:val="298E1CA7"/>
    <w:rsid w:val="2A0D6C0A"/>
    <w:rsid w:val="2A190627"/>
    <w:rsid w:val="2A4C44DC"/>
    <w:rsid w:val="2A7B2AC1"/>
    <w:rsid w:val="2AAC548F"/>
    <w:rsid w:val="2AF0321F"/>
    <w:rsid w:val="2B544682"/>
    <w:rsid w:val="2BD200F8"/>
    <w:rsid w:val="2BFC7810"/>
    <w:rsid w:val="2C5A7B6E"/>
    <w:rsid w:val="2D32613C"/>
    <w:rsid w:val="2D4F33A1"/>
    <w:rsid w:val="2DAB037A"/>
    <w:rsid w:val="2DAE12FF"/>
    <w:rsid w:val="2DB0566B"/>
    <w:rsid w:val="2DD83397"/>
    <w:rsid w:val="2E233A99"/>
    <w:rsid w:val="2F5926C2"/>
    <w:rsid w:val="2F8A6913"/>
    <w:rsid w:val="2F9423AE"/>
    <w:rsid w:val="2FCF72C5"/>
    <w:rsid w:val="2FEA140B"/>
    <w:rsid w:val="304C7B53"/>
    <w:rsid w:val="305502D9"/>
    <w:rsid w:val="308E16EB"/>
    <w:rsid w:val="30B060A1"/>
    <w:rsid w:val="30CE471F"/>
    <w:rsid w:val="30EE77F1"/>
    <w:rsid w:val="315464B1"/>
    <w:rsid w:val="31560EAE"/>
    <w:rsid w:val="319461C2"/>
    <w:rsid w:val="31A22367"/>
    <w:rsid w:val="31A50EFF"/>
    <w:rsid w:val="31B86123"/>
    <w:rsid w:val="31CB6C28"/>
    <w:rsid w:val="320220AC"/>
    <w:rsid w:val="323548B8"/>
    <w:rsid w:val="323C78AD"/>
    <w:rsid w:val="327D5882"/>
    <w:rsid w:val="32A90D93"/>
    <w:rsid w:val="333F30EA"/>
    <w:rsid w:val="33631954"/>
    <w:rsid w:val="33E425A5"/>
    <w:rsid w:val="34410FEA"/>
    <w:rsid w:val="34616693"/>
    <w:rsid w:val="34763909"/>
    <w:rsid w:val="347F1AEB"/>
    <w:rsid w:val="34A475C6"/>
    <w:rsid w:val="34B7500A"/>
    <w:rsid w:val="352A2D27"/>
    <w:rsid w:val="3549591D"/>
    <w:rsid w:val="35AF0E81"/>
    <w:rsid w:val="35CE7777"/>
    <w:rsid w:val="36044F09"/>
    <w:rsid w:val="365651A1"/>
    <w:rsid w:val="36847C8D"/>
    <w:rsid w:val="36E13395"/>
    <w:rsid w:val="36FA7505"/>
    <w:rsid w:val="3725312B"/>
    <w:rsid w:val="37253E8A"/>
    <w:rsid w:val="373E372F"/>
    <w:rsid w:val="3746562F"/>
    <w:rsid w:val="37922724"/>
    <w:rsid w:val="379F6CD3"/>
    <w:rsid w:val="37A159D2"/>
    <w:rsid w:val="37AC0875"/>
    <w:rsid w:val="37BA75AB"/>
    <w:rsid w:val="37C83693"/>
    <w:rsid w:val="37FD2665"/>
    <w:rsid w:val="38111509"/>
    <w:rsid w:val="383D21E1"/>
    <w:rsid w:val="384D7CCF"/>
    <w:rsid w:val="38697DAE"/>
    <w:rsid w:val="388326A7"/>
    <w:rsid w:val="388A3751"/>
    <w:rsid w:val="388D02D1"/>
    <w:rsid w:val="38BC19A2"/>
    <w:rsid w:val="38C2712E"/>
    <w:rsid w:val="38D2533D"/>
    <w:rsid w:val="38E077F8"/>
    <w:rsid w:val="38E534EE"/>
    <w:rsid w:val="394C12F6"/>
    <w:rsid w:val="399D5494"/>
    <w:rsid w:val="39AE3DE2"/>
    <w:rsid w:val="39C077D6"/>
    <w:rsid w:val="39C513E3"/>
    <w:rsid w:val="3A1A2F95"/>
    <w:rsid w:val="3A3E6C77"/>
    <w:rsid w:val="3B0708C8"/>
    <w:rsid w:val="3B4F1FF4"/>
    <w:rsid w:val="3B714E2B"/>
    <w:rsid w:val="3BC0190D"/>
    <w:rsid w:val="3BCB7E0F"/>
    <w:rsid w:val="3BD2005B"/>
    <w:rsid w:val="3C13152F"/>
    <w:rsid w:val="3C3E2F5F"/>
    <w:rsid w:val="3C464D4A"/>
    <w:rsid w:val="3C4E7FAF"/>
    <w:rsid w:val="3C830972"/>
    <w:rsid w:val="3CA00003"/>
    <w:rsid w:val="3CA51DE8"/>
    <w:rsid w:val="3CBE1236"/>
    <w:rsid w:val="3CDC01E8"/>
    <w:rsid w:val="3D037D04"/>
    <w:rsid w:val="3D583BAC"/>
    <w:rsid w:val="3D894892"/>
    <w:rsid w:val="3DAE000B"/>
    <w:rsid w:val="3DEA6CAD"/>
    <w:rsid w:val="3E025A4C"/>
    <w:rsid w:val="3E29379B"/>
    <w:rsid w:val="3E3C762D"/>
    <w:rsid w:val="3E7336B7"/>
    <w:rsid w:val="3EC80C8D"/>
    <w:rsid w:val="3EE2143A"/>
    <w:rsid w:val="3EE62FDE"/>
    <w:rsid w:val="3F520BF1"/>
    <w:rsid w:val="3FFC5807"/>
    <w:rsid w:val="4000420D"/>
    <w:rsid w:val="400B3092"/>
    <w:rsid w:val="400E0FF1"/>
    <w:rsid w:val="40183AC7"/>
    <w:rsid w:val="406A16BE"/>
    <w:rsid w:val="40CB196D"/>
    <w:rsid w:val="40E12601"/>
    <w:rsid w:val="40EC52C5"/>
    <w:rsid w:val="41477705"/>
    <w:rsid w:val="41A0352A"/>
    <w:rsid w:val="41AA4248"/>
    <w:rsid w:val="41E975B0"/>
    <w:rsid w:val="4218487C"/>
    <w:rsid w:val="423179A5"/>
    <w:rsid w:val="42537038"/>
    <w:rsid w:val="426A0E03"/>
    <w:rsid w:val="426E780A"/>
    <w:rsid w:val="43AB37AA"/>
    <w:rsid w:val="43B20495"/>
    <w:rsid w:val="448A5148"/>
    <w:rsid w:val="44F04025"/>
    <w:rsid w:val="452B6409"/>
    <w:rsid w:val="45332246"/>
    <w:rsid w:val="468A220B"/>
    <w:rsid w:val="46C42CA7"/>
    <w:rsid w:val="46C779F3"/>
    <w:rsid w:val="479D2A95"/>
    <w:rsid w:val="47D31F53"/>
    <w:rsid w:val="47ED5751"/>
    <w:rsid w:val="485B1AC3"/>
    <w:rsid w:val="48623E97"/>
    <w:rsid w:val="48C76BF4"/>
    <w:rsid w:val="48C9597A"/>
    <w:rsid w:val="48DD35B1"/>
    <w:rsid w:val="491C574D"/>
    <w:rsid w:val="493417A6"/>
    <w:rsid w:val="49364CAA"/>
    <w:rsid w:val="49912EE1"/>
    <w:rsid w:val="49B9122A"/>
    <w:rsid w:val="49E15AE0"/>
    <w:rsid w:val="49E91B06"/>
    <w:rsid w:val="4A2F2CC3"/>
    <w:rsid w:val="4B2C55D8"/>
    <w:rsid w:val="4BBF17A0"/>
    <w:rsid w:val="4BF161A7"/>
    <w:rsid w:val="4BF51130"/>
    <w:rsid w:val="4C184477"/>
    <w:rsid w:val="4C6373E0"/>
    <w:rsid w:val="4C6870EB"/>
    <w:rsid w:val="4C6F31F2"/>
    <w:rsid w:val="4C7E2F03"/>
    <w:rsid w:val="4CC35313"/>
    <w:rsid w:val="4CE0002E"/>
    <w:rsid w:val="4D5F2277"/>
    <w:rsid w:val="4D661D48"/>
    <w:rsid w:val="4D682A44"/>
    <w:rsid w:val="4DBD6015"/>
    <w:rsid w:val="4E326C70"/>
    <w:rsid w:val="4E707833"/>
    <w:rsid w:val="4EBA2DB7"/>
    <w:rsid w:val="4ECE6766"/>
    <w:rsid w:val="4EF10EED"/>
    <w:rsid w:val="4F14546E"/>
    <w:rsid w:val="4F22298A"/>
    <w:rsid w:val="4F374AF6"/>
    <w:rsid w:val="4F78249E"/>
    <w:rsid w:val="4F951E7B"/>
    <w:rsid w:val="4FBE5E67"/>
    <w:rsid w:val="4FC50CEB"/>
    <w:rsid w:val="4FC96F09"/>
    <w:rsid w:val="505B24E3"/>
    <w:rsid w:val="505C355C"/>
    <w:rsid w:val="50F129D7"/>
    <w:rsid w:val="51D5726D"/>
    <w:rsid w:val="51DF5EE2"/>
    <w:rsid w:val="521A11BF"/>
    <w:rsid w:val="526B091D"/>
    <w:rsid w:val="527706FC"/>
    <w:rsid w:val="532652B1"/>
    <w:rsid w:val="53CE4770"/>
    <w:rsid w:val="542B31EF"/>
    <w:rsid w:val="547C15AD"/>
    <w:rsid w:val="54AC5365"/>
    <w:rsid w:val="54AF247D"/>
    <w:rsid w:val="54E746D5"/>
    <w:rsid w:val="54FB51A6"/>
    <w:rsid w:val="55886BA1"/>
    <w:rsid w:val="55A86665"/>
    <w:rsid w:val="55E27875"/>
    <w:rsid w:val="55F66C61"/>
    <w:rsid w:val="561A6383"/>
    <w:rsid w:val="565A5D3C"/>
    <w:rsid w:val="566C3E09"/>
    <w:rsid w:val="568C1D69"/>
    <w:rsid w:val="568F1894"/>
    <w:rsid w:val="56B64DD1"/>
    <w:rsid w:val="56F25975"/>
    <w:rsid w:val="570E2D73"/>
    <w:rsid w:val="57771B20"/>
    <w:rsid w:val="57781F8B"/>
    <w:rsid w:val="57AF6667"/>
    <w:rsid w:val="57C20A7D"/>
    <w:rsid w:val="583F0D0C"/>
    <w:rsid w:val="58550217"/>
    <w:rsid w:val="58626D3F"/>
    <w:rsid w:val="588A274D"/>
    <w:rsid w:val="58A00321"/>
    <w:rsid w:val="58C22C80"/>
    <w:rsid w:val="59216E2A"/>
    <w:rsid w:val="59493C12"/>
    <w:rsid w:val="59573A43"/>
    <w:rsid w:val="597132A4"/>
    <w:rsid w:val="598E24D0"/>
    <w:rsid w:val="59E8398F"/>
    <w:rsid w:val="59FA7322"/>
    <w:rsid w:val="5A0B52CC"/>
    <w:rsid w:val="5A3E1685"/>
    <w:rsid w:val="5A650D5A"/>
    <w:rsid w:val="5A6C6166"/>
    <w:rsid w:val="5A716062"/>
    <w:rsid w:val="5A8470EA"/>
    <w:rsid w:val="5A8A37E2"/>
    <w:rsid w:val="5A9A1599"/>
    <w:rsid w:val="5AA70DCF"/>
    <w:rsid w:val="5AAC27D3"/>
    <w:rsid w:val="5ACD39D4"/>
    <w:rsid w:val="5AD44891"/>
    <w:rsid w:val="5B7C6858"/>
    <w:rsid w:val="5B9B11CA"/>
    <w:rsid w:val="5C250EB2"/>
    <w:rsid w:val="5C454112"/>
    <w:rsid w:val="5C86202D"/>
    <w:rsid w:val="5C9D73D6"/>
    <w:rsid w:val="5D371BCD"/>
    <w:rsid w:val="5D385380"/>
    <w:rsid w:val="5D3A2E77"/>
    <w:rsid w:val="5D633707"/>
    <w:rsid w:val="5D861DC7"/>
    <w:rsid w:val="5D9D5DF9"/>
    <w:rsid w:val="5DB76275"/>
    <w:rsid w:val="5DEB2C25"/>
    <w:rsid w:val="5DF5717E"/>
    <w:rsid w:val="5E1F5FB4"/>
    <w:rsid w:val="5E226FB2"/>
    <w:rsid w:val="5EAF5741"/>
    <w:rsid w:val="5F63266F"/>
    <w:rsid w:val="5FE625F7"/>
    <w:rsid w:val="612E65B7"/>
    <w:rsid w:val="61875D7D"/>
    <w:rsid w:val="61E76726"/>
    <w:rsid w:val="62381ECF"/>
    <w:rsid w:val="62436329"/>
    <w:rsid w:val="62454317"/>
    <w:rsid w:val="629A41D2"/>
    <w:rsid w:val="62E60BEB"/>
    <w:rsid w:val="62F44EBC"/>
    <w:rsid w:val="634426F3"/>
    <w:rsid w:val="63D00091"/>
    <w:rsid w:val="63D7745D"/>
    <w:rsid w:val="63D8165B"/>
    <w:rsid w:val="64067A9C"/>
    <w:rsid w:val="640D628A"/>
    <w:rsid w:val="64341D07"/>
    <w:rsid w:val="64375D5E"/>
    <w:rsid w:val="644335AF"/>
    <w:rsid w:val="644B199A"/>
    <w:rsid w:val="645E502C"/>
    <w:rsid w:val="64F45B6C"/>
    <w:rsid w:val="656D4F75"/>
    <w:rsid w:val="656E29F6"/>
    <w:rsid w:val="65B23EF2"/>
    <w:rsid w:val="66C5682B"/>
    <w:rsid w:val="66DF396D"/>
    <w:rsid w:val="67107BA4"/>
    <w:rsid w:val="677862CF"/>
    <w:rsid w:val="67843E57"/>
    <w:rsid w:val="67855EB7"/>
    <w:rsid w:val="67D50CBD"/>
    <w:rsid w:val="68076E37"/>
    <w:rsid w:val="68354C4A"/>
    <w:rsid w:val="683E7FC4"/>
    <w:rsid w:val="68546F36"/>
    <w:rsid w:val="686D205F"/>
    <w:rsid w:val="68B14EF2"/>
    <w:rsid w:val="68F123F5"/>
    <w:rsid w:val="698B76F1"/>
    <w:rsid w:val="69DE1E34"/>
    <w:rsid w:val="69E84DCE"/>
    <w:rsid w:val="6A054BBD"/>
    <w:rsid w:val="6A0F1865"/>
    <w:rsid w:val="6A2F775A"/>
    <w:rsid w:val="6A6C53A8"/>
    <w:rsid w:val="6BB47318"/>
    <w:rsid w:val="6BDB3000"/>
    <w:rsid w:val="6C123BA6"/>
    <w:rsid w:val="6C444C2E"/>
    <w:rsid w:val="6C5703CB"/>
    <w:rsid w:val="6C5F3394"/>
    <w:rsid w:val="6CB32CE3"/>
    <w:rsid w:val="6CB63C68"/>
    <w:rsid w:val="6CB82ACD"/>
    <w:rsid w:val="6D370D3E"/>
    <w:rsid w:val="6D3B74FF"/>
    <w:rsid w:val="6DAB327B"/>
    <w:rsid w:val="6DD07C38"/>
    <w:rsid w:val="6E297E13"/>
    <w:rsid w:val="6E5D7F5D"/>
    <w:rsid w:val="6EC72840"/>
    <w:rsid w:val="6EF23743"/>
    <w:rsid w:val="6F563B40"/>
    <w:rsid w:val="6F933DA5"/>
    <w:rsid w:val="6F9B2726"/>
    <w:rsid w:val="6FCE52AB"/>
    <w:rsid w:val="6FDB3510"/>
    <w:rsid w:val="6FE12E9B"/>
    <w:rsid w:val="703D498E"/>
    <w:rsid w:val="70AB0365"/>
    <w:rsid w:val="70AD3868"/>
    <w:rsid w:val="70AF5330"/>
    <w:rsid w:val="71212781"/>
    <w:rsid w:val="71275730"/>
    <w:rsid w:val="71342736"/>
    <w:rsid w:val="719018DC"/>
    <w:rsid w:val="7192487D"/>
    <w:rsid w:val="71DA6F6A"/>
    <w:rsid w:val="72294059"/>
    <w:rsid w:val="728F7281"/>
    <w:rsid w:val="72907369"/>
    <w:rsid w:val="731F13EC"/>
    <w:rsid w:val="7329179A"/>
    <w:rsid w:val="733C129F"/>
    <w:rsid w:val="73621ACA"/>
    <w:rsid w:val="73B9228F"/>
    <w:rsid w:val="73BB46A3"/>
    <w:rsid w:val="74292932"/>
    <w:rsid w:val="749555DD"/>
    <w:rsid w:val="74D516B9"/>
    <w:rsid w:val="74E143AF"/>
    <w:rsid w:val="74F13B1D"/>
    <w:rsid w:val="74F702A6"/>
    <w:rsid w:val="751C1EBD"/>
    <w:rsid w:val="755B2C17"/>
    <w:rsid w:val="75B4178C"/>
    <w:rsid w:val="75CC031E"/>
    <w:rsid w:val="75CE76D3"/>
    <w:rsid w:val="75E82B1D"/>
    <w:rsid w:val="75EB1CDA"/>
    <w:rsid w:val="75ED5466"/>
    <w:rsid w:val="76615D81"/>
    <w:rsid w:val="7746164E"/>
    <w:rsid w:val="7762556B"/>
    <w:rsid w:val="776E137D"/>
    <w:rsid w:val="777B0693"/>
    <w:rsid w:val="77B937B7"/>
    <w:rsid w:val="77C2468B"/>
    <w:rsid w:val="77F80A37"/>
    <w:rsid w:val="784A7716"/>
    <w:rsid w:val="788D5DC7"/>
    <w:rsid w:val="78AC4F06"/>
    <w:rsid w:val="797F7E64"/>
    <w:rsid w:val="79986D30"/>
    <w:rsid w:val="79A42E2C"/>
    <w:rsid w:val="79DA711C"/>
    <w:rsid w:val="79F27E98"/>
    <w:rsid w:val="7A296423"/>
    <w:rsid w:val="7A9D6FB6"/>
    <w:rsid w:val="7AAA0AC5"/>
    <w:rsid w:val="7AB80010"/>
    <w:rsid w:val="7B0F3A72"/>
    <w:rsid w:val="7B2745E3"/>
    <w:rsid w:val="7C210437"/>
    <w:rsid w:val="7C496EA8"/>
    <w:rsid w:val="7C8A1CBB"/>
    <w:rsid w:val="7C952974"/>
    <w:rsid w:val="7C9F3284"/>
    <w:rsid w:val="7CEF1130"/>
    <w:rsid w:val="7CF910E4"/>
    <w:rsid w:val="7DE11312"/>
    <w:rsid w:val="7DF0783D"/>
    <w:rsid w:val="7E37429F"/>
    <w:rsid w:val="7E695D73"/>
    <w:rsid w:val="7E6E1D39"/>
    <w:rsid w:val="7E722019"/>
    <w:rsid w:val="7E8C3322"/>
    <w:rsid w:val="7E920A49"/>
    <w:rsid w:val="7E967B3C"/>
    <w:rsid w:val="7EED4EB4"/>
    <w:rsid w:val="7F2B57E1"/>
    <w:rsid w:val="7F5F2E08"/>
    <w:rsid w:val="7F684736"/>
    <w:rsid w:val="7F8C4300"/>
    <w:rsid w:val="7FCD563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iPriority="0" w:semiHidden="0" w:name="heading 1"/>
    <w:lsdException w:qFormat="1" w:uiPriority="0" w:semiHidden="0" w:name="heading 2"/>
    <w:lsdException w:qFormat="1" w:uiPriority="9" w:semiHidden="0" w:name="heading 3"/>
    <w:lsdException w:qFormat="1" w:uiPriority="0" w:semiHidden="0" w:name="heading 4"/>
    <w:lsdException w:qFormat="1" w:uiPriority="0" w:semiHidden="0" w:name="heading 5"/>
    <w:lsdException w:qFormat="1"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qFormat="1" w:unhideWhenUsed="0" w:uiPriority="0" w:semiHidden="0" w:name="index 2"/>
    <w:lsdException w:qFormat="1" w:unhideWhenUsed="0" w:uiPriority="0" w:semiHidden="0" w:name="index 3"/>
    <w:lsdException w:qFormat="1" w:unhideWhenUsed="0" w:uiPriority="0" w:semiHidden="0" w:name="index 4"/>
    <w:lsdException w:qFormat="1" w:unhideWhenUsed="0" w:uiPriority="0" w:semiHidden="0" w:name="index 5"/>
    <w:lsdException w:qFormat="1" w:unhideWhenUsed="0" w:uiPriority="0" w:semiHidden="0" w:name="index 6"/>
    <w:lsdException w:qFormat="1" w:unhideWhenUsed="0" w:uiPriority="0" w:semiHidden="0" w:name="index 7"/>
    <w:lsdException w:qFormat="1" w:unhideWhenUsed="0" w:uiPriority="0" w:semiHidden="0" w:name="index 8"/>
    <w:lsdException w:qFormat="1"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qFormat="1" w:unhideWhenUsed="0" w:uiPriority="0" w:semiHidden="0" w:name="index heading"/>
    <w:lsdException w:qFormat="1" w:unhideWhenUsed="0" w:uiPriority="0" w:semiHidden="0" w:name="caption"/>
    <w:lsdException w:qFormat="1" w:unhideWhenUsed="0" w:uiPriority="0" w:semiHidden="0" w:name="table of figures"/>
    <w:lsdException w:qFormat="1"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qFormat="1" w:uiPriority="0" w:semiHidden="0" w:name="line number"/>
    <w:lsdException w:qFormat="1" w:unhideWhenUsed="0" w:uiPriority="0" w:semiHidden="0" w:name="page number"/>
    <w:lsdException w:qFormat="1" w:unhideWhenUsed="0" w:uiPriority="0"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qFormat="1" w:unhideWhenUsed="0" w:uiPriority="0" w:semiHidden="0" w:name="Closing"/>
    <w:lsdException w:qFormat="1" w:unhideWhenUsed="0" w:uiPriority="0" w:semiHidden="0"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qFormat="1" w:unhideWhenUsed="0" w:uiPriority="0" w:semiHidden="0" w:name="List Continue 5"/>
    <w:lsdException w:qFormat="1"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qFormat="1" w:unhideWhenUsed="0" w:uiPriority="0" w:semiHidden="0" w:name="E-mail Signature"/>
    <w:lsdException w:qFormat="1" w:unhideWhenUsed="0" w:uiPriority="99"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semiHidden="0" w:name="Normal Table"/>
    <w:lsdException w:qFormat="1" w:unhideWhenUsed="0" w:uiPriority="0" w:semiHidden="0" w:name="annotation subject"/>
    <w:lsdException w:qFormat="1" w:unhideWhenUsed="0" w:uiPriority="0" w:name="Table Simple 1"/>
    <w:lsdException w:qFormat="1" w:unhideWhenUsed="0" w:uiPriority="0" w:name="Table Simple 2"/>
    <w:lsdException w:qFormat="1" w:unhideWhenUsed="0" w:uiPriority="0" w:name="Table Simple 3"/>
    <w:lsdException w:qFormat="1" w:unhideWhenUsed="0" w:uiPriority="0" w:name="Table Classic 1"/>
    <w:lsdException w:qFormat="1" w:unhideWhenUsed="0" w:uiPriority="0" w:name="Table Classic 2"/>
    <w:lsdException w:qFormat="1" w:unhideWhenUsed="0" w:uiPriority="0" w:name="Table Classic 3"/>
    <w:lsdException w:qFormat="1" w:unhideWhenUsed="0" w:uiPriority="0" w:name="Table Classic 4"/>
    <w:lsdException w:qFormat="1" w:unhideWhenUsed="0" w:uiPriority="0" w:name="Table Colorful 1"/>
    <w:lsdException w:qFormat="1" w:unhideWhenUsed="0" w:uiPriority="0" w:name="Table Colorful 2"/>
    <w:lsdException w:qFormat="1" w:unhideWhenUsed="0" w:uiPriority="0" w:name="Table Colorful 3"/>
    <w:lsdException w:qFormat="1" w:unhideWhenUsed="0" w:uiPriority="0" w:name="Table Columns 1"/>
    <w:lsdException w:qFormat="1" w:unhideWhenUsed="0" w:uiPriority="0" w:name="Table Columns 2"/>
    <w:lsdException w:qFormat="1" w:unhideWhenUsed="0" w:uiPriority="0" w:name="Table Columns 3"/>
    <w:lsdException w:qFormat="1" w:unhideWhenUsed="0" w:uiPriority="0" w:name="Table Columns 4"/>
    <w:lsdException w:qFormat="1" w:unhideWhenUsed="0" w:uiPriority="0" w:name="Table Columns 5"/>
    <w:lsdException w:qFormat="1" w:unhideWhenUsed="0" w:uiPriority="0" w:name="Table Grid 1"/>
    <w:lsdException w:qFormat="1" w:unhideWhenUsed="0" w:uiPriority="0" w:name="Table Grid 2"/>
    <w:lsdException w:qFormat="1" w:unhideWhenUsed="0" w:uiPriority="0" w:name="Table Grid 3"/>
    <w:lsdException w:qFormat="1" w:unhideWhenUsed="0" w:uiPriority="0" w:name="Table Grid 4"/>
    <w:lsdException w:qFormat="1" w:unhideWhenUsed="0" w:uiPriority="0" w:name="Table Grid 5"/>
    <w:lsdException w:qFormat="1" w:unhideWhenUsed="0" w:uiPriority="0" w:name="Table Grid 6"/>
    <w:lsdException w:qFormat="1" w:unhideWhenUsed="0" w:uiPriority="0" w:name="Table Grid 7"/>
    <w:lsdException w:qFormat="1" w:unhideWhenUsed="0" w:uiPriority="0" w:name="Table Grid 8"/>
    <w:lsdException w:qFormat="1" w:unhideWhenUsed="0" w:uiPriority="0" w:name="Table List 1"/>
    <w:lsdException w:qFormat="1" w:unhideWhenUsed="0" w:uiPriority="0" w:name="Table List 2"/>
    <w:lsdException w:qFormat="1" w:unhideWhenUsed="0" w:uiPriority="0" w:name="Table List 3"/>
    <w:lsdException w:qFormat="1" w:unhideWhenUsed="0" w:uiPriority="0" w:name="Table List 4"/>
    <w:lsdException w:qFormat="1" w:unhideWhenUsed="0" w:uiPriority="0" w:name="Table List 5"/>
    <w:lsdException w:qFormat="1" w:unhideWhenUsed="0" w:uiPriority="0" w:name="Table List 6"/>
    <w:lsdException w:qFormat="1" w:unhideWhenUsed="0" w:uiPriority="0" w:name="Table List 7"/>
    <w:lsdException w:qFormat="1" w:unhideWhenUsed="0" w:uiPriority="0" w:name="Table List 8"/>
    <w:lsdException w:qFormat="1" w:unhideWhenUsed="0" w:uiPriority="0" w:name="Table 3D effects 1"/>
    <w:lsdException w:qFormat="1" w:unhideWhenUsed="0" w:uiPriority="0" w:name="Table 3D effects 2"/>
    <w:lsdException w:qFormat="1" w:unhideWhenUsed="0" w:uiPriority="0" w:name="Table 3D effects 3"/>
    <w:lsdException w:qFormat="1" w:unhideWhenUsed="0" w:uiPriority="0" w:name="Table Contemporary"/>
    <w:lsdException w:qFormat="1" w:unhideWhenUsed="0" w:uiPriority="0" w:name="Table Elegant"/>
    <w:lsdException w:qFormat="1" w:unhideWhenUsed="0" w:uiPriority="0" w:name="Table Professional"/>
    <w:lsdException w:qFormat="1" w:unhideWhenUsed="0" w:uiPriority="0" w:name="Table Subtle 1"/>
    <w:lsdException w:qFormat="1" w:unhideWhenUsed="0" w:uiPriority="0" w:name="Table Subtle 2"/>
    <w:lsdException w:qFormat="1" w:unhideWhenUsed="0" w:uiPriority="0" w:name="Table Web 1"/>
    <w:lsdException w:qFormat="1" w:unhideWhenUsed="0" w:uiPriority="0" w:name="Table Web 2"/>
    <w:lsdException w:qFormat="1" w:unhideWhenUsed="0" w:uiPriority="0" w:name="Table Web 3"/>
    <w:lsdException w:qFormat="1" w:uiPriority="0" w:semiHidden="0" w:name="Balloon Text"/>
    <w:lsdException w:qFormat="1" w:unhideWhenUsed="0" w:uiPriority="0" w:semiHidden="0" w:name="Table Grid"/>
    <w:lsdException w:qFormat="1" w:unhideWhenUsed="0"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spacing w:after="160" w:line="259" w:lineRule="auto"/>
    </w:pPr>
    <w:rPr>
      <w:rFonts w:ascii="Calibri" w:hAnsi="Calibri" w:eastAsia="宋体" w:cs="Calibri"/>
      <w:color w:val="000000"/>
      <w:kern w:val="2"/>
      <w:sz w:val="21"/>
      <w:szCs w:val="22"/>
      <w:lang w:val="en-US" w:eastAsia="zh-CN" w:bidi="ar-SA"/>
    </w:rPr>
  </w:style>
  <w:style w:type="paragraph" w:styleId="2">
    <w:name w:val="heading 1"/>
    <w:basedOn w:val="1"/>
    <w:next w:val="3"/>
    <w:link w:val="148"/>
    <w:unhideWhenUsed/>
    <w:qFormat/>
    <w:uiPriority w:val="0"/>
    <w:pPr>
      <w:keepNext/>
      <w:keepLines/>
      <w:spacing w:after="550" w:line="265" w:lineRule="auto"/>
      <w:ind w:left="10" w:right="56" w:hanging="10"/>
      <w:jc w:val="center"/>
      <w:outlineLvl w:val="0"/>
    </w:pPr>
    <w:rPr>
      <w:rFonts w:ascii="黑体" w:hAnsi="黑体" w:eastAsia="黑体" w:cs="黑体"/>
      <w:sz w:val="32"/>
    </w:rPr>
  </w:style>
  <w:style w:type="paragraph" w:styleId="3">
    <w:name w:val="heading 2"/>
    <w:basedOn w:val="1"/>
    <w:next w:val="1"/>
    <w:link w:val="149"/>
    <w:unhideWhenUsed/>
    <w:qFormat/>
    <w:uiPriority w:val="0"/>
    <w:pPr>
      <w:keepNext/>
      <w:keepLines/>
      <w:spacing w:after="503" w:line="265" w:lineRule="auto"/>
      <w:ind w:left="10" w:right="56" w:hanging="10"/>
      <w:outlineLvl w:val="1"/>
    </w:pPr>
    <w:rPr>
      <w:rFonts w:ascii="黑体" w:hAnsi="黑体" w:cs="黑体"/>
      <w:sz w:val="32"/>
    </w:rPr>
  </w:style>
  <w:style w:type="paragraph" w:styleId="4">
    <w:name w:val="heading 3"/>
    <w:basedOn w:val="1"/>
    <w:next w:val="1"/>
    <w:link w:val="150"/>
    <w:unhideWhenUsed/>
    <w:qFormat/>
    <w:uiPriority w:val="9"/>
    <w:pPr>
      <w:keepNext/>
      <w:keepLines/>
      <w:spacing w:after="281" w:line="265" w:lineRule="auto"/>
      <w:ind w:left="10" w:right="53" w:hanging="10"/>
      <w:outlineLvl w:val="2"/>
    </w:pPr>
    <w:rPr>
      <w:rFonts w:ascii="黑体" w:hAnsi="黑体" w:cs="黑体"/>
      <w:sz w:val="28"/>
    </w:rPr>
  </w:style>
  <w:style w:type="paragraph" w:styleId="5">
    <w:name w:val="heading 4"/>
    <w:next w:val="1"/>
    <w:link w:val="151"/>
    <w:unhideWhenUsed/>
    <w:qFormat/>
    <w:uiPriority w:val="0"/>
    <w:pPr>
      <w:keepNext/>
      <w:keepLines/>
      <w:spacing w:after="281" w:line="265" w:lineRule="auto"/>
      <w:ind w:left="10" w:right="53" w:hanging="10"/>
      <w:outlineLvl w:val="3"/>
    </w:pPr>
    <w:rPr>
      <w:rFonts w:ascii="黑体" w:hAnsi="黑体" w:eastAsia="黑体" w:cs="黑体"/>
      <w:color w:val="000000"/>
      <w:kern w:val="2"/>
      <w:sz w:val="28"/>
      <w:szCs w:val="22"/>
      <w:lang w:val="en-US" w:eastAsia="zh-CN" w:bidi="ar-SA"/>
    </w:rPr>
  </w:style>
  <w:style w:type="paragraph" w:styleId="6">
    <w:name w:val="heading 5"/>
    <w:next w:val="1"/>
    <w:link w:val="152"/>
    <w:unhideWhenUsed/>
    <w:qFormat/>
    <w:uiPriority w:val="0"/>
    <w:pPr>
      <w:keepNext/>
      <w:keepLines/>
      <w:spacing w:after="281" w:line="265" w:lineRule="auto"/>
      <w:ind w:left="10" w:right="53" w:hanging="10"/>
      <w:outlineLvl w:val="4"/>
    </w:pPr>
    <w:rPr>
      <w:rFonts w:ascii="黑体" w:hAnsi="黑体" w:eastAsia="黑体" w:cs="黑体"/>
      <w:color w:val="000000"/>
      <w:kern w:val="2"/>
      <w:sz w:val="28"/>
      <w:szCs w:val="22"/>
      <w:lang w:val="en-US" w:eastAsia="zh-CN" w:bidi="ar-SA"/>
    </w:rPr>
  </w:style>
  <w:style w:type="paragraph" w:styleId="7">
    <w:name w:val="heading 6"/>
    <w:next w:val="1"/>
    <w:link w:val="153"/>
    <w:unhideWhenUsed/>
    <w:qFormat/>
    <w:uiPriority w:val="0"/>
    <w:pPr>
      <w:keepNext/>
      <w:keepLines/>
      <w:spacing w:after="281" w:line="265" w:lineRule="auto"/>
      <w:ind w:left="10" w:right="53" w:hanging="10"/>
      <w:outlineLvl w:val="5"/>
    </w:pPr>
    <w:rPr>
      <w:rFonts w:ascii="黑体" w:hAnsi="黑体" w:eastAsia="黑体" w:cs="黑体"/>
      <w:color w:val="000000"/>
      <w:kern w:val="2"/>
      <w:sz w:val="28"/>
      <w:szCs w:val="22"/>
      <w:lang w:val="en-US" w:eastAsia="zh-CN" w:bidi="ar-SA"/>
    </w:rPr>
  </w:style>
  <w:style w:type="paragraph" w:styleId="8">
    <w:name w:val="heading 7"/>
    <w:basedOn w:val="1"/>
    <w:next w:val="1"/>
    <w:link w:val="154"/>
    <w:qFormat/>
    <w:uiPriority w:val="0"/>
    <w:pPr>
      <w:keepNext/>
      <w:keepLines/>
      <w:widowControl w:val="0"/>
      <w:tabs>
        <w:tab w:val="left" w:pos="1296"/>
      </w:tabs>
      <w:adjustRightInd w:val="0"/>
      <w:spacing w:before="240" w:after="64" w:line="320" w:lineRule="atLeast"/>
      <w:ind w:left="1296" w:hanging="1296"/>
      <w:jc w:val="both"/>
      <w:textAlignment w:val="baseline"/>
      <w:outlineLvl w:val="6"/>
    </w:pPr>
    <w:rPr>
      <w:rFonts w:ascii="Times New Roman" w:hAnsi="Times New Roman" w:cs="Times New Roman"/>
      <w:b/>
      <w:bCs/>
      <w:color w:val="auto"/>
      <w:kern w:val="0"/>
      <w:sz w:val="24"/>
      <w:szCs w:val="24"/>
    </w:rPr>
  </w:style>
  <w:style w:type="paragraph" w:styleId="9">
    <w:name w:val="heading 8"/>
    <w:basedOn w:val="1"/>
    <w:next w:val="1"/>
    <w:link w:val="155"/>
    <w:qFormat/>
    <w:uiPriority w:val="0"/>
    <w:pPr>
      <w:keepNext/>
      <w:keepLines/>
      <w:widowControl w:val="0"/>
      <w:tabs>
        <w:tab w:val="left" w:pos="1440"/>
      </w:tabs>
      <w:adjustRightInd w:val="0"/>
      <w:spacing w:before="240" w:after="64" w:line="320" w:lineRule="atLeast"/>
      <w:ind w:left="1440" w:hanging="1440"/>
      <w:jc w:val="both"/>
      <w:textAlignment w:val="baseline"/>
      <w:outlineLvl w:val="7"/>
    </w:pPr>
    <w:rPr>
      <w:rFonts w:ascii="Arial" w:hAnsi="Arial" w:eastAsia="黑体" w:cs="Times New Roman"/>
      <w:color w:val="auto"/>
      <w:kern w:val="0"/>
      <w:sz w:val="24"/>
      <w:szCs w:val="24"/>
    </w:rPr>
  </w:style>
  <w:style w:type="paragraph" w:styleId="10">
    <w:name w:val="heading 9"/>
    <w:basedOn w:val="1"/>
    <w:next w:val="1"/>
    <w:link w:val="156"/>
    <w:qFormat/>
    <w:uiPriority w:val="0"/>
    <w:pPr>
      <w:keepNext/>
      <w:keepLines/>
      <w:widowControl w:val="0"/>
      <w:tabs>
        <w:tab w:val="left" w:pos="1584"/>
      </w:tabs>
      <w:adjustRightInd w:val="0"/>
      <w:spacing w:before="240" w:after="64" w:line="320" w:lineRule="atLeast"/>
      <w:ind w:left="1584" w:hanging="1584"/>
      <w:jc w:val="both"/>
      <w:textAlignment w:val="baseline"/>
      <w:outlineLvl w:val="8"/>
    </w:pPr>
    <w:rPr>
      <w:rFonts w:ascii="Arial" w:hAnsi="Arial" w:eastAsia="黑体" w:cs="Times New Roman"/>
      <w:color w:val="auto"/>
      <w:kern w:val="0"/>
      <w:szCs w:val="21"/>
    </w:rPr>
  </w:style>
  <w:style w:type="character" w:default="1" w:styleId="130">
    <w:name w:val="Default Paragraph Font"/>
    <w:unhideWhenUsed/>
    <w:qFormat/>
    <w:uiPriority w:val="1"/>
  </w:style>
  <w:style w:type="table" w:default="1" w:styleId="85">
    <w:name w:val="Normal Table"/>
    <w:unhideWhenUsed/>
    <w:qFormat/>
    <w:uiPriority w:val="99"/>
    <w:tblPr>
      <w:tblCellMar>
        <w:top w:w="0" w:type="dxa"/>
        <w:left w:w="108" w:type="dxa"/>
        <w:bottom w:w="0" w:type="dxa"/>
        <w:right w:w="108" w:type="dxa"/>
      </w:tblCellMar>
    </w:tblPr>
  </w:style>
  <w:style w:type="paragraph" w:styleId="11">
    <w:name w:val="List 3"/>
    <w:basedOn w:val="1"/>
    <w:qFormat/>
    <w:uiPriority w:val="0"/>
    <w:pPr>
      <w:widowControl w:val="0"/>
      <w:adjustRightInd w:val="0"/>
      <w:snapToGrid w:val="0"/>
      <w:spacing w:after="0" w:line="240" w:lineRule="auto"/>
      <w:ind w:left="1260" w:hanging="420"/>
      <w:jc w:val="both"/>
      <w:textAlignment w:val="baseline"/>
    </w:pPr>
    <w:rPr>
      <w:rFonts w:ascii="Times New Roman" w:hAnsi="Times New Roman" w:cs="Times New Roman"/>
      <w:color w:val="auto"/>
      <w:sz w:val="28"/>
      <w:szCs w:val="20"/>
    </w:rPr>
  </w:style>
  <w:style w:type="paragraph" w:styleId="12">
    <w:name w:val="toc 7"/>
    <w:basedOn w:val="1"/>
    <w:next w:val="1"/>
    <w:qFormat/>
    <w:uiPriority w:val="39"/>
    <w:pPr>
      <w:spacing w:after="0"/>
      <w:ind w:left="1260"/>
    </w:pPr>
    <w:rPr>
      <w:rFonts w:ascii="等线" w:eastAsia="等线"/>
      <w:sz w:val="18"/>
      <w:szCs w:val="18"/>
    </w:rPr>
  </w:style>
  <w:style w:type="paragraph" w:styleId="13">
    <w:name w:val="List Number 2"/>
    <w:basedOn w:val="1"/>
    <w:qFormat/>
    <w:uiPriority w:val="0"/>
    <w:pPr>
      <w:widowControl w:val="0"/>
      <w:numPr>
        <w:ilvl w:val="0"/>
        <w:numId w:val="1"/>
      </w:numPr>
      <w:spacing w:after="0" w:line="240" w:lineRule="auto"/>
      <w:jc w:val="both"/>
    </w:pPr>
    <w:rPr>
      <w:rFonts w:ascii="Times New Roman" w:hAnsi="Times New Roman" w:cs="Times New Roman"/>
      <w:color w:val="auto"/>
      <w:szCs w:val="24"/>
    </w:rPr>
  </w:style>
  <w:style w:type="paragraph" w:styleId="14">
    <w:name w:val="Note Heading"/>
    <w:basedOn w:val="1"/>
    <w:next w:val="1"/>
    <w:link w:val="157"/>
    <w:qFormat/>
    <w:uiPriority w:val="0"/>
    <w:pPr>
      <w:widowControl w:val="0"/>
      <w:spacing w:after="0" w:line="360" w:lineRule="auto"/>
      <w:jc w:val="center"/>
    </w:pPr>
    <w:rPr>
      <w:rFonts w:ascii="Arial" w:hAnsi="Arial" w:cs="Times New Roman"/>
      <w:color w:val="auto"/>
      <w:szCs w:val="24"/>
    </w:rPr>
  </w:style>
  <w:style w:type="paragraph" w:styleId="15">
    <w:name w:val="List Bullet 4"/>
    <w:basedOn w:val="1"/>
    <w:qFormat/>
    <w:uiPriority w:val="0"/>
    <w:pPr>
      <w:widowControl w:val="0"/>
      <w:numPr>
        <w:ilvl w:val="0"/>
        <w:numId w:val="2"/>
      </w:numPr>
      <w:spacing w:before="60" w:after="0" w:line="240" w:lineRule="auto"/>
      <w:ind w:right="170"/>
      <w:jc w:val="both"/>
    </w:pPr>
    <w:rPr>
      <w:rFonts w:ascii="Arial" w:hAnsi="Arial" w:cs="Arial"/>
      <w:kern w:val="0"/>
      <w:sz w:val="20"/>
      <w:szCs w:val="18"/>
      <w:lang w:val="en-GB" w:eastAsia="en-US"/>
    </w:rPr>
  </w:style>
  <w:style w:type="paragraph" w:styleId="16">
    <w:name w:val="index 8"/>
    <w:basedOn w:val="1"/>
    <w:next w:val="1"/>
    <w:qFormat/>
    <w:uiPriority w:val="0"/>
    <w:pPr>
      <w:widowControl w:val="0"/>
      <w:spacing w:after="0" w:line="360" w:lineRule="auto"/>
      <w:jc w:val="center"/>
    </w:pPr>
    <w:rPr>
      <w:rFonts w:ascii="Arial" w:hAnsi="Arial" w:cs="Times New Roman"/>
      <w:bCs/>
      <w:color w:val="auto"/>
      <w:kern w:val="0"/>
      <w:szCs w:val="21"/>
    </w:rPr>
  </w:style>
  <w:style w:type="paragraph" w:styleId="17">
    <w:name w:val="E-mail Signature"/>
    <w:basedOn w:val="1"/>
    <w:link w:val="158"/>
    <w:qFormat/>
    <w:uiPriority w:val="0"/>
    <w:pPr>
      <w:widowControl w:val="0"/>
      <w:spacing w:after="0" w:line="240" w:lineRule="auto"/>
      <w:jc w:val="both"/>
    </w:pPr>
    <w:rPr>
      <w:rFonts w:ascii="等线" w:hAnsi="等线" w:eastAsia="等线" w:cs="Times New Roman"/>
      <w:color w:val="auto"/>
      <w:szCs w:val="24"/>
    </w:rPr>
  </w:style>
  <w:style w:type="paragraph" w:styleId="18">
    <w:name w:val="List Number"/>
    <w:basedOn w:val="1"/>
    <w:qFormat/>
    <w:uiPriority w:val="0"/>
    <w:pPr>
      <w:widowControl w:val="0"/>
      <w:numPr>
        <w:ilvl w:val="0"/>
        <w:numId w:val="3"/>
      </w:numPr>
      <w:tabs>
        <w:tab w:val="left" w:pos="1620"/>
      </w:tabs>
      <w:spacing w:after="0" w:line="240" w:lineRule="auto"/>
      <w:jc w:val="both"/>
    </w:pPr>
    <w:rPr>
      <w:rFonts w:ascii="Times New Roman" w:hAnsi="Times New Roman" w:cs="Times New Roman"/>
      <w:color w:val="auto"/>
      <w:szCs w:val="24"/>
    </w:rPr>
  </w:style>
  <w:style w:type="paragraph" w:styleId="19">
    <w:name w:val="Normal Indent"/>
    <w:basedOn w:val="1"/>
    <w:next w:val="1"/>
    <w:link w:val="159"/>
    <w:qFormat/>
    <w:uiPriority w:val="0"/>
    <w:pPr>
      <w:widowControl w:val="0"/>
      <w:adjustRightInd w:val="0"/>
      <w:spacing w:after="0" w:line="312" w:lineRule="atLeast"/>
      <w:ind w:firstLine="420"/>
      <w:jc w:val="both"/>
      <w:textAlignment w:val="baseline"/>
    </w:pPr>
    <w:rPr>
      <w:rFonts w:ascii="Times New Roman" w:hAnsi="Times New Roman" w:cs="Times New Roman"/>
      <w:color w:val="auto"/>
      <w:kern w:val="0"/>
      <w:szCs w:val="20"/>
    </w:rPr>
  </w:style>
  <w:style w:type="paragraph" w:styleId="20">
    <w:name w:val="caption"/>
    <w:basedOn w:val="1"/>
    <w:next w:val="1"/>
    <w:qFormat/>
    <w:uiPriority w:val="0"/>
    <w:pPr>
      <w:widowControl w:val="0"/>
      <w:spacing w:after="0" w:line="240" w:lineRule="auto"/>
      <w:jc w:val="both"/>
    </w:pPr>
    <w:rPr>
      <w:rFonts w:ascii="Arial" w:hAnsi="Arial" w:eastAsia="黑体" w:cs="Times New Roman"/>
      <w:color w:val="auto"/>
      <w:szCs w:val="20"/>
    </w:rPr>
  </w:style>
  <w:style w:type="paragraph" w:styleId="21">
    <w:name w:val="index 5"/>
    <w:basedOn w:val="1"/>
    <w:next w:val="1"/>
    <w:qFormat/>
    <w:uiPriority w:val="0"/>
    <w:pPr>
      <w:widowControl w:val="0"/>
      <w:adjustRightInd w:val="0"/>
      <w:spacing w:after="0" w:line="312" w:lineRule="atLeast"/>
      <w:ind w:left="800" w:leftChars="800"/>
      <w:jc w:val="both"/>
      <w:textAlignment w:val="baseline"/>
    </w:pPr>
    <w:rPr>
      <w:rFonts w:ascii="Times New Roman" w:hAnsi="Times New Roman" w:cs="Times New Roman"/>
      <w:color w:val="auto"/>
      <w:kern w:val="0"/>
      <w:szCs w:val="20"/>
    </w:rPr>
  </w:style>
  <w:style w:type="paragraph" w:styleId="22">
    <w:name w:val="List Bullet"/>
    <w:basedOn w:val="1"/>
    <w:qFormat/>
    <w:uiPriority w:val="0"/>
    <w:pPr>
      <w:widowControl w:val="0"/>
      <w:tabs>
        <w:tab w:val="left" w:pos="540"/>
      </w:tabs>
      <w:adjustRightInd w:val="0"/>
      <w:spacing w:after="0" w:line="312" w:lineRule="atLeast"/>
      <w:ind w:left="540" w:hanging="360"/>
      <w:jc w:val="both"/>
      <w:textAlignment w:val="baseline"/>
    </w:pPr>
    <w:rPr>
      <w:rFonts w:ascii="Times New Roman" w:hAnsi="Times New Roman" w:cs="Times New Roman"/>
      <w:color w:val="auto"/>
      <w:kern w:val="0"/>
      <w:szCs w:val="20"/>
    </w:rPr>
  </w:style>
  <w:style w:type="paragraph" w:styleId="23">
    <w:name w:val="envelope address"/>
    <w:basedOn w:val="1"/>
    <w:qFormat/>
    <w:uiPriority w:val="0"/>
    <w:pPr>
      <w:framePr w:w="7920" w:h="1980" w:hRule="exact" w:hSpace="180" w:wrap="around" w:vAnchor="margin" w:hAnchor="page" w:xAlign="center" w:yAlign="bottom"/>
      <w:widowControl w:val="0"/>
      <w:snapToGrid w:val="0"/>
      <w:spacing w:after="0" w:line="240" w:lineRule="auto"/>
      <w:ind w:left="100" w:leftChars="1400"/>
      <w:jc w:val="both"/>
    </w:pPr>
    <w:rPr>
      <w:rFonts w:ascii="Arial" w:hAnsi="Arial" w:cs="Arial"/>
      <w:color w:val="auto"/>
      <w:sz w:val="24"/>
      <w:szCs w:val="24"/>
    </w:rPr>
  </w:style>
  <w:style w:type="paragraph" w:styleId="24">
    <w:name w:val="Document Map"/>
    <w:basedOn w:val="1"/>
    <w:link w:val="160"/>
    <w:qFormat/>
    <w:uiPriority w:val="0"/>
    <w:pPr>
      <w:widowControl w:val="0"/>
      <w:shd w:val="clear" w:color="auto" w:fill="000080"/>
      <w:adjustRightInd w:val="0"/>
      <w:spacing w:after="0" w:line="312" w:lineRule="atLeast"/>
      <w:jc w:val="both"/>
      <w:textAlignment w:val="baseline"/>
    </w:pPr>
    <w:rPr>
      <w:rFonts w:ascii="Times New Roman" w:hAnsi="Times New Roman" w:cs="Times New Roman"/>
      <w:color w:val="auto"/>
      <w:kern w:val="0"/>
      <w:szCs w:val="20"/>
    </w:rPr>
  </w:style>
  <w:style w:type="paragraph" w:styleId="25">
    <w:name w:val="toa heading"/>
    <w:basedOn w:val="1"/>
    <w:next w:val="1"/>
    <w:qFormat/>
    <w:uiPriority w:val="0"/>
    <w:pPr>
      <w:widowControl w:val="0"/>
      <w:spacing w:before="120" w:after="0" w:line="240" w:lineRule="auto"/>
      <w:jc w:val="both"/>
    </w:pPr>
    <w:rPr>
      <w:rFonts w:ascii="Arial" w:hAnsi="Arial" w:cs="Arial"/>
      <w:snapToGrid w:val="0"/>
      <w:color w:val="auto"/>
      <w:kern w:val="0"/>
      <w:sz w:val="24"/>
      <w:szCs w:val="24"/>
    </w:rPr>
  </w:style>
  <w:style w:type="paragraph" w:styleId="26">
    <w:name w:val="annotation text"/>
    <w:basedOn w:val="1"/>
    <w:link w:val="161"/>
    <w:qFormat/>
    <w:uiPriority w:val="0"/>
    <w:pPr>
      <w:widowControl w:val="0"/>
      <w:adjustRightInd w:val="0"/>
      <w:spacing w:after="0" w:line="312" w:lineRule="atLeast"/>
      <w:textAlignment w:val="baseline"/>
    </w:pPr>
    <w:rPr>
      <w:rFonts w:ascii="Times New Roman" w:hAnsi="Times New Roman" w:cs="Times New Roman"/>
      <w:color w:val="auto"/>
      <w:kern w:val="0"/>
      <w:szCs w:val="20"/>
    </w:rPr>
  </w:style>
  <w:style w:type="paragraph" w:styleId="27">
    <w:name w:val="index 6"/>
    <w:basedOn w:val="1"/>
    <w:next w:val="1"/>
    <w:qFormat/>
    <w:uiPriority w:val="0"/>
    <w:pPr>
      <w:widowControl w:val="0"/>
      <w:spacing w:after="0" w:line="240" w:lineRule="auto"/>
      <w:ind w:left="1000" w:leftChars="1000"/>
      <w:jc w:val="both"/>
    </w:pPr>
    <w:rPr>
      <w:rFonts w:ascii="Times New Roman" w:hAnsi="Times New Roman" w:eastAsia="仿宋_GB2312" w:cs="Times New Roman"/>
      <w:color w:val="auto"/>
      <w:sz w:val="28"/>
      <w:szCs w:val="24"/>
    </w:rPr>
  </w:style>
  <w:style w:type="paragraph" w:styleId="28">
    <w:name w:val="Salutation"/>
    <w:basedOn w:val="1"/>
    <w:next w:val="1"/>
    <w:link w:val="162"/>
    <w:qFormat/>
    <w:uiPriority w:val="0"/>
    <w:pPr>
      <w:widowControl w:val="0"/>
      <w:spacing w:after="0" w:line="240" w:lineRule="auto"/>
      <w:jc w:val="both"/>
    </w:pPr>
    <w:rPr>
      <w:rFonts w:ascii="等线" w:hAnsi="等线" w:eastAsia="等线" w:cs="Times New Roman"/>
      <w:color w:val="auto"/>
      <w:szCs w:val="24"/>
    </w:rPr>
  </w:style>
  <w:style w:type="paragraph" w:styleId="29">
    <w:name w:val="Body Text 3"/>
    <w:basedOn w:val="1"/>
    <w:link w:val="163"/>
    <w:qFormat/>
    <w:uiPriority w:val="0"/>
    <w:pPr>
      <w:widowControl w:val="0"/>
      <w:adjustRightInd w:val="0"/>
      <w:spacing w:after="0" w:line="360" w:lineRule="auto"/>
      <w:jc w:val="both"/>
      <w:textAlignment w:val="baseline"/>
    </w:pPr>
    <w:rPr>
      <w:rFonts w:ascii="Times New Roman" w:hAnsi="宋体" w:cs="Times New Roman"/>
      <w:kern w:val="0"/>
      <w:sz w:val="24"/>
      <w:szCs w:val="20"/>
    </w:rPr>
  </w:style>
  <w:style w:type="paragraph" w:styleId="30">
    <w:name w:val="Closing"/>
    <w:basedOn w:val="1"/>
    <w:link w:val="164"/>
    <w:qFormat/>
    <w:uiPriority w:val="0"/>
    <w:pPr>
      <w:widowControl w:val="0"/>
      <w:spacing w:after="0" w:line="240" w:lineRule="auto"/>
      <w:ind w:left="4320"/>
      <w:jc w:val="both"/>
    </w:pPr>
    <w:rPr>
      <w:rFonts w:ascii="等线" w:hAnsi="等线" w:eastAsia="等线" w:cs="Times New Roman"/>
      <w:color w:val="auto"/>
      <w:szCs w:val="24"/>
    </w:rPr>
  </w:style>
  <w:style w:type="paragraph" w:styleId="31">
    <w:name w:val="List Bullet 3"/>
    <w:basedOn w:val="1"/>
    <w:qFormat/>
    <w:uiPriority w:val="0"/>
    <w:pPr>
      <w:widowControl w:val="0"/>
      <w:numPr>
        <w:ilvl w:val="0"/>
        <w:numId w:val="4"/>
      </w:numPr>
      <w:adjustRightInd w:val="0"/>
      <w:spacing w:after="0" w:line="240" w:lineRule="auto"/>
      <w:textAlignment w:val="baseline"/>
    </w:pPr>
    <w:rPr>
      <w:rFonts w:ascii="MS Sans Serif" w:hAnsi="MS Sans Serif" w:eastAsia="Times New Roman" w:cs="Times New Roman"/>
      <w:color w:val="auto"/>
      <w:kern w:val="0"/>
      <w:sz w:val="24"/>
      <w:szCs w:val="20"/>
    </w:rPr>
  </w:style>
  <w:style w:type="paragraph" w:styleId="32">
    <w:name w:val="Body Text"/>
    <w:basedOn w:val="1"/>
    <w:link w:val="165"/>
    <w:qFormat/>
    <w:uiPriority w:val="0"/>
    <w:pPr>
      <w:widowControl w:val="0"/>
      <w:tabs>
        <w:tab w:val="left" w:pos="720"/>
      </w:tabs>
      <w:adjustRightInd w:val="0"/>
      <w:spacing w:after="0" w:line="360" w:lineRule="auto"/>
      <w:jc w:val="both"/>
      <w:textAlignment w:val="baseline"/>
    </w:pPr>
    <w:rPr>
      <w:rFonts w:ascii="宋体" w:hAnsi="Times New Roman" w:cs="Times New Roman"/>
      <w:color w:val="auto"/>
      <w:kern w:val="0"/>
      <w:sz w:val="28"/>
      <w:szCs w:val="20"/>
    </w:rPr>
  </w:style>
  <w:style w:type="paragraph" w:styleId="33">
    <w:name w:val="Body Text Indent"/>
    <w:basedOn w:val="1"/>
    <w:next w:val="34"/>
    <w:link w:val="166"/>
    <w:qFormat/>
    <w:uiPriority w:val="0"/>
    <w:pPr>
      <w:widowControl w:val="0"/>
      <w:adjustRightInd w:val="0"/>
      <w:snapToGrid w:val="0"/>
      <w:spacing w:after="0" w:line="360" w:lineRule="exact"/>
      <w:ind w:firstLine="630"/>
      <w:jc w:val="both"/>
      <w:textAlignment w:val="baseline"/>
    </w:pPr>
    <w:rPr>
      <w:rFonts w:ascii="宋体" w:hAnsi="宋体" w:cs="Times New Roman"/>
      <w:color w:val="auto"/>
      <w:kern w:val="0"/>
      <w:sz w:val="24"/>
      <w:szCs w:val="20"/>
    </w:rPr>
  </w:style>
  <w:style w:type="paragraph" w:styleId="34">
    <w:name w:val="envelope return"/>
    <w:basedOn w:val="1"/>
    <w:qFormat/>
    <w:uiPriority w:val="0"/>
    <w:pPr>
      <w:widowControl w:val="0"/>
      <w:snapToGrid w:val="0"/>
      <w:spacing w:after="0" w:line="240" w:lineRule="auto"/>
      <w:jc w:val="both"/>
    </w:pPr>
    <w:rPr>
      <w:rFonts w:ascii="Arial" w:hAnsi="Arial" w:cs="Arial"/>
      <w:color w:val="auto"/>
      <w:szCs w:val="24"/>
    </w:rPr>
  </w:style>
  <w:style w:type="paragraph" w:styleId="35">
    <w:name w:val="List Number 3"/>
    <w:basedOn w:val="1"/>
    <w:qFormat/>
    <w:uiPriority w:val="0"/>
    <w:pPr>
      <w:widowControl w:val="0"/>
      <w:numPr>
        <w:ilvl w:val="0"/>
        <w:numId w:val="5"/>
      </w:numPr>
      <w:tabs>
        <w:tab w:val="left" w:pos="2040"/>
      </w:tabs>
      <w:spacing w:after="0" w:line="240" w:lineRule="auto"/>
      <w:jc w:val="both"/>
    </w:pPr>
    <w:rPr>
      <w:rFonts w:ascii="Times New Roman" w:hAnsi="Times New Roman" w:cs="Times New Roman"/>
      <w:color w:val="auto"/>
      <w:szCs w:val="24"/>
    </w:rPr>
  </w:style>
  <w:style w:type="paragraph" w:styleId="36">
    <w:name w:val="List 2"/>
    <w:basedOn w:val="1"/>
    <w:qFormat/>
    <w:uiPriority w:val="0"/>
    <w:pPr>
      <w:widowControl w:val="0"/>
      <w:numPr>
        <w:ilvl w:val="0"/>
        <w:numId w:val="6"/>
      </w:numPr>
      <w:tabs>
        <w:tab w:val="left" w:pos="288"/>
        <w:tab w:val="clear" w:pos="540"/>
      </w:tabs>
      <w:spacing w:before="60" w:after="0" w:line="240" w:lineRule="auto"/>
      <w:ind w:left="288" w:right="-189" w:hanging="288"/>
      <w:jc w:val="both"/>
    </w:pPr>
    <w:rPr>
      <w:rFonts w:ascii="Arial" w:hAnsi="Arial" w:cs="Arial"/>
      <w:color w:val="auto"/>
      <w:kern w:val="0"/>
      <w:sz w:val="20"/>
      <w:szCs w:val="27"/>
      <w:lang w:val="en-GB" w:eastAsia="en-US"/>
    </w:rPr>
  </w:style>
  <w:style w:type="paragraph" w:styleId="37">
    <w:name w:val="List Continue"/>
    <w:basedOn w:val="1"/>
    <w:qFormat/>
    <w:uiPriority w:val="0"/>
    <w:pPr>
      <w:widowControl w:val="0"/>
      <w:spacing w:after="120" w:line="240" w:lineRule="auto"/>
      <w:ind w:left="420"/>
      <w:jc w:val="both"/>
    </w:pPr>
    <w:rPr>
      <w:rFonts w:ascii="Times New Roman" w:hAnsi="Times New Roman" w:cs="Times New Roman"/>
      <w:color w:val="auto"/>
      <w:szCs w:val="24"/>
    </w:rPr>
  </w:style>
  <w:style w:type="paragraph" w:styleId="38">
    <w:name w:val="Block Text"/>
    <w:basedOn w:val="1"/>
    <w:qFormat/>
    <w:uiPriority w:val="0"/>
    <w:pPr>
      <w:widowControl w:val="0"/>
      <w:spacing w:before="120" w:after="120" w:line="360" w:lineRule="auto"/>
      <w:ind w:left="630" w:right="202"/>
      <w:jc w:val="both"/>
    </w:pPr>
    <w:rPr>
      <w:rFonts w:ascii="宋体" w:hAnsi="Times New Roman" w:cs="Times New Roman"/>
      <w:color w:val="auto"/>
      <w:sz w:val="24"/>
      <w:szCs w:val="20"/>
    </w:rPr>
  </w:style>
  <w:style w:type="paragraph" w:styleId="39">
    <w:name w:val="List Bullet 2"/>
    <w:basedOn w:val="1"/>
    <w:qFormat/>
    <w:uiPriority w:val="0"/>
    <w:pPr>
      <w:widowControl w:val="0"/>
      <w:numPr>
        <w:ilvl w:val="0"/>
        <w:numId w:val="7"/>
      </w:numPr>
      <w:adjustRightInd w:val="0"/>
      <w:spacing w:after="0" w:line="240" w:lineRule="auto"/>
      <w:textAlignment w:val="baseline"/>
    </w:pPr>
    <w:rPr>
      <w:rFonts w:ascii="MS Sans Serif" w:hAnsi="MS Sans Serif" w:eastAsia="Times New Roman" w:cs="Times New Roman"/>
      <w:color w:val="auto"/>
      <w:kern w:val="0"/>
      <w:sz w:val="24"/>
      <w:szCs w:val="20"/>
    </w:rPr>
  </w:style>
  <w:style w:type="paragraph" w:styleId="40">
    <w:name w:val="HTML Address"/>
    <w:basedOn w:val="1"/>
    <w:link w:val="167"/>
    <w:qFormat/>
    <w:uiPriority w:val="0"/>
    <w:pPr>
      <w:widowControl w:val="0"/>
      <w:spacing w:after="0" w:line="240" w:lineRule="auto"/>
      <w:jc w:val="both"/>
    </w:pPr>
    <w:rPr>
      <w:rFonts w:ascii="等线" w:hAnsi="等线" w:eastAsia="等线" w:cs="Times New Roman"/>
      <w:i/>
      <w:iCs/>
      <w:color w:val="auto"/>
      <w:szCs w:val="24"/>
    </w:rPr>
  </w:style>
  <w:style w:type="paragraph" w:styleId="41">
    <w:name w:val="index 4"/>
    <w:basedOn w:val="1"/>
    <w:next w:val="1"/>
    <w:qFormat/>
    <w:uiPriority w:val="0"/>
    <w:pPr>
      <w:widowControl w:val="0"/>
      <w:spacing w:after="0" w:line="240" w:lineRule="auto"/>
      <w:ind w:left="600" w:leftChars="600"/>
      <w:jc w:val="both"/>
    </w:pPr>
    <w:rPr>
      <w:rFonts w:ascii="Times New Roman" w:hAnsi="Times New Roman" w:eastAsia="仿宋_GB2312" w:cs="Times New Roman"/>
      <w:color w:val="auto"/>
      <w:sz w:val="28"/>
      <w:szCs w:val="24"/>
    </w:rPr>
  </w:style>
  <w:style w:type="paragraph" w:styleId="42">
    <w:name w:val="toc 5"/>
    <w:basedOn w:val="1"/>
    <w:next w:val="1"/>
    <w:qFormat/>
    <w:uiPriority w:val="39"/>
    <w:pPr>
      <w:spacing w:after="0"/>
      <w:ind w:left="840"/>
    </w:pPr>
    <w:rPr>
      <w:rFonts w:ascii="等线" w:eastAsia="等线"/>
      <w:sz w:val="18"/>
      <w:szCs w:val="18"/>
    </w:rPr>
  </w:style>
  <w:style w:type="paragraph" w:styleId="43">
    <w:name w:val="toc 3"/>
    <w:next w:val="1"/>
    <w:qFormat/>
    <w:uiPriority w:val="39"/>
    <w:pPr>
      <w:spacing w:line="259" w:lineRule="auto"/>
      <w:ind w:left="420"/>
    </w:pPr>
    <w:rPr>
      <w:rFonts w:ascii="等线" w:hAnsi="Calibri" w:eastAsia="等线" w:cs="Calibri"/>
      <w:i/>
      <w:iCs/>
      <w:color w:val="000000"/>
      <w:kern w:val="2"/>
      <w:lang w:val="en-US" w:eastAsia="zh-CN" w:bidi="ar-SA"/>
    </w:rPr>
  </w:style>
  <w:style w:type="paragraph" w:styleId="44">
    <w:name w:val="Plain Text"/>
    <w:basedOn w:val="1"/>
    <w:link w:val="168"/>
    <w:qFormat/>
    <w:uiPriority w:val="0"/>
    <w:pPr>
      <w:widowControl w:val="0"/>
      <w:spacing w:after="0" w:line="240" w:lineRule="auto"/>
      <w:jc w:val="both"/>
    </w:pPr>
    <w:rPr>
      <w:rFonts w:ascii="宋体" w:hAnsi="Courier New" w:cs="Times New Roman"/>
      <w:color w:val="auto"/>
      <w:sz w:val="24"/>
      <w:szCs w:val="20"/>
    </w:rPr>
  </w:style>
  <w:style w:type="paragraph" w:styleId="45">
    <w:name w:val="List Bullet 5"/>
    <w:basedOn w:val="1"/>
    <w:qFormat/>
    <w:uiPriority w:val="0"/>
    <w:pPr>
      <w:widowControl w:val="0"/>
      <w:numPr>
        <w:ilvl w:val="0"/>
        <w:numId w:val="8"/>
      </w:numPr>
      <w:spacing w:after="0" w:line="240" w:lineRule="auto"/>
      <w:jc w:val="both"/>
    </w:pPr>
    <w:rPr>
      <w:rFonts w:ascii="Times New Roman" w:hAnsi="Times New Roman" w:cs="Times New Roman"/>
      <w:color w:val="auto"/>
      <w:szCs w:val="24"/>
    </w:rPr>
  </w:style>
  <w:style w:type="paragraph" w:styleId="46">
    <w:name w:val="List Number 4"/>
    <w:basedOn w:val="1"/>
    <w:qFormat/>
    <w:uiPriority w:val="0"/>
    <w:pPr>
      <w:widowControl w:val="0"/>
      <w:numPr>
        <w:ilvl w:val="0"/>
        <w:numId w:val="9"/>
      </w:numPr>
      <w:tabs>
        <w:tab w:val="left" w:pos="360"/>
      </w:tabs>
      <w:spacing w:after="0" w:line="240" w:lineRule="auto"/>
      <w:jc w:val="both"/>
    </w:pPr>
    <w:rPr>
      <w:rFonts w:ascii="Times New Roman" w:hAnsi="Times New Roman" w:cs="Times New Roman"/>
      <w:color w:val="auto"/>
      <w:szCs w:val="24"/>
    </w:rPr>
  </w:style>
  <w:style w:type="paragraph" w:styleId="47">
    <w:name w:val="toc 8"/>
    <w:basedOn w:val="1"/>
    <w:next w:val="1"/>
    <w:qFormat/>
    <w:uiPriority w:val="39"/>
    <w:pPr>
      <w:spacing w:after="0"/>
      <w:ind w:left="1470"/>
    </w:pPr>
    <w:rPr>
      <w:rFonts w:ascii="等线" w:eastAsia="等线"/>
      <w:sz w:val="18"/>
      <w:szCs w:val="18"/>
    </w:rPr>
  </w:style>
  <w:style w:type="paragraph" w:styleId="48">
    <w:name w:val="index 3"/>
    <w:basedOn w:val="1"/>
    <w:next w:val="1"/>
    <w:qFormat/>
    <w:uiPriority w:val="0"/>
    <w:pPr>
      <w:widowControl w:val="0"/>
      <w:spacing w:after="0" w:line="240" w:lineRule="auto"/>
      <w:ind w:left="400" w:leftChars="400"/>
      <w:jc w:val="both"/>
    </w:pPr>
    <w:rPr>
      <w:rFonts w:ascii="Times New Roman" w:hAnsi="Times New Roman" w:eastAsia="仿宋_GB2312" w:cs="Times New Roman"/>
      <w:color w:val="auto"/>
      <w:sz w:val="28"/>
      <w:szCs w:val="24"/>
    </w:rPr>
  </w:style>
  <w:style w:type="paragraph" w:styleId="49">
    <w:name w:val="Date"/>
    <w:basedOn w:val="1"/>
    <w:next w:val="1"/>
    <w:link w:val="169"/>
    <w:qFormat/>
    <w:uiPriority w:val="0"/>
    <w:pPr>
      <w:widowControl w:val="0"/>
      <w:adjustRightInd w:val="0"/>
      <w:spacing w:after="0" w:line="312" w:lineRule="atLeast"/>
      <w:jc w:val="both"/>
      <w:textAlignment w:val="baseline"/>
    </w:pPr>
    <w:rPr>
      <w:rFonts w:ascii="Times New Roman" w:hAnsi="Times New Roman" w:cs="Times New Roman"/>
      <w:color w:val="auto"/>
      <w:kern w:val="0"/>
      <w:szCs w:val="20"/>
    </w:rPr>
  </w:style>
  <w:style w:type="paragraph" w:styleId="50">
    <w:name w:val="Body Text Indent 2"/>
    <w:basedOn w:val="1"/>
    <w:link w:val="170"/>
    <w:qFormat/>
    <w:uiPriority w:val="0"/>
    <w:pPr>
      <w:widowControl w:val="0"/>
      <w:adjustRightInd w:val="0"/>
      <w:spacing w:after="120" w:line="480" w:lineRule="auto"/>
      <w:ind w:left="420"/>
      <w:jc w:val="both"/>
      <w:textAlignment w:val="baseline"/>
    </w:pPr>
    <w:rPr>
      <w:rFonts w:ascii="Times New Roman" w:hAnsi="Times New Roman" w:cs="Times New Roman"/>
      <w:color w:val="auto"/>
      <w:kern w:val="0"/>
      <w:szCs w:val="20"/>
    </w:rPr>
  </w:style>
  <w:style w:type="paragraph" w:styleId="51">
    <w:name w:val="List Continue 5"/>
    <w:basedOn w:val="1"/>
    <w:qFormat/>
    <w:uiPriority w:val="0"/>
    <w:pPr>
      <w:widowControl w:val="0"/>
      <w:spacing w:after="120" w:line="240" w:lineRule="auto"/>
      <w:ind w:left="2100"/>
      <w:jc w:val="both"/>
    </w:pPr>
    <w:rPr>
      <w:rFonts w:ascii="Times New Roman" w:hAnsi="Times New Roman" w:cs="Times New Roman"/>
      <w:color w:val="auto"/>
      <w:szCs w:val="24"/>
    </w:rPr>
  </w:style>
  <w:style w:type="paragraph" w:styleId="52">
    <w:name w:val="Balloon Text"/>
    <w:basedOn w:val="1"/>
    <w:link w:val="171"/>
    <w:unhideWhenUsed/>
    <w:qFormat/>
    <w:uiPriority w:val="0"/>
    <w:pPr>
      <w:spacing w:after="0" w:line="240" w:lineRule="auto"/>
    </w:pPr>
    <w:rPr>
      <w:sz w:val="18"/>
      <w:szCs w:val="18"/>
    </w:rPr>
  </w:style>
  <w:style w:type="paragraph" w:styleId="53">
    <w:name w:val="footer"/>
    <w:basedOn w:val="1"/>
    <w:link w:val="172"/>
    <w:unhideWhenUsed/>
    <w:qFormat/>
    <w:uiPriority w:val="99"/>
    <w:pPr>
      <w:tabs>
        <w:tab w:val="center" w:pos="4153"/>
        <w:tab w:val="right" w:pos="8306"/>
      </w:tabs>
      <w:snapToGrid w:val="0"/>
      <w:spacing w:line="240" w:lineRule="auto"/>
    </w:pPr>
    <w:rPr>
      <w:sz w:val="18"/>
      <w:szCs w:val="18"/>
    </w:rPr>
  </w:style>
  <w:style w:type="paragraph" w:styleId="54">
    <w:name w:val="header"/>
    <w:basedOn w:val="1"/>
    <w:link w:val="17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55">
    <w:name w:val="Signature"/>
    <w:basedOn w:val="1"/>
    <w:link w:val="174"/>
    <w:qFormat/>
    <w:uiPriority w:val="0"/>
    <w:pPr>
      <w:widowControl w:val="0"/>
      <w:spacing w:after="0" w:line="240" w:lineRule="auto"/>
      <w:ind w:left="4320"/>
      <w:jc w:val="both"/>
    </w:pPr>
    <w:rPr>
      <w:rFonts w:ascii="等线" w:hAnsi="等线" w:eastAsia="等线" w:cs="Times New Roman"/>
      <w:color w:val="auto"/>
      <w:szCs w:val="24"/>
    </w:rPr>
  </w:style>
  <w:style w:type="paragraph" w:styleId="56">
    <w:name w:val="toc 1"/>
    <w:basedOn w:val="1"/>
    <w:next w:val="1"/>
    <w:qFormat/>
    <w:uiPriority w:val="39"/>
    <w:pPr>
      <w:spacing w:before="120" w:after="120"/>
    </w:pPr>
    <w:rPr>
      <w:rFonts w:ascii="等线" w:eastAsia="等线"/>
      <w:b/>
      <w:bCs/>
      <w:caps/>
    </w:rPr>
  </w:style>
  <w:style w:type="paragraph" w:styleId="57">
    <w:name w:val="List Continue 4"/>
    <w:basedOn w:val="1"/>
    <w:qFormat/>
    <w:uiPriority w:val="0"/>
    <w:pPr>
      <w:widowControl w:val="0"/>
      <w:adjustRightInd w:val="0"/>
      <w:spacing w:after="120" w:line="360" w:lineRule="atLeast"/>
      <w:ind w:left="1680"/>
      <w:textAlignment w:val="baseline"/>
    </w:pPr>
    <w:rPr>
      <w:rFonts w:ascii="宋体" w:hAnsi="Times New Roman" w:cs="Times New Roman"/>
      <w:color w:val="auto"/>
      <w:kern w:val="0"/>
      <w:sz w:val="24"/>
      <w:szCs w:val="20"/>
    </w:rPr>
  </w:style>
  <w:style w:type="paragraph" w:styleId="58">
    <w:name w:val="toc 4"/>
    <w:basedOn w:val="1"/>
    <w:next w:val="1"/>
    <w:qFormat/>
    <w:uiPriority w:val="39"/>
    <w:pPr>
      <w:spacing w:after="0"/>
      <w:ind w:left="630"/>
    </w:pPr>
    <w:rPr>
      <w:rFonts w:ascii="等线" w:eastAsia="等线"/>
      <w:sz w:val="18"/>
      <w:szCs w:val="18"/>
    </w:rPr>
  </w:style>
  <w:style w:type="paragraph" w:styleId="59">
    <w:name w:val="index heading"/>
    <w:basedOn w:val="1"/>
    <w:next w:val="60"/>
    <w:qFormat/>
    <w:uiPriority w:val="0"/>
    <w:pPr>
      <w:spacing w:after="0" w:line="240" w:lineRule="auto"/>
      <w:jc w:val="both"/>
    </w:pPr>
    <w:rPr>
      <w:rFonts w:ascii="Arial" w:hAnsi="Arial" w:cs="Times New Roman"/>
      <w:color w:val="auto"/>
      <w:kern w:val="0"/>
      <w:sz w:val="20"/>
      <w:szCs w:val="24"/>
      <w:lang w:eastAsia="en-US"/>
    </w:rPr>
  </w:style>
  <w:style w:type="paragraph" w:styleId="60">
    <w:name w:val="index 1"/>
    <w:basedOn w:val="1"/>
    <w:next w:val="1"/>
    <w:qFormat/>
    <w:uiPriority w:val="0"/>
    <w:pPr>
      <w:widowControl w:val="0"/>
      <w:spacing w:after="0" w:line="240" w:lineRule="auto"/>
      <w:jc w:val="both"/>
    </w:pPr>
    <w:rPr>
      <w:rFonts w:ascii="Times New Roman" w:hAnsi="Times New Roman" w:cs="Times New Roman"/>
      <w:color w:val="auto"/>
      <w:szCs w:val="20"/>
    </w:rPr>
  </w:style>
  <w:style w:type="paragraph" w:styleId="61">
    <w:name w:val="Subtitle"/>
    <w:basedOn w:val="1"/>
    <w:next w:val="1"/>
    <w:link w:val="175"/>
    <w:qFormat/>
    <w:uiPriority w:val="0"/>
    <w:pPr>
      <w:spacing w:after="60" w:line="240" w:lineRule="auto"/>
      <w:jc w:val="center"/>
      <w:outlineLvl w:val="1"/>
    </w:pPr>
    <w:rPr>
      <w:rFonts w:ascii="Cambria" w:hAnsi="Cambria" w:eastAsia="等线" w:cs="Times New Roman"/>
      <w:color w:val="auto"/>
      <w:sz w:val="24"/>
      <w:szCs w:val="24"/>
      <w:lang w:eastAsia="en-US" w:bidi="en-US"/>
    </w:rPr>
  </w:style>
  <w:style w:type="paragraph" w:styleId="62">
    <w:name w:val="List Number 5"/>
    <w:basedOn w:val="1"/>
    <w:qFormat/>
    <w:uiPriority w:val="0"/>
    <w:pPr>
      <w:widowControl w:val="0"/>
      <w:numPr>
        <w:ilvl w:val="0"/>
        <w:numId w:val="10"/>
      </w:numPr>
      <w:tabs>
        <w:tab w:val="left" w:pos="780"/>
      </w:tabs>
      <w:spacing w:after="0" w:line="240" w:lineRule="auto"/>
      <w:jc w:val="both"/>
    </w:pPr>
    <w:rPr>
      <w:rFonts w:ascii="Times New Roman" w:hAnsi="Times New Roman" w:cs="Times New Roman"/>
      <w:color w:val="auto"/>
      <w:szCs w:val="24"/>
    </w:rPr>
  </w:style>
  <w:style w:type="paragraph" w:styleId="63">
    <w:name w:val="List"/>
    <w:basedOn w:val="1"/>
    <w:next w:val="1"/>
    <w:qFormat/>
    <w:uiPriority w:val="0"/>
    <w:pPr>
      <w:widowControl w:val="0"/>
      <w:spacing w:after="0" w:line="240" w:lineRule="auto"/>
      <w:ind w:left="200" w:hanging="200" w:hangingChars="200"/>
      <w:jc w:val="both"/>
    </w:pPr>
    <w:rPr>
      <w:rFonts w:ascii="Times New Roman" w:hAnsi="Times New Roman" w:cs="Times New Roman"/>
      <w:color w:val="auto"/>
      <w:szCs w:val="20"/>
    </w:rPr>
  </w:style>
  <w:style w:type="paragraph" w:styleId="64">
    <w:name w:val="footnote text"/>
    <w:basedOn w:val="1"/>
    <w:link w:val="176"/>
    <w:qFormat/>
    <w:uiPriority w:val="0"/>
    <w:pPr>
      <w:widowControl w:val="0"/>
      <w:snapToGrid w:val="0"/>
      <w:spacing w:after="0" w:line="240" w:lineRule="auto"/>
    </w:pPr>
    <w:rPr>
      <w:rFonts w:ascii="宋体" w:hAnsi="Times New Roman" w:cs="Times New Roman"/>
      <w:color w:val="auto"/>
      <w:sz w:val="18"/>
      <w:szCs w:val="20"/>
    </w:rPr>
  </w:style>
  <w:style w:type="paragraph" w:styleId="65">
    <w:name w:val="toc 6"/>
    <w:basedOn w:val="1"/>
    <w:next w:val="1"/>
    <w:qFormat/>
    <w:uiPriority w:val="39"/>
    <w:pPr>
      <w:spacing w:after="0"/>
      <w:ind w:left="1050"/>
    </w:pPr>
    <w:rPr>
      <w:rFonts w:ascii="等线" w:eastAsia="等线"/>
      <w:sz w:val="18"/>
      <w:szCs w:val="18"/>
    </w:rPr>
  </w:style>
  <w:style w:type="paragraph" w:styleId="66">
    <w:name w:val="List 5"/>
    <w:basedOn w:val="1"/>
    <w:qFormat/>
    <w:uiPriority w:val="0"/>
    <w:pPr>
      <w:widowControl w:val="0"/>
      <w:spacing w:after="0" w:line="240" w:lineRule="auto"/>
      <w:ind w:left="2100" w:hanging="420"/>
      <w:jc w:val="both"/>
    </w:pPr>
    <w:rPr>
      <w:rFonts w:ascii="Times New Roman" w:hAnsi="Times New Roman" w:cs="Times New Roman"/>
      <w:color w:val="auto"/>
      <w:szCs w:val="24"/>
    </w:rPr>
  </w:style>
  <w:style w:type="paragraph" w:styleId="67">
    <w:name w:val="Body Text Indent 3"/>
    <w:basedOn w:val="1"/>
    <w:link w:val="177"/>
    <w:qFormat/>
    <w:uiPriority w:val="0"/>
    <w:pPr>
      <w:widowControl w:val="0"/>
      <w:adjustRightInd w:val="0"/>
      <w:spacing w:after="120" w:line="312" w:lineRule="atLeast"/>
      <w:ind w:left="420"/>
      <w:jc w:val="both"/>
      <w:textAlignment w:val="baseline"/>
    </w:pPr>
    <w:rPr>
      <w:rFonts w:ascii="Times New Roman" w:hAnsi="Times New Roman" w:cs="Times New Roman"/>
      <w:color w:val="auto"/>
      <w:kern w:val="0"/>
      <w:sz w:val="16"/>
      <w:szCs w:val="16"/>
    </w:rPr>
  </w:style>
  <w:style w:type="paragraph" w:styleId="68">
    <w:name w:val="index 7"/>
    <w:basedOn w:val="1"/>
    <w:next w:val="1"/>
    <w:qFormat/>
    <w:uiPriority w:val="0"/>
    <w:pPr>
      <w:widowControl w:val="0"/>
      <w:spacing w:after="0" w:line="240" w:lineRule="auto"/>
      <w:ind w:left="1200" w:leftChars="1200"/>
      <w:jc w:val="both"/>
    </w:pPr>
    <w:rPr>
      <w:rFonts w:ascii="Times New Roman" w:hAnsi="Times New Roman" w:eastAsia="仿宋_GB2312" w:cs="Times New Roman"/>
      <w:color w:val="auto"/>
      <w:sz w:val="28"/>
      <w:szCs w:val="24"/>
    </w:rPr>
  </w:style>
  <w:style w:type="paragraph" w:styleId="69">
    <w:name w:val="index 9"/>
    <w:basedOn w:val="1"/>
    <w:next w:val="1"/>
    <w:qFormat/>
    <w:uiPriority w:val="0"/>
    <w:pPr>
      <w:widowControl w:val="0"/>
      <w:spacing w:after="0" w:line="240" w:lineRule="auto"/>
      <w:ind w:left="1600" w:leftChars="1600"/>
      <w:jc w:val="both"/>
    </w:pPr>
    <w:rPr>
      <w:rFonts w:ascii="Times New Roman" w:hAnsi="Times New Roman" w:eastAsia="仿宋_GB2312" w:cs="Times New Roman"/>
      <w:color w:val="auto"/>
      <w:sz w:val="28"/>
      <w:szCs w:val="24"/>
    </w:rPr>
  </w:style>
  <w:style w:type="paragraph" w:styleId="70">
    <w:name w:val="table of figures"/>
    <w:basedOn w:val="1"/>
    <w:next w:val="1"/>
    <w:qFormat/>
    <w:uiPriority w:val="0"/>
    <w:pPr>
      <w:widowControl w:val="0"/>
      <w:adjustRightInd w:val="0"/>
      <w:snapToGrid w:val="0"/>
      <w:spacing w:after="0" w:line="600" w:lineRule="exact"/>
      <w:jc w:val="both"/>
      <w:textAlignment w:val="baseline"/>
    </w:pPr>
    <w:rPr>
      <w:rFonts w:ascii="Times New Roman" w:hAnsi="Times New Roman" w:cs="Times New Roman"/>
      <w:smallCaps/>
      <w:color w:val="auto"/>
      <w:kern w:val="0"/>
      <w:sz w:val="28"/>
      <w:szCs w:val="20"/>
    </w:rPr>
  </w:style>
  <w:style w:type="paragraph" w:styleId="71">
    <w:name w:val="toc 2"/>
    <w:next w:val="1"/>
    <w:qFormat/>
    <w:uiPriority w:val="39"/>
    <w:pPr>
      <w:spacing w:line="259" w:lineRule="auto"/>
      <w:ind w:left="210"/>
    </w:pPr>
    <w:rPr>
      <w:rFonts w:ascii="等线" w:hAnsi="Calibri" w:eastAsia="等线" w:cs="Calibri"/>
      <w:smallCaps/>
      <w:color w:val="000000"/>
      <w:kern w:val="2"/>
      <w:lang w:val="en-US" w:eastAsia="zh-CN" w:bidi="ar-SA"/>
    </w:rPr>
  </w:style>
  <w:style w:type="paragraph" w:styleId="72">
    <w:name w:val="toc 9"/>
    <w:basedOn w:val="1"/>
    <w:next w:val="1"/>
    <w:qFormat/>
    <w:uiPriority w:val="39"/>
    <w:pPr>
      <w:spacing w:after="0"/>
      <w:ind w:left="1680"/>
    </w:pPr>
    <w:rPr>
      <w:rFonts w:ascii="等线" w:eastAsia="等线"/>
      <w:sz w:val="18"/>
      <w:szCs w:val="18"/>
    </w:rPr>
  </w:style>
  <w:style w:type="paragraph" w:styleId="73">
    <w:name w:val="Body Text 2"/>
    <w:basedOn w:val="1"/>
    <w:link w:val="178"/>
    <w:qFormat/>
    <w:uiPriority w:val="0"/>
    <w:pPr>
      <w:widowControl w:val="0"/>
      <w:adjustRightInd w:val="0"/>
      <w:spacing w:after="0" w:line="360" w:lineRule="auto"/>
      <w:textAlignment w:val="baseline"/>
    </w:pPr>
    <w:rPr>
      <w:rFonts w:ascii="宋体" w:hAnsi="宋体" w:cs="Times New Roman"/>
      <w:color w:val="0000FF"/>
      <w:kern w:val="0"/>
      <w:sz w:val="28"/>
      <w:szCs w:val="20"/>
    </w:rPr>
  </w:style>
  <w:style w:type="paragraph" w:styleId="74">
    <w:name w:val="List 4"/>
    <w:basedOn w:val="1"/>
    <w:qFormat/>
    <w:uiPriority w:val="0"/>
    <w:pPr>
      <w:widowControl w:val="0"/>
      <w:spacing w:after="0" w:line="240" w:lineRule="auto"/>
      <w:ind w:left="1680" w:hanging="420"/>
      <w:jc w:val="both"/>
    </w:pPr>
    <w:rPr>
      <w:rFonts w:ascii="Times New Roman" w:hAnsi="Times New Roman" w:cs="Times New Roman"/>
      <w:color w:val="auto"/>
      <w:szCs w:val="24"/>
    </w:rPr>
  </w:style>
  <w:style w:type="paragraph" w:styleId="75">
    <w:name w:val="List Continue 2"/>
    <w:basedOn w:val="1"/>
    <w:qFormat/>
    <w:uiPriority w:val="0"/>
    <w:pPr>
      <w:widowControl w:val="0"/>
      <w:spacing w:after="120" w:line="240" w:lineRule="auto"/>
      <w:ind w:left="840"/>
      <w:jc w:val="both"/>
    </w:pPr>
    <w:rPr>
      <w:rFonts w:ascii="Times New Roman" w:hAnsi="Times New Roman" w:cs="Times New Roman"/>
      <w:color w:val="auto"/>
      <w:szCs w:val="24"/>
    </w:rPr>
  </w:style>
  <w:style w:type="paragraph" w:styleId="76">
    <w:name w:val="Message Header"/>
    <w:basedOn w:val="1"/>
    <w:link w:val="179"/>
    <w:qFormat/>
    <w:uiPriority w:val="0"/>
    <w:pPr>
      <w:widowControl w:val="0"/>
      <w:pBdr>
        <w:top w:val="single" w:color="auto" w:sz="6" w:space="1"/>
        <w:left w:val="single" w:color="auto" w:sz="6" w:space="1"/>
        <w:bottom w:val="single" w:color="auto" w:sz="6" w:space="1"/>
        <w:right w:val="single" w:color="auto" w:sz="6" w:space="1"/>
      </w:pBdr>
      <w:shd w:val="pct20" w:color="auto" w:fill="auto"/>
      <w:adjustRightInd w:val="0"/>
      <w:snapToGrid w:val="0"/>
      <w:spacing w:after="0" w:line="240" w:lineRule="auto"/>
      <w:ind w:left="1080" w:leftChars="500" w:hanging="1080" w:hangingChars="500"/>
      <w:jc w:val="both"/>
    </w:pPr>
    <w:rPr>
      <w:rFonts w:ascii="Arial" w:hAnsi="Arial" w:cs="Arial"/>
      <w:color w:val="auto"/>
      <w:sz w:val="24"/>
      <w:szCs w:val="24"/>
    </w:rPr>
  </w:style>
  <w:style w:type="paragraph" w:styleId="77">
    <w:name w:val="HTML Preformatted"/>
    <w:basedOn w:val="1"/>
    <w:link w:val="180"/>
    <w:qFormat/>
    <w:uiPriority w:val="0"/>
    <w:pPr>
      <w:widowControl w:val="0"/>
      <w:spacing w:after="0" w:line="240" w:lineRule="auto"/>
      <w:jc w:val="both"/>
    </w:pPr>
    <w:rPr>
      <w:rFonts w:ascii="Courier New" w:hAnsi="Courier New" w:cs="Courier New"/>
      <w:color w:val="auto"/>
      <w:sz w:val="20"/>
      <w:szCs w:val="20"/>
    </w:rPr>
  </w:style>
  <w:style w:type="paragraph" w:styleId="78">
    <w:name w:val="Normal (Web)"/>
    <w:basedOn w:val="1"/>
    <w:qFormat/>
    <w:uiPriority w:val="99"/>
    <w:pPr>
      <w:spacing w:before="100" w:beforeAutospacing="1" w:after="100" w:afterAutospacing="1" w:line="240" w:lineRule="auto"/>
    </w:pPr>
    <w:rPr>
      <w:rFonts w:ascii="宋体" w:hAnsi="宋体" w:cs="Times New Roman"/>
      <w:color w:val="auto"/>
      <w:kern w:val="0"/>
      <w:sz w:val="24"/>
      <w:szCs w:val="24"/>
    </w:rPr>
  </w:style>
  <w:style w:type="paragraph" w:styleId="79">
    <w:name w:val="List Continue 3"/>
    <w:basedOn w:val="1"/>
    <w:qFormat/>
    <w:uiPriority w:val="0"/>
    <w:pPr>
      <w:widowControl w:val="0"/>
      <w:spacing w:after="120" w:line="240" w:lineRule="auto"/>
      <w:ind w:left="1260"/>
      <w:jc w:val="both"/>
    </w:pPr>
    <w:rPr>
      <w:rFonts w:ascii="Times New Roman" w:hAnsi="Times New Roman" w:cs="Times New Roman"/>
      <w:color w:val="auto"/>
      <w:szCs w:val="24"/>
    </w:rPr>
  </w:style>
  <w:style w:type="paragraph" w:styleId="80">
    <w:name w:val="index 2"/>
    <w:basedOn w:val="1"/>
    <w:next w:val="1"/>
    <w:qFormat/>
    <w:uiPriority w:val="0"/>
    <w:pPr>
      <w:widowControl w:val="0"/>
      <w:adjustRightInd w:val="0"/>
      <w:spacing w:after="0" w:line="460" w:lineRule="exact"/>
      <w:ind w:left="420"/>
      <w:textAlignment w:val="baseline"/>
    </w:pPr>
    <w:rPr>
      <w:rFonts w:ascii="Times New Roman" w:hAnsi="Times New Roman" w:cs="Times New Roman"/>
      <w:color w:val="auto"/>
      <w:kern w:val="0"/>
      <w:sz w:val="24"/>
      <w:szCs w:val="20"/>
    </w:rPr>
  </w:style>
  <w:style w:type="paragraph" w:styleId="81">
    <w:name w:val="Title"/>
    <w:basedOn w:val="1"/>
    <w:next w:val="1"/>
    <w:link w:val="181"/>
    <w:qFormat/>
    <w:uiPriority w:val="0"/>
    <w:pPr>
      <w:widowControl w:val="0"/>
      <w:spacing w:before="240" w:after="60" w:line="240" w:lineRule="auto"/>
      <w:jc w:val="center"/>
      <w:outlineLvl w:val="0"/>
    </w:pPr>
    <w:rPr>
      <w:rFonts w:ascii="Arial" w:hAnsi="Arial" w:cs="Times New Roman"/>
      <w:b/>
      <w:color w:val="auto"/>
      <w:sz w:val="32"/>
      <w:szCs w:val="20"/>
    </w:rPr>
  </w:style>
  <w:style w:type="paragraph" w:styleId="82">
    <w:name w:val="annotation subject"/>
    <w:basedOn w:val="26"/>
    <w:next w:val="26"/>
    <w:link w:val="182"/>
    <w:qFormat/>
    <w:uiPriority w:val="0"/>
    <w:rPr>
      <w:b/>
      <w:bCs/>
    </w:rPr>
  </w:style>
  <w:style w:type="paragraph" w:styleId="83">
    <w:name w:val="Body Text First Indent"/>
    <w:basedOn w:val="32"/>
    <w:link w:val="183"/>
    <w:qFormat/>
    <w:uiPriority w:val="0"/>
    <w:pPr>
      <w:snapToGrid w:val="0"/>
      <w:spacing w:after="120" w:line="240" w:lineRule="auto"/>
      <w:ind w:firstLine="420"/>
      <w:textAlignment w:val="auto"/>
    </w:pPr>
    <w:rPr>
      <w:rFonts w:ascii="Times New Roman"/>
      <w:kern w:val="2"/>
      <w:sz w:val="24"/>
    </w:rPr>
  </w:style>
  <w:style w:type="paragraph" w:styleId="84">
    <w:name w:val="Body Text First Indent 2"/>
    <w:basedOn w:val="33"/>
    <w:link w:val="184"/>
    <w:qFormat/>
    <w:uiPriority w:val="0"/>
    <w:pPr>
      <w:adjustRightInd/>
      <w:snapToGrid/>
      <w:spacing w:line="360" w:lineRule="auto"/>
      <w:ind w:firstLine="471" w:firstLineChars="200"/>
      <w:textAlignment w:val="auto"/>
    </w:pPr>
    <w:rPr>
      <w:rFonts w:hint="eastAsia" w:hAnsi="Times New Roman"/>
      <w:kern w:val="2"/>
    </w:rPr>
  </w:style>
  <w:style w:type="table" w:styleId="86">
    <w:name w:val="Table Grid"/>
    <w:basedOn w:val="85"/>
    <w:qFormat/>
    <w:uiPriority w:val="0"/>
    <w:pPr>
      <w:widowControl w:val="0"/>
      <w:adjustRightInd w:val="0"/>
      <w:spacing w:line="312" w:lineRule="atLeast"/>
      <w:jc w:val="both"/>
      <w:textAlignment w:val="baseline"/>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7">
    <w:name w:val="Table Theme"/>
    <w:basedOn w:val="85"/>
    <w:semiHidden/>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88">
    <w:name w:val="Table Colorful 1"/>
    <w:basedOn w:val="85"/>
    <w:semiHidden/>
    <w:qFormat/>
    <w:uiPriority w:val="0"/>
    <w:pPr>
      <w:widowControl w:val="0"/>
      <w:jc w:val="both"/>
    </w:pPr>
    <w:rPr>
      <w:color w:val="FFFFFF"/>
    </w:rPr>
    <w:tblPr>
      <w:tblBorders>
        <w:top w:val="single" w:color="008080" w:sz="12" w:space="0"/>
        <w:left w:val="single" w:color="008080" w:sz="12" w:space="0"/>
        <w:bottom w:val="single" w:color="008080" w:sz="12" w:space="0"/>
        <w:right w:val="single" w:color="008080" w:sz="12" w:space="0"/>
        <w:insideH w:val="single" w:color="00FFFF" w:sz="6" w:space="0"/>
      </w:tblBorders>
    </w:tblPr>
    <w:tcPr>
      <w:shd w:val="solid" w:color="008080" w:fill="FFFFFF"/>
    </w:tcPr>
    <w:tblStylePr w:type="firstRow">
      <w:rPr>
        <w:b/>
        <w:bCs/>
        <w:i/>
        <w:iCs/>
      </w:rPr>
      <w:tblPr/>
      <w:tcPr>
        <w:tcBorders>
          <w:top w:val="nil"/>
          <w:left w:val="nil"/>
          <w:bottom w:val="nil"/>
          <w:right w:val="nil"/>
          <w:insideH w:val="nil"/>
          <w:insideV w:val="nil"/>
          <w:tl2br w:val="nil"/>
          <w:tr2bl w:val="nil"/>
        </w:tcBorders>
        <w:shd w:val="solid" w:color="000000" w:fill="FFFFFF"/>
      </w:tcPr>
    </w:tblStylePr>
    <w:tblStylePr w:type="firstCol">
      <w:rPr>
        <w:b/>
        <w:bCs/>
        <w:i/>
        <w:iCs/>
      </w:rPr>
      <w:tblPr/>
      <w:tcPr>
        <w:tcBorders>
          <w:top w:val="nil"/>
          <w:left w:val="nil"/>
          <w:bottom w:val="nil"/>
          <w:right w:val="nil"/>
          <w:insideH w:val="nil"/>
          <w:insideV w:val="nil"/>
          <w:tl2br w:val="nil"/>
          <w:tr2bl w:val="nil"/>
        </w:tcBorders>
        <w:shd w:val="solid" w:color="000080" w:fill="FFFFFF"/>
      </w:tcPr>
    </w:tblStylePr>
    <w:tblStylePr w:type="nwCell">
      <w:tblPr/>
      <w:tcPr>
        <w:tcBorders>
          <w:top w:val="nil"/>
          <w:left w:val="nil"/>
          <w:bottom w:val="nil"/>
          <w:right w:val="nil"/>
          <w:insideH w:val="nil"/>
          <w:insideV w:val="nil"/>
          <w:tl2br w:val="nil"/>
          <w:tr2bl w:val="nil"/>
        </w:tcBorders>
        <w:shd w:val="solid" w:color="00000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89">
    <w:name w:val="Table Colorful 2"/>
    <w:basedOn w:val="85"/>
    <w:semiHidden/>
    <w:qFormat/>
    <w:uiPriority w:val="0"/>
    <w:pPr>
      <w:widowControl w:val="0"/>
      <w:jc w:val="both"/>
    </w:pPr>
    <w:tblPr>
      <w:tblBorders>
        <w:bottom w:val="single" w:color="000000" w:sz="12" w:space="0"/>
      </w:tblBorders>
    </w:tblPr>
    <w:tcPr>
      <w:shd w:val="pct20" w:color="FFFF00" w:fill="FFFFFF"/>
    </w:tcPr>
    <w:tblStylePr w:type="firstRow">
      <w:rPr>
        <w:b/>
        <w:bCs/>
        <w:i/>
        <w:iCs/>
        <w:color w:val="FFFFFF"/>
      </w:rPr>
      <w:tblPr/>
      <w:tcPr>
        <w:tcBorders>
          <w:top w:val="nil"/>
          <w:left w:val="single" w:color="000000" w:sz="12" w:space="0"/>
          <w:bottom w:val="nil"/>
          <w:right w:val="nil"/>
          <w:insideH w:val="nil"/>
          <w:insideV w:val="nil"/>
          <w:tl2br w:val="nil"/>
          <w:tr2bl w:val="nil"/>
        </w:tcBorders>
        <w:shd w:val="solid" w:color="800000" w:fill="FFFFFF"/>
      </w:tcPr>
    </w:tblStylePr>
    <w:tblStylePr w:type="firstCol">
      <w:rPr>
        <w:b/>
        <w:bCs/>
        <w:i/>
        <w:iCs/>
      </w:rPr>
      <w:tblPr/>
      <w:tcPr>
        <w:tcBorders>
          <w:top w:val="nil"/>
          <w:left w:val="nil"/>
          <w:bottom w:val="nil"/>
          <w:right w:val="nil"/>
          <w:insideH w:val="nil"/>
          <w:insideV w:val="nil"/>
          <w:tl2br w:val="nil"/>
          <w:tr2bl w:val="nil"/>
        </w:tcBorders>
      </w:tcPr>
    </w:tblStylePr>
    <w:tblStylePr w:type="lastCol">
      <w:tblPr/>
      <w:tcPr>
        <w:tcBorders>
          <w:top w:val="nil"/>
          <w:left w:val="nil"/>
          <w:bottom w:val="nil"/>
          <w:right w:val="nil"/>
          <w:insideH w:val="nil"/>
          <w:insideV w:val="nil"/>
          <w:tl2br w:val="nil"/>
          <w:tr2bl w:val="nil"/>
        </w:tcBorders>
        <w:shd w:val="solid" w:color="C0C0C0" w:fill="FFFFFF"/>
      </w:tcPr>
    </w:tblStylePr>
    <w:tblStylePr w:type="swCell">
      <w:rPr>
        <w:b/>
        <w:bCs/>
        <w:i w:val="0"/>
        <w:iCs w:val="0"/>
      </w:rPr>
      <w:tblPr/>
      <w:tcPr>
        <w:tcBorders>
          <w:top w:val="nil"/>
          <w:left w:val="nil"/>
          <w:bottom w:val="nil"/>
          <w:right w:val="nil"/>
          <w:insideH w:val="nil"/>
          <w:insideV w:val="nil"/>
          <w:tl2br w:val="nil"/>
          <w:tr2bl w:val="nil"/>
        </w:tcBorders>
      </w:tcPr>
    </w:tblStylePr>
  </w:style>
  <w:style w:type="table" w:styleId="90">
    <w:name w:val="Table Colorful 3"/>
    <w:basedOn w:val="85"/>
    <w:semiHidden/>
    <w:qFormat/>
    <w:uiPriority w:val="0"/>
    <w:pPr>
      <w:widowControl w:val="0"/>
      <w:jc w:val="both"/>
    </w:pPr>
    <w:tblPr>
      <w:tblBorders>
        <w:top w:val="single" w:color="000000" w:sz="18" w:space="0"/>
        <w:left w:val="single" w:color="000000" w:sz="18" w:space="0"/>
        <w:bottom w:val="single" w:color="000000" w:sz="18" w:space="0"/>
        <w:right w:val="single" w:color="000000" w:sz="18" w:space="0"/>
        <w:insideH w:val="single" w:color="C0C0C0" w:sz="6" w:space="0"/>
      </w:tblBorders>
    </w:tblPr>
    <w:tcPr>
      <w:shd w:val="pct25" w:color="008080" w:fill="FFFFFF"/>
    </w:tcPr>
    <w:tblStylePr w:type="firstRow">
      <w:tblPr/>
      <w:tcPr>
        <w:tcBorders>
          <w:top w:val="nil"/>
          <w:left w:val="single" w:color="000000" w:sz="6" w:space="0"/>
          <w:bottom w:val="nil"/>
          <w:right w:val="nil"/>
          <w:insideH w:val="nil"/>
          <w:insideV w:val="nil"/>
          <w:tl2br w:val="nil"/>
          <w:tr2bl w:val="nil"/>
        </w:tcBorders>
        <w:shd w:val="solid" w:color="008080" w:fill="FFFFFF"/>
      </w:tcPr>
    </w:tblStylePr>
    <w:tblStylePr w:type="firstCol">
      <w:tblPr/>
      <w:tcPr>
        <w:tcBorders>
          <w:top w:val="nil"/>
          <w:left w:val="nil"/>
          <w:bottom w:val="single" w:color="000000" w:sz="36" w:space="0"/>
          <w:right w:val="single" w:color="000000" w:sz="6" w:space="0"/>
          <w:insideH w:val="nil"/>
          <w:insideV w:val="nil"/>
          <w:tl2br w:val="nil"/>
          <w:tr2bl w:val="nil"/>
        </w:tcBorders>
        <w:shd w:val="solid" w:color="008080" w:fill="FFFFFF"/>
      </w:tcPr>
    </w:tblStylePr>
    <w:tblStylePr w:type="nwCell">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1">
    <w:name w:val="Table Elegant"/>
    <w:basedOn w:val="85"/>
    <w:semiHidden/>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92">
    <w:name w:val="Table Classic 1"/>
    <w:basedOn w:val="85"/>
    <w:semiHidden/>
    <w:qFormat/>
    <w:uiPriority w:val="0"/>
    <w:pPr>
      <w:widowControl w:val="0"/>
      <w:jc w:val="both"/>
    </w:pPr>
    <w:tblPr>
      <w:tblBorders>
        <w:top w:val="single" w:color="000000" w:sz="12" w:space="0"/>
        <w:bottom w:val="single" w:color="000000" w:sz="12" w:space="0"/>
      </w:tblBorders>
    </w:tblPr>
    <w:tcPr>
      <w:shd w:val="clear" w:color="auto" w:fill="auto"/>
    </w:tcPr>
    <w:tblStylePr w:type="firstRow">
      <w:rPr>
        <w:i/>
        <w:i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tblPr/>
      <w:tcPr>
        <w:tcBorders>
          <w:top w:val="nil"/>
          <w:left w:val="nil"/>
          <w:bottom w:val="nil"/>
          <w:right w:val="single" w:color="000000" w:sz="6" w:space="0"/>
          <w:insideH w:val="nil"/>
          <w:insideV w:val="nil"/>
          <w:tl2br w:val="nil"/>
          <w:tr2bl w:val="nil"/>
        </w:tcBorders>
      </w:tcPr>
    </w:tblStylePr>
    <w:tblStylePr w:type="neCell">
      <w:rPr>
        <w:b/>
        <w:bCs/>
        <w:i w:val="0"/>
        <w:iCs w:val="0"/>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3">
    <w:name w:val="Table Classic 2"/>
    <w:basedOn w:val="85"/>
    <w:semiHidden/>
    <w:qFormat/>
    <w:uiPriority w:val="0"/>
    <w:pPr>
      <w:widowControl w:val="0"/>
      <w:jc w:val="both"/>
    </w:pPr>
    <w:tblPr>
      <w:tblBorders>
        <w:top w:val="single" w:color="000000" w:sz="12" w:space="0"/>
        <w:bottom w:val="single" w:color="000000" w:sz="12" w:space="0"/>
      </w:tblBorders>
    </w:tblPr>
    <w:tcPr>
      <w:shd w:val="clear" w:color="auto" w:fill="auto"/>
    </w:tcPr>
    <w:tblStylePr w:type="firstRow">
      <w:rPr>
        <w:color w:val="FFFFFF"/>
      </w:rPr>
      <w:tblPr/>
      <w:tcPr>
        <w:tcBorders>
          <w:top w:val="nil"/>
          <w:left w:val="single" w:color="000000" w:sz="6" w:space="0"/>
          <w:bottom w:val="nil"/>
          <w:right w:val="nil"/>
          <w:insideH w:val="nil"/>
          <w:insideV w:val="nil"/>
          <w:tl2br w:val="nil"/>
          <w:tr2bl w:val="nil"/>
        </w:tcBorders>
        <w:shd w:val="solid" w:color="800080" w:fill="FFFFFF"/>
      </w:tcPr>
    </w:tblStylePr>
    <w:tblStylePr w:type="lastRow">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shd w:val="solid" w:color="C0C0C0" w:fill="FFFFFF"/>
      </w:tcPr>
    </w:tblStylePr>
    <w:tblStylePr w:type="neCel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shd w:val="solid" w:color="800080" w:fill="FFFFFF"/>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4">
    <w:name w:val="Table Classic 3"/>
    <w:basedOn w:val="85"/>
    <w:semiHidden/>
    <w:qFormat/>
    <w:uiPriority w:val="0"/>
    <w:pPr>
      <w:widowControl w:val="0"/>
      <w:jc w:val="both"/>
    </w:pPr>
    <w:rPr>
      <w:color w:val="000080"/>
    </w:rPr>
    <w:tblPr>
      <w:tblBorders>
        <w:top w:val="single" w:color="000000" w:sz="12" w:space="0"/>
        <w:left w:val="single" w:color="000000" w:sz="12" w:space="0"/>
        <w:bottom w:val="single" w:color="000000" w:sz="12" w:space="0"/>
        <w:right w:val="single" w:color="000000" w:sz="12" w:space="0"/>
      </w:tblBorders>
    </w:tblPr>
    <w:tcPr>
      <w:shd w:val="solid" w:color="C0C0C0" w:fill="FFFFFF"/>
    </w:tcPr>
    <w:tblStylePr w:type="firstRow">
      <w:rPr>
        <w:b/>
        <w:bCs/>
        <w:i/>
        <w:iCs/>
        <w:color w:val="FFFFFF"/>
      </w:rPr>
      <w:tblPr/>
      <w:tcPr>
        <w:tcBorders>
          <w:top w:val="nil"/>
          <w:left w:val="single" w:color="000000" w:sz="6" w:space="0"/>
          <w:bottom w:val="nil"/>
          <w:right w:val="nil"/>
          <w:insideH w:val="nil"/>
          <w:insideV w:val="nil"/>
          <w:tl2br w:val="nil"/>
          <w:tr2bl w:val="nil"/>
        </w:tcBorders>
        <w:shd w:val="solid" w:color="000080" w:fill="FFFFFF"/>
      </w:tcPr>
    </w:tblStylePr>
    <w:tblStylePr w:type="lastRow">
      <w:rPr>
        <w:color w:val="000080"/>
      </w:rPr>
      <w:tblPr/>
      <w:tcPr>
        <w:tcBorders>
          <w:top w:val="single" w:color="000000" w:sz="12" w:space="0"/>
          <w:left w:val="nil"/>
          <w:bottom w:val="nil"/>
          <w:right w:val="nil"/>
          <w:insideH w:val="nil"/>
          <w:insideV w:val="nil"/>
          <w:tl2br w:val="nil"/>
          <w:tr2bl w:val="nil"/>
        </w:tcBorders>
        <w:shd w:val="solid" w:color="FFFFFF" w:fill="FFFFFF"/>
      </w:tcPr>
    </w:tblStylePr>
    <w:tblStylePr w:type="firstCol">
      <w:rPr>
        <w:b/>
        <w:bCs/>
        <w:color w:val="000000"/>
      </w:rPr>
      <w:tblPr/>
      <w:tcPr>
        <w:tcBorders>
          <w:top w:val="nil"/>
          <w:left w:val="nil"/>
          <w:bottom w:val="nil"/>
          <w:right w:val="nil"/>
          <w:insideH w:val="nil"/>
          <w:insideV w:val="nil"/>
          <w:tl2br w:val="nil"/>
          <w:tr2bl w:val="nil"/>
        </w:tcBorders>
      </w:tcPr>
    </w:tblStylePr>
  </w:style>
  <w:style w:type="table" w:styleId="95">
    <w:name w:val="Table Classic 4"/>
    <w:basedOn w:val="85"/>
    <w:semiHidden/>
    <w:qFormat/>
    <w:uiPriority w:val="0"/>
    <w:pPr>
      <w:widowControl w:val="0"/>
      <w:jc w:val="both"/>
    </w:pPr>
    <w:tblPr>
      <w:tblBorders>
        <w:top w:val="single" w:color="000000" w:sz="12" w:space="0"/>
        <w:left w:val="single" w:color="000000" w:sz="6" w:space="0"/>
        <w:bottom w:val="single" w:color="000000" w:sz="12" w:space="0"/>
        <w:right w:val="single" w:color="000000" w:sz="6" w:space="0"/>
      </w:tblBorders>
    </w:tblPr>
    <w:tcPr>
      <w:shd w:val="clear" w:color="auto" w:fill="auto"/>
    </w:tcPr>
    <w:tblStylePr w:type="firstRow">
      <w:rPr>
        <w:b/>
        <w:bCs/>
        <w:i/>
        <w:iCs/>
        <w:color w:val="FFFFFF"/>
      </w:rPr>
      <w:tblPr/>
      <w:tcPr>
        <w:tcBorders>
          <w:top w:val="nil"/>
          <w:left w:val="single" w:color="000000" w:sz="6" w:space="0"/>
          <w:bottom w:val="nil"/>
          <w:right w:val="nil"/>
          <w:insideH w:val="nil"/>
          <w:insideV w:val="nil"/>
          <w:tl2br w:val="nil"/>
          <w:tr2bl w:val="nil"/>
        </w:tcBorders>
        <w:shd w:val="pct50" w:color="000080" w:fill="FFFFFF"/>
      </w:tcPr>
    </w:tblStylePr>
    <w:tblStylePr w:type="lastRow">
      <w:rPr>
        <w:color w:val="000080"/>
      </w:rPr>
      <w:tblPr/>
      <w:tcPr>
        <w:tcBorders>
          <w:top w:val="nil"/>
          <w:left w:val="single" w:color="000000" w:sz="6" w:space="0"/>
          <w:bottom w:val="nil"/>
          <w:right w:val="nil"/>
          <w:insideH w:val="nil"/>
          <w:insideV w:val="nil"/>
          <w:tl2br w:val="nil"/>
          <w:tr2bl w:val="nil"/>
        </w:tcBorders>
        <w:shd w:val="pct50" w:color="000000" w:fill="FFFFFF"/>
      </w:tcPr>
    </w:tblStylePr>
    <w:tblStylePr w:type="firstCol">
      <w:rPr>
        <w:b/>
        <w:bCs/>
      </w:rPr>
      <w:tblPr/>
      <w:tcPr>
        <w:tcBorders>
          <w:top w:val="nil"/>
          <w:left w:val="nil"/>
          <w:bottom w:val="nil"/>
          <w:right w:val="nil"/>
          <w:insideH w:val="nil"/>
          <w:insideV w:val="nil"/>
          <w:tl2br w:val="nil"/>
          <w:tr2bl w:val="nil"/>
        </w:tcBorders>
      </w:tcPr>
    </w:tblStylePr>
    <w:tblStylePr w:type="nwCell">
      <w:rPr>
        <w:b/>
        <w:bCs/>
      </w:rPr>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96">
    <w:name w:val="Table Simple 1"/>
    <w:basedOn w:val="85"/>
    <w:semiHidden/>
    <w:qFormat/>
    <w:uiPriority w:val="0"/>
    <w:pPr>
      <w:widowControl w:val="0"/>
      <w:jc w:val="both"/>
    </w:pPr>
    <w:tblPr>
      <w:tblBorders>
        <w:top w:val="single" w:color="008000" w:sz="12" w:space="0"/>
        <w:bottom w:val="single" w:color="008000" w:sz="12" w:space="0"/>
      </w:tblBorders>
    </w:tblPr>
    <w:tcPr>
      <w:shd w:val="clear" w:color="auto" w:fill="auto"/>
    </w:tcPr>
    <w:tblStylePr w:type="firstRow">
      <w:tblPr/>
      <w:tcPr>
        <w:tcBorders>
          <w:top w:val="nil"/>
          <w:left w:val="single" w:color="008000" w:sz="6" w:space="0"/>
          <w:bottom w:val="nil"/>
          <w:right w:val="nil"/>
          <w:insideH w:val="nil"/>
          <w:insideV w:val="nil"/>
          <w:tl2br w:val="nil"/>
          <w:tr2bl w:val="nil"/>
        </w:tcBorders>
      </w:tcPr>
    </w:tblStylePr>
    <w:tblStylePr w:type="lastRow">
      <w:tblPr/>
      <w:tcPr>
        <w:tcBorders>
          <w:top w:val="single" w:color="008000" w:sz="6" w:space="0"/>
          <w:left w:val="nil"/>
          <w:bottom w:val="nil"/>
          <w:right w:val="nil"/>
          <w:insideH w:val="nil"/>
          <w:insideV w:val="nil"/>
          <w:tl2br w:val="nil"/>
          <w:tr2bl w:val="nil"/>
        </w:tcBorders>
      </w:tcPr>
    </w:tblStylePr>
  </w:style>
  <w:style w:type="table" w:styleId="97">
    <w:name w:val="Table Simple 2"/>
    <w:basedOn w:val="85"/>
    <w:semiHidden/>
    <w:qFormat/>
    <w:uiPriority w:val="0"/>
    <w:pPr>
      <w:widowControl w:val="0"/>
      <w:jc w:val="both"/>
    </w:pPr>
    <w:tblPr/>
    <w:tblStylePr w:type="firstRow">
      <w:rPr>
        <w:b/>
        <w:bCs/>
      </w:rPr>
      <w:tblPr/>
      <w:tcPr>
        <w:tcBorders>
          <w:top w:val="nil"/>
          <w:left w:val="single" w:color="000000" w:sz="12" w:space="0"/>
          <w:bottom w:val="nil"/>
          <w:right w:val="nil"/>
          <w:insideH w:val="nil"/>
          <w:insideV w:val="nil"/>
          <w:tl2br w:val="nil"/>
          <w:tr2bl w:val="nil"/>
        </w:tcBorders>
      </w:tcPr>
    </w:tblStylePr>
    <w:tblStylePr w:type="lastRow">
      <w:rPr>
        <w:b/>
        <w:bCs/>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lastCol">
      <w:rPr>
        <w:b/>
        <w:bCs/>
      </w:rPr>
      <w:tblPr/>
      <w:tcPr>
        <w:tcBorders>
          <w:top w:val="nil"/>
          <w:left w:val="nil"/>
          <w:bottom w:val="single" w:color="000000" w:sz="6" w:space="0"/>
          <w:right w:val="nil"/>
          <w:insideH w:val="nil"/>
          <w:insideV w:val="nil"/>
          <w:tl2br w:val="nil"/>
          <w:tr2bl w:val="nil"/>
        </w:tcBorders>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98">
    <w:name w:val="Table Simple 3"/>
    <w:basedOn w:val="85"/>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00" w:fill="FFFFFF"/>
      </w:tcPr>
    </w:tblStylePr>
  </w:style>
  <w:style w:type="table" w:styleId="99">
    <w:name w:val="Table Subtle 1"/>
    <w:basedOn w:val="85"/>
    <w:semiHidden/>
    <w:qFormat/>
    <w:uiPriority w:val="0"/>
    <w:pPr>
      <w:widowControl w:val="0"/>
      <w:jc w:val="both"/>
    </w:pPr>
    <w:tblPr>
      <w:tblStyleRowBandSize w:val="1"/>
    </w:tblPr>
    <w:tblStylePr w:type="firstRow">
      <w:tblPr/>
      <w:tcPr>
        <w:tcBorders>
          <w:top w:val="single" w:color="000000" w:sz="6" w:space="0"/>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shd w:val="pct25" w:color="800080" w:fill="FFFFFF"/>
      </w:tcPr>
    </w:tblStylePr>
    <w:tblStylePr w:type="firstCol">
      <w:tblPr/>
      <w:tcPr>
        <w:tcBorders>
          <w:top w:val="nil"/>
          <w:left w:val="nil"/>
          <w:bottom w:val="nil"/>
          <w:right w:val="single" w:color="000000" w:sz="12" w:space="0"/>
          <w:insideH w:val="nil"/>
          <w:insideV w:val="nil"/>
          <w:tl2br w:val="nil"/>
          <w:tr2bl w:val="nil"/>
        </w:tcBorders>
      </w:tcPr>
    </w:tblStylePr>
    <w:tblStylePr w:type="lastCol">
      <w:tblPr/>
      <w:tcPr>
        <w:tcBorders>
          <w:top w:val="nil"/>
          <w:left w:val="nil"/>
          <w:bottom w:val="single" w:color="000000" w:sz="12" w:space="0"/>
          <w:right w:val="nil"/>
          <w:insideH w:val="nil"/>
          <w:insideV w:val="nil"/>
          <w:tl2br w:val="nil"/>
          <w:tr2bl w:val="nil"/>
        </w:tcBorders>
      </w:tcPr>
    </w:tblStylePr>
    <w:tblStylePr w:type="band1Horz">
      <w:tblPr/>
      <w:tcPr>
        <w:tcBorders>
          <w:top w:val="nil"/>
          <w:left w:val="single" w:color="000000" w:sz="6" w:space="0"/>
          <w:bottom w:val="nil"/>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0">
    <w:name w:val="Table Subtle 2"/>
    <w:basedOn w:val="85"/>
    <w:semiHidden/>
    <w:qFormat/>
    <w:uiPriority w:val="0"/>
    <w:pPr>
      <w:widowControl w:val="0"/>
      <w:jc w:val="both"/>
    </w:pPr>
    <w:tblPr>
      <w:tblBorders>
        <w:left w:val="single" w:color="000000" w:sz="6" w:space="0"/>
        <w:right w:val="single" w:color="000000" w:sz="6" w:space="0"/>
      </w:tblBorders>
    </w:tblPr>
    <w:tblStylePr w:type="firstRow">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firstCol">
      <w:tblPr/>
      <w:tcPr>
        <w:tcBorders>
          <w:top w:val="nil"/>
          <w:left w:val="nil"/>
          <w:bottom w:val="nil"/>
          <w:right w:val="single" w:color="000000" w:sz="12" w:space="0"/>
          <w:insideH w:val="nil"/>
          <w:insideV w:val="nil"/>
          <w:tl2br w:val="nil"/>
          <w:tr2bl w:val="nil"/>
        </w:tcBorders>
        <w:shd w:val="pct25" w:color="008000" w:fill="FFFFFF"/>
      </w:tcPr>
    </w:tblStylePr>
    <w:tblStylePr w:type="lastCol">
      <w:tblPr/>
      <w:tcPr>
        <w:tcBorders>
          <w:top w:val="nil"/>
          <w:left w:val="nil"/>
          <w:bottom w:val="single" w:color="000000" w:sz="12" w:space="0"/>
          <w:right w:val="nil"/>
          <w:insideH w:val="nil"/>
          <w:insideV w:val="nil"/>
          <w:tl2br w:val="nil"/>
          <w:tr2bl w:val="nil"/>
        </w:tcBorders>
        <w:shd w:val="pct25" w:color="8080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1">
    <w:name w:val="Table 3D effects 1"/>
    <w:basedOn w:val="85"/>
    <w:semiHidden/>
    <w:qFormat/>
    <w:uiPriority w:val="0"/>
    <w:pPr>
      <w:widowControl w:val="0"/>
      <w:jc w:val="both"/>
    </w:pPr>
    <w:tblPr/>
    <w:tcPr>
      <w:shd w:val="solid" w:color="C0C0C0" w:fill="FFFFFF"/>
    </w:tcPr>
    <w:tblStylePr w:type="firstRow">
      <w:rPr>
        <w:b/>
        <w:bCs/>
        <w:color w:val="800080"/>
      </w:rPr>
      <w:tblPr/>
      <w:tcPr>
        <w:tcBorders>
          <w:top w:val="nil"/>
          <w:left w:val="single" w:color="808080" w:sz="6" w:space="0"/>
          <w:bottom w:val="nil"/>
          <w:right w:val="nil"/>
          <w:insideH w:val="nil"/>
          <w:insideV w:val="nil"/>
          <w:tl2br w:val="nil"/>
          <w:tr2bl w:val="nil"/>
        </w:tcBorders>
      </w:tcPr>
    </w:tblStylePr>
    <w:tblStylePr w:type="lastRow">
      <w:tblPr/>
      <w:tcPr>
        <w:tcBorders>
          <w:top w:val="single" w:color="FFFFFF" w:sz="6" w:space="0"/>
          <w:left w:val="nil"/>
          <w:bottom w:val="nil"/>
          <w:right w:val="nil"/>
          <w:insideH w:val="nil"/>
          <w:insideV w:val="nil"/>
          <w:tl2br w:val="nil"/>
          <w:tr2bl w:val="nil"/>
        </w:tcBorders>
      </w:tcPr>
    </w:tblStylePr>
    <w:tblStylePr w:type="firstCol">
      <w:rPr>
        <w:b/>
        <w:bCs/>
      </w:rPr>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single" w:color="FFFFFF" w:sz="6" w:space="0"/>
          <w:right w:val="nil"/>
          <w:insideH w:val="nil"/>
          <w:insideV w:val="nil"/>
          <w:tl2br w:val="nil"/>
          <w:tr2bl w:val="nil"/>
        </w:tcBorders>
      </w:tcPr>
    </w:tblStylePr>
    <w:tblStylePr w:type="neCell">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nil"/>
          <w:tr2bl w:val="nil"/>
        </w:tcBorders>
      </w:tcPr>
    </w:tblStylePr>
    <w:tblStylePr w:type="seCell">
      <w:tblPr/>
      <w:tcPr>
        <w:tcBorders>
          <w:top w:val="nil"/>
          <w:left w:val="nil"/>
          <w:bottom w:val="nil"/>
          <w:right w:val="nil"/>
          <w:insideH w:val="nil"/>
          <w:insideV w:val="nil"/>
          <w:tl2br w:val="nil"/>
          <w:tr2bl w:val="nil"/>
        </w:tcBorders>
      </w:tcPr>
    </w:tblStylePr>
    <w:tblStylePr w:type="swCell">
      <w:rPr>
        <w:color w:val="000080"/>
      </w:rPr>
      <w:tblPr/>
      <w:tcPr>
        <w:tcBorders>
          <w:top w:val="nil"/>
          <w:left w:val="nil"/>
          <w:bottom w:val="nil"/>
          <w:right w:val="nil"/>
          <w:insideH w:val="nil"/>
          <w:insideV w:val="nil"/>
          <w:tl2br w:val="nil"/>
          <w:tr2bl w:val="nil"/>
        </w:tcBorders>
      </w:tcPr>
    </w:tblStylePr>
  </w:style>
  <w:style w:type="table" w:styleId="102">
    <w:name w:val="Table 3D effects 2"/>
    <w:basedOn w:val="85"/>
    <w:semiHidden/>
    <w:qFormat/>
    <w:uiPriority w:val="0"/>
    <w:pPr>
      <w:widowControl w:val="0"/>
      <w:jc w:val="both"/>
    </w:pPr>
    <w:tblPr>
      <w:tblStyleRowBandSize w:val="1"/>
    </w:tblPr>
    <w:tcPr>
      <w:shd w:val="solid" w:color="C0C0C0" w:fill="FFFFFF"/>
    </w:tc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3">
    <w:name w:val="Table 3D effects 3"/>
    <w:basedOn w:val="85"/>
    <w:semiHidden/>
    <w:qFormat/>
    <w:uiPriority w:val="0"/>
    <w:pPr>
      <w:widowControl w:val="0"/>
      <w:jc w:val="both"/>
    </w:pPr>
    <w:tblPr>
      <w:tblStyleRowBandSize w:val="1"/>
      <w:tblStyleColBandSize w:val="1"/>
    </w:tblPr>
    <w:tblStylePr w:type="firstRow">
      <w:rPr>
        <w:b/>
        <w:bCs/>
      </w:rPr>
      <w:tblPr/>
      <w:tcPr>
        <w:tcBorders>
          <w:top w:val="nil"/>
          <w:left w:val="nil"/>
          <w:bottom w:val="nil"/>
          <w:right w:val="nil"/>
          <w:insideH w:val="nil"/>
          <w:insideV w:val="nil"/>
          <w:tl2br w:val="nil"/>
          <w:tr2bl w:val="nil"/>
        </w:tcBorders>
      </w:tcPr>
    </w:tblStylePr>
    <w:tblStylePr w:type="firstCol">
      <w:tblPr/>
      <w:tcPr>
        <w:tcBorders>
          <w:top w:val="nil"/>
          <w:left w:val="nil"/>
          <w:bottom w:val="nil"/>
          <w:right w:val="single" w:color="808080" w:sz="6" w:space="0"/>
          <w:insideH w:val="nil"/>
          <w:insideV w:val="nil"/>
          <w:tl2br w:val="nil"/>
          <w:tr2bl w:val="nil"/>
        </w:tcBorders>
      </w:tcPr>
    </w:tblStylePr>
    <w:tblStylePr w:type="lastCol">
      <w:tblPr/>
      <w:tcPr>
        <w:tcBorders>
          <w:top w:val="nil"/>
          <w:left w:val="nil"/>
          <w:bottom w:val="nil"/>
          <w:right w:val="single" w:color="FFFFFF" w:sz="6" w:space="0"/>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color="808080" w:sz="6" w:space="0"/>
          <w:left w:val="single" w:color="FFFFFF" w:sz="6" w:space="0"/>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4">
    <w:name w:val="Table List 1"/>
    <w:basedOn w:val="85"/>
    <w:semiHidden/>
    <w:qFormat/>
    <w:uiPriority w:val="0"/>
    <w:pPr>
      <w:widowControl w:val="0"/>
      <w:jc w:val="both"/>
    </w:pPr>
    <w:tblPr>
      <w:tblBorders>
        <w:top w:val="single" w:color="008080" w:sz="12" w:space="0"/>
        <w:left w:val="single" w:color="008080" w:sz="6" w:space="0"/>
        <w:bottom w:val="single" w:color="008080" w:sz="12" w:space="0"/>
        <w:right w:val="single" w:color="008080" w:sz="6" w:space="0"/>
      </w:tblBorders>
    </w:tblPr>
    <w:tblStylePr w:type="firstRow">
      <w:rPr>
        <w:b/>
        <w:bCs/>
        <w:i/>
        <w:iCs/>
        <w:color w:val="800000"/>
      </w:rPr>
      <w:tblPr/>
      <w:tcPr>
        <w:tcBorders>
          <w:top w:val="nil"/>
          <w:left w:val="single" w:color="000000" w:sz="6" w:space="0"/>
          <w:bottom w:val="nil"/>
          <w:right w:val="nil"/>
          <w:insideH w:val="nil"/>
          <w:insideV w:val="nil"/>
          <w:tl2br w:val="nil"/>
          <w:tr2bl w:val="nil"/>
        </w:tcBorders>
        <w:shd w:val="solid" w:color="C0C0C0" w:fill="FFFFFF"/>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solid" w:color="C0C0C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5">
    <w:name w:val="Table List 2"/>
    <w:basedOn w:val="85"/>
    <w:semiHidden/>
    <w:qFormat/>
    <w:uiPriority w:val="0"/>
    <w:pPr>
      <w:widowControl w:val="0"/>
      <w:jc w:val="both"/>
    </w:pPr>
    <w:tblPr>
      <w:tblBorders>
        <w:bottom w:val="single" w:color="808080" w:sz="12" w:space="0"/>
      </w:tblBorders>
    </w:tblPr>
    <w:tblStylePr w:type="firstRow">
      <w:rPr>
        <w:b/>
        <w:bCs/>
        <w:color w:val="FFFFFF"/>
      </w:rPr>
      <w:tblPr/>
      <w:tcPr>
        <w:tcBorders>
          <w:top w:val="nil"/>
          <w:left w:val="single" w:color="000000" w:sz="6" w:space="0"/>
          <w:bottom w:val="nil"/>
          <w:right w:val="nil"/>
          <w:insideH w:val="nil"/>
          <w:insideV w:val="nil"/>
          <w:tl2br w:val="nil"/>
          <w:tr2bl w:val="nil"/>
        </w:tcBorders>
        <w:shd w:val="pct75" w:color="008080" w:fill="008000"/>
      </w:tcPr>
    </w:tblStylePr>
    <w:tblStylePr w:type="lastRow">
      <w:tblPr/>
      <w:tcPr>
        <w:tcBorders>
          <w:top w:val="single" w:color="000000" w:sz="6" w:space="0"/>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FF00" w:fill="FFFFFF"/>
      </w:tcPr>
    </w:tblStylePr>
    <w:tblStylePr w:type="band2Horz">
      <w:rPr>
        <w:color w:val="auto"/>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06">
    <w:name w:val="Table List 3"/>
    <w:basedOn w:val="85"/>
    <w:semiHidden/>
    <w:qFormat/>
    <w:uiPriority w:val="0"/>
    <w:pPr>
      <w:widowControl w:val="0"/>
      <w:jc w:val="both"/>
    </w:pPr>
    <w:tblPr>
      <w:tblBorders>
        <w:top w:val="single" w:color="000000" w:sz="12" w:space="0"/>
        <w:bottom w:val="single" w:color="000000" w:sz="12" w:space="0"/>
        <w:insideH w:val="single" w:color="000000" w:sz="6" w:space="0"/>
      </w:tblBorders>
    </w:tblPr>
    <w:tcPr>
      <w:shd w:val="clear" w:color="auto" w:fill="auto"/>
    </w:tcPr>
    <w:tblStylePr w:type="firstRow">
      <w:rPr>
        <w:b/>
        <w:bCs/>
        <w:color w:val="000080"/>
      </w:rPr>
      <w:tblPr/>
      <w:tcPr>
        <w:tcBorders>
          <w:top w:val="nil"/>
          <w:left w:val="single" w:color="000000" w:sz="12" w:space="0"/>
          <w:bottom w:val="nil"/>
          <w:right w:val="nil"/>
          <w:insideH w:val="nil"/>
          <w:insideV w:val="nil"/>
          <w:tl2br w:val="nil"/>
          <w:tr2bl w:val="nil"/>
        </w:tcBorders>
      </w:tcPr>
    </w:tblStylePr>
    <w:tblStylePr w:type="lastRow">
      <w:tblPr/>
      <w:tcPr>
        <w:tcBorders>
          <w:top w:val="single" w:color="000000" w:sz="12" w:space="0"/>
          <w:left w:val="nil"/>
          <w:bottom w:val="nil"/>
          <w:right w:val="nil"/>
          <w:insideH w:val="nil"/>
          <w:insideV w:val="nil"/>
          <w:tl2br w:val="nil"/>
          <w:tr2bl w:val="nil"/>
        </w:tcBorders>
      </w:tcPr>
    </w:tblStylePr>
    <w:tblStylePr w:type="swCell">
      <w:rPr>
        <w:i/>
        <w:iCs/>
        <w:color w:val="000080"/>
      </w:rPr>
      <w:tblPr/>
      <w:tcPr>
        <w:tcBorders>
          <w:top w:val="nil"/>
          <w:left w:val="nil"/>
          <w:bottom w:val="nil"/>
          <w:right w:val="nil"/>
          <w:insideH w:val="nil"/>
          <w:insideV w:val="nil"/>
          <w:tl2br w:val="nil"/>
          <w:tr2bl w:val="nil"/>
        </w:tcBorders>
      </w:tcPr>
    </w:tblStylePr>
  </w:style>
  <w:style w:type="table" w:styleId="107">
    <w:name w:val="Table List 4"/>
    <w:basedOn w:val="85"/>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tblBorders>
    </w:tblPr>
    <w:tcPr>
      <w:shd w:val="clear" w:color="auto" w:fill="auto"/>
    </w:tcPr>
    <w:tblStylePr w:type="firstRow">
      <w:rPr>
        <w:b/>
        <w:bCs/>
        <w:color w:val="FFFFFF"/>
      </w:rPr>
      <w:tblPr/>
      <w:tcPr>
        <w:tcBorders>
          <w:top w:val="nil"/>
          <w:left w:val="single" w:color="000000" w:sz="12" w:space="0"/>
          <w:bottom w:val="nil"/>
          <w:right w:val="nil"/>
          <w:insideH w:val="nil"/>
          <w:insideV w:val="nil"/>
          <w:tl2br w:val="nil"/>
          <w:tr2bl w:val="nil"/>
        </w:tcBorders>
        <w:shd w:val="solid" w:color="808080" w:fill="FFFFFF"/>
      </w:tcPr>
    </w:tblStylePr>
  </w:style>
  <w:style w:type="table" w:styleId="108">
    <w:name w:val="Table List 5"/>
    <w:basedOn w:val="8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tblBorders>
    </w:tblPr>
    <w:tcPr>
      <w:shd w:val="clear" w:color="auto" w:fill="auto"/>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style>
  <w:style w:type="table" w:styleId="109">
    <w:name w:val="Table List 6"/>
    <w:basedOn w:val="85"/>
    <w:semiHidden/>
    <w:qFormat/>
    <w:uiPriority w:val="0"/>
    <w:pPr>
      <w:widowControl w:val="0"/>
      <w:jc w:val="both"/>
    </w:pPr>
    <w:tblPr>
      <w:tblBorders>
        <w:top w:val="single" w:color="000000" w:sz="6" w:space="0"/>
        <w:left w:val="single" w:color="000000" w:sz="6" w:space="0"/>
        <w:bottom w:val="single" w:color="000000" w:sz="6" w:space="0"/>
        <w:right w:val="single" w:color="000000" w:sz="6" w:space="0"/>
      </w:tblBorders>
    </w:tblPr>
    <w:tcPr>
      <w:shd w:val="pct50" w:color="000000" w:fill="FFFFFF"/>
    </w:tcPr>
    <w:tblStylePr w:type="firstRow">
      <w:rPr>
        <w:b/>
        <w:bCs/>
      </w:rPr>
      <w:tblPr/>
      <w:tcPr>
        <w:tcBorders>
          <w:top w:val="nil"/>
          <w:left w:val="single" w:color="000000" w:sz="12" w:space="0"/>
          <w:bottom w:val="nil"/>
          <w:right w:val="nil"/>
          <w:insideH w:val="nil"/>
          <w:insideV w:val="nil"/>
          <w:tl2br w:val="nil"/>
          <w:tr2bl w:val="nil"/>
        </w:tcBorders>
      </w:tcPr>
    </w:tblStylePr>
    <w:tblStylePr w:type="firstCol">
      <w:rPr>
        <w:b/>
        <w:bCs/>
      </w:rPr>
      <w:tblPr/>
      <w:tcPr>
        <w:tcBorders>
          <w:top w:val="nil"/>
          <w:left w:val="nil"/>
          <w:bottom w:val="nil"/>
          <w:right w:val="single" w:color="000000" w:sz="12" w:space="0"/>
          <w:insideH w:val="nil"/>
          <w:insideV w:val="nil"/>
          <w:tl2br w:val="nil"/>
          <w:tr2bl w:val="nil"/>
        </w:tcBorders>
      </w:tcPr>
    </w:tblStylePr>
    <w:tblStylePr w:type="band1Horz">
      <w:tblPr/>
      <w:tcPr>
        <w:tcBorders>
          <w:top w:val="nil"/>
          <w:left w:val="nil"/>
          <w:bottom w:val="nil"/>
          <w:right w:val="nil"/>
          <w:insideH w:val="nil"/>
          <w:insideV w:val="nil"/>
          <w:tl2br w:val="nil"/>
          <w:tr2bl w:val="nil"/>
        </w:tcBorders>
        <w:shd w:val="pct25" w:color="000000" w:fill="FFFFFF"/>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0">
    <w:name w:val="Table List 7"/>
    <w:basedOn w:val="85"/>
    <w:semiHidden/>
    <w:qFormat/>
    <w:uiPriority w:val="0"/>
    <w:pPr>
      <w:widowControl w:val="0"/>
      <w:jc w:val="both"/>
    </w:pPr>
    <w:tblPr>
      <w:tblBorders>
        <w:top w:val="single" w:color="008000" w:sz="12" w:space="0"/>
        <w:left w:val="single" w:color="008000" w:sz="6" w:space="0"/>
        <w:bottom w:val="single" w:color="008000" w:sz="12" w:space="0"/>
        <w:right w:val="single" w:color="008000" w:sz="6" w:space="0"/>
        <w:insideH w:val="single" w:color="000000" w:sz="6" w:space="0"/>
      </w:tblBorders>
    </w:tblPr>
    <w:tblStylePr w:type="firstRow">
      <w:rPr>
        <w:b/>
        <w:bCs/>
      </w:rPr>
      <w:tblPr/>
      <w:tcPr>
        <w:tcBorders>
          <w:top w:val="nil"/>
          <w:left w:val="single" w:color="008000" w:sz="12" w:space="0"/>
          <w:bottom w:val="nil"/>
          <w:right w:val="nil"/>
          <w:insideH w:val="nil"/>
          <w:insideV w:val="nil"/>
          <w:tl2br w:val="nil"/>
          <w:tr2bl w:val="nil"/>
        </w:tcBorders>
        <w:shd w:val="solid" w:color="C0C0C0" w:fill="FFFFFF"/>
      </w:tcPr>
    </w:tblStylePr>
    <w:tblStylePr w:type="lastRow">
      <w:rPr>
        <w:b/>
        <w:bCs/>
      </w:rPr>
      <w:tblPr/>
      <w:tcPr>
        <w:tcBorders>
          <w:top w:val="single" w:color="008000" w:sz="12"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0" w:color="000000" w:fill="FFFFFF"/>
      </w:tcPr>
    </w:tblStylePr>
    <w:tblStylePr w:type="band2Horz">
      <w:tblPr/>
      <w:tcPr>
        <w:tcBorders>
          <w:top w:val="nil"/>
          <w:left w:val="nil"/>
          <w:bottom w:val="nil"/>
          <w:right w:val="nil"/>
          <w:insideH w:val="nil"/>
          <w:insideV w:val="nil"/>
          <w:tl2br w:val="nil"/>
          <w:tr2bl w:val="nil"/>
        </w:tcBorders>
        <w:shd w:val="pct25" w:color="FFFF00" w:fill="FFFFFF"/>
      </w:tcPr>
    </w:tblStylePr>
  </w:style>
  <w:style w:type="table" w:styleId="111">
    <w:name w:val="Table List 8"/>
    <w:basedOn w:val="8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V w:val="single" w:color="000000" w:sz="6" w:space="0"/>
      </w:tblBorders>
    </w:tblPr>
    <w:tblStylePr w:type="firstRow">
      <w:rPr>
        <w:b/>
        <w:bCs/>
        <w:i/>
        <w:iCs/>
      </w:rPr>
      <w:tblPr/>
      <w:tcPr>
        <w:tcBorders>
          <w:top w:val="nil"/>
          <w:left w:val="single" w:color="000000" w:sz="6" w:space="0"/>
          <w:bottom w:val="nil"/>
          <w:right w:val="nil"/>
          <w:insideH w:val="nil"/>
          <w:insideV w:val="nil"/>
          <w:tl2br w:val="nil"/>
          <w:tr2bl w:val="nil"/>
        </w:tcBorders>
        <w:shd w:val="solid" w:color="FFFF00" w:fill="FFFFFF"/>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Horz">
      <w:rPr>
        <w:color w:val="auto"/>
      </w:rPr>
      <w:tblPr/>
      <w:tcPr>
        <w:tcBorders>
          <w:top w:val="nil"/>
          <w:left w:val="nil"/>
          <w:bottom w:val="nil"/>
          <w:right w:val="nil"/>
          <w:insideH w:val="nil"/>
          <w:insideV w:val="nil"/>
          <w:tl2br w:val="nil"/>
          <w:tr2bl w:val="nil"/>
        </w:tcBorders>
        <w:shd w:val="pct25" w:color="FFFF00" w:fill="FFFFFF"/>
      </w:tcPr>
    </w:tblStylePr>
    <w:tblStylePr w:type="band2Horz">
      <w:tblPr/>
      <w:tcPr>
        <w:tcBorders>
          <w:top w:val="nil"/>
          <w:left w:val="nil"/>
          <w:bottom w:val="nil"/>
          <w:right w:val="nil"/>
          <w:insideH w:val="nil"/>
          <w:insideV w:val="nil"/>
          <w:tl2br w:val="nil"/>
          <w:tr2bl w:val="nil"/>
        </w:tcBorders>
        <w:shd w:val="pct50" w:color="FF0000" w:fill="FFFFFF"/>
      </w:tcPr>
    </w:tblStylePr>
    <w:tblStylePr w:type="nwCell">
      <w:tblPr/>
      <w:tcPr>
        <w:tcBorders>
          <w:top w:val="nil"/>
          <w:left w:val="nil"/>
          <w:bottom w:val="nil"/>
          <w:right w:val="nil"/>
          <w:insideH w:val="nil"/>
          <w:insideV w:val="nil"/>
          <w:tl2br w:val="single" w:color="auto" w:sz="6" w:space="0"/>
          <w:tr2bl w:val="nil"/>
        </w:tcBorders>
      </w:tcPr>
    </w:tblStylePr>
  </w:style>
  <w:style w:type="table" w:styleId="112">
    <w:name w:val="Table Contemporary"/>
    <w:basedOn w:val="85"/>
    <w:semiHidden/>
    <w:qFormat/>
    <w:uiPriority w:val="0"/>
    <w:pPr>
      <w:widowControl w:val="0"/>
      <w:jc w:val="both"/>
    </w:pPr>
    <w:tblPr>
      <w:tblBorders>
        <w:insideH w:val="single" w:color="FFFFFF" w:sz="18" w:space="0"/>
        <w:insideV w:val="single" w:color="FFFFFF" w:sz="18" w:space="0"/>
      </w:tblBorders>
    </w:tblPr>
    <w:tblStylePr w:type="firstRow">
      <w:rPr>
        <w:b/>
        <w:bCs/>
        <w:color w:val="auto"/>
      </w:rPr>
      <w:tblPr/>
      <w:tcPr>
        <w:tcBorders>
          <w:top w:val="nil"/>
          <w:left w:val="nil"/>
          <w:bottom w:val="nil"/>
          <w:right w:val="nil"/>
          <w:insideH w:val="nil"/>
          <w:insideV w:val="nil"/>
          <w:tl2br w:val="nil"/>
          <w:tr2bl w:val="nil"/>
        </w:tcBorders>
        <w:shd w:val="pct20" w:color="000000" w:fill="FFFFFF"/>
      </w:tcPr>
    </w:tblStylePr>
    <w:tblStylePr w:type="band1Horz">
      <w:rPr>
        <w:color w:val="auto"/>
      </w:rPr>
      <w:tblPr/>
      <w:tcPr>
        <w:tcBorders>
          <w:top w:val="nil"/>
          <w:left w:val="nil"/>
          <w:bottom w:val="nil"/>
          <w:right w:val="nil"/>
          <w:insideH w:val="nil"/>
          <w:insideV w:val="nil"/>
          <w:tl2br w:val="nil"/>
          <w:tr2bl w:val="nil"/>
        </w:tcBorders>
        <w:shd w:val="pct5" w:color="000000" w:fill="FFFFFF"/>
      </w:tcPr>
    </w:tblStylePr>
    <w:tblStylePr w:type="band2Horz">
      <w:rPr>
        <w:color w:val="auto"/>
      </w:rPr>
      <w:tblPr/>
      <w:tcPr>
        <w:tcBorders>
          <w:top w:val="nil"/>
          <w:left w:val="nil"/>
          <w:bottom w:val="nil"/>
          <w:right w:val="nil"/>
          <w:insideH w:val="nil"/>
          <w:insideV w:val="nil"/>
          <w:tl2br w:val="nil"/>
          <w:tr2bl w:val="nil"/>
        </w:tcBorders>
        <w:shd w:val="pct20" w:color="000000" w:fill="FFFFFF"/>
      </w:tcPr>
    </w:tblStylePr>
  </w:style>
  <w:style w:type="table" w:styleId="113">
    <w:name w:val="Table Columns 1"/>
    <w:basedOn w:val="85"/>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tblBorders>
    </w:tblPr>
    <w:tblStylePr w:type="firstRow">
      <w:rPr>
        <w:b w:val="0"/>
        <w:bCs w:val="0"/>
      </w:rPr>
      <w:tblPr/>
      <w:tcPr>
        <w:tcBorders>
          <w:top w:val="nil"/>
          <w:left w:val="double" w:color="000000" w:sz="6" w:space="0"/>
          <w:bottom w:val="nil"/>
          <w:right w:val="nil"/>
          <w:insideH w:val="nil"/>
          <w:insideV w:val="nil"/>
          <w:tl2br w:val="nil"/>
          <w:tr2bl w:val="nil"/>
        </w:tcBorders>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4">
    <w:name w:val="Table Columns 2"/>
    <w:basedOn w:val="85"/>
    <w:semiHidden/>
    <w:qFormat/>
    <w:uiPriority w:val="0"/>
    <w:pPr>
      <w:widowControl w:val="0"/>
      <w:jc w:val="both"/>
    </w:pPr>
    <w:rPr>
      <w:b/>
      <w:bCs/>
    </w:r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nil"/>
          <w:left w:val="nil"/>
          <w:bottom w:val="nil"/>
          <w:right w:val="nil"/>
          <w:insideH w:val="nil"/>
          <w:insideV w:val="nil"/>
          <w:tl2br w:val="nil"/>
          <w:tr2bl w:val="nil"/>
        </w:tcBorders>
      </w:tcPr>
    </w:tblStylePr>
    <w:tblStylePr w:type="firstCol">
      <w:rPr>
        <w:b w:val="0"/>
        <w:bCs w:val="0"/>
        <w:color w:val="00000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op w:val="nil"/>
          <w:left w:val="nil"/>
          <w:bottom w:val="nil"/>
          <w:right w:val="nil"/>
          <w:insideH w:val="nil"/>
          <w:insideV w:val="nil"/>
          <w:tl2br w:val="nil"/>
          <w:tr2bl w:val="nil"/>
        </w:tcBorders>
      </w:tcPr>
    </w:tblStylePr>
    <w:tblStylePr w:type="swCell">
      <w:rPr>
        <w:b/>
        <w:bCs/>
      </w:rPr>
      <w:tblPr/>
      <w:tcPr>
        <w:tcBorders>
          <w:top w:val="nil"/>
          <w:left w:val="nil"/>
          <w:bottom w:val="nil"/>
          <w:right w:val="nil"/>
          <w:insideH w:val="nil"/>
          <w:insideV w:val="nil"/>
          <w:tl2br w:val="nil"/>
          <w:tr2bl w:val="nil"/>
        </w:tcBorders>
      </w:tcPr>
    </w:tblStylePr>
  </w:style>
  <w:style w:type="table" w:styleId="115">
    <w:name w:val="Table Columns 3"/>
    <w:basedOn w:val="85"/>
    <w:semiHidden/>
    <w:qFormat/>
    <w:uiPriority w:val="0"/>
    <w:pPr>
      <w:widowControl w:val="0"/>
      <w:jc w:val="both"/>
    </w:pPr>
    <w:rPr>
      <w:b/>
      <w:bCs/>
    </w:rPr>
    <w:tblPr>
      <w:tblBorders>
        <w:top w:val="single" w:color="000080" w:sz="6" w:space="0"/>
        <w:left w:val="single" w:color="000080" w:sz="6" w:space="0"/>
        <w:bottom w:val="single" w:color="000080" w:sz="6" w:space="0"/>
        <w:right w:val="single" w:color="000080" w:sz="6" w:space="0"/>
        <w:insideV w:val="single" w:color="000080" w:sz="6" w:space="0"/>
      </w:tblBorders>
    </w:tblPr>
    <w:tblStylePr w:type="firstRow">
      <w:rPr>
        <w:color w:val="FFFFFF"/>
      </w:rPr>
      <w:tblPr/>
      <w:tcPr>
        <w:tcBorders>
          <w:top w:val="nil"/>
          <w:left w:val="nil"/>
          <w:bottom w:val="nil"/>
          <w:right w:val="nil"/>
          <w:insideH w:val="nil"/>
          <w:insideV w:val="nil"/>
          <w:tl2br w:val="nil"/>
          <w:tr2bl w:val="nil"/>
        </w:tcBorders>
        <w:shd w:val="solid" w:color="000080" w:fill="FFFFFF"/>
      </w:tcPr>
    </w:tblStylePr>
    <w:tblStylePr w:type="lastRow">
      <w:rPr>
        <w:b w:val="0"/>
        <w:bCs w:val="0"/>
      </w:rPr>
      <w:tblPr/>
      <w:tcPr>
        <w:tcBorders>
          <w:top w:val="single" w:color="00008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op w:val="nil"/>
          <w:left w:val="nil"/>
          <w:bottom w:val="nil"/>
          <w:right w:val="nil"/>
          <w:insideH w:val="nil"/>
          <w:insideV w:val="nil"/>
          <w:tl2br w:val="nil"/>
          <w:tr2bl w:val="nil"/>
        </w:tcBorders>
      </w:tcPr>
    </w:tblStylePr>
  </w:style>
  <w:style w:type="table" w:styleId="116">
    <w:name w:val="Table Columns 4"/>
    <w:basedOn w:val="85"/>
    <w:semiHidden/>
    <w:qFormat/>
    <w:uiPriority w:val="0"/>
    <w:pPr>
      <w:widowControl w:val="0"/>
      <w:jc w:val="both"/>
    </w:pPr>
    <w:tblPr>
      <w:tblStyleColBandSize w:val="1"/>
    </w:tblPr>
    <w:tblStylePr w:type="firstRow">
      <w:rPr>
        <w:color w:val="FFFFFF"/>
      </w:rPr>
      <w:tblPr/>
      <w:tcPr>
        <w:tcBorders>
          <w:top w:val="nil"/>
          <w:left w:val="nil"/>
          <w:bottom w:val="nil"/>
          <w:right w:val="nil"/>
          <w:insideH w:val="nil"/>
          <w:insideV w:val="nil"/>
          <w:tl2br w:val="nil"/>
          <w:tr2bl w:val="nil"/>
        </w:tcBorders>
        <w:shd w:val="solid" w:color="0000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117">
    <w:name w:val="Table Columns 5"/>
    <w:basedOn w:val="85"/>
    <w:semiHidden/>
    <w:qFormat/>
    <w:uiPriority w:val="0"/>
    <w:pPr>
      <w:widowControl w:val="0"/>
      <w:jc w:val="both"/>
    </w:pPr>
    <w:tblPr>
      <w:tblBorders>
        <w:top w:val="single" w:color="808080" w:sz="12" w:space="0"/>
        <w:left w:val="single" w:color="808080" w:sz="12" w:space="0"/>
        <w:bottom w:val="single" w:color="808080" w:sz="12" w:space="0"/>
        <w:right w:val="single" w:color="808080" w:sz="12" w:space="0"/>
        <w:insideV w:val="single" w:color="C0C0C0" w:sz="6" w:space="0"/>
      </w:tblBorders>
    </w:tblPr>
    <w:tblStylePr w:type="firstRow">
      <w:rPr>
        <w:b/>
        <w:bCs/>
        <w:i/>
        <w:iCs/>
      </w:rPr>
      <w:tblPr/>
      <w:tcPr>
        <w:tcBorders>
          <w:top w:val="nil"/>
          <w:left w:val="single" w:color="808080" w:sz="6" w:space="0"/>
          <w:bottom w:val="nil"/>
          <w:right w:val="nil"/>
          <w:insideH w:val="nil"/>
          <w:insideV w:val="nil"/>
          <w:tl2br w:val="nil"/>
          <w:tr2bl w:val="nil"/>
        </w:tcBorders>
      </w:tcPr>
    </w:tblStylePr>
    <w:tblStylePr w:type="lastRow">
      <w:rPr>
        <w:b/>
        <w:bCs/>
      </w:rPr>
      <w:tblPr/>
      <w:tcPr>
        <w:tcBorders>
          <w:top w:val="single" w:color="80808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band1Vert">
      <w:rPr>
        <w:color w:val="auto"/>
      </w:rPr>
      <w:tblPr/>
      <w:tcPr>
        <w:shd w:val="solid" w:color="C0C0C0" w:fill="FFFFFF"/>
      </w:tcPr>
    </w:tblStylePr>
    <w:tblStylePr w:type="band2Vert">
      <w:rPr>
        <w:color w:val="auto"/>
      </w:rPr>
    </w:tblStylePr>
  </w:style>
  <w:style w:type="table" w:styleId="118">
    <w:name w:val="Table Grid 1"/>
    <w:basedOn w:val="8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lastRow">
      <w:rPr>
        <w:i/>
        <w:iCs/>
      </w:rPr>
      <w:tblPr/>
      <w:tcPr>
        <w:tcBorders>
          <w:top w:val="nil"/>
          <w:left w:val="nil"/>
          <w:bottom w:val="nil"/>
          <w:right w:val="nil"/>
          <w:insideH w:val="nil"/>
          <w:insideV w:val="nil"/>
          <w:tl2br w:val="nil"/>
          <w:tr2bl w:val="nil"/>
        </w:tcBorders>
      </w:tcPr>
    </w:tblStylePr>
    <w:tblStylePr w:type="lastCol">
      <w:rPr>
        <w:i/>
        <w:i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19">
    <w:name w:val="Table Grid 2"/>
    <w:basedOn w:val="85"/>
    <w:semiHidden/>
    <w:qFormat/>
    <w:uiPriority w:val="0"/>
    <w:pPr>
      <w:widowControl w:val="0"/>
      <w:jc w:val="both"/>
    </w:pPr>
    <w:tblPr>
      <w:tblBorders>
        <w:insideH w:val="single" w:color="000000" w:sz="6" w:space="0"/>
        <w:insideV w:val="single" w:color="000000" w:sz="6" w:space="0"/>
      </w:tblBorders>
    </w:tblPr>
    <w:tcPr>
      <w:shd w:val="clear" w:color="auto" w:fill="auto"/>
    </w:tcPr>
    <w:tblStylePr w:type="firstRow">
      <w:rPr>
        <w:b/>
        <w:bCs/>
      </w:rPr>
      <w:tblPr/>
      <w:tcPr>
        <w:tcBorders>
          <w:top w:val="nil"/>
          <w:left w:val="nil"/>
          <w:bottom w:val="nil"/>
          <w:right w:val="nil"/>
          <w:insideH w:val="nil"/>
          <w:insideV w:val="nil"/>
          <w:tl2br w:val="nil"/>
          <w:tr2bl w:val="nil"/>
        </w:tcBorders>
      </w:tcPr>
    </w:tblStylePr>
    <w:tblStylePr w:type="lastRow">
      <w:rPr>
        <w:b/>
        <w:bCs/>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style>
  <w:style w:type="table" w:styleId="120">
    <w:name w:val="Table Grid 3"/>
    <w:basedOn w:val="85"/>
    <w:semiHidden/>
    <w:qFormat/>
    <w:uiPriority w:val="0"/>
    <w:pPr>
      <w:widowControl w:val="0"/>
      <w:jc w:val="both"/>
    </w:pPr>
    <w:tblPr>
      <w:tblBorders>
        <w:top w:val="single" w:color="000000" w:sz="6" w:space="0"/>
        <w:left w:val="single" w:color="000000" w:sz="12" w:space="0"/>
        <w:bottom w:val="single" w:color="000000" w:sz="6" w:space="0"/>
        <w:right w:val="single" w:color="000000" w:sz="12" w:space="0"/>
        <w:insideV w:val="single" w:color="000000" w:sz="6" w:space="0"/>
      </w:tblBorders>
    </w:tblPr>
    <w:tcPr>
      <w:shd w:val="clear" w:color="auto" w:fill="auto"/>
    </w:tcPr>
    <w:tblStylePr w:type="firstRow">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1">
    <w:name w:val="Table Grid 4"/>
    <w:basedOn w:val="85"/>
    <w:semiHidden/>
    <w:qFormat/>
    <w:uiPriority w:val="0"/>
    <w:pPr>
      <w:widowControl w:val="0"/>
      <w:jc w:val="both"/>
    </w:pPr>
    <w:tblPr>
      <w:tblBorders>
        <w:left w:val="single" w:color="000000" w:sz="12" w:space="0"/>
        <w:right w:val="single" w:color="000000" w:sz="12" w:space="0"/>
        <w:insideH w:val="single" w:color="000000" w:sz="6" w:space="0"/>
        <w:insideV w:val="single" w:color="000000" w:sz="6" w:space="0"/>
      </w:tblBorders>
    </w:tblPr>
    <w:tcPr>
      <w:shd w:val="clear" w:color="auto" w:fill="auto"/>
    </w:tcPr>
    <w:tblStylePr w:type="firstRow">
      <w:rPr>
        <w:color w:val="auto"/>
      </w:rPr>
      <w:tblPr/>
      <w:tcPr>
        <w:tcBorders>
          <w:top w:val="nil"/>
          <w:left w:val="single" w:color="000000" w:sz="6" w:space="0"/>
          <w:bottom w:val="nil"/>
          <w:right w:val="nil"/>
          <w:insideH w:val="nil"/>
          <w:insideV w:val="nil"/>
          <w:tl2br w:val="nil"/>
          <w:tr2bl w:val="nil"/>
        </w:tcBorders>
        <w:shd w:val="pct30" w:color="FFFF00" w:fill="FFFFFF"/>
      </w:tcPr>
    </w:tblStylePr>
    <w:tblStylePr w:type="lastRow">
      <w:rPr>
        <w:b/>
        <w:bCs/>
        <w:color w:val="auto"/>
      </w:rPr>
      <w:tblPr/>
      <w:tcPr>
        <w:tcBorders>
          <w:top w:val="single" w:color="000000" w:sz="6" w:space="0"/>
          <w:left w:val="nil"/>
          <w:bottom w:val="nil"/>
          <w:right w:val="nil"/>
          <w:insideH w:val="nil"/>
          <w:insideV w:val="nil"/>
          <w:tl2br w:val="nil"/>
          <w:tr2bl w:val="nil"/>
        </w:tcBorders>
        <w:shd w:val="pct30" w:color="FFFF00" w:fill="FFFFFF"/>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2">
    <w:name w:val="Table Grid 5"/>
    <w:basedOn w:val="85"/>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3">
    <w:name w:val="Table Grid 6"/>
    <w:basedOn w:val="85"/>
    <w:semiHidden/>
    <w:qFormat/>
    <w:uiPriority w:val="0"/>
    <w:pPr>
      <w:widowControl w:val="0"/>
      <w:jc w:val="both"/>
    </w:pPr>
    <w:tblPr>
      <w:tblBorders>
        <w:top w:val="single" w:color="000000" w:sz="12" w:space="0"/>
        <w:left w:val="single" w:color="000000" w:sz="12" w:space="0"/>
        <w:bottom w:val="single" w:color="000000" w:sz="12" w:space="0"/>
        <w:right w:val="single" w:color="000000" w:sz="12" w:space="0"/>
        <w:insideV w:val="single" w:color="000000" w:sz="6" w:space="0"/>
      </w:tblBorders>
    </w:tblPr>
    <w:tcPr>
      <w:shd w:val="clear" w:color="auto" w:fill="auto"/>
    </w:tcPr>
    <w:tblStylePr w:type="firstRow">
      <w:rPr>
        <w:b/>
        <w:bCs/>
      </w:rPr>
      <w:tblPr/>
      <w:tcPr>
        <w:tcBorders>
          <w:top w:val="nil"/>
          <w:left w:val="single" w:color="000000" w:sz="6" w:space="0"/>
          <w:bottom w:val="nil"/>
          <w:right w:val="nil"/>
          <w:insideH w:val="nil"/>
          <w:insideV w:val="nil"/>
          <w:tl2br w:val="nil"/>
          <w:tr2bl w:val="nil"/>
        </w:tcBorders>
      </w:tcPr>
    </w:tblStylePr>
    <w:tblStylePr w:type="lastRow">
      <w:rPr>
        <w:color w:val="auto"/>
      </w:rPr>
      <w:tblPr/>
      <w:tcPr>
        <w:tcBorders>
          <w:top w:val="single" w:color="000000" w:sz="6" w:space="0"/>
          <w:left w:val="nil"/>
          <w:bottom w:val="nil"/>
          <w:right w:val="nil"/>
          <w:insideH w:val="nil"/>
          <w:insideV w:val="nil"/>
          <w:tl2br w:val="nil"/>
          <w:tr2bl w:val="nil"/>
        </w:tcBorders>
      </w:tcPr>
    </w:tblStylePr>
    <w:tblStylePr w:type="fir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4">
    <w:name w:val="Table Grid 7"/>
    <w:basedOn w:val="85"/>
    <w:semiHidden/>
    <w:qFormat/>
    <w:uiPriority w:val="0"/>
    <w:pPr>
      <w:widowControl w:val="0"/>
      <w:jc w:val="both"/>
    </w:pPr>
    <w:rPr>
      <w:b/>
      <w:bCs/>
    </w:r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rPr>
        <w:b w:val="0"/>
        <w:bCs w:val="0"/>
      </w:rPr>
      <w:tblPr/>
      <w:tcPr>
        <w:tcBorders>
          <w:top w:val="nil"/>
          <w:left w:val="single" w:color="000000" w:sz="12" w:space="0"/>
          <w:bottom w:val="nil"/>
          <w:right w:val="nil"/>
          <w:insideH w:val="nil"/>
          <w:insideV w:val="nil"/>
          <w:tl2br w:val="nil"/>
          <w:tr2bl w:val="nil"/>
        </w:tcBorders>
      </w:tcPr>
    </w:tblStylePr>
    <w:tblStylePr w:type="lastRow">
      <w:rPr>
        <w:b w:val="0"/>
        <w:bCs w:val="0"/>
      </w:rPr>
      <w:tblPr/>
      <w:tcPr>
        <w:tcBorders>
          <w:top w:val="single" w:color="000000" w:sz="6" w:space="0"/>
          <w:left w:val="nil"/>
          <w:bottom w:val="nil"/>
          <w:right w:val="nil"/>
          <w:insideH w:val="nil"/>
          <w:insideV w:val="nil"/>
          <w:tl2br w:val="nil"/>
          <w:tr2bl w:val="nil"/>
        </w:tcBorders>
      </w:tcPr>
    </w:tblStylePr>
    <w:tblStylePr w:type="firstCol">
      <w:rPr>
        <w:b w:val="0"/>
        <w:bCs w:val="0"/>
      </w:rPr>
      <w:tblPr/>
      <w:tcPr>
        <w:tcBorders>
          <w:top w:val="nil"/>
          <w:left w:val="nil"/>
          <w:bottom w:val="nil"/>
          <w:right w:val="nil"/>
          <w:insideH w:val="nil"/>
          <w:insideV w:val="nil"/>
          <w:tl2br w:val="nil"/>
          <w:tr2bl w:val="nil"/>
        </w:tcBorders>
      </w:tcPr>
    </w:tblStylePr>
    <w:tblStylePr w:type="lastCol">
      <w:rPr>
        <w:b w:val="0"/>
        <w:bCs w:val="0"/>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125">
    <w:name w:val="Table Grid 8"/>
    <w:basedOn w:val="85"/>
    <w:semiHidden/>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126">
    <w:name w:val="Table Web 1"/>
    <w:basedOn w:val="85"/>
    <w:semiHidden/>
    <w:qFormat/>
    <w:uiPriority w:val="0"/>
    <w:pPr>
      <w:widowControl w:val="0"/>
      <w:jc w:val="both"/>
    </w:pPr>
    <w:tblPr>
      <w:tblCellSpacing w:w="2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7">
    <w:name w:val="Table Web 2"/>
    <w:basedOn w:val="85"/>
    <w:semiHidden/>
    <w:qFormat/>
    <w:uiPriority w:val="0"/>
    <w:pPr>
      <w:widowControl w:val="0"/>
      <w:jc w:val="both"/>
    </w:pPr>
    <w:tblPr>
      <w:tblCellSpacing w:w="20" w:type="dxa"/>
      <w:tblBorders>
        <w:top w:val="inset" w:color="auto" w:sz="6" w:space="0"/>
        <w:left w:val="inset" w:color="auto" w:sz="6" w:space="0"/>
        <w:bottom w:val="inset" w:color="auto" w:sz="6" w:space="0"/>
        <w:right w:val="inset" w:color="auto" w:sz="6" w:space="0"/>
        <w:insideH w:val="inset" w:color="auto" w:sz="6" w:space="0"/>
        <w:insideV w:val="in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8">
    <w:name w:val="Table Web 3"/>
    <w:basedOn w:val="85"/>
    <w:semiHidden/>
    <w:qFormat/>
    <w:uiPriority w:val="0"/>
    <w:pPr>
      <w:widowControl w:val="0"/>
      <w:jc w:val="both"/>
    </w:pPr>
    <w:tblPr>
      <w:tblCellSpacing w:w="20" w:type="dxa"/>
      <w:tblBorders>
        <w:top w:val="outset" w:color="auto" w:sz="24" w:space="0"/>
        <w:left w:val="outset" w:color="auto" w:sz="24" w:space="0"/>
        <w:bottom w:val="outset" w:color="auto" w:sz="24" w:space="0"/>
        <w:right w:val="outset" w:color="auto" w:sz="24" w:space="0"/>
        <w:insideH w:val="outset" w:color="auto" w:sz="6" w:space="0"/>
        <w:insideV w:val="outset" w:color="auto" w:sz="6" w:space="0"/>
      </w:tblBorders>
    </w:tblPr>
    <w:trPr>
      <w:tblCellSpacing w:w="20" w:type="dxa"/>
    </w:trPr>
    <w:tcPr>
      <w:shd w:val="clear" w:color="auto" w:fill="auto"/>
    </w:tcPr>
    <w:tblStylePr w:type="firstRow">
      <w:rPr>
        <w:color w:val="auto"/>
      </w:rPr>
      <w:tblPr/>
      <w:tcPr>
        <w:tcBorders>
          <w:top w:val="nil"/>
          <w:left w:val="nil"/>
          <w:bottom w:val="nil"/>
          <w:right w:val="nil"/>
          <w:insideH w:val="nil"/>
          <w:insideV w:val="nil"/>
          <w:tl2br w:val="nil"/>
          <w:tr2bl w:val="nil"/>
        </w:tcBorders>
      </w:tcPr>
    </w:tblStylePr>
  </w:style>
  <w:style w:type="table" w:styleId="129">
    <w:name w:val="Table Professional"/>
    <w:basedOn w:val="85"/>
    <w:semiHidden/>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131">
    <w:name w:val="Strong"/>
    <w:basedOn w:val="130"/>
    <w:qFormat/>
    <w:uiPriority w:val="22"/>
    <w:rPr>
      <w:b/>
      <w:bCs/>
    </w:rPr>
  </w:style>
  <w:style w:type="character" w:styleId="132">
    <w:name w:val="endnote reference"/>
    <w:semiHidden/>
    <w:qFormat/>
    <w:uiPriority w:val="0"/>
    <w:rPr>
      <w:rFonts w:cs="Times New Roman"/>
      <w:vertAlign w:val="superscript"/>
    </w:rPr>
  </w:style>
  <w:style w:type="character" w:styleId="133">
    <w:name w:val="page number"/>
    <w:basedOn w:val="130"/>
    <w:qFormat/>
    <w:uiPriority w:val="0"/>
  </w:style>
  <w:style w:type="character" w:styleId="134">
    <w:name w:val="FollowedHyperlink"/>
    <w:basedOn w:val="130"/>
    <w:qFormat/>
    <w:uiPriority w:val="0"/>
    <w:rPr>
      <w:color w:val="800080"/>
      <w:u w:val="single"/>
    </w:rPr>
  </w:style>
  <w:style w:type="character" w:styleId="135">
    <w:name w:val="Emphasis"/>
    <w:basedOn w:val="130"/>
    <w:qFormat/>
    <w:uiPriority w:val="0"/>
    <w:rPr>
      <w:color w:val="CC0033"/>
    </w:rPr>
  </w:style>
  <w:style w:type="character" w:styleId="136">
    <w:name w:val="line number"/>
    <w:basedOn w:val="130"/>
    <w:unhideWhenUsed/>
    <w:qFormat/>
    <w:uiPriority w:val="0"/>
  </w:style>
  <w:style w:type="character" w:styleId="137">
    <w:name w:val="HTML Definition"/>
    <w:qFormat/>
    <w:uiPriority w:val="0"/>
    <w:rPr>
      <w:i/>
      <w:iCs/>
    </w:rPr>
  </w:style>
  <w:style w:type="character" w:styleId="138">
    <w:name w:val="HTML Typewriter"/>
    <w:qFormat/>
    <w:uiPriority w:val="0"/>
    <w:rPr>
      <w:rFonts w:ascii="Courier New" w:hAnsi="Courier New" w:cs="Courier New"/>
      <w:sz w:val="20"/>
      <w:szCs w:val="20"/>
    </w:rPr>
  </w:style>
  <w:style w:type="character" w:styleId="139">
    <w:name w:val="HTML Acronym"/>
    <w:basedOn w:val="130"/>
    <w:qFormat/>
    <w:uiPriority w:val="0"/>
  </w:style>
  <w:style w:type="character" w:styleId="140">
    <w:name w:val="HTML Variable"/>
    <w:qFormat/>
    <w:uiPriority w:val="0"/>
    <w:rPr>
      <w:i/>
      <w:iCs/>
    </w:rPr>
  </w:style>
  <w:style w:type="character" w:styleId="141">
    <w:name w:val="Hyperlink"/>
    <w:basedOn w:val="130"/>
    <w:qFormat/>
    <w:uiPriority w:val="99"/>
    <w:rPr>
      <w:color w:val="0000FF"/>
      <w:u w:val="single"/>
    </w:rPr>
  </w:style>
  <w:style w:type="character" w:styleId="142">
    <w:name w:val="HTML Code"/>
    <w:qFormat/>
    <w:uiPriority w:val="0"/>
    <w:rPr>
      <w:rFonts w:ascii="Courier New" w:hAnsi="Courier New" w:cs="Courier New"/>
      <w:sz w:val="20"/>
      <w:szCs w:val="20"/>
    </w:rPr>
  </w:style>
  <w:style w:type="character" w:styleId="143">
    <w:name w:val="annotation reference"/>
    <w:basedOn w:val="130"/>
    <w:qFormat/>
    <w:uiPriority w:val="0"/>
    <w:rPr>
      <w:sz w:val="21"/>
      <w:szCs w:val="21"/>
    </w:rPr>
  </w:style>
  <w:style w:type="character" w:styleId="144">
    <w:name w:val="HTML Cite"/>
    <w:qFormat/>
    <w:uiPriority w:val="0"/>
    <w:rPr>
      <w:i/>
      <w:iCs/>
    </w:rPr>
  </w:style>
  <w:style w:type="character" w:styleId="145">
    <w:name w:val="footnote reference"/>
    <w:basedOn w:val="130"/>
    <w:qFormat/>
    <w:uiPriority w:val="0"/>
    <w:rPr>
      <w:vertAlign w:val="superscript"/>
    </w:rPr>
  </w:style>
  <w:style w:type="character" w:styleId="146">
    <w:name w:val="HTML Keyboard"/>
    <w:qFormat/>
    <w:uiPriority w:val="0"/>
    <w:rPr>
      <w:rFonts w:ascii="Courier New" w:hAnsi="Courier New" w:cs="Courier New"/>
      <w:sz w:val="20"/>
      <w:szCs w:val="20"/>
    </w:rPr>
  </w:style>
  <w:style w:type="character" w:styleId="147">
    <w:name w:val="HTML Sample"/>
    <w:qFormat/>
    <w:uiPriority w:val="0"/>
    <w:rPr>
      <w:rFonts w:ascii="Courier New" w:hAnsi="Courier New" w:cs="Courier New"/>
    </w:rPr>
  </w:style>
  <w:style w:type="character" w:customStyle="1" w:styleId="148">
    <w:name w:val="标题 1 字符"/>
    <w:link w:val="2"/>
    <w:qFormat/>
    <w:uiPriority w:val="0"/>
    <w:rPr>
      <w:rFonts w:ascii="黑体" w:hAnsi="黑体" w:eastAsia="黑体" w:cs="黑体"/>
      <w:color w:val="000000"/>
      <w:sz w:val="32"/>
    </w:rPr>
  </w:style>
  <w:style w:type="character" w:customStyle="1" w:styleId="149">
    <w:name w:val="标题 2 字符"/>
    <w:link w:val="3"/>
    <w:qFormat/>
    <w:uiPriority w:val="0"/>
    <w:rPr>
      <w:rFonts w:ascii="黑体" w:hAnsi="黑体" w:eastAsia="宋体" w:cs="黑体"/>
      <w:color w:val="000000"/>
      <w:sz w:val="32"/>
    </w:rPr>
  </w:style>
  <w:style w:type="character" w:customStyle="1" w:styleId="150">
    <w:name w:val="标题 3 字符"/>
    <w:link w:val="4"/>
    <w:qFormat/>
    <w:uiPriority w:val="9"/>
    <w:rPr>
      <w:rFonts w:ascii="黑体" w:hAnsi="黑体" w:eastAsia="宋体" w:cs="黑体"/>
      <w:color w:val="000000"/>
      <w:sz w:val="28"/>
    </w:rPr>
  </w:style>
  <w:style w:type="character" w:customStyle="1" w:styleId="151">
    <w:name w:val="标题 4 字符"/>
    <w:link w:val="5"/>
    <w:qFormat/>
    <w:uiPriority w:val="0"/>
    <w:rPr>
      <w:rFonts w:ascii="黑体" w:hAnsi="黑体" w:eastAsia="黑体" w:cs="黑体"/>
      <w:color w:val="000000"/>
      <w:sz w:val="28"/>
    </w:rPr>
  </w:style>
  <w:style w:type="character" w:customStyle="1" w:styleId="152">
    <w:name w:val="标题 5 字符"/>
    <w:link w:val="6"/>
    <w:qFormat/>
    <w:uiPriority w:val="0"/>
    <w:rPr>
      <w:rFonts w:ascii="黑体" w:hAnsi="黑体" w:eastAsia="黑体" w:cs="黑体"/>
      <w:color w:val="000000"/>
      <w:sz w:val="28"/>
    </w:rPr>
  </w:style>
  <w:style w:type="character" w:customStyle="1" w:styleId="153">
    <w:name w:val="标题 6 字符"/>
    <w:link w:val="7"/>
    <w:qFormat/>
    <w:uiPriority w:val="0"/>
    <w:rPr>
      <w:rFonts w:ascii="黑体" w:hAnsi="黑体" w:eastAsia="黑体" w:cs="黑体"/>
      <w:color w:val="000000"/>
      <w:sz w:val="28"/>
    </w:rPr>
  </w:style>
  <w:style w:type="character" w:customStyle="1" w:styleId="154">
    <w:name w:val="标题 7 字符"/>
    <w:basedOn w:val="130"/>
    <w:link w:val="8"/>
    <w:qFormat/>
    <w:uiPriority w:val="0"/>
    <w:rPr>
      <w:rFonts w:ascii="Times New Roman" w:hAnsi="Times New Roman" w:eastAsia="宋体" w:cs="Times New Roman"/>
      <w:b/>
      <w:bCs/>
      <w:kern w:val="0"/>
      <w:sz w:val="24"/>
      <w:szCs w:val="24"/>
    </w:rPr>
  </w:style>
  <w:style w:type="character" w:customStyle="1" w:styleId="155">
    <w:name w:val="标题 8 字符"/>
    <w:basedOn w:val="130"/>
    <w:link w:val="9"/>
    <w:qFormat/>
    <w:uiPriority w:val="0"/>
    <w:rPr>
      <w:rFonts w:ascii="Arial" w:hAnsi="Arial" w:eastAsia="黑体" w:cs="Times New Roman"/>
      <w:kern w:val="0"/>
      <w:sz w:val="24"/>
      <w:szCs w:val="24"/>
    </w:rPr>
  </w:style>
  <w:style w:type="character" w:customStyle="1" w:styleId="156">
    <w:name w:val="标题 9 字符"/>
    <w:basedOn w:val="130"/>
    <w:link w:val="10"/>
    <w:qFormat/>
    <w:uiPriority w:val="0"/>
    <w:rPr>
      <w:rFonts w:ascii="Arial" w:hAnsi="Arial" w:eastAsia="黑体" w:cs="Times New Roman"/>
      <w:kern w:val="0"/>
      <w:szCs w:val="21"/>
    </w:rPr>
  </w:style>
  <w:style w:type="character" w:customStyle="1" w:styleId="157">
    <w:name w:val="注释标题 字符"/>
    <w:basedOn w:val="130"/>
    <w:link w:val="14"/>
    <w:qFormat/>
    <w:uiPriority w:val="0"/>
    <w:rPr>
      <w:rFonts w:ascii="Arial" w:hAnsi="Arial" w:eastAsia="宋体" w:cs="Times New Roman"/>
      <w:szCs w:val="24"/>
    </w:rPr>
  </w:style>
  <w:style w:type="character" w:customStyle="1" w:styleId="158">
    <w:name w:val="电子邮件签名 字符"/>
    <w:basedOn w:val="130"/>
    <w:link w:val="17"/>
    <w:qFormat/>
    <w:uiPriority w:val="0"/>
    <w:rPr>
      <w:szCs w:val="24"/>
    </w:rPr>
  </w:style>
  <w:style w:type="character" w:customStyle="1" w:styleId="159">
    <w:name w:val="正文缩进 字符"/>
    <w:basedOn w:val="130"/>
    <w:link w:val="19"/>
    <w:qFormat/>
    <w:uiPriority w:val="0"/>
    <w:rPr>
      <w:rFonts w:ascii="Times New Roman" w:hAnsi="Times New Roman" w:eastAsia="宋体" w:cs="Times New Roman"/>
      <w:kern w:val="0"/>
      <w:szCs w:val="20"/>
    </w:rPr>
  </w:style>
  <w:style w:type="character" w:customStyle="1" w:styleId="160">
    <w:name w:val="文档结构图 字符"/>
    <w:basedOn w:val="130"/>
    <w:link w:val="24"/>
    <w:qFormat/>
    <w:uiPriority w:val="0"/>
    <w:rPr>
      <w:rFonts w:ascii="Times New Roman" w:hAnsi="Times New Roman" w:eastAsia="宋体" w:cs="Times New Roman"/>
      <w:kern w:val="0"/>
      <w:szCs w:val="20"/>
      <w:shd w:val="clear" w:color="auto" w:fill="000080"/>
    </w:rPr>
  </w:style>
  <w:style w:type="character" w:customStyle="1" w:styleId="161">
    <w:name w:val="批注文字 字符"/>
    <w:basedOn w:val="130"/>
    <w:link w:val="26"/>
    <w:qFormat/>
    <w:uiPriority w:val="0"/>
    <w:rPr>
      <w:rFonts w:ascii="Times New Roman" w:hAnsi="Times New Roman" w:eastAsia="宋体" w:cs="Times New Roman"/>
      <w:kern w:val="0"/>
      <w:szCs w:val="20"/>
    </w:rPr>
  </w:style>
  <w:style w:type="character" w:customStyle="1" w:styleId="162">
    <w:name w:val="称呼 字符"/>
    <w:basedOn w:val="130"/>
    <w:link w:val="28"/>
    <w:qFormat/>
    <w:uiPriority w:val="0"/>
    <w:rPr>
      <w:szCs w:val="24"/>
    </w:rPr>
  </w:style>
  <w:style w:type="character" w:customStyle="1" w:styleId="163">
    <w:name w:val="正文文本 3 字符"/>
    <w:basedOn w:val="130"/>
    <w:link w:val="29"/>
    <w:qFormat/>
    <w:uiPriority w:val="0"/>
    <w:rPr>
      <w:rFonts w:ascii="Times New Roman" w:hAnsi="宋体" w:eastAsia="宋体" w:cs="Times New Roman"/>
      <w:color w:val="000000"/>
      <w:kern w:val="0"/>
      <w:sz w:val="24"/>
      <w:szCs w:val="20"/>
    </w:rPr>
  </w:style>
  <w:style w:type="character" w:customStyle="1" w:styleId="164">
    <w:name w:val="结束语 字符"/>
    <w:basedOn w:val="130"/>
    <w:link w:val="30"/>
    <w:qFormat/>
    <w:uiPriority w:val="0"/>
    <w:rPr>
      <w:szCs w:val="24"/>
    </w:rPr>
  </w:style>
  <w:style w:type="character" w:customStyle="1" w:styleId="165">
    <w:name w:val="正文文本 字符"/>
    <w:basedOn w:val="130"/>
    <w:link w:val="32"/>
    <w:qFormat/>
    <w:uiPriority w:val="0"/>
    <w:rPr>
      <w:rFonts w:ascii="宋体" w:hAnsi="Times New Roman" w:eastAsia="宋体" w:cs="Times New Roman"/>
      <w:kern w:val="0"/>
      <w:sz w:val="28"/>
      <w:szCs w:val="20"/>
    </w:rPr>
  </w:style>
  <w:style w:type="character" w:customStyle="1" w:styleId="166">
    <w:name w:val="正文文本缩进 字符"/>
    <w:basedOn w:val="130"/>
    <w:link w:val="33"/>
    <w:qFormat/>
    <w:uiPriority w:val="0"/>
    <w:rPr>
      <w:rFonts w:ascii="宋体" w:hAnsi="宋体" w:eastAsia="宋体" w:cs="Times New Roman"/>
      <w:kern w:val="0"/>
      <w:sz w:val="24"/>
      <w:szCs w:val="20"/>
    </w:rPr>
  </w:style>
  <w:style w:type="character" w:customStyle="1" w:styleId="167">
    <w:name w:val="HTML 地址 字符"/>
    <w:basedOn w:val="130"/>
    <w:link w:val="40"/>
    <w:qFormat/>
    <w:uiPriority w:val="0"/>
    <w:rPr>
      <w:i/>
      <w:iCs/>
      <w:szCs w:val="24"/>
    </w:rPr>
  </w:style>
  <w:style w:type="character" w:customStyle="1" w:styleId="168">
    <w:name w:val="纯文本 字符"/>
    <w:basedOn w:val="130"/>
    <w:link w:val="44"/>
    <w:qFormat/>
    <w:uiPriority w:val="0"/>
    <w:rPr>
      <w:rFonts w:ascii="宋体" w:hAnsi="Courier New" w:eastAsia="宋体" w:cs="Times New Roman"/>
      <w:sz w:val="24"/>
      <w:szCs w:val="20"/>
    </w:rPr>
  </w:style>
  <w:style w:type="character" w:customStyle="1" w:styleId="169">
    <w:name w:val="日期 字符"/>
    <w:basedOn w:val="130"/>
    <w:link w:val="49"/>
    <w:qFormat/>
    <w:uiPriority w:val="0"/>
    <w:rPr>
      <w:rFonts w:ascii="Times New Roman" w:hAnsi="Times New Roman" w:eastAsia="宋体" w:cs="Times New Roman"/>
      <w:kern w:val="0"/>
      <w:szCs w:val="20"/>
    </w:rPr>
  </w:style>
  <w:style w:type="character" w:customStyle="1" w:styleId="170">
    <w:name w:val="正文文本缩进 2 字符"/>
    <w:basedOn w:val="130"/>
    <w:link w:val="50"/>
    <w:qFormat/>
    <w:uiPriority w:val="0"/>
    <w:rPr>
      <w:rFonts w:ascii="Times New Roman" w:hAnsi="Times New Roman" w:eastAsia="宋体" w:cs="Times New Roman"/>
      <w:kern w:val="0"/>
      <w:szCs w:val="20"/>
    </w:rPr>
  </w:style>
  <w:style w:type="character" w:customStyle="1" w:styleId="171">
    <w:name w:val="批注框文本 字符"/>
    <w:basedOn w:val="130"/>
    <w:link w:val="52"/>
    <w:qFormat/>
    <w:uiPriority w:val="0"/>
    <w:rPr>
      <w:rFonts w:ascii="Calibri" w:hAnsi="Calibri" w:eastAsia="Calibri" w:cs="Calibri"/>
      <w:color w:val="000000"/>
      <w:sz w:val="18"/>
      <w:szCs w:val="18"/>
    </w:rPr>
  </w:style>
  <w:style w:type="character" w:customStyle="1" w:styleId="172">
    <w:name w:val="页脚 字符"/>
    <w:basedOn w:val="130"/>
    <w:link w:val="53"/>
    <w:qFormat/>
    <w:uiPriority w:val="99"/>
    <w:rPr>
      <w:rFonts w:ascii="Calibri" w:hAnsi="Calibri" w:eastAsia="Calibri" w:cs="Calibri"/>
      <w:color w:val="000000"/>
      <w:sz w:val="18"/>
      <w:szCs w:val="18"/>
    </w:rPr>
  </w:style>
  <w:style w:type="character" w:customStyle="1" w:styleId="173">
    <w:name w:val="页眉 字符"/>
    <w:basedOn w:val="130"/>
    <w:link w:val="54"/>
    <w:qFormat/>
    <w:uiPriority w:val="99"/>
    <w:rPr>
      <w:rFonts w:ascii="Calibri" w:hAnsi="Calibri" w:eastAsia="Calibri" w:cs="Calibri"/>
      <w:color w:val="000000"/>
      <w:sz w:val="18"/>
      <w:szCs w:val="18"/>
    </w:rPr>
  </w:style>
  <w:style w:type="character" w:customStyle="1" w:styleId="174">
    <w:name w:val="签名 字符"/>
    <w:basedOn w:val="130"/>
    <w:link w:val="55"/>
    <w:qFormat/>
    <w:uiPriority w:val="0"/>
    <w:rPr>
      <w:szCs w:val="24"/>
    </w:rPr>
  </w:style>
  <w:style w:type="character" w:customStyle="1" w:styleId="175">
    <w:name w:val="副标题 字符"/>
    <w:basedOn w:val="130"/>
    <w:link w:val="61"/>
    <w:qFormat/>
    <w:uiPriority w:val="0"/>
    <w:rPr>
      <w:rFonts w:ascii="Cambria" w:hAnsi="Cambria"/>
      <w:sz w:val="24"/>
      <w:szCs w:val="24"/>
      <w:lang w:eastAsia="en-US" w:bidi="en-US"/>
    </w:rPr>
  </w:style>
  <w:style w:type="character" w:customStyle="1" w:styleId="176">
    <w:name w:val="脚注文本 字符"/>
    <w:basedOn w:val="130"/>
    <w:link w:val="64"/>
    <w:qFormat/>
    <w:uiPriority w:val="0"/>
    <w:rPr>
      <w:rFonts w:ascii="宋体" w:hAnsi="Times New Roman" w:eastAsia="宋体" w:cs="Times New Roman"/>
      <w:sz w:val="18"/>
      <w:szCs w:val="20"/>
    </w:rPr>
  </w:style>
  <w:style w:type="character" w:customStyle="1" w:styleId="177">
    <w:name w:val="正文文本缩进 3 字符"/>
    <w:basedOn w:val="130"/>
    <w:link w:val="67"/>
    <w:qFormat/>
    <w:uiPriority w:val="0"/>
    <w:rPr>
      <w:rFonts w:ascii="Times New Roman" w:hAnsi="Times New Roman" w:eastAsia="宋体" w:cs="Times New Roman"/>
      <w:kern w:val="0"/>
      <w:sz w:val="16"/>
      <w:szCs w:val="16"/>
    </w:rPr>
  </w:style>
  <w:style w:type="character" w:customStyle="1" w:styleId="178">
    <w:name w:val="正文文本 2 字符"/>
    <w:basedOn w:val="130"/>
    <w:link w:val="73"/>
    <w:qFormat/>
    <w:uiPriority w:val="0"/>
    <w:rPr>
      <w:rFonts w:ascii="宋体" w:hAnsi="宋体" w:eastAsia="宋体" w:cs="Times New Roman"/>
      <w:color w:val="0000FF"/>
      <w:kern w:val="0"/>
      <w:sz w:val="28"/>
      <w:szCs w:val="20"/>
    </w:rPr>
  </w:style>
  <w:style w:type="character" w:customStyle="1" w:styleId="179">
    <w:name w:val="信息标题 字符"/>
    <w:basedOn w:val="130"/>
    <w:link w:val="76"/>
    <w:qFormat/>
    <w:uiPriority w:val="0"/>
    <w:rPr>
      <w:rFonts w:ascii="Arial" w:hAnsi="Arial" w:eastAsia="宋体" w:cs="Arial"/>
      <w:sz w:val="24"/>
      <w:szCs w:val="24"/>
      <w:shd w:val="pct20" w:color="auto" w:fill="auto"/>
    </w:rPr>
  </w:style>
  <w:style w:type="character" w:customStyle="1" w:styleId="180">
    <w:name w:val="HTML 预设格式 字符"/>
    <w:basedOn w:val="130"/>
    <w:link w:val="77"/>
    <w:qFormat/>
    <w:uiPriority w:val="0"/>
    <w:rPr>
      <w:rFonts w:ascii="Courier New" w:hAnsi="Courier New" w:eastAsia="宋体" w:cs="Courier New"/>
      <w:sz w:val="20"/>
      <w:szCs w:val="20"/>
    </w:rPr>
  </w:style>
  <w:style w:type="character" w:customStyle="1" w:styleId="181">
    <w:name w:val="标题 字符"/>
    <w:basedOn w:val="130"/>
    <w:link w:val="81"/>
    <w:qFormat/>
    <w:uiPriority w:val="0"/>
    <w:rPr>
      <w:rFonts w:ascii="Arial" w:hAnsi="Arial" w:eastAsia="宋体" w:cs="Times New Roman"/>
      <w:b/>
      <w:sz w:val="32"/>
      <w:szCs w:val="20"/>
    </w:rPr>
  </w:style>
  <w:style w:type="character" w:customStyle="1" w:styleId="182">
    <w:name w:val="批注主题 字符"/>
    <w:basedOn w:val="161"/>
    <w:link w:val="82"/>
    <w:qFormat/>
    <w:uiPriority w:val="0"/>
    <w:rPr>
      <w:rFonts w:ascii="Times New Roman" w:hAnsi="Times New Roman" w:eastAsia="宋体" w:cs="Times New Roman"/>
      <w:b/>
      <w:bCs/>
      <w:kern w:val="0"/>
      <w:szCs w:val="20"/>
    </w:rPr>
  </w:style>
  <w:style w:type="character" w:customStyle="1" w:styleId="183">
    <w:name w:val="正文文本首行缩进 字符"/>
    <w:basedOn w:val="165"/>
    <w:link w:val="83"/>
    <w:qFormat/>
    <w:uiPriority w:val="0"/>
    <w:rPr>
      <w:rFonts w:ascii="Times New Roman" w:hAnsi="Times New Roman" w:eastAsia="宋体" w:cs="Times New Roman"/>
      <w:kern w:val="0"/>
      <w:sz w:val="24"/>
      <w:szCs w:val="20"/>
    </w:rPr>
  </w:style>
  <w:style w:type="character" w:customStyle="1" w:styleId="184">
    <w:name w:val="正文文本首行缩进 2 字符"/>
    <w:basedOn w:val="166"/>
    <w:link w:val="84"/>
    <w:qFormat/>
    <w:uiPriority w:val="0"/>
    <w:rPr>
      <w:rFonts w:ascii="宋体" w:hAnsi="Times New Roman" w:eastAsia="宋体" w:cs="Times New Roman"/>
      <w:kern w:val="0"/>
      <w:sz w:val="24"/>
      <w:szCs w:val="20"/>
    </w:rPr>
  </w:style>
  <w:style w:type="paragraph" w:customStyle="1" w:styleId="185">
    <w:name w:val="Default"/>
    <w:next w:val="63"/>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86">
    <w:name w:val="Normal Indent1"/>
    <w:basedOn w:val="187"/>
    <w:qFormat/>
    <w:uiPriority w:val="0"/>
    <w:pPr>
      <w:ind w:firstLine="420" w:firstLineChars="200"/>
    </w:pPr>
    <w:rPr>
      <w:rFonts w:ascii="Times New Roman" w:hAnsi="Times New Roman" w:cs="Times New Roman"/>
    </w:rPr>
  </w:style>
  <w:style w:type="paragraph" w:customStyle="1" w:styleId="187">
    <w:name w:val="正文 New New New New New New New New New New New New"/>
    <w:next w:val="186"/>
    <w:qFormat/>
    <w:uiPriority w:val="0"/>
    <w:pPr>
      <w:widowControl w:val="0"/>
      <w:jc w:val="both"/>
    </w:pPr>
    <w:rPr>
      <w:rFonts w:ascii="Calibri" w:hAnsi="Calibri" w:eastAsia="宋体" w:cs="Calibri"/>
      <w:kern w:val="2"/>
      <w:sz w:val="32"/>
      <w:szCs w:val="21"/>
      <w:lang w:val="en-US" w:eastAsia="zh-CN" w:bidi="ar-SA"/>
    </w:rPr>
  </w:style>
  <w:style w:type="table" w:customStyle="1" w:styleId="188">
    <w:name w:val="TableGrid"/>
    <w:qFormat/>
    <w:uiPriority w:val="0"/>
    <w:tblPr>
      <w:tblCellMar>
        <w:top w:w="0" w:type="dxa"/>
        <w:left w:w="0" w:type="dxa"/>
        <w:bottom w:w="0" w:type="dxa"/>
        <w:right w:w="0" w:type="dxa"/>
      </w:tblCellMar>
    </w:tblPr>
  </w:style>
  <w:style w:type="paragraph" w:styleId="189">
    <w:name w:val="List Paragraph"/>
    <w:basedOn w:val="1"/>
    <w:qFormat/>
    <w:uiPriority w:val="99"/>
    <w:pPr>
      <w:widowControl w:val="0"/>
      <w:spacing w:after="0" w:line="240" w:lineRule="auto"/>
      <w:ind w:firstLine="420" w:firstLineChars="200"/>
      <w:jc w:val="both"/>
    </w:pPr>
    <w:rPr>
      <w:rFonts w:cs="Times New Roman"/>
      <w:color w:val="auto"/>
    </w:rPr>
  </w:style>
  <w:style w:type="character" w:customStyle="1" w:styleId="190">
    <w:name w:val="纯文本 Char"/>
    <w:basedOn w:val="130"/>
    <w:qFormat/>
    <w:uiPriority w:val="0"/>
    <w:rPr>
      <w:rFonts w:ascii="宋体" w:hAnsi="Courier New" w:eastAsia="宋体" w:cs="Courier New"/>
      <w:color w:val="000000"/>
      <w:szCs w:val="21"/>
    </w:rPr>
  </w:style>
  <w:style w:type="paragraph" w:customStyle="1" w:styleId="191">
    <w:name w:val="Char"/>
    <w:basedOn w:val="1"/>
    <w:qFormat/>
    <w:uiPriority w:val="0"/>
    <w:pPr>
      <w:widowControl w:val="0"/>
      <w:spacing w:after="0" w:line="240" w:lineRule="auto"/>
      <w:jc w:val="both"/>
    </w:pPr>
    <w:rPr>
      <w:rFonts w:ascii="Times New Roman" w:hAnsi="Times New Roman" w:cs="Times New Roman"/>
      <w:color w:val="auto"/>
      <w:szCs w:val="24"/>
    </w:rPr>
  </w:style>
  <w:style w:type="character" w:customStyle="1" w:styleId="192">
    <w:name w:val="标题 7 Char"/>
    <w:basedOn w:val="130"/>
    <w:semiHidden/>
    <w:qFormat/>
    <w:uiPriority w:val="9"/>
    <w:rPr>
      <w:rFonts w:ascii="Calibri" w:hAnsi="Calibri" w:eastAsia="Calibri" w:cs="Calibri"/>
      <w:b/>
      <w:bCs/>
      <w:color w:val="000000"/>
      <w:sz w:val="24"/>
      <w:szCs w:val="24"/>
    </w:rPr>
  </w:style>
  <w:style w:type="character" w:customStyle="1" w:styleId="193">
    <w:name w:val="标题 1 Char1"/>
    <w:basedOn w:val="130"/>
    <w:qFormat/>
    <w:uiPriority w:val="0"/>
    <w:rPr>
      <w:rFonts w:ascii="Times New Roman" w:hAnsi="Times New Roman" w:eastAsia="宋体" w:cs="Times New Roman"/>
      <w:kern w:val="44"/>
      <w:sz w:val="30"/>
      <w:szCs w:val="20"/>
    </w:rPr>
  </w:style>
  <w:style w:type="paragraph" w:customStyle="1" w:styleId="194">
    <w:name w:val="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195">
    <w:name w:val="正文1"/>
    <w:basedOn w:val="1"/>
    <w:qFormat/>
    <w:uiPriority w:val="0"/>
    <w:pPr>
      <w:widowControl w:val="0"/>
      <w:adjustRightInd w:val="0"/>
      <w:spacing w:after="0" w:line="360" w:lineRule="atLeast"/>
      <w:textAlignment w:val="baseline"/>
    </w:pPr>
    <w:rPr>
      <w:rFonts w:ascii="宋体" w:hAnsi="Times New Roman" w:cs="Times New Roman"/>
      <w:color w:val="auto"/>
      <w:kern w:val="0"/>
      <w:sz w:val="24"/>
      <w:szCs w:val="20"/>
    </w:rPr>
  </w:style>
  <w:style w:type="paragraph" w:customStyle="1" w:styleId="196">
    <w:name w:val="样式2"/>
    <w:basedOn w:val="1"/>
    <w:link w:val="197"/>
    <w:qFormat/>
    <w:uiPriority w:val="0"/>
    <w:pPr>
      <w:widowControl w:val="0"/>
      <w:adjustRightInd w:val="0"/>
      <w:spacing w:after="0" w:line="410" w:lineRule="atLeast"/>
      <w:textAlignment w:val="baseline"/>
    </w:pPr>
    <w:rPr>
      <w:rFonts w:ascii="Times New Roman" w:hAnsi="Times New Roman" w:cs="Times New Roman"/>
      <w:color w:val="auto"/>
      <w:kern w:val="0"/>
      <w:sz w:val="24"/>
      <w:szCs w:val="20"/>
    </w:rPr>
  </w:style>
  <w:style w:type="character" w:customStyle="1" w:styleId="197">
    <w:name w:val="样式2 Char"/>
    <w:basedOn w:val="130"/>
    <w:link w:val="196"/>
    <w:qFormat/>
    <w:uiPriority w:val="0"/>
    <w:rPr>
      <w:rFonts w:ascii="Times New Roman" w:hAnsi="Times New Roman" w:eastAsia="宋体" w:cs="Times New Roman"/>
      <w:kern w:val="0"/>
      <w:sz w:val="24"/>
      <w:szCs w:val="20"/>
    </w:rPr>
  </w:style>
  <w:style w:type="paragraph" w:customStyle="1" w:styleId="198">
    <w:name w:val="标题1 Char Char Char"/>
    <w:basedOn w:val="2"/>
    <w:qFormat/>
    <w:uiPriority w:val="0"/>
    <w:pPr>
      <w:widowControl w:val="0"/>
      <w:adjustRightInd w:val="0"/>
      <w:snapToGrid w:val="0"/>
      <w:spacing w:afterLines="50" w:line="360" w:lineRule="auto"/>
      <w:ind w:left="0" w:right="0" w:firstLine="0"/>
      <w:textAlignment w:val="baseline"/>
      <w:outlineLvl w:val="9"/>
    </w:pPr>
    <w:rPr>
      <w:rFonts w:ascii="Times New Roman" w:hAnsi="宋体" w:eastAsia="宋体" w:cs="Times New Roman"/>
      <w:b/>
      <w:color w:val="auto"/>
      <w:kern w:val="44"/>
      <w:sz w:val="21"/>
      <w:szCs w:val="21"/>
    </w:rPr>
  </w:style>
  <w:style w:type="character" w:customStyle="1" w:styleId="199">
    <w:name w:val="标题1 Char Char Char Char"/>
    <w:basedOn w:val="148"/>
    <w:qFormat/>
    <w:uiPriority w:val="0"/>
    <w:rPr>
      <w:rFonts w:ascii="Times New Roman" w:hAnsi="Times New Roman" w:eastAsia="宋体" w:cs="Times New Roman"/>
      <w:b/>
      <w:bCs/>
      <w:color w:val="000000"/>
      <w:kern w:val="44"/>
      <w:sz w:val="28"/>
      <w:szCs w:val="44"/>
      <w:lang w:val="en-US" w:eastAsia="zh-CN" w:bidi="ar-SA"/>
    </w:rPr>
  </w:style>
  <w:style w:type="paragraph" w:customStyle="1" w:styleId="200">
    <w:name w:val="样式1"/>
    <w:basedOn w:val="1"/>
    <w:qFormat/>
    <w:uiPriority w:val="0"/>
    <w:pPr>
      <w:widowControl w:val="0"/>
      <w:adjustRightInd w:val="0"/>
      <w:spacing w:after="0" w:line="420" w:lineRule="auto"/>
      <w:jc w:val="center"/>
      <w:textAlignment w:val="baseline"/>
    </w:pPr>
    <w:rPr>
      <w:rFonts w:ascii="宋体" w:hAnsi="Times New Roman" w:cs="Times New Roman"/>
      <w:color w:val="auto"/>
      <w:kern w:val="0"/>
      <w:sz w:val="24"/>
      <w:szCs w:val="20"/>
    </w:rPr>
  </w:style>
  <w:style w:type="character" w:customStyle="1" w:styleId="201">
    <w:name w:val="标题 2李洪 Char"/>
    <w:basedOn w:val="130"/>
    <w:qFormat/>
    <w:uiPriority w:val="0"/>
    <w:rPr>
      <w:rFonts w:eastAsia="宋体"/>
      <w:kern w:val="2"/>
      <w:sz w:val="21"/>
      <w:szCs w:val="24"/>
      <w:lang w:val="en-US" w:eastAsia="zh-CN" w:bidi="ar-SA"/>
    </w:rPr>
  </w:style>
  <w:style w:type="paragraph" w:customStyle="1" w:styleId="202">
    <w:name w:val="标题1李洪"/>
    <w:basedOn w:val="1"/>
    <w:qFormat/>
    <w:uiPriority w:val="0"/>
    <w:pPr>
      <w:widowControl w:val="0"/>
      <w:tabs>
        <w:tab w:val="left" w:pos="567"/>
      </w:tabs>
      <w:spacing w:after="0" w:line="240" w:lineRule="auto"/>
      <w:ind w:left="567" w:hanging="567"/>
      <w:jc w:val="both"/>
    </w:pPr>
    <w:rPr>
      <w:rFonts w:ascii="Times New Roman" w:hAnsi="Times New Roman" w:cs="Times New Roman"/>
      <w:color w:val="auto"/>
      <w:szCs w:val="24"/>
    </w:rPr>
  </w:style>
  <w:style w:type="paragraph" w:customStyle="1" w:styleId="203">
    <w:name w:val="标题 2李洪"/>
    <w:basedOn w:val="1"/>
    <w:qFormat/>
    <w:uiPriority w:val="0"/>
    <w:pPr>
      <w:widowControl w:val="0"/>
      <w:tabs>
        <w:tab w:val="left" w:pos="567"/>
      </w:tabs>
      <w:spacing w:after="0" w:line="240" w:lineRule="auto"/>
      <w:ind w:left="567" w:hanging="567"/>
      <w:jc w:val="both"/>
    </w:pPr>
    <w:rPr>
      <w:rFonts w:ascii="Times New Roman" w:hAnsi="Times New Roman" w:cs="Times New Roman"/>
      <w:color w:val="auto"/>
      <w:szCs w:val="24"/>
    </w:rPr>
  </w:style>
  <w:style w:type="paragraph" w:customStyle="1" w:styleId="204">
    <w:name w:val="标题 3李洪"/>
    <w:basedOn w:val="1"/>
    <w:qFormat/>
    <w:uiPriority w:val="0"/>
    <w:pPr>
      <w:widowControl w:val="0"/>
      <w:tabs>
        <w:tab w:val="left" w:pos="567"/>
      </w:tabs>
      <w:spacing w:after="0" w:line="240" w:lineRule="auto"/>
      <w:ind w:left="567" w:hanging="567"/>
      <w:jc w:val="both"/>
    </w:pPr>
    <w:rPr>
      <w:rFonts w:ascii="Times New Roman" w:hAnsi="Times New Roman" w:cs="Times New Roman"/>
      <w:color w:val="auto"/>
      <w:szCs w:val="24"/>
    </w:rPr>
  </w:style>
  <w:style w:type="paragraph" w:customStyle="1" w:styleId="205">
    <w:name w:val="标题 4李洪"/>
    <w:basedOn w:val="1"/>
    <w:qFormat/>
    <w:uiPriority w:val="0"/>
    <w:pPr>
      <w:widowControl w:val="0"/>
      <w:tabs>
        <w:tab w:val="left" w:pos="567"/>
      </w:tabs>
      <w:spacing w:after="0" w:line="240" w:lineRule="auto"/>
      <w:ind w:left="567"/>
      <w:jc w:val="both"/>
    </w:pPr>
    <w:rPr>
      <w:rFonts w:ascii="Times New Roman" w:hAnsi="Times New Roman" w:cs="Times New Roman"/>
      <w:color w:val="auto"/>
      <w:szCs w:val="24"/>
    </w:rPr>
  </w:style>
  <w:style w:type="paragraph" w:customStyle="1" w:styleId="206">
    <w:name w:val="标题 5李洪"/>
    <w:basedOn w:val="1"/>
    <w:qFormat/>
    <w:uiPriority w:val="0"/>
    <w:pPr>
      <w:widowControl w:val="0"/>
      <w:tabs>
        <w:tab w:val="left" w:pos="567"/>
      </w:tabs>
      <w:spacing w:after="0" w:line="240" w:lineRule="auto"/>
      <w:ind w:left="567"/>
      <w:jc w:val="both"/>
    </w:pPr>
    <w:rPr>
      <w:rFonts w:ascii="Times New Roman" w:hAnsi="Times New Roman" w:cs="Times New Roman"/>
      <w:color w:val="auto"/>
      <w:szCs w:val="24"/>
    </w:rPr>
  </w:style>
  <w:style w:type="paragraph" w:customStyle="1" w:styleId="207">
    <w:name w:val="附件标题1李洪"/>
    <w:basedOn w:val="1"/>
    <w:qFormat/>
    <w:uiPriority w:val="0"/>
    <w:pPr>
      <w:widowControl w:val="0"/>
      <w:tabs>
        <w:tab w:val="left" w:pos="0"/>
      </w:tabs>
      <w:spacing w:after="0" w:line="240" w:lineRule="auto"/>
      <w:jc w:val="both"/>
    </w:pPr>
    <w:rPr>
      <w:rFonts w:ascii="Times New Roman" w:hAnsi="Times New Roman" w:cs="Times New Roman"/>
      <w:color w:val="auto"/>
      <w:szCs w:val="24"/>
    </w:rPr>
  </w:style>
  <w:style w:type="paragraph" w:customStyle="1" w:styleId="208">
    <w:name w:val="附件标题2李洪"/>
    <w:basedOn w:val="1"/>
    <w:qFormat/>
    <w:uiPriority w:val="0"/>
    <w:pPr>
      <w:widowControl w:val="0"/>
      <w:tabs>
        <w:tab w:val="left" w:pos="567"/>
      </w:tabs>
      <w:spacing w:after="0" w:line="240" w:lineRule="auto"/>
      <w:ind w:left="567" w:hanging="567"/>
      <w:jc w:val="both"/>
    </w:pPr>
    <w:rPr>
      <w:rFonts w:ascii="Times New Roman" w:hAnsi="Times New Roman" w:cs="Times New Roman"/>
      <w:color w:val="auto"/>
      <w:szCs w:val="24"/>
    </w:rPr>
  </w:style>
  <w:style w:type="paragraph" w:customStyle="1" w:styleId="209">
    <w:name w:val="日期1"/>
    <w:basedOn w:val="1"/>
    <w:next w:val="1"/>
    <w:qFormat/>
    <w:uiPriority w:val="0"/>
    <w:pPr>
      <w:widowControl w:val="0"/>
      <w:adjustRightInd w:val="0"/>
      <w:spacing w:after="0" w:line="240" w:lineRule="auto"/>
      <w:jc w:val="both"/>
      <w:textAlignment w:val="baseline"/>
    </w:pPr>
    <w:rPr>
      <w:rFonts w:ascii="Times New Roman" w:hAnsi="Times New Roman" w:cs="Times New Roman"/>
      <w:color w:val="auto"/>
      <w:sz w:val="28"/>
      <w:szCs w:val="20"/>
    </w:rPr>
  </w:style>
  <w:style w:type="paragraph" w:customStyle="1" w:styleId="210">
    <w:name w:val="biao"/>
    <w:basedOn w:val="1"/>
    <w:qFormat/>
    <w:uiPriority w:val="0"/>
    <w:pPr>
      <w:widowControl w:val="0"/>
      <w:tabs>
        <w:tab w:val="left" w:pos="2340"/>
      </w:tabs>
      <w:autoSpaceDE w:val="0"/>
      <w:autoSpaceDN w:val="0"/>
      <w:adjustRightInd w:val="0"/>
      <w:spacing w:after="0" w:line="240" w:lineRule="atLeast"/>
      <w:jc w:val="center"/>
    </w:pPr>
    <w:rPr>
      <w:rFonts w:hint="eastAsia" w:ascii="黑体" w:hAnsi="Tms Rmn" w:eastAsia="黑体" w:cs="Times New Roman"/>
      <w:color w:val="auto"/>
      <w:kern w:val="0"/>
      <w:sz w:val="30"/>
      <w:szCs w:val="20"/>
    </w:rPr>
  </w:style>
  <w:style w:type="paragraph" w:customStyle="1" w:styleId="211">
    <w:name w:val="Char1 Char Char Char"/>
    <w:basedOn w:val="1"/>
    <w:qFormat/>
    <w:uiPriority w:val="0"/>
    <w:pPr>
      <w:widowControl w:val="0"/>
      <w:spacing w:after="0" w:line="240" w:lineRule="auto"/>
      <w:jc w:val="both"/>
    </w:pPr>
    <w:rPr>
      <w:rFonts w:ascii="Times New Roman" w:hAnsi="Times New Roman" w:cs="Times New Roman"/>
      <w:color w:val="auto"/>
      <w:szCs w:val="20"/>
    </w:rPr>
  </w:style>
  <w:style w:type="paragraph" w:customStyle="1" w:styleId="212">
    <w:name w:val="中机"/>
    <w:basedOn w:val="1"/>
    <w:qFormat/>
    <w:uiPriority w:val="0"/>
    <w:pPr>
      <w:widowControl w:val="0"/>
      <w:spacing w:after="0" w:line="240" w:lineRule="auto"/>
      <w:jc w:val="both"/>
    </w:pPr>
    <w:rPr>
      <w:rFonts w:ascii="Times New Roman" w:hAnsi="Times New Roman" w:eastAsia="黑体" w:cs="Times New Roman"/>
      <w:color w:val="auto"/>
      <w:sz w:val="28"/>
      <w:szCs w:val="20"/>
    </w:rPr>
  </w:style>
  <w:style w:type="paragraph" w:customStyle="1" w:styleId="213">
    <w:name w:val="默认段落字体 Para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14">
    <w:name w:val="Char Char Char Char Char Char Char Char Char"/>
    <w:basedOn w:val="1"/>
    <w:qFormat/>
    <w:uiPriority w:val="0"/>
    <w:pPr>
      <w:widowControl w:val="0"/>
      <w:spacing w:after="0" w:line="360" w:lineRule="auto"/>
      <w:ind w:firstLine="200" w:firstLineChars="200"/>
      <w:jc w:val="both"/>
    </w:pPr>
    <w:rPr>
      <w:rFonts w:ascii="宋体" w:hAnsi="宋体" w:cs="宋体"/>
      <w:color w:val="auto"/>
      <w:sz w:val="24"/>
      <w:szCs w:val="24"/>
    </w:rPr>
  </w:style>
  <w:style w:type="paragraph" w:customStyle="1" w:styleId="215">
    <w:name w:val="默认段落字体 Para Char Char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216">
    <w:name w:val="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17">
    <w:name w:val="Char Char Char Char Char Char Char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218">
    <w:name w:val="Char Char Char1 Char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219">
    <w:name w:val="标题2"/>
    <w:basedOn w:val="3"/>
    <w:qFormat/>
    <w:uiPriority w:val="0"/>
    <w:pPr>
      <w:widowControl w:val="0"/>
      <w:tabs>
        <w:tab w:val="left" w:pos="567"/>
      </w:tabs>
      <w:adjustRightInd w:val="0"/>
      <w:spacing w:after="0" w:line="360" w:lineRule="auto"/>
      <w:ind w:left="0" w:right="0" w:firstLine="0"/>
      <w:jc w:val="both"/>
      <w:textAlignment w:val="baseline"/>
    </w:pPr>
    <w:rPr>
      <w:rFonts w:ascii="Times New Roman" w:hAnsi="Times New Roman" w:cs="Times New Roman"/>
      <w:color w:val="auto"/>
      <w:kern w:val="0"/>
      <w:sz w:val="24"/>
      <w:szCs w:val="20"/>
    </w:rPr>
  </w:style>
  <w:style w:type="paragraph" w:customStyle="1" w:styleId="220">
    <w:name w:val="标题3李洪"/>
    <w:basedOn w:val="1"/>
    <w:qFormat/>
    <w:uiPriority w:val="0"/>
    <w:pPr>
      <w:spacing w:after="0" w:line="240" w:lineRule="auto"/>
    </w:pPr>
    <w:rPr>
      <w:rFonts w:ascii="Times New Roman" w:hAnsi="Times New Roman" w:cs="Times New Roman"/>
      <w:color w:val="auto"/>
      <w:kern w:val="0"/>
      <w:sz w:val="20"/>
      <w:szCs w:val="20"/>
    </w:rPr>
  </w:style>
  <w:style w:type="paragraph" w:customStyle="1" w:styleId="221">
    <w:name w:val="Char1"/>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22">
    <w:name w:val="修订1"/>
    <w:qFormat/>
    <w:uiPriority w:val="0"/>
    <w:rPr>
      <w:rFonts w:ascii="Times New Roman" w:hAnsi="Times New Roman" w:eastAsia="宋体" w:cs="Times New Roman"/>
      <w:sz w:val="21"/>
      <w:lang w:val="en-US" w:eastAsia="zh-CN" w:bidi="ar-SA"/>
    </w:rPr>
  </w:style>
  <w:style w:type="paragraph" w:customStyle="1" w:styleId="223">
    <w:name w:val="Char2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224">
    <w:name w:val="正文宋体"/>
    <w:basedOn w:val="1"/>
    <w:qFormat/>
    <w:uiPriority w:val="0"/>
    <w:pPr>
      <w:widowControl w:val="0"/>
      <w:autoSpaceDE w:val="0"/>
      <w:autoSpaceDN w:val="0"/>
      <w:adjustRightInd w:val="0"/>
      <w:spacing w:after="0" w:line="360" w:lineRule="auto"/>
      <w:ind w:left="300" w:leftChars="300"/>
      <w:jc w:val="both"/>
    </w:pPr>
    <w:rPr>
      <w:rFonts w:ascii="Times New Roman" w:hAnsi="Times New Roman" w:cs="Times New Roman"/>
      <w:color w:val="auto"/>
      <w:sz w:val="24"/>
      <w:szCs w:val="24"/>
    </w:rPr>
  </w:style>
  <w:style w:type="paragraph" w:customStyle="1" w:styleId="225">
    <w:name w:val="表格"/>
    <w:basedOn w:val="1"/>
    <w:link w:val="226"/>
    <w:qFormat/>
    <w:uiPriority w:val="0"/>
    <w:pPr>
      <w:widowControl w:val="0"/>
      <w:autoSpaceDE w:val="0"/>
      <w:autoSpaceDN w:val="0"/>
      <w:adjustRightInd w:val="0"/>
      <w:spacing w:after="0" w:line="360" w:lineRule="auto"/>
    </w:pPr>
    <w:rPr>
      <w:rFonts w:ascii="楷体_GB2312" w:hAnsi="宋体" w:cs="Arial"/>
      <w:bCs/>
      <w:color w:val="auto"/>
      <w:sz w:val="24"/>
      <w:szCs w:val="52"/>
    </w:rPr>
  </w:style>
  <w:style w:type="character" w:customStyle="1" w:styleId="226">
    <w:name w:val="表格 Char"/>
    <w:basedOn w:val="130"/>
    <w:link w:val="225"/>
    <w:qFormat/>
    <w:uiPriority w:val="0"/>
    <w:rPr>
      <w:rFonts w:ascii="楷体_GB2312" w:hAnsi="宋体" w:eastAsia="宋体" w:cs="Arial"/>
      <w:bCs/>
      <w:sz w:val="24"/>
      <w:szCs w:val="52"/>
    </w:rPr>
  </w:style>
  <w:style w:type="paragraph" w:customStyle="1" w:styleId="227">
    <w:name w:val="默认段落字体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228">
    <w:name w:val="正文2"/>
    <w:qFormat/>
    <w:uiPriority w:val="0"/>
    <w:pPr>
      <w:widowControl w:val="0"/>
      <w:numPr>
        <w:ilvl w:val="0"/>
        <w:numId w:val="11"/>
      </w:numPr>
      <w:tabs>
        <w:tab w:val="clear" w:pos="1440"/>
      </w:tabs>
      <w:autoSpaceDE w:val="0"/>
      <w:autoSpaceDN w:val="0"/>
      <w:adjustRightInd w:val="0"/>
      <w:spacing w:line="360" w:lineRule="atLeast"/>
      <w:ind w:left="425" w:hanging="425"/>
      <w:textAlignment w:val="bottom"/>
    </w:pPr>
    <w:rPr>
      <w:rFonts w:ascii="宋体" w:hAnsi="Times New Roman" w:eastAsia="宋体" w:cs="Times New Roman"/>
      <w:position w:val="-6"/>
      <w:sz w:val="32"/>
      <w:lang w:val="en-US" w:eastAsia="zh-CN" w:bidi="ar-SA"/>
    </w:rPr>
  </w:style>
  <w:style w:type="paragraph" w:customStyle="1" w:styleId="229">
    <w:name w:val="标题4"/>
    <w:basedOn w:val="5"/>
    <w:link w:val="230"/>
    <w:qFormat/>
    <w:uiPriority w:val="99"/>
    <w:pPr>
      <w:keepLines w:val="0"/>
      <w:widowControl w:val="0"/>
      <w:tabs>
        <w:tab w:val="left" w:pos="420"/>
        <w:tab w:val="left" w:pos="480"/>
        <w:tab w:val="left" w:pos="1140"/>
      </w:tabs>
      <w:adjustRightInd w:val="0"/>
      <w:snapToGrid w:val="0"/>
      <w:spacing w:before="120" w:after="0" w:line="360" w:lineRule="auto"/>
      <w:ind w:left="1140" w:right="0" w:hanging="1140"/>
      <w:jc w:val="both"/>
      <w:textAlignment w:val="baseline"/>
    </w:pPr>
    <w:rPr>
      <w:rFonts w:ascii="Arial" w:hAnsi="Arial" w:eastAsia="宋体" w:cs="Times New Roman"/>
      <w:b/>
      <w:color w:val="auto"/>
      <w:kern w:val="0"/>
      <w:sz w:val="24"/>
      <w:szCs w:val="20"/>
    </w:rPr>
  </w:style>
  <w:style w:type="character" w:customStyle="1" w:styleId="230">
    <w:name w:val="标题4 Char"/>
    <w:link w:val="229"/>
    <w:qFormat/>
    <w:locked/>
    <w:uiPriority w:val="99"/>
    <w:rPr>
      <w:rFonts w:ascii="Arial" w:hAnsi="Arial" w:eastAsia="宋体" w:cs="Times New Roman"/>
      <w:b/>
      <w:kern w:val="0"/>
      <w:sz w:val="24"/>
      <w:szCs w:val="20"/>
    </w:rPr>
  </w:style>
  <w:style w:type="paragraph" w:customStyle="1" w:styleId="231">
    <w:name w:val="表题"/>
    <w:basedOn w:val="19"/>
    <w:qFormat/>
    <w:uiPriority w:val="0"/>
    <w:pPr>
      <w:adjustRightInd/>
      <w:spacing w:line="100" w:lineRule="atLeast"/>
      <w:ind w:firstLine="0"/>
      <w:jc w:val="center"/>
      <w:textAlignment w:val="auto"/>
    </w:pPr>
    <w:rPr>
      <w:kern w:val="2"/>
      <w:sz w:val="24"/>
    </w:rPr>
  </w:style>
  <w:style w:type="paragraph" w:customStyle="1" w:styleId="232">
    <w:name w:val="(1)"/>
    <w:basedOn w:val="1"/>
    <w:qFormat/>
    <w:uiPriority w:val="0"/>
    <w:pPr>
      <w:widowControl w:val="0"/>
      <w:tabs>
        <w:tab w:val="left" w:pos="573"/>
      </w:tabs>
      <w:adjustRightInd w:val="0"/>
      <w:snapToGrid w:val="0"/>
      <w:spacing w:before="80" w:after="100" w:line="240" w:lineRule="atLeast"/>
      <w:jc w:val="both"/>
      <w:textAlignment w:val="baseline"/>
    </w:pPr>
    <w:rPr>
      <w:rFonts w:ascii="Arial" w:hAnsi="Arial" w:cs="Times New Roman"/>
      <w:color w:val="auto"/>
      <w:kern w:val="44"/>
      <w:sz w:val="24"/>
      <w:szCs w:val="24"/>
    </w:rPr>
  </w:style>
  <w:style w:type="paragraph" w:customStyle="1" w:styleId="233">
    <w:name w:val="表格侧编号"/>
    <w:next w:val="1"/>
    <w:qFormat/>
    <w:uiPriority w:val="0"/>
    <w:pPr>
      <w:widowControl w:val="0"/>
      <w:adjustRightInd w:val="0"/>
      <w:snapToGrid w:val="0"/>
      <w:spacing w:before="40" w:after="20" w:line="240" w:lineRule="atLeast"/>
      <w:jc w:val="center"/>
      <w:textAlignment w:val="baseline"/>
    </w:pPr>
    <w:rPr>
      <w:rFonts w:ascii="Arial" w:hAnsi="Arial" w:eastAsia="宋体" w:cs="Times New Roman"/>
      <w:sz w:val="24"/>
      <w:szCs w:val="24"/>
      <w:lang w:val="en-US" w:eastAsia="zh-CN" w:bidi="ar-SA"/>
    </w:rPr>
  </w:style>
  <w:style w:type="paragraph" w:customStyle="1" w:styleId="234">
    <w:name w:val="??1"/>
    <w:basedOn w:val="1"/>
    <w:qFormat/>
    <w:uiPriority w:val="0"/>
    <w:pPr>
      <w:framePr w:hSpace="181" w:wrap="around" w:vAnchor="text" w:hAnchor="margin" w:y="1"/>
      <w:widowControl w:val="0"/>
      <w:autoSpaceDE w:val="0"/>
      <w:autoSpaceDN w:val="0"/>
      <w:adjustRightInd w:val="0"/>
      <w:spacing w:after="0" w:line="360" w:lineRule="atLeast"/>
      <w:textAlignment w:val="baseline"/>
    </w:pPr>
    <w:rPr>
      <w:rFonts w:ascii="宋体" w:hAnsi="Tms Rmn" w:cs="Times New Roman"/>
      <w:color w:val="auto"/>
      <w:kern w:val="0"/>
      <w:sz w:val="28"/>
      <w:szCs w:val="20"/>
    </w:rPr>
  </w:style>
  <w:style w:type="paragraph" w:customStyle="1" w:styleId="235">
    <w:name w:val="Style1"/>
    <w:basedOn w:val="1"/>
    <w:qFormat/>
    <w:uiPriority w:val="0"/>
    <w:pPr>
      <w:tabs>
        <w:tab w:val="left" w:pos="-720"/>
      </w:tabs>
      <w:spacing w:after="120" w:line="240" w:lineRule="auto"/>
      <w:jc w:val="both"/>
    </w:pPr>
    <w:rPr>
      <w:rFonts w:ascii="Times New Roman" w:hAnsi="Times New Roman" w:cs="Times New Roman"/>
      <w:color w:val="auto"/>
      <w:spacing w:val="-3"/>
      <w:kern w:val="0"/>
      <w:sz w:val="24"/>
      <w:szCs w:val="20"/>
      <w:lang w:val="en-AU" w:eastAsia="en-US"/>
    </w:rPr>
  </w:style>
  <w:style w:type="paragraph" w:customStyle="1" w:styleId="236">
    <w:name w:val="§1.1"/>
    <w:next w:val="1"/>
    <w:qFormat/>
    <w:uiPriority w:val="0"/>
    <w:pPr>
      <w:numPr>
        <w:ilvl w:val="1"/>
        <w:numId w:val="12"/>
      </w:numPr>
      <w:spacing w:before="120" w:after="120"/>
      <w:jc w:val="both"/>
      <w:outlineLvl w:val="1"/>
    </w:pPr>
    <w:rPr>
      <w:rFonts w:ascii="Arial" w:hAnsi="Arial" w:eastAsia="宋体" w:cs="Arial"/>
      <w:b/>
      <w:smallCaps/>
      <w:lang w:val="en-US" w:eastAsia="en-US" w:bidi="ar-SA"/>
    </w:rPr>
  </w:style>
  <w:style w:type="paragraph" w:customStyle="1" w:styleId="237">
    <w:name w:val="附件"/>
    <w:basedOn w:val="1"/>
    <w:qFormat/>
    <w:uiPriority w:val="0"/>
    <w:pPr>
      <w:widowControl w:val="0"/>
      <w:adjustRightInd w:val="0"/>
      <w:spacing w:before="120" w:after="60" w:line="240" w:lineRule="auto"/>
      <w:jc w:val="center"/>
      <w:textAlignment w:val="center"/>
    </w:pPr>
    <w:rPr>
      <w:rFonts w:ascii="黑体" w:hAnsi="Times New Roman" w:eastAsia="黑体" w:cs="Times New Roman"/>
      <w:b/>
      <w:color w:val="auto"/>
      <w:kern w:val="0"/>
      <w:sz w:val="32"/>
      <w:szCs w:val="20"/>
    </w:rPr>
  </w:style>
  <w:style w:type="paragraph" w:customStyle="1" w:styleId="238">
    <w:name w:val="默认段落字体 Para Char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39">
    <w:name w:val="Char Char2 Char Char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240">
    <w:name w:val="A"/>
    <w:basedOn w:val="1"/>
    <w:qFormat/>
    <w:uiPriority w:val="0"/>
    <w:pPr>
      <w:widowControl w:val="0"/>
      <w:adjustRightInd w:val="0"/>
      <w:spacing w:after="0" w:line="480" w:lineRule="atLeast"/>
      <w:jc w:val="center"/>
      <w:textAlignment w:val="baseline"/>
    </w:pPr>
    <w:rPr>
      <w:rFonts w:ascii="宋体" w:hAnsi="Times New Roman" w:cs="Times New Roman"/>
      <w:color w:val="auto"/>
      <w:kern w:val="0"/>
      <w:sz w:val="32"/>
      <w:szCs w:val="20"/>
    </w:rPr>
  </w:style>
  <w:style w:type="paragraph" w:customStyle="1" w:styleId="241">
    <w:name w:val="不缩进"/>
    <w:basedOn w:val="1"/>
    <w:qFormat/>
    <w:uiPriority w:val="0"/>
    <w:pPr>
      <w:widowControl w:val="0"/>
      <w:snapToGrid w:val="0"/>
      <w:spacing w:beforeLines="50" w:after="0" w:line="240" w:lineRule="auto"/>
      <w:jc w:val="center"/>
    </w:pPr>
    <w:rPr>
      <w:rFonts w:ascii="Times New Roman" w:hAnsi="Times New Roman" w:cs="Times New Roman"/>
      <w:bCs/>
      <w:sz w:val="24"/>
      <w:szCs w:val="20"/>
    </w:rPr>
  </w:style>
  <w:style w:type="character" w:customStyle="1" w:styleId="242">
    <w:name w:val="标题 2 Char1"/>
    <w:basedOn w:val="130"/>
    <w:qFormat/>
    <w:uiPriority w:val="0"/>
    <w:rPr>
      <w:rFonts w:ascii="Arial" w:hAnsi="Arial" w:eastAsia="黑体" w:cs="Times New Roman"/>
      <w:b/>
      <w:kern w:val="0"/>
      <w:sz w:val="32"/>
      <w:szCs w:val="20"/>
    </w:rPr>
  </w:style>
  <w:style w:type="character" w:customStyle="1" w:styleId="243">
    <w:name w:val="标题 3 Char1"/>
    <w:basedOn w:val="130"/>
    <w:qFormat/>
    <w:uiPriority w:val="0"/>
    <w:rPr>
      <w:rFonts w:ascii="Times New Roman" w:hAnsi="Times New Roman" w:eastAsia="宋体" w:cs="Times New Roman"/>
      <w:b/>
      <w:kern w:val="0"/>
      <w:sz w:val="30"/>
      <w:szCs w:val="20"/>
    </w:rPr>
  </w:style>
  <w:style w:type="character" w:customStyle="1" w:styleId="244">
    <w:name w:val="标题 4 Char2"/>
    <w:basedOn w:val="130"/>
    <w:qFormat/>
    <w:uiPriority w:val="0"/>
    <w:rPr>
      <w:rFonts w:ascii="Arial" w:hAnsi="Arial" w:eastAsia="黑体" w:cs="Times New Roman"/>
      <w:b/>
      <w:bCs/>
      <w:kern w:val="0"/>
      <w:sz w:val="28"/>
      <w:szCs w:val="28"/>
    </w:rPr>
  </w:style>
  <w:style w:type="character" w:customStyle="1" w:styleId="245">
    <w:name w:val="标题 5 Char1"/>
    <w:basedOn w:val="130"/>
    <w:qFormat/>
    <w:uiPriority w:val="0"/>
    <w:rPr>
      <w:rFonts w:ascii="Times New Roman" w:hAnsi="Times New Roman" w:eastAsia="宋体" w:cs="Times New Roman"/>
      <w:b/>
      <w:bCs/>
      <w:kern w:val="0"/>
      <w:sz w:val="28"/>
      <w:szCs w:val="28"/>
    </w:rPr>
  </w:style>
  <w:style w:type="character" w:customStyle="1" w:styleId="246">
    <w:name w:val="标题 6 Char1"/>
    <w:basedOn w:val="130"/>
    <w:qFormat/>
    <w:uiPriority w:val="0"/>
    <w:rPr>
      <w:rFonts w:ascii="Arial" w:hAnsi="Arial" w:eastAsia="黑体" w:cs="Times New Roman"/>
      <w:b/>
      <w:bCs/>
      <w:kern w:val="0"/>
      <w:sz w:val="24"/>
      <w:szCs w:val="24"/>
    </w:rPr>
  </w:style>
  <w:style w:type="paragraph" w:customStyle="1" w:styleId="247">
    <w:name w:val="Char Char Char1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48">
    <w:name w:val="Char Char Char Char Char Char1 Char Char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249">
    <w:name w:val="默认段落字体 Para Char Char Char Char Char"/>
    <w:basedOn w:val="1"/>
    <w:qFormat/>
    <w:uiPriority w:val="0"/>
    <w:pPr>
      <w:widowControl w:val="0"/>
      <w:spacing w:after="0" w:line="240" w:lineRule="auto"/>
      <w:jc w:val="both"/>
    </w:pPr>
    <w:rPr>
      <w:rFonts w:ascii="Times New Roman" w:hAnsi="Times New Roman" w:cs="Times New Roman"/>
      <w:color w:val="auto"/>
      <w:szCs w:val="20"/>
    </w:rPr>
  </w:style>
  <w:style w:type="paragraph" w:customStyle="1" w:styleId="250">
    <w:name w:val="Char Char3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51">
    <w:name w:val="样式 标题 3 + 黑色"/>
    <w:basedOn w:val="4"/>
    <w:qFormat/>
    <w:uiPriority w:val="0"/>
    <w:pPr>
      <w:keepNext w:val="0"/>
      <w:keepLines w:val="0"/>
      <w:widowControl w:val="0"/>
      <w:spacing w:after="0" w:line="240" w:lineRule="auto"/>
      <w:ind w:left="0" w:right="0" w:firstLine="0"/>
      <w:jc w:val="both"/>
      <w:outlineLvl w:val="9"/>
    </w:pPr>
    <w:rPr>
      <w:rFonts w:ascii="宋体" w:hAnsi="Times New Roman" w:eastAsia="仿宋_GB2312" w:cs="Times New Roman"/>
      <w:sz w:val="24"/>
      <w:szCs w:val="20"/>
    </w:rPr>
  </w:style>
  <w:style w:type="paragraph" w:customStyle="1" w:styleId="252">
    <w:name w:val="样式 标题 1合同标题卷标题H1章节标题b1 + 宋体 小三 段前: 0 磅 段后: 0 磅 行距: 单倍行距"/>
    <w:next w:val="21"/>
    <w:qFormat/>
    <w:uiPriority w:val="0"/>
    <w:pPr>
      <w:keepNext/>
      <w:keepLines/>
      <w:widowControl w:val="0"/>
      <w:tabs>
        <w:tab w:val="left" w:pos="360"/>
        <w:tab w:val="left" w:pos="425"/>
      </w:tabs>
      <w:jc w:val="both"/>
      <w:outlineLvl w:val="1"/>
    </w:pPr>
    <w:rPr>
      <w:rFonts w:ascii="宋体" w:hAnsi="宋体" w:eastAsia="黑体" w:cs="Times New Roman"/>
      <w:b/>
      <w:kern w:val="2"/>
      <w:sz w:val="30"/>
      <w:lang w:val="en-US" w:eastAsia="zh-CN" w:bidi="ar-SA"/>
    </w:rPr>
  </w:style>
  <w:style w:type="paragraph" w:customStyle="1" w:styleId="253">
    <w:name w:val="ST20-3"/>
    <w:basedOn w:val="1"/>
    <w:qFormat/>
    <w:uiPriority w:val="0"/>
    <w:pPr>
      <w:widowControl w:val="0"/>
      <w:numPr>
        <w:ilvl w:val="0"/>
        <w:numId w:val="13"/>
      </w:numPr>
      <w:tabs>
        <w:tab w:val="left" w:pos="680"/>
      </w:tabs>
      <w:adjustRightInd w:val="0"/>
      <w:snapToGrid w:val="0"/>
      <w:spacing w:line="300" w:lineRule="auto"/>
      <w:jc w:val="both"/>
    </w:pPr>
    <w:rPr>
      <w:rFonts w:ascii="Arial" w:hAnsi="Arial" w:cs="Times New Roman"/>
      <w:color w:val="auto"/>
      <w:sz w:val="24"/>
      <w:szCs w:val="20"/>
    </w:rPr>
  </w:style>
  <w:style w:type="character" w:customStyle="1" w:styleId="254">
    <w:name w:val="正文1 Char Char Char Char"/>
    <w:basedOn w:val="130"/>
    <w:qFormat/>
    <w:uiPriority w:val="0"/>
    <w:rPr>
      <w:rFonts w:eastAsia="宋体"/>
      <w:kern w:val="2"/>
      <w:sz w:val="24"/>
      <w:lang w:val="en-US" w:eastAsia="zh-CN" w:bidi="ar-SA"/>
    </w:rPr>
  </w:style>
  <w:style w:type="character" w:customStyle="1" w:styleId="255">
    <w:name w:val="条标题1.1.1 Char Char Char Char Char Char Char Char Char Char"/>
    <w:basedOn w:val="130"/>
    <w:qFormat/>
    <w:uiPriority w:val="0"/>
    <w:rPr>
      <w:rFonts w:ascii="宋体" w:hAnsi="宋体" w:eastAsia="宋体"/>
      <w:b/>
      <w:bCs/>
      <w:iCs/>
      <w:kern w:val="2"/>
      <w:sz w:val="24"/>
      <w:szCs w:val="24"/>
      <w:lang w:val="en-US" w:eastAsia="zh-CN" w:bidi="ar-SA"/>
    </w:rPr>
  </w:style>
  <w:style w:type="character" w:customStyle="1" w:styleId="256">
    <w:name w:val="标题 Char1"/>
    <w:basedOn w:val="130"/>
    <w:qFormat/>
    <w:uiPriority w:val="0"/>
    <w:rPr>
      <w:rFonts w:ascii="Arial" w:hAnsi="Arial" w:eastAsia="宋体"/>
      <w:b/>
      <w:kern w:val="2"/>
      <w:sz w:val="32"/>
      <w:lang w:val="en-US" w:eastAsia="zh-CN" w:bidi="ar-SA"/>
    </w:rPr>
  </w:style>
  <w:style w:type="character" w:customStyle="1" w:styleId="257">
    <w:name w:val="标题 2 Char2 Char"/>
    <w:basedOn w:val="130"/>
    <w:qFormat/>
    <w:uiPriority w:val="0"/>
    <w:rPr>
      <w:rFonts w:eastAsia="宋体"/>
      <w:b/>
      <w:kern w:val="2"/>
      <w:sz w:val="24"/>
      <w:lang w:val="en-US" w:eastAsia="zh-CN" w:bidi="ar-SA"/>
    </w:rPr>
  </w:style>
  <w:style w:type="character" w:customStyle="1" w:styleId="258">
    <w:name w:val="标题3 Char"/>
    <w:basedOn w:val="130"/>
    <w:qFormat/>
    <w:uiPriority w:val="0"/>
    <w:rPr>
      <w:rFonts w:ascii="Arial" w:hAnsi="Arial" w:eastAsia="宋体"/>
      <w:b/>
      <w:bCs/>
      <w:iCs/>
      <w:color w:val="FF0000"/>
      <w:kern w:val="2"/>
      <w:sz w:val="24"/>
      <w:szCs w:val="24"/>
      <w:lang w:val="en-US" w:eastAsia="zh-CN" w:bidi="ar-SA"/>
    </w:rPr>
  </w:style>
  <w:style w:type="character" w:customStyle="1" w:styleId="259">
    <w:name w:val="Char Char"/>
    <w:basedOn w:val="130"/>
    <w:qFormat/>
    <w:uiPriority w:val="0"/>
    <w:rPr>
      <w:rFonts w:ascii="Arial" w:hAnsi="Arial" w:eastAsia="宋体" w:cs="Arial"/>
      <w:kern w:val="2"/>
      <w:sz w:val="24"/>
      <w:szCs w:val="24"/>
      <w:lang w:val="en-US" w:eastAsia="zh-CN" w:bidi="ar-SA"/>
    </w:rPr>
  </w:style>
  <w:style w:type="character" w:customStyle="1" w:styleId="260">
    <w:name w:val="b1 Char Char"/>
    <w:basedOn w:val="259"/>
    <w:qFormat/>
    <w:uiPriority w:val="0"/>
    <w:rPr>
      <w:rFonts w:ascii="Arial" w:hAnsi="Arial" w:eastAsia="宋体" w:cs="Arial"/>
      <w:b/>
      <w:kern w:val="44"/>
      <w:sz w:val="24"/>
      <w:szCs w:val="24"/>
      <w:lang w:val="en-US" w:eastAsia="zh-CN" w:bidi="ar-SA"/>
    </w:rPr>
  </w:style>
  <w:style w:type="character" w:customStyle="1" w:styleId="261">
    <w:name w:val="不同e"/>
    <w:basedOn w:val="130"/>
    <w:qFormat/>
    <w:uiPriority w:val="0"/>
    <w:rPr>
      <w:rFonts w:ascii="宋体" w:hAnsi="宋体" w:eastAsia="宋体"/>
      <w:color w:val="FF0000"/>
      <w:kern w:val="22"/>
      <w:sz w:val="22"/>
    </w:rPr>
  </w:style>
  <w:style w:type="paragraph" w:customStyle="1" w:styleId="262">
    <w:name w:val="tiao"/>
    <w:basedOn w:val="1"/>
    <w:qFormat/>
    <w:uiPriority w:val="0"/>
    <w:pPr>
      <w:widowControl w:val="0"/>
      <w:autoSpaceDE w:val="0"/>
      <w:autoSpaceDN w:val="0"/>
      <w:adjustRightInd w:val="0"/>
      <w:spacing w:after="0" w:line="360" w:lineRule="atLeast"/>
      <w:ind w:left="964" w:hanging="964"/>
      <w:jc w:val="both"/>
    </w:pPr>
    <w:rPr>
      <w:rFonts w:hint="eastAsia" w:ascii="宋体" w:hAnsi="Tms Rmn" w:cs="Times New Roman"/>
      <w:color w:val="auto"/>
      <w:kern w:val="0"/>
      <w:sz w:val="24"/>
      <w:szCs w:val="20"/>
    </w:rPr>
  </w:style>
  <w:style w:type="paragraph" w:customStyle="1" w:styleId="263">
    <w:name w:val="mjd"/>
    <w:basedOn w:val="1"/>
    <w:qFormat/>
    <w:uiPriority w:val="0"/>
    <w:pPr>
      <w:widowControl w:val="0"/>
      <w:tabs>
        <w:tab w:val="left" w:pos="1080"/>
        <w:tab w:val="left" w:pos="6960"/>
      </w:tabs>
      <w:autoSpaceDE w:val="0"/>
      <w:autoSpaceDN w:val="0"/>
      <w:adjustRightInd w:val="0"/>
      <w:spacing w:after="0" w:line="312" w:lineRule="atLeast"/>
      <w:ind w:left="1080" w:hanging="1080"/>
    </w:pPr>
    <w:rPr>
      <w:rFonts w:hint="eastAsia" w:ascii="宋体" w:hAnsi="Tms Rmn" w:cs="Times New Roman"/>
      <w:color w:val="auto"/>
      <w:kern w:val="0"/>
      <w:szCs w:val="20"/>
    </w:rPr>
  </w:style>
  <w:style w:type="paragraph" w:customStyle="1" w:styleId="264">
    <w:name w:val="Plain Text1"/>
    <w:basedOn w:val="1"/>
    <w:qFormat/>
    <w:uiPriority w:val="0"/>
    <w:pPr>
      <w:widowControl w:val="0"/>
      <w:overflowPunct w:val="0"/>
      <w:autoSpaceDE w:val="0"/>
      <w:autoSpaceDN w:val="0"/>
      <w:adjustRightInd w:val="0"/>
      <w:snapToGrid w:val="0"/>
      <w:spacing w:after="0" w:line="240" w:lineRule="auto"/>
      <w:jc w:val="both"/>
      <w:textAlignment w:val="baseline"/>
    </w:pPr>
    <w:rPr>
      <w:rFonts w:ascii="宋体" w:hAnsi="Times New Roman" w:cs="Times New Roman"/>
      <w:color w:val="auto"/>
      <w:kern w:val="0"/>
      <w:sz w:val="28"/>
      <w:szCs w:val="20"/>
    </w:rPr>
  </w:style>
  <w:style w:type="paragraph" w:customStyle="1" w:styleId="265">
    <w:name w:val="正文1 Char Char Char"/>
    <w:basedOn w:val="1"/>
    <w:qFormat/>
    <w:uiPriority w:val="0"/>
    <w:pPr>
      <w:widowControl w:val="0"/>
      <w:adjustRightInd w:val="0"/>
      <w:snapToGrid w:val="0"/>
      <w:spacing w:after="0" w:line="240" w:lineRule="auto"/>
      <w:jc w:val="both"/>
    </w:pPr>
    <w:rPr>
      <w:rFonts w:ascii="Times New Roman" w:hAnsi="Times New Roman" w:cs="Times New Roman"/>
      <w:color w:val="auto"/>
      <w:sz w:val="24"/>
      <w:szCs w:val="20"/>
    </w:rPr>
  </w:style>
  <w:style w:type="paragraph" w:customStyle="1" w:styleId="266">
    <w:name w:val="表格1"/>
    <w:basedOn w:val="1"/>
    <w:qFormat/>
    <w:uiPriority w:val="0"/>
    <w:pPr>
      <w:widowControl w:val="0"/>
      <w:tabs>
        <w:tab w:val="left" w:pos="0"/>
      </w:tabs>
      <w:adjustRightInd w:val="0"/>
      <w:snapToGrid w:val="0"/>
      <w:spacing w:after="0" w:line="360" w:lineRule="atLeast"/>
      <w:jc w:val="center"/>
      <w:textAlignment w:val="baseline"/>
    </w:pPr>
    <w:rPr>
      <w:rFonts w:ascii="Times New Roman" w:hAnsi="Times New Roman" w:cs="Times New Roman"/>
      <w:color w:val="auto"/>
      <w:kern w:val="0"/>
      <w:szCs w:val="20"/>
    </w:rPr>
  </w:style>
  <w:style w:type="paragraph" w:customStyle="1" w:styleId="267">
    <w:name w:val="正文文本缩进 21"/>
    <w:basedOn w:val="1"/>
    <w:qFormat/>
    <w:uiPriority w:val="0"/>
    <w:pPr>
      <w:widowControl w:val="0"/>
      <w:autoSpaceDE w:val="0"/>
      <w:autoSpaceDN w:val="0"/>
      <w:adjustRightInd w:val="0"/>
      <w:snapToGrid w:val="0"/>
      <w:spacing w:before="60" w:after="60" w:line="240" w:lineRule="atLeast"/>
      <w:ind w:firstLine="567"/>
      <w:jc w:val="both"/>
      <w:textAlignment w:val="baseline"/>
    </w:pPr>
    <w:rPr>
      <w:rFonts w:ascii="Times New Roman" w:hAnsi="Times New Roman" w:cs="Times New Roman"/>
      <w:color w:val="auto"/>
      <w:kern w:val="0"/>
      <w:sz w:val="28"/>
      <w:szCs w:val="20"/>
    </w:rPr>
  </w:style>
  <w:style w:type="paragraph" w:customStyle="1" w:styleId="268">
    <w:name w:val="ST20_1"/>
    <w:basedOn w:val="1"/>
    <w:next w:val="1"/>
    <w:qFormat/>
    <w:uiPriority w:val="0"/>
    <w:pPr>
      <w:keepNext/>
      <w:keepLines/>
      <w:widowControl w:val="0"/>
      <w:tabs>
        <w:tab w:val="left" w:pos="720"/>
        <w:tab w:val="left" w:pos="907"/>
        <w:tab w:val="right" w:leader="dot" w:pos="8400"/>
      </w:tabs>
      <w:adjustRightInd w:val="0"/>
      <w:snapToGrid w:val="0"/>
      <w:spacing w:before="120" w:after="120" w:line="300" w:lineRule="auto"/>
      <w:ind w:left="907" w:hanging="510"/>
    </w:pPr>
    <w:rPr>
      <w:rFonts w:ascii="Arial" w:hAnsi="Arial" w:cs="Times New Roman"/>
      <w:color w:val="auto"/>
      <w:kern w:val="0"/>
      <w:sz w:val="24"/>
      <w:szCs w:val="20"/>
    </w:rPr>
  </w:style>
  <w:style w:type="paragraph" w:customStyle="1" w:styleId="269">
    <w:name w:val="正文1 Char Char"/>
    <w:basedOn w:val="1"/>
    <w:qFormat/>
    <w:uiPriority w:val="0"/>
    <w:pPr>
      <w:widowControl w:val="0"/>
      <w:numPr>
        <w:ilvl w:val="0"/>
        <w:numId w:val="14"/>
      </w:numPr>
      <w:tabs>
        <w:tab w:val="clear" w:pos="1834"/>
      </w:tabs>
      <w:adjustRightInd w:val="0"/>
      <w:snapToGrid w:val="0"/>
      <w:spacing w:after="0" w:line="240" w:lineRule="auto"/>
      <w:ind w:left="0" w:firstLine="0"/>
      <w:jc w:val="both"/>
    </w:pPr>
    <w:rPr>
      <w:rFonts w:ascii="Times New Roman" w:hAnsi="Times New Roman" w:cs="Times New Roman"/>
      <w:color w:val="auto"/>
      <w:sz w:val="24"/>
      <w:szCs w:val="20"/>
    </w:rPr>
  </w:style>
  <w:style w:type="paragraph" w:customStyle="1" w:styleId="270">
    <w:name w:val="标题1"/>
    <w:basedOn w:val="2"/>
    <w:qFormat/>
    <w:uiPriority w:val="0"/>
    <w:pPr>
      <w:widowControl w:val="0"/>
      <w:tabs>
        <w:tab w:val="left" w:pos="720"/>
      </w:tabs>
      <w:adjustRightInd w:val="0"/>
      <w:snapToGrid w:val="0"/>
      <w:spacing w:after="0" w:line="480" w:lineRule="atLeast"/>
      <w:ind w:left="0" w:right="0" w:firstLine="0"/>
      <w:jc w:val="both"/>
      <w:textAlignment w:val="baseline"/>
    </w:pPr>
    <w:rPr>
      <w:rFonts w:ascii="Times New Roman" w:hAnsi="Times New Roman" w:eastAsia="宋体" w:cs="Times New Roman"/>
      <w:b/>
      <w:kern w:val="44"/>
      <w:sz w:val="24"/>
      <w:szCs w:val="24"/>
    </w:rPr>
  </w:style>
  <w:style w:type="paragraph" w:customStyle="1" w:styleId="271">
    <w:name w:val="正文3"/>
    <w:qFormat/>
    <w:uiPriority w:val="0"/>
    <w:pPr>
      <w:tabs>
        <w:tab w:val="left" w:pos="1440"/>
      </w:tabs>
      <w:spacing w:line="360" w:lineRule="auto"/>
      <w:ind w:left="1440" w:hanging="1440"/>
    </w:pPr>
    <w:rPr>
      <w:rFonts w:ascii="Times New Roman" w:hAnsi="Times New Roman" w:eastAsia="宋体" w:cs="Times New Roman"/>
      <w:sz w:val="24"/>
      <w:lang w:val="en-US" w:eastAsia="zh-CN" w:bidi="ar-SA"/>
    </w:rPr>
  </w:style>
  <w:style w:type="paragraph" w:customStyle="1" w:styleId="272">
    <w:name w:val="ST20-2"/>
    <w:basedOn w:val="1"/>
    <w:qFormat/>
    <w:uiPriority w:val="0"/>
    <w:pPr>
      <w:widowControl w:val="0"/>
      <w:tabs>
        <w:tab w:val="left" w:pos="425"/>
        <w:tab w:val="left" w:pos="567"/>
        <w:tab w:val="left" w:pos="720"/>
      </w:tabs>
      <w:adjustRightInd w:val="0"/>
      <w:snapToGrid w:val="0"/>
      <w:spacing w:after="120" w:line="300" w:lineRule="auto"/>
      <w:ind w:left="1247" w:hanging="425"/>
      <w:jc w:val="both"/>
    </w:pPr>
    <w:rPr>
      <w:rFonts w:ascii="宋体" w:hAnsi="Arial" w:cs="Times New Roman"/>
      <w:color w:val="auto"/>
      <w:sz w:val="24"/>
      <w:szCs w:val="20"/>
    </w:rPr>
  </w:style>
  <w:style w:type="paragraph" w:customStyle="1" w:styleId="273">
    <w:name w:val="杠"/>
    <w:basedOn w:val="19"/>
    <w:qFormat/>
    <w:uiPriority w:val="0"/>
    <w:pPr>
      <w:numPr>
        <w:ilvl w:val="0"/>
        <w:numId w:val="15"/>
      </w:numPr>
      <w:tabs>
        <w:tab w:val="left" w:pos="425"/>
        <w:tab w:val="left" w:pos="1320"/>
      </w:tabs>
      <w:snapToGrid w:val="0"/>
      <w:spacing w:before="120" w:line="300" w:lineRule="auto"/>
      <w:ind w:left="1559" w:hanging="720"/>
    </w:pPr>
    <w:rPr>
      <w:rFonts w:ascii="Arial" w:hAnsi="Arial"/>
      <w:kern w:val="2"/>
      <w:sz w:val="24"/>
    </w:rPr>
  </w:style>
  <w:style w:type="paragraph" w:customStyle="1" w:styleId="274">
    <w:name w:val="Standard.bz"/>
    <w:qFormat/>
    <w:uiPriority w:val="0"/>
    <w:rPr>
      <w:rFonts w:ascii="Arial" w:hAnsi="Arial" w:eastAsia="PMingLiU" w:cs="Times New Roman"/>
      <w:sz w:val="22"/>
      <w:lang w:val="de-DE" w:eastAsia="de-DE" w:bidi="ar-SA"/>
    </w:rPr>
  </w:style>
  <w:style w:type="paragraph" w:customStyle="1" w:styleId="275">
    <w:name w:val="Formatvorlage1"/>
    <w:basedOn w:val="1"/>
    <w:qFormat/>
    <w:uiPriority w:val="0"/>
    <w:pPr>
      <w:spacing w:after="0" w:line="240" w:lineRule="auto"/>
    </w:pPr>
    <w:rPr>
      <w:rFonts w:ascii="Arial" w:hAnsi="Arial" w:eastAsia="PMingLiU" w:cs="Times New Roman"/>
      <w:color w:val="auto"/>
      <w:kern w:val="0"/>
      <w:szCs w:val="20"/>
      <w:lang w:eastAsia="de-DE"/>
    </w:rPr>
  </w:style>
  <w:style w:type="paragraph" w:customStyle="1" w:styleId="276">
    <w:name w:val="Simone"/>
    <w:basedOn w:val="1"/>
    <w:qFormat/>
    <w:uiPriority w:val="0"/>
    <w:pPr>
      <w:spacing w:after="0" w:line="240" w:lineRule="auto"/>
    </w:pPr>
    <w:rPr>
      <w:rFonts w:ascii="Arial" w:hAnsi="Arial" w:eastAsia="PMingLiU" w:cs="Times New Roman"/>
      <w:b/>
      <w:color w:val="auto"/>
      <w:kern w:val="0"/>
      <w:sz w:val="24"/>
      <w:szCs w:val="20"/>
      <w:u w:val="single"/>
      <w:lang w:eastAsia="de-DE"/>
    </w:rPr>
  </w:style>
  <w:style w:type="paragraph" w:customStyle="1" w:styleId="277">
    <w:name w:val="xl35"/>
    <w:basedOn w:val="1"/>
    <w:qFormat/>
    <w:uiPriority w:val="0"/>
    <w:pPr>
      <w:pBdr>
        <w:left w:val="single" w:color="auto" w:sz="4" w:space="0"/>
      </w:pBdr>
      <w:spacing w:before="100" w:beforeAutospacing="1" w:after="100" w:afterAutospacing="1" w:line="240" w:lineRule="auto"/>
      <w:jc w:val="center"/>
      <w:textAlignment w:val="center"/>
    </w:pPr>
    <w:rPr>
      <w:rFonts w:ascii="Times New Roman" w:hAnsi="Times New Roman" w:cs="Times New Roman"/>
      <w:color w:val="auto"/>
      <w:kern w:val="0"/>
    </w:rPr>
  </w:style>
  <w:style w:type="paragraph" w:customStyle="1" w:styleId="278">
    <w:name w:val="xl39"/>
    <w:basedOn w:val="1"/>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cs="Times New Roman"/>
      <w:color w:val="auto"/>
      <w:kern w:val="0"/>
    </w:rPr>
  </w:style>
  <w:style w:type="paragraph" w:customStyle="1" w:styleId="279">
    <w:name w:val="Char Char1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280">
    <w:name w:val="Char1 Char Char Char Char Char Char Char Char Char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281">
    <w:name w:val="••"/>
    <w:basedOn w:val="1"/>
    <w:qFormat/>
    <w:uiPriority w:val="0"/>
    <w:pPr>
      <w:widowControl w:val="0"/>
      <w:numPr>
        <w:ilvl w:val="0"/>
        <w:numId w:val="16"/>
      </w:numPr>
      <w:adjustRightInd w:val="0"/>
      <w:snapToGrid w:val="0"/>
      <w:spacing w:before="120" w:after="120" w:line="240" w:lineRule="auto"/>
      <w:jc w:val="both"/>
      <w:textAlignment w:val="baseline"/>
    </w:pPr>
    <w:rPr>
      <w:rFonts w:ascii="Times New Roman" w:hAnsi="Times New Roman" w:cs="Times New Roman"/>
      <w:snapToGrid w:val="0"/>
      <w:color w:val="auto"/>
      <w:kern w:val="0"/>
      <w:sz w:val="24"/>
      <w:szCs w:val="24"/>
    </w:rPr>
  </w:style>
  <w:style w:type="paragraph" w:customStyle="1" w:styleId="282">
    <w:name w:val="内容3"/>
    <w:basedOn w:val="1"/>
    <w:qFormat/>
    <w:uiPriority w:val="0"/>
    <w:pPr>
      <w:numPr>
        <w:ilvl w:val="1"/>
        <w:numId w:val="17"/>
      </w:numPr>
      <w:tabs>
        <w:tab w:val="left" w:pos="1287"/>
      </w:tabs>
      <w:spacing w:after="0" w:line="360" w:lineRule="auto"/>
      <w:ind w:left="1134" w:hanging="567"/>
      <w:jc w:val="both"/>
    </w:pPr>
    <w:rPr>
      <w:rFonts w:ascii="Times New Roman" w:hAnsi="Times New Roman" w:cs="Times New Roman"/>
      <w:color w:val="auto"/>
      <w:sz w:val="24"/>
      <w:szCs w:val="24"/>
    </w:rPr>
  </w:style>
  <w:style w:type="paragraph" w:customStyle="1" w:styleId="283">
    <w:name w:val="附录一级条标题"/>
    <w:basedOn w:val="1"/>
    <w:next w:val="4"/>
    <w:qFormat/>
    <w:uiPriority w:val="0"/>
    <w:pPr>
      <w:numPr>
        <w:ilvl w:val="3"/>
        <w:numId w:val="17"/>
      </w:numPr>
      <w:wordWrap w:val="0"/>
      <w:overflowPunct w:val="0"/>
      <w:autoSpaceDE w:val="0"/>
      <w:autoSpaceDN w:val="0"/>
      <w:spacing w:after="0" w:line="240" w:lineRule="auto"/>
      <w:ind w:left="0"/>
      <w:jc w:val="both"/>
      <w:textAlignment w:val="baseline"/>
      <w:outlineLvl w:val="2"/>
    </w:pPr>
    <w:rPr>
      <w:rFonts w:ascii="黑体" w:hAnsi="Times New Roman" w:eastAsia="黑体" w:cs="Times New Roman"/>
      <w:color w:val="auto"/>
      <w:kern w:val="21"/>
      <w:szCs w:val="21"/>
    </w:rPr>
  </w:style>
  <w:style w:type="paragraph" w:customStyle="1" w:styleId="284">
    <w:name w:val="封面标准文稿编辑信息"/>
    <w:qFormat/>
    <w:uiPriority w:val="0"/>
    <w:pPr>
      <w:numPr>
        <w:ilvl w:val="2"/>
        <w:numId w:val="17"/>
      </w:numPr>
      <w:spacing w:before="180" w:line="180" w:lineRule="exact"/>
      <w:jc w:val="center"/>
    </w:pPr>
    <w:rPr>
      <w:rFonts w:ascii="宋体" w:hAnsi="Times New Roman" w:eastAsia="宋体" w:cs="Times New Roman"/>
      <w:sz w:val="21"/>
      <w:szCs w:val="21"/>
      <w:lang w:val="en-US" w:eastAsia="zh-CN" w:bidi="ar-SA"/>
    </w:rPr>
  </w:style>
  <w:style w:type="paragraph" w:customStyle="1" w:styleId="285">
    <w:name w:val="文档正文"/>
    <w:basedOn w:val="1"/>
    <w:qFormat/>
    <w:uiPriority w:val="0"/>
    <w:pPr>
      <w:widowControl w:val="0"/>
      <w:adjustRightInd w:val="0"/>
      <w:spacing w:after="0" w:line="312" w:lineRule="atLeast"/>
      <w:ind w:firstLine="567"/>
      <w:jc w:val="both"/>
      <w:textAlignment w:val="baseline"/>
    </w:pPr>
    <w:rPr>
      <w:rFonts w:ascii="长城仿宋" w:hAnsi="Times New Roman" w:eastAsia="长城仿宋" w:cs="Times New Roman"/>
      <w:color w:val="auto"/>
      <w:kern w:val="0"/>
      <w:sz w:val="28"/>
      <w:szCs w:val="20"/>
    </w:rPr>
  </w:style>
  <w:style w:type="paragraph" w:customStyle="1" w:styleId="286">
    <w:name w:val="样式"/>
    <w:basedOn w:val="1"/>
    <w:qFormat/>
    <w:uiPriority w:val="0"/>
    <w:pPr>
      <w:widowControl w:val="0"/>
      <w:autoSpaceDE w:val="0"/>
      <w:autoSpaceDN w:val="0"/>
      <w:snapToGrid w:val="0"/>
      <w:spacing w:before="120" w:after="120" w:line="360" w:lineRule="auto"/>
      <w:jc w:val="both"/>
    </w:pPr>
    <w:rPr>
      <w:rFonts w:ascii="宋体" w:hAnsi="Times New Roman" w:cs="Times New Roman"/>
      <w:color w:val="auto"/>
      <w:sz w:val="24"/>
      <w:szCs w:val="20"/>
    </w:rPr>
  </w:style>
  <w:style w:type="paragraph" w:customStyle="1" w:styleId="287">
    <w:name w:val="Char Char Char Char1 Char Char Char Char Char Char"/>
    <w:basedOn w:val="24"/>
    <w:qFormat/>
    <w:uiPriority w:val="0"/>
  </w:style>
  <w:style w:type="paragraph" w:customStyle="1" w:styleId="288">
    <w:name w:val="默认段落字体 Para Char Char Char Char Char Char Char Char Char Char Char Char Char Char Char1 Char Char Char Char"/>
    <w:basedOn w:val="24"/>
    <w:qFormat/>
    <w:uiPriority w:val="0"/>
  </w:style>
  <w:style w:type="paragraph" w:customStyle="1" w:styleId="289">
    <w:name w:val="Char2"/>
    <w:basedOn w:val="1"/>
    <w:qFormat/>
    <w:uiPriority w:val="0"/>
    <w:pPr>
      <w:widowControl w:val="0"/>
      <w:spacing w:after="0" w:line="240" w:lineRule="auto"/>
      <w:jc w:val="both"/>
    </w:pPr>
    <w:rPr>
      <w:rFonts w:ascii="Tahoma" w:hAnsi="Tahoma" w:cs="Times New Roman"/>
      <w:color w:val="auto"/>
      <w:sz w:val="24"/>
      <w:szCs w:val="20"/>
    </w:rPr>
  </w:style>
  <w:style w:type="paragraph" w:customStyle="1" w:styleId="290">
    <w:name w:val="soustitre"/>
    <w:basedOn w:val="1"/>
    <w:qFormat/>
    <w:uiPriority w:val="0"/>
    <w:pPr>
      <w:tabs>
        <w:tab w:val="left" w:pos="525"/>
      </w:tabs>
      <w:overflowPunct w:val="0"/>
      <w:autoSpaceDE w:val="0"/>
      <w:autoSpaceDN w:val="0"/>
      <w:adjustRightInd w:val="0"/>
      <w:spacing w:after="0" w:line="400" w:lineRule="exact"/>
      <w:jc w:val="center"/>
      <w:textAlignment w:val="baseline"/>
    </w:pPr>
    <w:rPr>
      <w:rFonts w:ascii="New York" w:hAnsi="New York" w:eastAsia="楷体_GB2312" w:cs="Times New Roman"/>
      <w:color w:val="auto"/>
      <w:kern w:val="0"/>
      <w:position w:val="-6"/>
      <w:sz w:val="24"/>
      <w:szCs w:val="20"/>
      <w:lang w:val="fr-FR"/>
    </w:rPr>
  </w:style>
  <w:style w:type="paragraph" w:customStyle="1" w:styleId="291">
    <w:name w:val="普正文2"/>
    <w:basedOn w:val="1"/>
    <w:qFormat/>
    <w:uiPriority w:val="0"/>
    <w:pPr>
      <w:widowControl w:val="0"/>
      <w:adjustRightInd w:val="0"/>
      <w:spacing w:after="0" w:line="318" w:lineRule="atLeast"/>
      <w:ind w:left="964" w:hanging="907"/>
      <w:jc w:val="both"/>
      <w:textAlignment w:val="baseline"/>
    </w:pPr>
    <w:rPr>
      <w:rFonts w:ascii="宋体" w:hAnsi="Times New Roman" w:cs="Times New Roman"/>
      <w:color w:val="auto"/>
      <w:kern w:val="0"/>
      <w:sz w:val="28"/>
      <w:szCs w:val="20"/>
    </w:rPr>
  </w:style>
  <w:style w:type="paragraph" w:customStyle="1" w:styleId="292">
    <w:name w:val="样式 标题3 + 行距: 1.5 倍行距"/>
    <w:basedOn w:val="60"/>
    <w:qFormat/>
    <w:uiPriority w:val="0"/>
  </w:style>
  <w:style w:type="paragraph" w:customStyle="1" w:styleId="293">
    <w:name w:val="横表格"/>
    <w:basedOn w:val="1"/>
    <w:qFormat/>
    <w:uiPriority w:val="0"/>
    <w:pPr>
      <w:widowControl w:val="0"/>
      <w:tabs>
        <w:tab w:val="left" w:pos="1200"/>
      </w:tabs>
      <w:spacing w:after="0" w:line="360" w:lineRule="exact"/>
      <w:ind w:right="-41" w:rightChars="-41"/>
      <w:jc w:val="center"/>
    </w:pPr>
    <w:rPr>
      <w:rFonts w:ascii="宋体" w:hAnsi="Times New Roman" w:cs="Times New Roman"/>
      <w:color w:val="auto"/>
      <w:sz w:val="24"/>
      <w:szCs w:val="24"/>
    </w:rPr>
  </w:style>
  <w:style w:type="paragraph" w:customStyle="1" w:styleId="294">
    <w:name w:val="xl29"/>
    <w:basedOn w:val="1"/>
    <w:qFormat/>
    <w:uiPriority w:val="0"/>
    <w:pPr>
      <w:pBdr>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Arial" w:hAnsi="Arial" w:eastAsia="Arial Unicode MS" w:cs="Arial"/>
      <w:b/>
      <w:bCs/>
      <w:color w:val="auto"/>
      <w:kern w:val="0"/>
    </w:rPr>
  </w:style>
  <w:style w:type="paragraph" w:customStyle="1" w:styleId="295">
    <w:name w:val="列出段落1"/>
    <w:basedOn w:val="1"/>
    <w:link w:val="296"/>
    <w:qFormat/>
    <w:uiPriority w:val="0"/>
    <w:pPr>
      <w:widowControl w:val="0"/>
      <w:spacing w:after="0" w:line="240" w:lineRule="auto"/>
      <w:ind w:firstLine="420" w:firstLineChars="200"/>
      <w:jc w:val="both"/>
    </w:pPr>
    <w:rPr>
      <w:rFonts w:ascii="Times New Roman" w:hAnsi="Times New Roman" w:cs="Times New Roman"/>
      <w:color w:val="auto"/>
      <w:szCs w:val="24"/>
    </w:rPr>
  </w:style>
  <w:style w:type="character" w:customStyle="1" w:styleId="296">
    <w:name w:val="列出段落 Char"/>
    <w:link w:val="295"/>
    <w:qFormat/>
    <w:uiPriority w:val="0"/>
    <w:rPr>
      <w:rFonts w:ascii="Times New Roman" w:hAnsi="Times New Roman" w:eastAsia="宋体" w:cs="Times New Roman"/>
      <w:szCs w:val="24"/>
    </w:rPr>
  </w:style>
  <w:style w:type="paragraph" w:customStyle="1" w:styleId="297">
    <w:name w:val="p0"/>
    <w:basedOn w:val="1"/>
    <w:qFormat/>
    <w:uiPriority w:val="0"/>
    <w:pPr>
      <w:spacing w:after="0" w:line="240" w:lineRule="auto"/>
      <w:jc w:val="both"/>
    </w:pPr>
    <w:rPr>
      <w:rFonts w:ascii="Times New Roman" w:hAnsi="Times New Roman" w:cs="Times New Roman"/>
      <w:color w:val="auto"/>
      <w:kern w:val="0"/>
      <w:szCs w:val="21"/>
    </w:rPr>
  </w:style>
  <w:style w:type="character" w:customStyle="1" w:styleId="298">
    <w:name w:val="Char Char4"/>
    <w:basedOn w:val="130"/>
    <w:qFormat/>
    <w:uiPriority w:val="0"/>
    <w:rPr>
      <w:rFonts w:eastAsia="宋体"/>
      <w:kern w:val="44"/>
      <w:sz w:val="30"/>
      <w:szCs w:val="24"/>
      <w:lang w:val="en-US" w:eastAsia="zh-CN" w:bidi="ar-SA"/>
    </w:rPr>
  </w:style>
  <w:style w:type="paragraph" w:customStyle="1" w:styleId="299">
    <w:name w:val="Char Char Char1 Char"/>
    <w:basedOn w:val="1"/>
    <w:qFormat/>
    <w:uiPriority w:val="0"/>
    <w:pPr>
      <w:widowControl w:val="0"/>
      <w:spacing w:after="0" w:line="240" w:lineRule="auto"/>
      <w:jc w:val="both"/>
    </w:pPr>
    <w:rPr>
      <w:rFonts w:ascii="Tahoma" w:hAnsi="Tahoma" w:cs="Times New Roman"/>
      <w:color w:val="auto"/>
      <w:sz w:val="24"/>
      <w:szCs w:val="20"/>
    </w:rPr>
  </w:style>
  <w:style w:type="paragraph" w:customStyle="1" w:styleId="300">
    <w:name w:val="正文aa"/>
    <w:basedOn w:val="1"/>
    <w:link w:val="301"/>
    <w:qFormat/>
    <w:uiPriority w:val="0"/>
    <w:pPr>
      <w:widowControl w:val="0"/>
      <w:spacing w:after="0" w:line="360" w:lineRule="auto"/>
      <w:ind w:firstLine="200" w:firstLineChars="200"/>
      <w:jc w:val="both"/>
    </w:pPr>
    <w:rPr>
      <w:rFonts w:ascii="Times New Roman" w:hAnsi="Times New Roman" w:cs="Times New Roman"/>
      <w:color w:val="auto"/>
      <w:sz w:val="24"/>
      <w:szCs w:val="24"/>
    </w:rPr>
  </w:style>
  <w:style w:type="character" w:customStyle="1" w:styleId="301">
    <w:name w:val="正文aa Char"/>
    <w:basedOn w:val="130"/>
    <w:link w:val="300"/>
    <w:qFormat/>
    <w:uiPriority w:val="0"/>
    <w:rPr>
      <w:rFonts w:ascii="Times New Roman" w:hAnsi="Times New Roman" w:eastAsia="宋体" w:cs="Times New Roman"/>
      <w:sz w:val="24"/>
      <w:szCs w:val="24"/>
    </w:rPr>
  </w:style>
  <w:style w:type="paragraph" w:customStyle="1" w:styleId="302">
    <w:name w:val="faauto fs21lochaf15hicha"/>
    <w:qFormat/>
    <w:uiPriority w:val="0"/>
    <w:pPr>
      <w:widowControl w:val="0"/>
      <w:autoSpaceDE w:val="0"/>
      <w:autoSpaceDN w:val="0"/>
      <w:adjustRightInd w:val="0"/>
      <w:jc w:val="both"/>
    </w:pPr>
    <w:rPr>
      <w:rFonts w:ascii="宋体" w:hAnsi="Times New Roman" w:eastAsia="宋体" w:cs="Times New Roman"/>
      <w:lang w:val="en-US" w:eastAsia="zh-CN" w:bidi="ar-SA"/>
    </w:rPr>
  </w:style>
  <w:style w:type="paragraph" w:customStyle="1" w:styleId="303">
    <w:name w:val="正文文本 21"/>
    <w:basedOn w:val="1"/>
    <w:qFormat/>
    <w:uiPriority w:val="0"/>
    <w:pPr>
      <w:widowControl w:val="0"/>
      <w:adjustRightInd w:val="0"/>
      <w:spacing w:after="0" w:line="240" w:lineRule="auto"/>
      <w:ind w:left="425"/>
      <w:jc w:val="both"/>
      <w:textAlignment w:val="baseline"/>
    </w:pPr>
    <w:rPr>
      <w:rFonts w:ascii="宋体" w:hAnsi="Times New Roman" w:cs="Times New Roman"/>
      <w:color w:val="auto"/>
      <w:sz w:val="28"/>
      <w:szCs w:val="20"/>
    </w:rPr>
  </w:style>
  <w:style w:type="paragraph" w:customStyle="1" w:styleId="304">
    <w:name w:val="K01"/>
    <w:basedOn w:val="1"/>
    <w:qFormat/>
    <w:uiPriority w:val="0"/>
    <w:pPr>
      <w:widowControl w:val="0"/>
      <w:adjustRightInd w:val="0"/>
      <w:spacing w:after="120" w:line="360" w:lineRule="auto"/>
      <w:ind w:left="960" w:hanging="393"/>
      <w:textAlignment w:val="baseline"/>
    </w:pPr>
    <w:rPr>
      <w:rFonts w:ascii="宋体" w:hAnsi="Times New Roman" w:cs="Times New Roman"/>
      <w:color w:val="auto"/>
      <w:kern w:val="0"/>
      <w:sz w:val="24"/>
      <w:szCs w:val="20"/>
    </w:rPr>
  </w:style>
  <w:style w:type="paragraph" w:customStyle="1" w:styleId="305">
    <w:name w:val="font5"/>
    <w:basedOn w:val="1"/>
    <w:qFormat/>
    <w:uiPriority w:val="0"/>
    <w:pPr>
      <w:spacing w:beforeLines="50" w:beforeAutospacing="1" w:after="100" w:afterAutospacing="1" w:line="240" w:lineRule="auto"/>
    </w:pPr>
    <w:rPr>
      <w:rFonts w:hint="eastAsia" w:ascii="宋体" w:hAnsi="宋体" w:cs="Times New Roman"/>
      <w:color w:val="auto"/>
      <w:kern w:val="0"/>
      <w:sz w:val="24"/>
      <w:szCs w:val="24"/>
    </w:rPr>
  </w:style>
  <w:style w:type="paragraph" w:customStyle="1" w:styleId="306">
    <w:name w:val="font6"/>
    <w:basedOn w:val="1"/>
    <w:qFormat/>
    <w:uiPriority w:val="0"/>
    <w:pPr>
      <w:spacing w:beforeLines="50" w:beforeAutospacing="1" w:after="100" w:afterAutospacing="1" w:line="240" w:lineRule="auto"/>
    </w:pPr>
    <w:rPr>
      <w:rFonts w:hint="eastAsia" w:ascii="宋体" w:hAnsi="宋体" w:cs="Times New Roman"/>
      <w:color w:val="auto"/>
      <w:kern w:val="0"/>
      <w:sz w:val="18"/>
      <w:szCs w:val="18"/>
    </w:rPr>
  </w:style>
  <w:style w:type="paragraph" w:customStyle="1" w:styleId="307">
    <w:name w:val="font7"/>
    <w:basedOn w:val="1"/>
    <w:qFormat/>
    <w:uiPriority w:val="0"/>
    <w:pPr>
      <w:spacing w:beforeLines="50" w:beforeAutospacing="1" w:after="100" w:afterAutospacing="1" w:line="240" w:lineRule="auto"/>
    </w:pPr>
    <w:rPr>
      <w:rFonts w:ascii="Times New Roman" w:hAnsi="Times New Roman" w:cs="Times New Roman"/>
      <w:color w:val="auto"/>
      <w:kern w:val="0"/>
      <w:sz w:val="24"/>
      <w:szCs w:val="24"/>
    </w:rPr>
  </w:style>
  <w:style w:type="paragraph" w:customStyle="1" w:styleId="308">
    <w:name w:val="font8"/>
    <w:basedOn w:val="1"/>
    <w:qFormat/>
    <w:uiPriority w:val="0"/>
    <w:pPr>
      <w:spacing w:beforeLines="50" w:beforeAutospacing="1" w:after="100" w:afterAutospacing="1" w:line="240" w:lineRule="auto"/>
    </w:pPr>
    <w:rPr>
      <w:rFonts w:ascii="Times New Roman" w:hAnsi="Times New Roman" w:cs="Times New Roman"/>
      <w:color w:val="auto"/>
      <w:kern w:val="0"/>
      <w:sz w:val="24"/>
      <w:szCs w:val="24"/>
    </w:rPr>
  </w:style>
  <w:style w:type="paragraph" w:customStyle="1" w:styleId="309">
    <w:name w:val="font9"/>
    <w:basedOn w:val="1"/>
    <w:qFormat/>
    <w:uiPriority w:val="0"/>
    <w:pPr>
      <w:spacing w:beforeLines="50" w:beforeAutospacing="1" w:after="100" w:afterAutospacing="1" w:line="240" w:lineRule="auto"/>
    </w:pPr>
    <w:rPr>
      <w:rFonts w:ascii="Times New Roman" w:hAnsi="Times New Roman" w:cs="Times New Roman"/>
      <w:color w:val="auto"/>
      <w:kern w:val="0"/>
      <w:sz w:val="24"/>
      <w:szCs w:val="24"/>
      <w:u w:val="single"/>
    </w:rPr>
  </w:style>
  <w:style w:type="paragraph" w:customStyle="1" w:styleId="310">
    <w:name w:val="font10"/>
    <w:basedOn w:val="1"/>
    <w:qFormat/>
    <w:uiPriority w:val="0"/>
    <w:pPr>
      <w:spacing w:beforeLines="50" w:beforeAutospacing="1" w:after="100" w:afterAutospacing="1" w:line="240" w:lineRule="auto"/>
    </w:pPr>
    <w:rPr>
      <w:rFonts w:hint="eastAsia" w:ascii="宋体" w:hAnsi="宋体" w:cs="Times New Roman"/>
      <w:color w:val="auto"/>
      <w:kern w:val="0"/>
    </w:rPr>
  </w:style>
  <w:style w:type="paragraph" w:customStyle="1" w:styleId="311">
    <w:name w:val="font11"/>
    <w:basedOn w:val="1"/>
    <w:qFormat/>
    <w:uiPriority w:val="0"/>
    <w:pPr>
      <w:spacing w:beforeLines="50" w:beforeAutospacing="1" w:after="100" w:afterAutospacing="1" w:line="240" w:lineRule="auto"/>
    </w:pPr>
    <w:rPr>
      <w:rFonts w:hint="eastAsia" w:ascii="宋体" w:hAnsi="宋体" w:cs="Times New Roman"/>
      <w:color w:val="auto"/>
      <w:kern w:val="0"/>
    </w:rPr>
  </w:style>
  <w:style w:type="paragraph" w:customStyle="1" w:styleId="312">
    <w:name w:val="xl24"/>
    <w:basedOn w:val="1"/>
    <w:qFormat/>
    <w:uiPriority w:val="0"/>
    <w:pPr>
      <w:pBdr>
        <w:top w:val="single" w:color="auto" w:sz="4" w:space="0"/>
        <w:left w:val="single" w:color="auto" w:sz="4" w:space="0"/>
        <w:bottom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13">
    <w:name w:val="xl25"/>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Times New Roman" w:hAnsi="Times New Roman" w:cs="Times New Roman"/>
      <w:color w:val="auto"/>
      <w:kern w:val="0"/>
      <w:sz w:val="24"/>
      <w:szCs w:val="24"/>
    </w:rPr>
  </w:style>
  <w:style w:type="paragraph" w:customStyle="1" w:styleId="314">
    <w:name w:val="xl26"/>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rPr>
  </w:style>
  <w:style w:type="paragraph" w:customStyle="1" w:styleId="315">
    <w:name w:val="xl27"/>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16">
    <w:name w:val="xl28"/>
    <w:basedOn w:val="1"/>
    <w:qFormat/>
    <w:uiPriority w:val="0"/>
    <w:pPr>
      <w:pBdr>
        <w:top w:val="single" w:color="auto" w:sz="4" w:space="0"/>
        <w:bottom w:val="single" w:color="auto" w:sz="4" w:space="0"/>
      </w:pBdr>
      <w:spacing w:beforeLines="50" w:beforeAutospacing="1" w:after="100" w:afterAutospacing="1" w:line="240" w:lineRule="auto"/>
      <w:jc w:val="center"/>
      <w:textAlignment w:val="center"/>
    </w:pPr>
    <w:rPr>
      <w:rFonts w:ascii="Times New Roman" w:hAnsi="Times New Roman" w:cs="Times New Roman"/>
      <w:color w:val="auto"/>
      <w:kern w:val="0"/>
      <w:sz w:val="24"/>
      <w:szCs w:val="24"/>
    </w:rPr>
  </w:style>
  <w:style w:type="paragraph" w:customStyle="1" w:styleId="317">
    <w:name w:val="xl30"/>
    <w:basedOn w:val="1"/>
    <w:qFormat/>
    <w:uiPriority w:val="0"/>
    <w:pPr>
      <w:pBdr>
        <w:top w:val="single" w:color="auto" w:sz="4" w:space="0"/>
        <w:bottom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18">
    <w:name w:val="xl31"/>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Times New Roman" w:hAnsi="Times New Roman" w:cs="Times New Roman"/>
      <w:color w:val="auto"/>
      <w:kern w:val="0"/>
    </w:rPr>
  </w:style>
  <w:style w:type="paragraph" w:customStyle="1" w:styleId="319">
    <w:name w:val="xl32"/>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Times New Roman" w:hAnsi="Times New Roman" w:cs="Times New Roman"/>
      <w:color w:val="auto"/>
      <w:kern w:val="0"/>
    </w:rPr>
  </w:style>
  <w:style w:type="paragraph" w:customStyle="1" w:styleId="320">
    <w:name w:val="xl33"/>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0"/>
      <w:szCs w:val="20"/>
    </w:rPr>
  </w:style>
  <w:style w:type="paragraph" w:customStyle="1" w:styleId="321">
    <w:name w:val="xl34"/>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textAlignment w:val="center"/>
    </w:pPr>
    <w:rPr>
      <w:rFonts w:ascii="宋体" w:hAnsi="宋体" w:cs="Times New Roman"/>
      <w:color w:val="auto"/>
      <w:kern w:val="0"/>
      <w:sz w:val="24"/>
      <w:szCs w:val="24"/>
    </w:rPr>
  </w:style>
  <w:style w:type="paragraph" w:customStyle="1" w:styleId="322">
    <w:name w:val="xl36"/>
    <w:basedOn w:val="1"/>
    <w:qFormat/>
    <w:uiPriority w:val="0"/>
    <w:pPr>
      <w:pBdr>
        <w:top w:val="single" w:color="auto" w:sz="4" w:space="0"/>
        <w:bottom w:val="single" w:color="auto" w:sz="4" w:space="0"/>
      </w:pBdr>
      <w:spacing w:beforeLines="50" w:beforeAutospacing="1" w:after="100" w:afterAutospacing="1" w:line="240" w:lineRule="auto"/>
      <w:textAlignment w:val="center"/>
    </w:pPr>
    <w:rPr>
      <w:rFonts w:ascii="宋体" w:hAnsi="宋体" w:cs="Times New Roman"/>
      <w:color w:val="auto"/>
      <w:kern w:val="0"/>
      <w:sz w:val="24"/>
      <w:szCs w:val="24"/>
    </w:rPr>
  </w:style>
  <w:style w:type="paragraph" w:customStyle="1" w:styleId="323">
    <w:name w:val="xl37"/>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textAlignment w:val="center"/>
    </w:pPr>
    <w:rPr>
      <w:rFonts w:ascii="Times New Roman" w:hAnsi="Times New Roman" w:cs="Times New Roman"/>
      <w:color w:val="auto"/>
      <w:kern w:val="0"/>
    </w:rPr>
  </w:style>
  <w:style w:type="paragraph" w:customStyle="1" w:styleId="324">
    <w:name w:val="xl38"/>
    <w:basedOn w:val="1"/>
    <w:qFormat/>
    <w:uiPriority w:val="0"/>
    <w:pPr>
      <w:pBdr>
        <w:top w:val="single" w:color="auto" w:sz="4" w:space="0"/>
        <w:bottom w:val="single" w:color="auto" w:sz="4" w:space="0"/>
      </w:pBdr>
      <w:spacing w:beforeLines="50" w:beforeAutospacing="1" w:after="100" w:afterAutospacing="1" w:line="240" w:lineRule="auto"/>
      <w:textAlignment w:val="center"/>
    </w:pPr>
    <w:rPr>
      <w:rFonts w:ascii="Times New Roman" w:hAnsi="Times New Roman" w:cs="Times New Roman"/>
      <w:color w:val="auto"/>
      <w:kern w:val="0"/>
      <w:sz w:val="24"/>
      <w:szCs w:val="24"/>
    </w:rPr>
  </w:style>
  <w:style w:type="paragraph" w:customStyle="1" w:styleId="325">
    <w:name w:val="xl40"/>
    <w:basedOn w:val="1"/>
    <w:qFormat/>
    <w:uiPriority w:val="0"/>
    <w:pPr>
      <w:pBdr>
        <w:top w:val="single" w:color="auto" w:sz="4" w:space="0"/>
        <w:bottom w:val="single" w:color="auto" w:sz="4" w:space="0"/>
        <w:right w:val="single" w:color="auto" w:sz="4" w:space="0"/>
      </w:pBdr>
      <w:spacing w:beforeLines="50" w:beforeAutospacing="1" w:after="100" w:afterAutospacing="1" w:line="240" w:lineRule="auto"/>
      <w:ind w:firstLine="100" w:firstLineChars="100"/>
      <w:textAlignment w:val="center"/>
    </w:pPr>
    <w:rPr>
      <w:rFonts w:ascii="宋体" w:hAnsi="宋体" w:cs="Times New Roman"/>
      <w:color w:val="auto"/>
      <w:kern w:val="0"/>
      <w:sz w:val="24"/>
      <w:szCs w:val="24"/>
    </w:rPr>
  </w:style>
  <w:style w:type="paragraph" w:customStyle="1" w:styleId="326">
    <w:name w:val="xl41"/>
    <w:basedOn w:val="1"/>
    <w:qFormat/>
    <w:uiPriority w:val="0"/>
    <w:pPr>
      <w:pBdr>
        <w:left w:val="single" w:color="auto" w:sz="4" w:space="0"/>
        <w:bottom w:val="single" w:color="auto" w:sz="4" w:space="0"/>
        <w:right w:val="single" w:color="auto" w:sz="4" w:space="0"/>
      </w:pBdr>
      <w:spacing w:beforeLines="50" w:beforeAutospacing="1" w:after="100" w:afterAutospacing="1" w:line="240" w:lineRule="auto"/>
      <w:jc w:val="center"/>
    </w:pPr>
    <w:rPr>
      <w:rFonts w:ascii="宋体" w:hAnsi="宋体" w:cs="Times New Roman"/>
      <w:color w:val="auto"/>
      <w:kern w:val="0"/>
    </w:rPr>
  </w:style>
  <w:style w:type="paragraph" w:customStyle="1" w:styleId="327">
    <w:name w:val="xl42"/>
    <w:basedOn w:val="1"/>
    <w:qFormat/>
    <w:uiPriority w:val="0"/>
    <w:pPr>
      <w:pBdr>
        <w:top w:val="single" w:color="auto" w:sz="4" w:space="0"/>
        <w:left w:val="single" w:color="auto" w:sz="4" w:space="0"/>
        <w:right w:val="single" w:color="auto" w:sz="4" w:space="0"/>
      </w:pBdr>
      <w:spacing w:beforeLines="50" w:beforeAutospacing="1" w:after="100" w:afterAutospacing="1" w:line="240" w:lineRule="auto"/>
      <w:jc w:val="center"/>
    </w:pPr>
    <w:rPr>
      <w:rFonts w:ascii="宋体" w:hAnsi="宋体" w:cs="Times New Roman"/>
      <w:color w:val="auto"/>
      <w:kern w:val="0"/>
    </w:rPr>
  </w:style>
  <w:style w:type="paragraph" w:customStyle="1" w:styleId="328">
    <w:name w:val="xl43"/>
    <w:basedOn w:val="1"/>
    <w:qFormat/>
    <w:uiPriority w:val="0"/>
    <w:pPr>
      <w:pBdr>
        <w:top w:val="single" w:color="auto" w:sz="4" w:space="0"/>
        <w:left w:val="single" w:color="auto" w:sz="4" w:space="0"/>
        <w:bottom w:val="single" w:color="auto" w:sz="4" w:space="0"/>
        <w:right w:val="single" w:color="auto" w:sz="4" w:space="0"/>
      </w:pBdr>
      <w:spacing w:beforeLines="50" w:beforeAutospacing="1" w:after="100" w:afterAutospacing="1" w:line="240" w:lineRule="auto"/>
      <w:textAlignment w:val="center"/>
    </w:pPr>
    <w:rPr>
      <w:rFonts w:ascii="宋体" w:hAnsi="宋体" w:cs="Times New Roman"/>
      <w:color w:val="auto"/>
      <w:kern w:val="0"/>
    </w:rPr>
  </w:style>
  <w:style w:type="paragraph" w:customStyle="1" w:styleId="329">
    <w:name w:val="xl44"/>
    <w:basedOn w:val="1"/>
    <w:qFormat/>
    <w:uiPriority w:val="0"/>
    <w:pPr>
      <w:pBdr>
        <w:top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30">
    <w:name w:val="xl45"/>
    <w:basedOn w:val="1"/>
    <w:qFormat/>
    <w:uiPriority w:val="0"/>
    <w:pPr>
      <w:pBdr>
        <w:top w:val="single" w:color="auto" w:sz="4" w:space="0"/>
        <w:left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8"/>
      <w:szCs w:val="28"/>
    </w:rPr>
  </w:style>
  <w:style w:type="paragraph" w:customStyle="1" w:styleId="331">
    <w:name w:val="xl46"/>
    <w:basedOn w:val="1"/>
    <w:qFormat/>
    <w:uiPriority w:val="0"/>
    <w:pPr>
      <w:pBdr>
        <w:left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8"/>
      <w:szCs w:val="28"/>
    </w:rPr>
  </w:style>
  <w:style w:type="paragraph" w:customStyle="1" w:styleId="332">
    <w:name w:val="xl47"/>
    <w:basedOn w:val="1"/>
    <w:qFormat/>
    <w:uiPriority w:val="0"/>
    <w:pPr>
      <w:pBdr>
        <w:left w:val="single" w:color="auto" w:sz="4" w:space="0"/>
        <w:bottom w:val="single" w:color="auto" w:sz="4" w:space="0"/>
        <w:right w:val="single" w:color="auto" w:sz="4" w:space="0"/>
      </w:pBdr>
      <w:spacing w:beforeLines="50" w:beforeAutospacing="1" w:after="100" w:afterAutospacing="1" w:line="240" w:lineRule="auto"/>
    </w:pPr>
    <w:rPr>
      <w:rFonts w:ascii="宋体" w:hAnsi="宋体" w:cs="Times New Roman"/>
      <w:color w:val="auto"/>
      <w:kern w:val="0"/>
      <w:sz w:val="28"/>
      <w:szCs w:val="28"/>
    </w:rPr>
  </w:style>
  <w:style w:type="paragraph" w:customStyle="1" w:styleId="333">
    <w:name w:val="xl48"/>
    <w:basedOn w:val="1"/>
    <w:qFormat/>
    <w:uiPriority w:val="0"/>
    <w:pPr>
      <w:pBdr>
        <w:top w:val="single" w:color="auto" w:sz="4" w:space="0"/>
        <w:left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34">
    <w:name w:val="xl49"/>
    <w:basedOn w:val="1"/>
    <w:qFormat/>
    <w:uiPriority w:val="0"/>
    <w:pPr>
      <w:pBdr>
        <w:left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4"/>
      <w:szCs w:val="24"/>
    </w:rPr>
  </w:style>
  <w:style w:type="paragraph" w:customStyle="1" w:styleId="335">
    <w:name w:val="xl50"/>
    <w:basedOn w:val="1"/>
    <w:qFormat/>
    <w:uiPriority w:val="0"/>
    <w:pPr>
      <w:pBdr>
        <w:left w:val="single" w:color="auto" w:sz="4" w:space="0"/>
        <w:bottom w:val="single" w:color="auto" w:sz="4" w:space="0"/>
        <w:right w:val="single" w:color="auto" w:sz="4" w:space="0"/>
      </w:pBdr>
      <w:spacing w:beforeLines="50" w:beforeAutospacing="1" w:after="100" w:afterAutospacing="1" w:line="240" w:lineRule="auto"/>
    </w:pPr>
    <w:rPr>
      <w:rFonts w:ascii="宋体" w:hAnsi="宋体" w:cs="Times New Roman"/>
      <w:color w:val="auto"/>
      <w:kern w:val="0"/>
      <w:sz w:val="24"/>
      <w:szCs w:val="24"/>
    </w:rPr>
  </w:style>
  <w:style w:type="paragraph" w:customStyle="1" w:styleId="336">
    <w:name w:val="xl51"/>
    <w:basedOn w:val="1"/>
    <w:qFormat/>
    <w:uiPriority w:val="0"/>
    <w:pPr>
      <w:pBdr>
        <w:top w:val="single" w:color="auto" w:sz="4" w:space="0"/>
        <w:left w:val="single" w:color="auto" w:sz="4" w:space="0"/>
        <w:bottom w:val="single" w:color="auto" w:sz="4" w:space="0"/>
      </w:pBdr>
      <w:spacing w:beforeLines="50" w:beforeAutospacing="1" w:after="100" w:afterAutospacing="1" w:line="240" w:lineRule="auto"/>
      <w:jc w:val="center"/>
      <w:textAlignment w:val="center"/>
    </w:pPr>
    <w:rPr>
      <w:rFonts w:ascii="宋体" w:hAnsi="宋体" w:cs="Times New Roman"/>
      <w:color w:val="auto"/>
      <w:kern w:val="0"/>
      <w:sz w:val="28"/>
      <w:szCs w:val="28"/>
    </w:rPr>
  </w:style>
  <w:style w:type="paragraph" w:customStyle="1" w:styleId="337">
    <w:name w:val="xl52"/>
    <w:basedOn w:val="1"/>
    <w:qFormat/>
    <w:uiPriority w:val="0"/>
    <w:pPr>
      <w:pBdr>
        <w:top w:val="single" w:color="auto" w:sz="4" w:space="0"/>
        <w:bottom w:val="single" w:color="auto" w:sz="4" w:space="0"/>
      </w:pBdr>
      <w:spacing w:beforeLines="50" w:beforeAutospacing="1" w:after="100" w:afterAutospacing="1" w:line="240" w:lineRule="auto"/>
      <w:jc w:val="center"/>
      <w:textAlignment w:val="center"/>
    </w:pPr>
    <w:rPr>
      <w:rFonts w:ascii="宋体" w:hAnsi="宋体" w:cs="Times New Roman"/>
      <w:color w:val="auto"/>
      <w:kern w:val="0"/>
      <w:sz w:val="28"/>
      <w:szCs w:val="28"/>
    </w:rPr>
  </w:style>
  <w:style w:type="paragraph" w:customStyle="1" w:styleId="338">
    <w:name w:val="xl53"/>
    <w:basedOn w:val="1"/>
    <w:qFormat/>
    <w:uiPriority w:val="0"/>
    <w:pPr>
      <w:pBdr>
        <w:top w:val="single" w:color="auto" w:sz="4" w:space="0"/>
        <w:bottom w:val="single" w:color="auto" w:sz="4" w:space="0"/>
        <w:right w:val="single" w:color="auto" w:sz="4" w:space="0"/>
      </w:pBdr>
      <w:spacing w:beforeLines="50" w:beforeAutospacing="1" w:after="100" w:afterAutospacing="1" w:line="240" w:lineRule="auto"/>
      <w:jc w:val="center"/>
      <w:textAlignment w:val="center"/>
    </w:pPr>
    <w:rPr>
      <w:rFonts w:ascii="宋体" w:hAnsi="宋体" w:cs="Times New Roman"/>
      <w:color w:val="auto"/>
      <w:kern w:val="0"/>
      <w:sz w:val="28"/>
      <w:szCs w:val="28"/>
    </w:rPr>
  </w:style>
  <w:style w:type="paragraph" w:customStyle="1" w:styleId="339">
    <w:name w:val="样式 正文1 + 四号 加粗 黑色 行距: 最小值 20 磅"/>
    <w:basedOn w:val="195"/>
    <w:qFormat/>
    <w:uiPriority w:val="0"/>
    <w:pPr>
      <w:spacing w:line="400" w:lineRule="atLeast"/>
      <w:textAlignment w:val="auto"/>
    </w:pPr>
    <w:rPr>
      <w:rFonts w:hint="eastAsia"/>
      <w:b/>
      <w:bCs/>
      <w:color w:val="000000"/>
      <w:sz w:val="28"/>
      <w:szCs w:val="28"/>
    </w:rPr>
  </w:style>
  <w:style w:type="paragraph" w:customStyle="1" w:styleId="340">
    <w:name w:val="&lt;--"/>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1">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2">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3">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4">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5">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6">
    <w:name w:val=":|"/>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7">
    <w:name w:val="&lt;=="/>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8">
    <w:name w:val="&lt;=&gt;"/>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49">
    <w:name w:val="==&gt;"/>
    <w:qFormat/>
    <w:uiPriority w:val="0"/>
    <w:pPr>
      <w:overflowPunct w:val="0"/>
      <w:autoSpaceDE w:val="0"/>
      <w:autoSpaceDN w:val="0"/>
      <w:adjustRightInd w:val="0"/>
      <w:textAlignment w:val="baseline"/>
    </w:pPr>
    <w:rPr>
      <w:rFonts w:ascii="宋体" w:hAnsi="Times New Roman" w:eastAsia="宋体" w:cs="Times New Roman"/>
      <w:lang w:val="en-US" w:eastAsia="zh-CN" w:bidi="ar-SA"/>
    </w:rPr>
  </w:style>
  <w:style w:type="paragraph" w:customStyle="1" w:styleId="350">
    <w:name w:val="Plain Text Char Char Char"/>
    <w:basedOn w:val="1"/>
    <w:qFormat/>
    <w:uiPriority w:val="0"/>
    <w:pPr>
      <w:widowControl w:val="0"/>
      <w:autoSpaceDE w:val="0"/>
      <w:autoSpaceDN w:val="0"/>
      <w:adjustRightInd w:val="0"/>
      <w:spacing w:after="0" w:line="240" w:lineRule="auto"/>
      <w:jc w:val="both"/>
    </w:pPr>
    <w:rPr>
      <w:rFonts w:ascii="宋体" w:hAnsi="Times New Roman" w:cs="Times New Roman"/>
      <w:color w:val="auto"/>
      <w:sz w:val="24"/>
      <w:szCs w:val="20"/>
    </w:rPr>
  </w:style>
  <w:style w:type="character" w:customStyle="1" w:styleId="351">
    <w:name w:val="标题 1 Char Char Char Char Char Char"/>
    <w:basedOn w:val="130"/>
    <w:qFormat/>
    <w:uiPriority w:val="0"/>
    <w:rPr>
      <w:rFonts w:ascii="宋体" w:eastAsia="宋体"/>
      <w:b/>
      <w:kern w:val="44"/>
      <w:sz w:val="44"/>
      <w:lang w:val="en-US" w:eastAsia="zh-CN" w:bidi="ar-SA"/>
    </w:rPr>
  </w:style>
  <w:style w:type="character" w:customStyle="1" w:styleId="352">
    <w:name w:val="样式2 Char1"/>
    <w:basedOn w:val="130"/>
    <w:qFormat/>
    <w:uiPriority w:val="0"/>
    <w:rPr>
      <w:rFonts w:eastAsia="宋体"/>
      <w:sz w:val="24"/>
      <w:lang w:val="en-US" w:eastAsia="zh-CN" w:bidi="ar-SA"/>
    </w:rPr>
  </w:style>
  <w:style w:type="paragraph" w:customStyle="1" w:styleId="353">
    <w:name w:val="Char Char Char1 Char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character" w:customStyle="1" w:styleId="354">
    <w:name w:val="正文文字 Char"/>
    <w:basedOn w:val="130"/>
    <w:qFormat/>
    <w:uiPriority w:val="0"/>
    <w:rPr>
      <w:rFonts w:ascii="宋体" w:eastAsia="宋体"/>
      <w:kern w:val="2"/>
      <w:sz w:val="28"/>
      <w:lang w:val="en-US" w:eastAsia="zh-CN" w:bidi="ar-SA"/>
    </w:rPr>
  </w:style>
  <w:style w:type="character" w:customStyle="1" w:styleId="355">
    <w:name w:val="style21"/>
    <w:basedOn w:val="130"/>
    <w:qFormat/>
    <w:uiPriority w:val="0"/>
    <w:rPr>
      <w:b/>
      <w:bCs/>
      <w:sz w:val="21"/>
      <w:szCs w:val="21"/>
    </w:rPr>
  </w:style>
  <w:style w:type="paragraph" w:customStyle="1" w:styleId="356">
    <w:name w:val="aa"/>
    <w:basedOn w:val="73"/>
    <w:qFormat/>
    <w:uiPriority w:val="0"/>
    <w:pPr>
      <w:snapToGrid w:val="0"/>
      <w:spacing w:line="500" w:lineRule="exact"/>
      <w:ind w:firstLine="200" w:firstLineChars="200"/>
    </w:pPr>
    <w:rPr>
      <w:rFonts w:ascii="Times New Roman" w:hAnsi="Times New Roman"/>
      <w:color w:val="auto"/>
      <w:sz w:val="24"/>
    </w:rPr>
  </w:style>
  <w:style w:type="paragraph" w:customStyle="1" w:styleId="357">
    <w:name w:val="1.1类"/>
    <w:basedOn w:val="3"/>
    <w:qFormat/>
    <w:uiPriority w:val="0"/>
    <w:pPr>
      <w:widowControl w:val="0"/>
      <w:adjustRightInd w:val="0"/>
      <w:snapToGrid w:val="0"/>
      <w:spacing w:after="0" w:line="500" w:lineRule="exact"/>
      <w:ind w:left="400" w:right="0" w:hanging="400"/>
      <w:textAlignment w:val="baseline"/>
    </w:pPr>
    <w:rPr>
      <w:rFonts w:ascii="Times New Roman" w:hAnsi="Times New Roman" w:cs="Times New Roman"/>
      <w:b/>
      <w:color w:val="auto"/>
      <w:kern w:val="0"/>
      <w:sz w:val="28"/>
      <w:szCs w:val="28"/>
    </w:rPr>
  </w:style>
  <w:style w:type="paragraph" w:customStyle="1" w:styleId="358">
    <w:name w:val="1类"/>
    <w:basedOn w:val="2"/>
    <w:qFormat/>
    <w:uiPriority w:val="0"/>
    <w:pPr>
      <w:widowControl w:val="0"/>
      <w:adjustRightInd w:val="0"/>
      <w:snapToGrid w:val="0"/>
      <w:spacing w:after="0" w:line="500" w:lineRule="exact"/>
      <w:ind w:left="0" w:right="0" w:firstLine="0"/>
      <w:jc w:val="left"/>
      <w:textAlignment w:val="baseline"/>
    </w:pPr>
    <w:rPr>
      <w:rFonts w:ascii="Times New Roman" w:hAnsi="Times New Roman" w:eastAsia="宋体" w:cs="Times New Roman"/>
      <w:b/>
      <w:bCs/>
      <w:color w:val="auto"/>
      <w:kern w:val="44"/>
      <w:sz w:val="28"/>
      <w:szCs w:val="44"/>
    </w:rPr>
  </w:style>
  <w:style w:type="paragraph" w:customStyle="1" w:styleId="359">
    <w:name w:val="正文-zgd"/>
    <w:basedOn w:val="1"/>
    <w:qFormat/>
    <w:uiPriority w:val="0"/>
    <w:pPr>
      <w:widowControl w:val="0"/>
      <w:adjustRightInd w:val="0"/>
      <w:snapToGrid w:val="0"/>
      <w:spacing w:after="0" w:line="500" w:lineRule="exact"/>
      <w:ind w:firstLine="200" w:firstLineChars="200"/>
      <w:textAlignment w:val="baseline"/>
    </w:pPr>
    <w:rPr>
      <w:rFonts w:ascii="Times New Roman" w:hAnsi="Times New Roman" w:cs="Times New Roman"/>
      <w:bCs/>
      <w:color w:val="auto"/>
      <w:kern w:val="0"/>
      <w:sz w:val="24"/>
      <w:szCs w:val="28"/>
    </w:rPr>
  </w:style>
  <w:style w:type="paragraph" w:customStyle="1" w:styleId="360">
    <w:name w:val="样式 正文-zgd + 首行缩进:  2 字符"/>
    <w:basedOn w:val="359"/>
    <w:qFormat/>
    <w:uiPriority w:val="0"/>
  </w:style>
  <w:style w:type="paragraph" w:customStyle="1" w:styleId="361">
    <w:name w:val="1"/>
    <w:basedOn w:val="2"/>
    <w:qFormat/>
    <w:uiPriority w:val="0"/>
    <w:pPr>
      <w:keepNext w:val="0"/>
      <w:keepLines w:val="0"/>
      <w:pageBreakBefore/>
      <w:widowControl w:val="0"/>
      <w:adjustRightInd w:val="0"/>
      <w:snapToGrid w:val="0"/>
      <w:spacing w:after="0" w:line="500" w:lineRule="exact"/>
      <w:ind w:right="0"/>
      <w:jc w:val="left"/>
      <w:textAlignment w:val="baseline"/>
    </w:pPr>
    <w:rPr>
      <w:rFonts w:ascii="Times New Roman" w:hAnsi="Times New Roman" w:eastAsia="宋体" w:cs="Times New Roman"/>
      <w:b/>
      <w:color w:val="auto"/>
      <w:spacing w:val="20"/>
      <w:kern w:val="0"/>
      <w:sz w:val="28"/>
      <w:szCs w:val="44"/>
    </w:rPr>
  </w:style>
  <w:style w:type="paragraph" w:customStyle="1" w:styleId="362">
    <w:name w:val="1.1"/>
    <w:basedOn w:val="3"/>
    <w:next w:val="32"/>
    <w:qFormat/>
    <w:uiPriority w:val="0"/>
    <w:pPr>
      <w:keepNext w:val="0"/>
      <w:keepLines w:val="0"/>
      <w:widowControl w:val="0"/>
      <w:tabs>
        <w:tab w:val="left" w:pos="480"/>
      </w:tabs>
      <w:adjustRightInd w:val="0"/>
      <w:snapToGrid w:val="0"/>
      <w:spacing w:after="0" w:line="500" w:lineRule="exact"/>
      <w:ind w:left="400" w:right="0" w:hanging="400"/>
      <w:textAlignment w:val="baseline"/>
    </w:pPr>
    <w:rPr>
      <w:rFonts w:ascii="Times New Roman" w:hAnsi="Times New Roman" w:cs="Times New Roman"/>
      <w:b/>
      <w:bCs/>
      <w:color w:val="auto"/>
      <w:kern w:val="0"/>
      <w:sz w:val="28"/>
      <w:szCs w:val="32"/>
    </w:rPr>
  </w:style>
  <w:style w:type="paragraph" w:customStyle="1" w:styleId="363">
    <w:name w:val="zgd"/>
    <w:basedOn w:val="73"/>
    <w:next w:val="1"/>
    <w:qFormat/>
    <w:uiPriority w:val="0"/>
    <w:pPr>
      <w:snapToGrid w:val="0"/>
      <w:spacing w:line="500" w:lineRule="exact"/>
      <w:ind w:firstLine="200" w:firstLineChars="200"/>
    </w:pPr>
    <w:rPr>
      <w:rFonts w:ascii="Times New Roman" w:hAnsi="Times New Roman"/>
      <w:color w:val="000000"/>
      <w:sz w:val="24"/>
    </w:rPr>
  </w:style>
  <w:style w:type="paragraph" w:customStyle="1" w:styleId="364">
    <w:name w:val="目录"/>
    <w:basedOn w:val="73"/>
    <w:next w:val="73"/>
    <w:qFormat/>
    <w:uiPriority w:val="0"/>
    <w:pPr>
      <w:snapToGrid w:val="0"/>
      <w:spacing w:line="500" w:lineRule="exact"/>
    </w:pPr>
    <w:rPr>
      <w:rFonts w:ascii="Times New Roman" w:hAnsi="Times New Roman"/>
      <w:color w:val="000000"/>
    </w:rPr>
  </w:style>
  <w:style w:type="paragraph" w:customStyle="1" w:styleId="365">
    <w:name w:val="前言"/>
    <w:basedOn w:val="359"/>
    <w:qFormat/>
    <w:uiPriority w:val="0"/>
  </w:style>
  <w:style w:type="paragraph" w:customStyle="1" w:styleId="366">
    <w:name w:val="目录11111"/>
    <w:basedOn w:val="360"/>
    <w:qFormat/>
    <w:uiPriority w:val="0"/>
    <w:pPr>
      <w:jc w:val="center"/>
    </w:pPr>
    <w:rPr>
      <w:b/>
      <w:bCs w:val="0"/>
      <w:sz w:val="28"/>
      <w:szCs w:val="20"/>
    </w:rPr>
  </w:style>
  <w:style w:type="paragraph" w:customStyle="1" w:styleId="367">
    <w:name w:val="表中文字"/>
    <w:basedOn w:val="1"/>
    <w:qFormat/>
    <w:uiPriority w:val="0"/>
    <w:pPr>
      <w:widowControl w:val="0"/>
      <w:adjustRightInd w:val="0"/>
      <w:spacing w:after="0" w:line="300" w:lineRule="auto"/>
      <w:jc w:val="both"/>
      <w:textAlignment w:val="baseline"/>
    </w:pPr>
    <w:rPr>
      <w:rFonts w:ascii="Times New Roman" w:hAnsi="Times New Roman" w:cs="Times New Roman"/>
      <w:color w:val="auto"/>
      <w:kern w:val="0"/>
      <w:szCs w:val="20"/>
    </w:rPr>
  </w:style>
  <w:style w:type="paragraph" w:customStyle="1" w:styleId="368">
    <w:name w:val="Char Char Char Char Char Char1 Char Char Char1 Char Char Char Char"/>
    <w:basedOn w:val="1"/>
    <w:qFormat/>
    <w:uiPriority w:val="0"/>
    <w:pPr>
      <w:widowControl w:val="0"/>
      <w:spacing w:after="0" w:line="240" w:lineRule="auto"/>
      <w:jc w:val="both"/>
    </w:pPr>
    <w:rPr>
      <w:rFonts w:ascii="Times New Roman" w:hAnsi="Times New Roman" w:cs="Times New Roman"/>
      <w:color w:val="auto"/>
      <w:szCs w:val="24"/>
    </w:rPr>
  </w:style>
  <w:style w:type="character" w:customStyle="1" w:styleId="369">
    <w:name w:val="页眉cover Char"/>
    <w:basedOn w:val="130"/>
    <w:qFormat/>
    <w:uiPriority w:val="99"/>
    <w:rPr>
      <w:rFonts w:ascii="Times New Roman" w:hAnsi="Times New Roman" w:eastAsia="宋体" w:cs="Times New Roman"/>
      <w:kern w:val="0"/>
      <w:sz w:val="18"/>
      <w:szCs w:val="20"/>
    </w:rPr>
  </w:style>
  <w:style w:type="paragraph" w:customStyle="1" w:styleId="370">
    <w:name w:val="Char Char Char Char Char Char Char Char Char Char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371">
    <w:name w:val="Char Char1 Char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372">
    <w:name w:val="Char Char2 Char Char Char Char Char Char Char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373">
    <w:name w:val="Char Char Char Char1 Char Char"/>
    <w:basedOn w:val="1"/>
    <w:qFormat/>
    <w:uiPriority w:val="0"/>
    <w:pPr>
      <w:widowControl w:val="0"/>
      <w:spacing w:after="0" w:line="360" w:lineRule="auto"/>
      <w:jc w:val="both"/>
    </w:pPr>
    <w:rPr>
      <w:rFonts w:ascii="Tahoma" w:hAnsi="Tahoma" w:cs="Times New Roman"/>
      <w:color w:val="auto"/>
      <w:sz w:val="24"/>
      <w:szCs w:val="20"/>
    </w:rPr>
  </w:style>
  <w:style w:type="paragraph" w:customStyle="1" w:styleId="374">
    <w:name w:val="Char1 Char Char Char1"/>
    <w:basedOn w:val="1"/>
    <w:qFormat/>
    <w:uiPriority w:val="0"/>
    <w:pPr>
      <w:widowControl w:val="0"/>
      <w:spacing w:after="0" w:line="360" w:lineRule="auto"/>
      <w:ind w:firstLine="200" w:firstLineChars="200"/>
      <w:jc w:val="both"/>
    </w:pPr>
    <w:rPr>
      <w:rFonts w:ascii="宋体" w:hAnsi="宋体" w:cs="宋体"/>
      <w:color w:val="auto"/>
      <w:sz w:val="24"/>
      <w:szCs w:val="24"/>
    </w:rPr>
  </w:style>
  <w:style w:type="paragraph" w:customStyle="1" w:styleId="375">
    <w:name w:val="Char Char2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376">
    <w:name w:val="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377">
    <w:name w:val="Char Char Char Char Char Char Char Char Char1 Char"/>
    <w:basedOn w:val="1"/>
    <w:qFormat/>
    <w:uiPriority w:val="0"/>
    <w:pPr>
      <w:widowControl w:val="0"/>
      <w:snapToGrid w:val="0"/>
      <w:spacing w:after="0" w:line="240" w:lineRule="auto"/>
      <w:jc w:val="both"/>
    </w:pPr>
    <w:rPr>
      <w:rFonts w:ascii="Arial" w:hAnsi="Arial" w:cs="Times New Roman"/>
      <w:color w:val="auto"/>
      <w:szCs w:val="21"/>
    </w:rPr>
  </w:style>
  <w:style w:type="paragraph" w:customStyle="1" w:styleId="378">
    <w:name w:val="正文报告"/>
    <w:basedOn w:val="1"/>
    <w:qFormat/>
    <w:uiPriority w:val="0"/>
    <w:pPr>
      <w:widowControl w:val="0"/>
      <w:tabs>
        <w:tab w:val="left" w:pos="510"/>
      </w:tabs>
      <w:adjustRightInd w:val="0"/>
      <w:spacing w:after="0" w:line="460" w:lineRule="exact"/>
      <w:ind w:firstLine="482"/>
      <w:jc w:val="both"/>
      <w:textAlignment w:val="baseline"/>
    </w:pPr>
    <w:rPr>
      <w:rFonts w:ascii="Times New Roman" w:hAnsi="Times New Roman" w:cs="Times New Roman"/>
      <w:color w:val="auto"/>
      <w:kern w:val="0"/>
      <w:sz w:val="24"/>
      <w:szCs w:val="20"/>
    </w:rPr>
  </w:style>
  <w:style w:type="paragraph" w:customStyle="1" w:styleId="379">
    <w:name w:val="Char1 Char Char Char Char Char Char Char Char Char"/>
    <w:basedOn w:val="1"/>
    <w:qFormat/>
    <w:uiPriority w:val="0"/>
    <w:pPr>
      <w:widowControl w:val="0"/>
      <w:spacing w:after="0" w:line="240" w:lineRule="auto"/>
      <w:jc w:val="both"/>
    </w:pPr>
    <w:rPr>
      <w:rFonts w:ascii="Times New Roman" w:hAnsi="Times New Roman" w:cs="Times New Roman"/>
      <w:color w:val="auto"/>
      <w:sz w:val="24"/>
      <w:szCs w:val="24"/>
    </w:rPr>
  </w:style>
  <w:style w:type="paragraph" w:customStyle="1" w:styleId="380">
    <w:name w:val="样式 标题 2 + 华文中宋"/>
    <w:basedOn w:val="3"/>
    <w:qFormat/>
    <w:uiPriority w:val="0"/>
    <w:pPr>
      <w:widowControl w:val="0"/>
      <w:spacing w:before="260" w:after="260" w:line="416" w:lineRule="auto"/>
      <w:ind w:left="0" w:right="0" w:firstLine="0"/>
      <w:jc w:val="both"/>
    </w:pPr>
    <w:rPr>
      <w:rFonts w:ascii="华文中宋" w:hAnsi="华文中宋" w:eastAsia="华文中宋" w:cs="Times New Roman"/>
      <w:b/>
      <w:bCs/>
      <w:color w:val="auto"/>
      <w:sz w:val="36"/>
      <w:szCs w:val="32"/>
    </w:rPr>
  </w:style>
  <w:style w:type="character" w:customStyle="1" w:styleId="381">
    <w:name w:val="yxInternal"/>
    <w:basedOn w:val="130"/>
    <w:qFormat/>
    <w:uiPriority w:val="0"/>
    <w:rPr>
      <w:rFonts w:ascii="Courier New" w:hAnsi="Courier New"/>
      <w:color w:val="FF0000"/>
      <w:sz w:val="24"/>
      <w:szCs w:val="24"/>
    </w:rPr>
  </w:style>
  <w:style w:type="character" w:customStyle="1" w:styleId="382">
    <w:name w:val="yxMark"/>
    <w:basedOn w:val="130"/>
    <w:qFormat/>
    <w:uiPriority w:val="0"/>
    <w:rPr>
      <w:rFonts w:ascii="Courier New" w:hAnsi="Courier New"/>
      <w:vanish/>
      <w:color w:val="800000"/>
      <w:sz w:val="24"/>
      <w:szCs w:val="24"/>
      <w:vertAlign w:val="subscript"/>
    </w:rPr>
  </w:style>
  <w:style w:type="paragraph" w:customStyle="1" w:styleId="383">
    <w:name w:val="xl22"/>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auto"/>
      <w:kern w:val="0"/>
    </w:rPr>
  </w:style>
  <w:style w:type="paragraph" w:customStyle="1" w:styleId="384">
    <w:name w:val="xl23"/>
    <w:basedOn w:val="1"/>
    <w:qFormat/>
    <w:uiPriority w:val="0"/>
    <w:pPr>
      <w:pBdr>
        <w:top w:val="single" w:color="auto" w:sz="8" w:space="0"/>
        <w:left w:val="single" w:color="auto" w:sz="4" w:space="0"/>
        <w:bottom w:val="single" w:color="auto" w:sz="4" w:space="0"/>
        <w:right w:val="single" w:color="auto" w:sz="4" w:space="0"/>
      </w:pBdr>
      <w:spacing w:before="100" w:beforeAutospacing="1" w:after="100" w:afterAutospacing="1" w:line="240" w:lineRule="auto"/>
      <w:jc w:val="center"/>
    </w:pPr>
    <w:rPr>
      <w:rFonts w:ascii="宋体" w:hAnsi="宋体" w:cs="宋体"/>
      <w:color w:val="auto"/>
      <w:kern w:val="0"/>
    </w:rPr>
  </w:style>
  <w:style w:type="paragraph" w:customStyle="1" w:styleId="385">
    <w:name w:val="??2"/>
    <w:basedOn w:val="1"/>
    <w:qFormat/>
    <w:uiPriority w:val="0"/>
    <w:pPr>
      <w:widowControl w:val="0"/>
      <w:autoSpaceDE w:val="0"/>
      <w:autoSpaceDN w:val="0"/>
      <w:adjustRightInd w:val="0"/>
      <w:spacing w:after="0" w:line="480" w:lineRule="atLeast"/>
      <w:textAlignment w:val="baseline"/>
    </w:pPr>
    <w:rPr>
      <w:rFonts w:ascii="宋体" w:hAnsi="Tms Rmn" w:cs="Times New Roman"/>
      <w:b/>
      <w:color w:val="auto"/>
      <w:spacing w:val="10"/>
      <w:kern w:val="0"/>
      <w:sz w:val="24"/>
      <w:szCs w:val="24"/>
    </w:rPr>
  </w:style>
  <w:style w:type="paragraph" w:customStyle="1" w:styleId="386">
    <w:name w:val="??4"/>
    <w:basedOn w:val="1"/>
    <w:qFormat/>
    <w:uiPriority w:val="0"/>
    <w:pPr>
      <w:widowControl w:val="0"/>
      <w:autoSpaceDE w:val="0"/>
      <w:autoSpaceDN w:val="0"/>
      <w:adjustRightInd w:val="0"/>
      <w:spacing w:after="0" w:line="480" w:lineRule="atLeast"/>
      <w:textAlignment w:val="baseline"/>
    </w:pPr>
    <w:rPr>
      <w:rFonts w:ascii="宋体" w:hAnsi="Tms Rmn" w:cs="Times New Roman"/>
      <w:color w:val="auto"/>
      <w:spacing w:val="10"/>
      <w:kern w:val="0"/>
      <w:sz w:val="48"/>
      <w:szCs w:val="24"/>
    </w:rPr>
  </w:style>
  <w:style w:type="paragraph" w:customStyle="1" w:styleId="387">
    <w:name w:val="表头 1"/>
    <w:basedOn w:val="2"/>
    <w:next w:val="1"/>
    <w:qFormat/>
    <w:uiPriority w:val="0"/>
    <w:pPr>
      <w:widowControl w:val="0"/>
      <w:tabs>
        <w:tab w:val="left" w:pos="3600"/>
      </w:tabs>
      <w:adjustRightInd w:val="0"/>
      <w:spacing w:after="0" w:line="240" w:lineRule="auto"/>
      <w:ind w:left="0" w:right="-108" w:firstLine="0"/>
      <w:jc w:val="both"/>
      <w:textAlignment w:val="baseline"/>
      <w:outlineLvl w:val="9"/>
    </w:pPr>
    <w:rPr>
      <w:rFonts w:ascii="Times New Roman" w:hAnsi="Times New Roman" w:eastAsia="长城仿宋" w:cs="Times New Roman"/>
      <w:color w:val="008080"/>
      <w:kern w:val="44"/>
      <w:sz w:val="28"/>
      <w:szCs w:val="20"/>
    </w:rPr>
  </w:style>
  <w:style w:type="paragraph" w:customStyle="1" w:styleId="388">
    <w:name w:val="用户正文1"/>
    <w:qFormat/>
    <w:uiPriority w:val="0"/>
    <w:pPr>
      <w:spacing w:line="360" w:lineRule="auto"/>
      <w:ind w:firstLine="573"/>
      <w:jc w:val="both"/>
      <w:textAlignment w:val="center"/>
    </w:pPr>
    <w:rPr>
      <w:rFonts w:ascii="Times New Roman" w:hAnsi="Times New Roman" w:eastAsia="宋体" w:cs="Times New Roman"/>
      <w:sz w:val="30"/>
      <w:lang w:val="en-US" w:eastAsia="zh-CN" w:bidi="ar-SA"/>
    </w:rPr>
  </w:style>
  <w:style w:type="paragraph" w:customStyle="1" w:styleId="389">
    <w:name w:val="样式 样式 样式 样式 标题 3条标题1.1.1 + Arial + 黑体 + 段前: 0.5 行 段后: 0.5 行 + 段前..."/>
    <w:basedOn w:val="1"/>
    <w:qFormat/>
    <w:uiPriority w:val="0"/>
    <w:pPr>
      <w:keepNext/>
      <w:keepLines/>
      <w:widowControl w:val="0"/>
      <w:adjustRightInd w:val="0"/>
      <w:spacing w:beforeLines="100" w:afterLines="100" w:line="360" w:lineRule="auto"/>
      <w:jc w:val="both"/>
      <w:textAlignment w:val="baseline"/>
      <w:outlineLvl w:val="2"/>
    </w:pPr>
    <w:rPr>
      <w:rFonts w:ascii="黑体" w:hAnsi="黑体" w:eastAsia="黑体" w:cs="宋体"/>
      <w:b/>
      <w:bCs/>
      <w:i/>
      <w:color w:val="auto"/>
      <w:kern w:val="0"/>
      <w:sz w:val="30"/>
      <w:szCs w:val="20"/>
    </w:rPr>
  </w:style>
  <w:style w:type="paragraph" w:customStyle="1" w:styleId="390">
    <w:name w:val="样式 标题 1章节标题b1 + 宋体"/>
    <w:basedOn w:val="2"/>
    <w:qFormat/>
    <w:uiPriority w:val="0"/>
    <w:pPr>
      <w:widowControl w:val="0"/>
      <w:spacing w:before="340" w:after="330" w:line="578" w:lineRule="auto"/>
      <w:ind w:left="0" w:right="0" w:firstLine="0"/>
      <w:jc w:val="both"/>
    </w:pPr>
    <w:rPr>
      <w:rFonts w:ascii="宋体" w:hAnsi="宋体" w:eastAsia="宋体" w:cs="Times New Roman"/>
      <w:b/>
      <w:bCs/>
      <w:color w:val="auto"/>
      <w:kern w:val="44"/>
      <w:sz w:val="44"/>
      <w:szCs w:val="44"/>
    </w:rPr>
  </w:style>
  <w:style w:type="paragraph" w:customStyle="1" w:styleId="391">
    <w:name w:val="Char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character" w:customStyle="1" w:styleId="392">
    <w:name w:val="style11"/>
    <w:basedOn w:val="130"/>
    <w:qFormat/>
    <w:uiPriority w:val="0"/>
  </w:style>
  <w:style w:type="character" w:customStyle="1" w:styleId="393">
    <w:name w:val="Char Char13"/>
    <w:basedOn w:val="130"/>
    <w:qFormat/>
    <w:uiPriority w:val="0"/>
    <w:rPr>
      <w:rFonts w:eastAsia="宋体"/>
      <w:sz w:val="18"/>
      <w:szCs w:val="18"/>
      <w:lang w:val="en-US" w:eastAsia="zh-CN" w:bidi="ar-SA"/>
    </w:rPr>
  </w:style>
  <w:style w:type="character" w:customStyle="1" w:styleId="394">
    <w:name w:val="Char Char12"/>
    <w:basedOn w:val="130"/>
    <w:qFormat/>
    <w:uiPriority w:val="0"/>
    <w:rPr>
      <w:rFonts w:eastAsia="宋体"/>
      <w:sz w:val="18"/>
      <w:lang w:val="en-US" w:eastAsia="zh-CN" w:bidi="ar-SA"/>
    </w:rPr>
  </w:style>
  <w:style w:type="paragraph" w:customStyle="1" w:styleId="395">
    <w:name w:val="样式 五号 首行缩进:  2 字符"/>
    <w:basedOn w:val="1"/>
    <w:qFormat/>
    <w:uiPriority w:val="0"/>
    <w:pPr>
      <w:widowControl w:val="0"/>
      <w:spacing w:after="0" w:line="240" w:lineRule="auto"/>
      <w:ind w:firstLine="50" w:firstLineChars="50"/>
      <w:jc w:val="both"/>
    </w:pPr>
    <w:rPr>
      <w:rFonts w:ascii="Times New Roman" w:hAnsi="Times New Roman" w:cs="宋体"/>
      <w:color w:val="auto"/>
      <w:kern w:val="0"/>
      <w:szCs w:val="20"/>
    </w:rPr>
  </w:style>
  <w:style w:type="paragraph" w:customStyle="1" w:styleId="396">
    <w:name w:val="Char Char1"/>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397">
    <w:name w:val="样式 宋体 四号 行距: 1.5 倍行距"/>
    <w:basedOn w:val="1"/>
    <w:qFormat/>
    <w:uiPriority w:val="0"/>
    <w:pPr>
      <w:widowControl w:val="0"/>
      <w:tabs>
        <w:tab w:val="left" w:pos="567"/>
      </w:tabs>
      <w:adjustRightInd w:val="0"/>
      <w:snapToGrid w:val="0"/>
      <w:spacing w:after="0" w:line="440" w:lineRule="atLeast"/>
      <w:ind w:right="-1"/>
      <w:jc w:val="both"/>
    </w:pPr>
    <w:rPr>
      <w:rFonts w:hint="eastAsia" w:ascii="宋体" w:hAnsi="宋体" w:cs="Times New Roman"/>
      <w:b/>
      <w:sz w:val="24"/>
      <w:szCs w:val="20"/>
    </w:rPr>
  </w:style>
  <w:style w:type="paragraph" w:customStyle="1" w:styleId="398">
    <w:name w:val="正文1 Char"/>
    <w:basedOn w:val="1"/>
    <w:qFormat/>
    <w:uiPriority w:val="0"/>
    <w:pPr>
      <w:widowControl w:val="0"/>
      <w:adjustRightInd w:val="0"/>
      <w:spacing w:after="0" w:line="410" w:lineRule="atLeast"/>
      <w:textAlignment w:val="baseline"/>
    </w:pPr>
    <w:rPr>
      <w:rFonts w:ascii="Times New Roman" w:hAnsi="Times New Roman" w:cs="Times New Roman"/>
      <w:color w:val="auto"/>
      <w:kern w:val="0"/>
      <w:sz w:val="24"/>
      <w:szCs w:val="20"/>
    </w:rPr>
  </w:style>
  <w:style w:type="paragraph" w:customStyle="1" w:styleId="399">
    <w:name w:val="正文 + 宋体"/>
    <w:basedOn w:val="1"/>
    <w:qFormat/>
    <w:uiPriority w:val="0"/>
    <w:pPr>
      <w:widowControl w:val="0"/>
      <w:snapToGrid w:val="0"/>
      <w:spacing w:after="0" w:line="360" w:lineRule="auto"/>
      <w:jc w:val="both"/>
    </w:pPr>
    <w:rPr>
      <w:rFonts w:ascii="宋体" w:hAnsi="宋体" w:cs="Times New Roman"/>
      <w:sz w:val="24"/>
      <w:szCs w:val="24"/>
    </w:rPr>
  </w:style>
  <w:style w:type="paragraph" w:customStyle="1" w:styleId="400">
    <w:name w:val="ÕýÎÄ"/>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zh-CN" w:bidi="ar-SA"/>
    </w:rPr>
  </w:style>
  <w:style w:type="paragraph" w:customStyle="1" w:styleId="401">
    <w:name w:val="标准"/>
    <w:basedOn w:val="1"/>
    <w:qFormat/>
    <w:uiPriority w:val="0"/>
    <w:pPr>
      <w:widowControl w:val="0"/>
      <w:adjustRightInd w:val="0"/>
      <w:spacing w:after="0" w:line="240" w:lineRule="atLeast"/>
      <w:ind w:firstLine="360" w:firstLineChars="200"/>
      <w:jc w:val="center"/>
      <w:textAlignment w:val="baseline"/>
    </w:pPr>
    <w:rPr>
      <w:rFonts w:ascii="仿宋_GB2312" w:hAnsi="Times New Roman" w:eastAsia="仿宋_GB2312" w:cs="Times New Roman"/>
      <w:color w:val="auto"/>
      <w:kern w:val="0"/>
      <w:sz w:val="18"/>
      <w:szCs w:val="20"/>
    </w:rPr>
  </w:style>
  <w:style w:type="paragraph" w:customStyle="1" w:styleId="402">
    <w:name w:val="样式 首行缩进:  2 字符"/>
    <w:basedOn w:val="1"/>
    <w:qFormat/>
    <w:uiPriority w:val="0"/>
    <w:pPr>
      <w:spacing w:after="0" w:line="360" w:lineRule="auto"/>
      <w:ind w:firstLine="200" w:firstLineChars="200"/>
    </w:pPr>
    <w:rPr>
      <w:rFonts w:ascii="Times New Roman" w:hAnsi="Times New Roman" w:cs="宋体"/>
      <w:color w:val="auto"/>
      <w:kern w:val="0"/>
      <w:sz w:val="24"/>
      <w:szCs w:val="20"/>
    </w:rPr>
  </w:style>
  <w:style w:type="paragraph" w:customStyle="1" w:styleId="403">
    <w:name w:val="样式 标题 3 + 字距调整小四"/>
    <w:basedOn w:val="4"/>
    <w:qFormat/>
    <w:uiPriority w:val="0"/>
    <w:pPr>
      <w:keepNext w:val="0"/>
      <w:keepLines w:val="0"/>
      <w:widowControl w:val="0"/>
      <w:adjustRightInd w:val="0"/>
      <w:snapToGrid w:val="0"/>
      <w:spacing w:after="0" w:line="400" w:lineRule="exact"/>
      <w:ind w:left="0" w:right="0" w:firstLine="0"/>
      <w:jc w:val="both"/>
    </w:pPr>
    <w:rPr>
      <w:rFonts w:ascii="Times New Roman" w:hAnsi="Times New Roman" w:cs="Times New Roman"/>
      <w:color w:val="auto"/>
      <w:kern w:val="24"/>
      <w:sz w:val="24"/>
      <w:szCs w:val="20"/>
    </w:rPr>
  </w:style>
  <w:style w:type="character" w:customStyle="1" w:styleId="404">
    <w:name w:val="para"/>
    <w:basedOn w:val="130"/>
    <w:qFormat/>
    <w:uiPriority w:val="0"/>
  </w:style>
  <w:style w:type="paragraph" w:customStyle="1" w:styleId="405">
    <w:name w:val="BG"/>
    <w:basedOn w:val="1"/>
    <w:next w:val="1"/>
    <w:qFormat/>
    <w:uiPriority w:val="0"/>
    <w:pPr>
      <w:widowControl w:val="0"/>
      <w:tabs>
        <w:tab w:val="left" w:pos="1134"/>
      </w:tabs>
      <w:adjustRightInd w:val="0"/>
      <w:spacing w:after="0" w:line="360" w:lineRule="atLeast"/>
      <w:jc w:val="center"/>
      <w:textAlignment w:val="baseline"/>
    </w:pPr>
    <w:rPr>
      <w:rFonts w:ascii="Arial" w:hAnsi="Arial" w:cs="Times New Roman"/>
      <w:color w:val="auto"/>
      <w:kern w:val="0"/>
      <w:szCs w:val="20"/>
    </w:rPr>
  </w:style>
  <w:style w:type="paragraph" w:customStyle="1" w:styleId="406">
    <w:name w:val="正文文本缩进 31"/>
    <w:basedOn w:val="1"/>
    <w:qFormat/>
    <w:uiPriority w:val="0"/>
    <w:pPr>
      <w:widowControl w:val="0"/>
      <w:adjustRightInd w:val="0"/>
      <w:spacing w:before="60" w:after="60" w:line="240" w:lineRule="atLeast"/>
      <w:ind w:firstLine="567"/>
      <w:jc w:val="both"/>
      <w:textAlignment w:val="baseline"/>
    </w:pPr>
    <w:rPr>
      <w:rFonts w:ascii="Times New Roman" w:hAnsi="Times New Roman" w:cs="Times New Roman"/>
      <w:color w:val="FF0000"/>
      <w:kern w:val="0"/>
      <w:sz w:val="28"/>
      <w:szCs w:val="20"/>
    </w:rPr>
  </w:style>
  <w:style w:type="paragraph" w:customStyle="1" w:styleId="407">
    <w:name w:val="Style 特征三 + Left:  1.58 cm First line:  0 cm"/>
    <w:basedOn w:val="1"/>
    <w:qFormat/>
    <w:uiPriority w:val="0"/>
    <w:pPr>
      <w:widowControl w:val="0"/>
      <w:numPr>
        <w:ilvl w:val="0"/>
        <w:numId w:val="18"/>
      </w:numPr>
      <w:tabs>
        <w:tab w:val="clear" w:pos="840"/>
      </w:tabs>
      <w:adjustRightInd w:val="0"/>
      <w:spacing w:after="0" w:line="360" w:lineRule="auto"/>
      <w:ind w:left="0" w:right="210" w:rightChars="100" w:firstLine="898" w:firstLineChars="426"/>
      <w:jc w:val="both"/>
    </w:pPr>
    <w:rPr>
      <w:rFonts w:ascii="Times New Roman" w:hAnsi="Times New Roman" w:cs="宋体"/>
      <w:b/>
      <w:bCs/>
      <w:color w:val="auto"/>
      <w:szCs w:val="20"/>
      <w:lang w:val="zh-CN"/>
    </w:rPr>
  </w:style>
  <w:style w:type="character" w:customStyle="1" w:styleId="408">
    <w:name w:val="正文缩进3"/>
    <w:basedOn w:val="130"/>
    <w:qFormat/>
    <w:uiPriority w:val="0"/>
    <w:rPr>
      <w:rFonts w:eastAsia="宋体"/>
      <w:kern w:val="2"/>
      <w:sz w:val="21"/>
      <w:lang w:val="en-US" w:eastAsia="zh-CN" w:bidi="ar-SA"/>
    </w:rPr>
  </w:style>
  <w:style w:type="paragraph" w:customStyle="1" w:styleId="409">
    <w:name w:val="TOC 标题1"/>
    <w:basedOn w:val="2"/>
    <w:next w:val="1"/>
    <w:unhideWhenUsed/>
    <w:qFormat/>
    <w:uiPriority w:val="39"/>
    <w:pPr>
      <w:spacing w:before="340" w:after="330" w:line="578" w:lineRule="auto"/>
      <w:ind w:left="0" w:right="0" w:firstLine="0"/>
      <w:jc w:val="left"/>
      <w:outlineLvl w:val="9"/>
    </w:pPr>
    <w:rPr>
      <w:rFonts w:ascii="Calibri" w:hAnsi="Calibri" w:eastAsia="Calibri" w:cs="Calibri"/>
      <w:b/>
      <w:bCs/>
      <w:kern w:val="44"/>
      <w:sz w:val="44"/>
      <w:szCs w:val="44"/>
    </w:rPr>
  </w:style>
  <w:style w:type="character" w:customStyle="1" w:styleId="410">
    <w:name w:val="文档结构图 Char"/>
    <w:semiHidden/>
    <w:qFormat/>
    <w:uiPriority w:val="0"/>
    <w:rPr>
      <w:rFonts w:ascii="宋体" w:eastAsia="宋体"/>
      <w:sz w:val="18"/>
      <w:szCs w:val="18"/>
    </w:rPr>
  </w:style>
  <w:style w:type="character" w:customStyle="1" w:styleId="411">
    <w:name w:val="批注框文本 Char"/>
    <w:qFormat/>
    <w:uiPriority w:val="0"/>
    <w:rPr>
      <w:kern w:val="2"/>
      <w:sz w:val="18"/>
      <w:szCs w:val="18"/>
    </w:rPr>
  </w:style>
  <w:style w:type="character" w:customStyle="1" w:styleId="412">
    <w:name w:val="批注文字 Char"/>
    <w:qFormat/>
    <w:uiPriority w:val="0"/>
    <w:rPr>
      <w:kern w:val="2"/>
      <w:sz w:val="21"/>
      <w:szCs w:val="22"/>
    </w:rPr>
  </w:style>
  <w:style w:type="character" w:customStyle="1" w:styleId="413">
    <w:name w:val="批注主题 Char"/>
    <w:qFormat/>
    <w:uiPriority w:val="0"/>
    <w:rPr>
      <w:b/>
      <w:bCs/>
      <w:kern w:val="2"/>
      <w:sz w:val="21"/>
      <w:szCs w:val="22"/>
    </w:rPr>
  </w:style>
  <w:style w:type="character" w:customStyle="1" w:styleId="414">
    <w:name w:val="标题 1 Char"/>
    <w:qFormat/>
    <w:uiPriority w:val="0"/>
    <w:rPr>
      <w:b/>
      <w:bCs/>
      <w:kern w:val="44"/>
      <w:sz w:val="44"/>
      <w:szCs w:val="44"/>
    </w:rPr>
  </w:style>
  <w:style w:type="character" w:customStyle="1" w:styleId="415">
    <w:name w:val="纯文本 Char1"/>
    <w:qFormat/>
    <w:uiPriority w:val="0"/>
    <w:rPr>
      <w:rFonts w:ascii="宋体" w:hAnsi="Courier New" w:cs="Courier New"/>
      <w:kern w:val="2"/>
      <w:sz w:val="21"/>
      <w:szCs w:val="21"/>
    </w:rPr>
  </w:style>
  <w:style w:type="character" w:customStyle="1" w:styleId="416">
    <w:name w:val="页眉 Char"/>
    <w:qFormat/>
    <w:uiPriority w:val="99"/>
    <w:rPr>
      <w:kern w:val="2"/>
      <w:sz w:val="18"/>
      <w:szCs w:val="18"/>
    </w:rPr>
  </w:style>
  <w:style w:type="character" w:customStyle="1" w:styleId="417">
    <w:name w:val="页脚 Char"/>
    <w:qFormat/>
    <w:uiPriority w:val="99"/>
    <w:rPr>
      <w:rFonts w:ascii="Calibri" w:hAnsi="Calibri" w:eastAsia="宋体" w:cs="Times New Roman"/>
      <w:sz w:val="22"/>
      <w:szCs w:val="22"/>
    </w:rPr>
  </w:style>
  <w:style w:type="paragraph" w:customStyle="1" w:styleId="418">
    <w:name w:val="_Style 332"/>
    <w:basedOn w:val="1"/>
    <w:next w:val="189"/>
    <w:link w:val="419"/>
    <w:qFormat/>
    <w:uiPriority w:val="0"/>
    <w:pPr>
      <w:spacing w:after="0" w:line="240" w:lineRule="auto"/>
      <w:ind w:firstLine="420" w:firstLineChars="200"/>
    </w:pPr>
    <w:rPr>
      <w:rFonts w:ascii="等线" w:hAnsi="等线" w:eastAsia="等线" w:cs="Times New Roman"/>
      <w:color w:val="auto"/>
    </w:rPr>
  </w:style>
  <w:style w:type="character" w:customStyle="1" w:styleId="419">
    <w:name w:val="正文首行缩进 Char"/>
    <w:link w:val="418"/>
    <w:qFormat/>
    <w:locked/>
    <w:uiPriority w:val="0"/>
    <w:rPr>
      <w:rFonts w:cs="Times New Roman"/>
    </w:rPr>
  </w:style>
  <w:style w:type="character" w:customStyle="1" w:styleId="420">
    <w:name w:val="正文文本缩进 Char"/>
    <w:qFormat/>
    <w:locked/>
    <w:uiPriority w:val="0"/>
    <w:rPr>
      <w:rFonts w:cs="Times New Roman"/>
      <w:sz w:val="24"/>
      <w:szCs w:val="24"/>
    </w:rPr>
  </w:style>
  <w:style w:type="character" w:customStyle="1" w:styleId="421">
    <w:name w:val="正文文本 2 Char1"/>
    <w:basedOn w:val="130"/>
    <w:semiHidden/>
    <w:qFormat/>
    <w:uiPriority w:val="99"/>
  </w:style>
  <w:style w:type="character" w:customStyle="1" w:styleId="422">
    <w:name w:val="日期 Char"/>
    <w:semiHidden/>
    <w:qFormat/>
    <w:locked/>
    <w:uiPriority w:val="0"/>
    <w:rPr>
      <w:rFonts w:cs="Times New Roman"/>
      <w:sz w:val="24"/>
      <w:szCs w:val="24"/>
    </w:rPr>
  </w:style>
  <w:style w:type="character" w:customStyle="1" w:styleId="423">
    <w:name w:val="正文文本 Char1"/>
    <w:basedOn w:val="130"/>
    <w:qFormat/>
    <w:uiPriority w:val="99"/>
    <w:rPr>
      <w:rFonts w:ascii="Times New Roman" w:hAnsi="Times New Roman" w:cs="Times New Roman"/>
    </w:rPr>
  </w:style>
  <w:style w:type="character" w:customStyle="1" w:styleId="424">
    <w:name w:val="标题 3 Char"/>
    <w:basedOn w:val="130"/>
    <w:qFormat/>
    <w:uiPriority w:val="9"/>
    <w:rPr>
      <w:rFonts w:ascii="Times New Roman" w:hAnsi="Times New Roman" w:cs="Times New Roman"/>
      <w:b/>
      <w:bCs/>
      <w:sz w:val="32"/>
      <w:szCs w:val="32"/>
    </w:rPr>
  </w:style>
  <w:style w:type="character" w:customStyle="1" w:styleId="425">
    <w:name w:val="批注主题 Char1"/>
    <w:basedOn w:val="426"/>
    <w:semiHidden/>
    <w:qFormat/>
    <w:uiPriority w:val="99"/>
    <w:rPr>
      <w:b/>
      <w:bCs/>
    </w:rPr>
  </w:style>
  <w:style w:type="character" w:customStyle="1" w:styleId="426">
    <w:name w:val="批注文字 Char1"/>
    <w:basedOn w:val="130"/>
    <w:semiHidden/>
    <w:qFormat/>
    <w:uiPriority w:val="99"/>
  </w:style>
  <w:style w:type="character" w:customStyle="1" w:styleId="427">
    <w:name w:val="正文文本缩进 Char1"/>
    <w:basedOn w:val="130"/>
    <w:semiHidden/>
    <w:qFormat/>
    <w:uiPriority w:val="99"/>
  </w:style>
  <w:style w:type="character" w:customStyle="1" w:styleId="428">
    <w:name w:val="正文文本缩进 2 Char"/>
    <w:qFormat/>
    <w:locked/>
    <w:uiPriority w:val="0"/>
    <w:rPr>
      <w:rFonts w:cs="Times New Roman"/>
      <w:sz w:val="24"/>
      <w:szCs w:val="24"/>
    </w:rPr>
  </w:style>
  <w:style w:type="character" w:customStyle="1" w:styleId="429">
    <w:name w:val="日期 Char1"/>
    <w:basedOn w:val="130"/>
    <w:semiHidden/>
    <w:qFormat/>
    <w:uiPriority w:val="99"/>
  </w:style>
  <w:style w:type="character" w:customStyle="1" w:styleId="430">
    <w:name w:val="纯文本 Char2"/>
    <w:basedOn w:val="130"/>
    <w:qFormat/>
    <w:uiPriority w:val="0"/>
    <w:rPr>
      <w:rFonts w:ascii="宋体" w:hAnsi="Courier New" w:cs="Courier New"/>
      <w:sz w:val="21"/>
      <w:szCs w:val="21"/>
    </w:rPr>
  </w:style>
  <w:style w:type="character" w:customStyle="1" w:styleId="431">
    <w:name w:val="正文文本缩进 2 Char1"/>
    <w:basedOn w:val="130"/>
    <w:semiHidden/>
    <w:qFormat/>
    <w:uiPriority w:val="99"/>
  </w:style>
  <w:style w:type="character" w:customStyle="1" w:styleId="432">
    <w:name w:val="正文缩进 Char"/>
    <w:qFormat/>
    <w:locked/>
    <w:uiPriority w:val="0"/>
    <w:rPr>
      <w:rFonts w:cs="Times New Roman"/>
      <w:kern w:val="2"/>
      <w:sz w:val="24"/>
      <w:szCs w:val="24"/>
    </w:rPr>
  </w:style>
  <w:style w:type="character" w:customStyle="1" w:styleId="433">
    <w:name w:val="正文首行缩进 Char1"/>
    <w:basedOn w:val="423"/>
    <w:qFormat/>
    <w:uiPriority w:val="0"/>
    <w:rPr>
      <w:rFonts w:ascii="Times New Roman" w:hAnsi="Times New Roman" w:cs="Times New Roman"/>
    </w:rPr>
  </w:style>
  <w:style w:type="character" w:customStyle="1" w:styleId="434">
    <w:name w:val="Plain Text Char"/>
    <w:qFormat/>
    <w:locked/>
    <w:uiPriority w:val="0"/>
    <w:rPr>
      <w:rFonts w:ascii="宋体" w:hAnsi="Courier New" w:eastAsia="宋体"/>
      <w:kern w:val="2"/>
      <w:sz w:val="21"/>
      <w:lang w:val="en-US" w:eastAsia="zh-CN"/>
    </w:rPr>
  </w:style>
  <w:style w:type="character" w:customStyle="1" w:styleId="435">
    <w:name w:val="标题 9 Char"/>
    <w:basedOn w:val="130"/>
    <w:qFormat/>
    <w:uiPriority w:val="0"/>
    <w:rPr>
      <w:rFonts w:ascii="Cambria" w:hAnsi="Cambria" w:cs="Times New Roman"/>
      <w:sz w:val="21"/>
      <w:szCs w:val="21"/>
    </w:rPr>
  </w:style>
  <w:style w:type="character" w:customStyle="1" w:styleId="436">
    <w:name w:val="Comment Text Char"/>
    <w:qFormat/>
    <w:locked/>
    <w:uiPriority w:val="99"/>
    <w:rPr>
      <w:rFonts w:eastAsia="宋体"/>
      <w:kern w:val="2"/>
      <w:sz w:val="24"/>
      <w:lang w:val="en-US" w:eastAsia="zh-CN"/>
    </w:rPr>
  </w:style>
  <w:style w:type="character" w:customStyle="1" w:styleId="437">
    <w:name w:val="正文文本 Char"/>
    <w:semiHidden/>
    <w:qFormat/>
    <w:locked/>
    <w:uiPriority w:val="99"/>
    <w:rPr>
      <w:rFonts w:cs="Times New Roman"/>
      <w:sz w:val="24"/>
      <w:szCs w:val="24"/>
    </w:rPr>
  </w:style>
  <w:style w:type="character" w:customStyle="1" w:styleId="438">
    <w:name w:val="日期 Char2"/>
    <w:qFormat/>
    <w:locked/>
    <w:uiPriority w:val="0"/>
    <w:rPr>
      <w:rFonts w:cs="Times New Roman"/>
      <w:sz w:val="24"/>
      <w:szCs w:val="24"/>
    </w:rPr>
  </w:style>
  <w:style w:type="character" w:customStyle="1" w:styleId="439">
    <w:name w:val="标题 2 Char"/>
    <w:basedOn w:val="130"/>
    <w:semiHidden/>
    <w:qFormat/>
    <w:uiPriority w:val="0"/>
    <w:rPr>
      <w:rFonts w:ascii="Cambria" w:hAnsi="Cambria" w:eastAsia="宋体" w:cs="Times New Roman"/>
      <w:b/>
      <w:bCs/>
      <w:sz w:val="32"/>
      <w:szCs w:val="32"/>
    </w:rPr>
  </w:style>
  <w:style w:type="character" w:customStyle="1" w:styleId="440">
    <w:name w:val="纯文本 Char3"/>
    <w:qFormat/>
    <w:locked/>
    <w:uiPriority w:val="0"/>
    <w:rPr>
      <w:rFonts w:ascii="宋体" w:hAnsi="Courier New" w:cs="Courier New"/>
      <w:sz w:val="21"/>
      <w:szCs w:val="21"/>
    </w:rPr>
  </w:style>
  <w:style w:type="character" w:customStyle="1" w:styleId="441">
    <w:name w:val="Footer Char"/>
    <w:qFormat/>
    <w:locked/>
    <w:uiPriority w:val="99"/>
    <w:rPr>
      <w:rFonts w:eastAsia="长城仿宋"/>
      <w:sz w:val="18"/>
    </w:rPr>
  </w:style>
  <w:style w:type="character" w:customStyle="1" w:styleId="442">
    <w:name w:val="正文文本 2 Char"/>
    <w:qFormat/>
    <w:locked/>
    <w:uiPriority w:val="0"/>
    <w:rPr>
      <w:rFonts w:cs="Times New Roman"/>
      <w:sz w:val="24"/>
      <w:szCs w:val="24"/>
    </w:rPr>
  </w:style>
  <w:style w:type="paragraph" w:customStyle="1" w:styleId="443">
    <w:name w:val="表头"/>
    <w:basedOn w:val="1"/>
    <w:link w:val="444"/>
    <w:qFormat/>
    <w:uiPriority w:val="0"/>
    <w:pPr>
      <w:spacing w:after="0" w:line="360" w:lineRule="auto"/>
      <w:jc w:val="center"/>
    </w:pPr>
    <w:rPr>
      <w:rFonts w:ascii="黑体" w:hAnsi="Times New Roman" w:eastAsia="黑体" w:cs="Times New Roman"/>
      <w:color w:val="auto"/>
      <w:kern w:val="0"/>
      <w:sz w:val="24"/>
      <w:szCs w:val="20"/>
    </w:rPr>
  </w:style>
  <w:style w:type="character" w:customStyle="1" w:styleId="444">
    <w:name w:val="表头 Char"/>
    <w:link w:val="443"/>
    <w:qFormat/>
    <w:uiPriority w:val="0"/>
    <w:rPr>
      <w:rFonts w:ascii="黑体" w:hAnsi="Times New Roman" w:eastAsia="黑体" w:cs="Times New Roman"/>
      <w:kern w:val="0"/>
      <w:sz w:val="24"/>
      <w:szCs w:val="20"/>
    </w:rPr>
  </w:style>
  <w:style w:type="paragraph" w:customStyle="1" w:styleId="445">
    <w:name w:val="普通 (Web)"/>
    <w:basedOn w:val="1"/>
    <w:qFormat/>
    <w:uiPriority w:val="99"/>
    <w:pPr>
      <w:spacing w:before="100" w:after="100" w:line="240" w:lineRule="auto"/>
    </w:pPr>
    <w:rPr>
      <w:rFonts w:ascii="Arial Unicode MS" w:hAnsi="Arial Unicode MS" w:cs="Times New Roman"/>
      <w:color w:val="auto"/>
      <w:kern w:val="0"/>
      <w:sz w:val="24"/>
      <w:szCs w:val="20"/>
    </w:rPr>
  </w:style>
  <w:style w:type="paragraph" w:customStyle="1" w:styleId="446">
    <w:name w:val="Table Paragraph"/>
    <w:basedOn w:val="1"/>
    <w:qFormat/>
    <w:uiPriority w:val="0"/>
    <w:pPr>
      <w:widowControl w:val="0"/>
      <w:autoSpaceDE w:val="0"/>
      <w:autoSpaceDN w:val="0"/>
      <w:adjustRightInd w:val="0"/>
      <w:spacing w:after="0" w:line="240" w:lineRule="auto"/>
    </w:pPr>
    <w:rPr>
      <w:rFonts w:ascii="Times New Roman" w:hAnsi="Times New Roman" w:cs="Times New Roman"/>
      <w:color w:val="auto"/>
      <w:kern w:val="0"/>
      <w:sz w:val="24"/>
      <w:szCs w:val="24"/>
    </w:rPr>
  </w:style>
  <w:style w:type="paragraph" w:customStyle="1" w:styleId="447">
    <w:name w:val="文二"/>
    <w:basedOn w:val="1"/>
    <w:qFormat/>
    <w:uiPriority w:val="0"/>
    <w:pPr>
      <w:spacing w:after="0" w:line="240" w:lineRule="auto"/>
    </w:pPr>
    <w:rPr>
      <w:rFonts w:ascii="宋体" w:hAnsi="宋体" w:cs="Times New Roman"/>
      <w:color w:val="auto"/>
      <w:szCs w:val="21"/>
    </w:rPr>
  </w:style>
  <w:style w:type="paragraph" w:customStyle="1" w:styleId="448">
    <w:name w:val="文一"/>
    <w:basedOn w:val="1"/>
    <w:qFormat/>
    <w:uiPriority w:val="0"/>
    <w:pPr>
      <w:topLinePunct/>
      <w:adjustRightInd w:val="0"/>
      <w:snapToGrid w:val="0"/>
      <w:spacing w:after="0" w:line="360" w:lineRule="auto"/>
      <w:ind w:firstLine="200" w:firstLineChars="200"/>
    </w:pPr>
    <w:rPr>
      <w:rFonts w:ascii="Times New Roman" w:hAnsi="Times New Roman" w:cs="Times New Roman"/>
      <w:color w:val="auto"/>
      <w:spacing w:val="4"/>
      <w:kern w:val="0"/>
      <w:sz w:val="24"/>
      <w:szCs w:val="24"/>
    </w:rPr>
  </w:style>
  <w:style w:type="character" w:customStyle="1" w:styleId="449">
    <w:name w:val="批注框文本 Char1"/>
    <w:basedOn w:val="130"/>
    <w:qFormat/>
    <w:uiPriority w:val="0"/>
    <w:rPr>
      <w:kern w:val="2"/>
      <w:sz w:val="18"/>
      <w:szCs w:val="18"/>
    </w:rPr>
  </w:style>
  <w:style w:type="character" w:customStyle="1" w:styleId="450">
    <w:name w:val="正文文本缩进 Char2"/>
    <w:basedOn w:val="130"/>
    <w:qFormat/>
    <w:uiPriority w:val="0"/>
    <w:rPr>
      <w:kern w:val="2"/>
      <w:sz w:val="21"/>
      <w:szCs w:val="24"/>
    </w:rPr>
  </w:style>
  <w:style w:type="character" w:customStyle="1" w:styleId="451">
    <w:name w:val="apple-converted-space"/>
    <w:qFormat/>
    <w:uiPriority w:val="0"/>
  </w:style>
  <w:style w:type="character" w:customStyle="1" w:styleId="452">
    <w:name w:val="书籍标题1"/>
    <w:qFormat/>
    <w:uiPriority w:val="0"/>
    <w:rPr>
      <w:rFonts w:ascii="Cambria" w:hAnsi="Cambria" w:eastAsia="宋体"/>
      <w:b/>
      <w:i/>
      <w:sz w:val="24"/>
      <w:szCs w:val="24"/>
    </w:rPr>
  </w:style>
  <w:style w:type="character" w:customStyle="1" w:styleId="453">
    <w:name w:val="Char Char10"/>
    <w:qFormat/>
    <w:uiPriority w:val="0"/>
    <w:rPr>
      <w:rFonts w:ascii="Calibri" w:hAnsi="Calibri" w:eastAsia="宋体"/>
      <w:b/>
      <w:bCs/>
      <w:sz w:val="28"/>
      <w:szCs w:val="28"/>
      <w:lang w:val="en-US" w:eastAsia="en-US" w:bidi="en-US"/>
    </w:rPr>
  </w:style>
  <w:style w:type="character" w:customStyle="1" w:styleId="454">
    <w:name w:val="op-map-singlepoint-info-right1"/>
    <w:basedOn w:val="130"/>
    <w:qFormat/>
    <w:uiPriority w:val="0"/>
  </w:style>
  <w:style w:type="character" w:customStyle="1" w:styleId="455">
    <w:name w:val="标题 4 Char"/>
    <w:basedOn w:val="130"/>
    <w:qFormat/>
    <w:uiPriority w:val="0"/>
    <w:rPr>
      <w:rFonts w:ascii="Cambria" w:hAnsi="Cambria" w:eastAsia="宋体" w:cs="Times New Roman"/>
      <w:b/>
      <w:bCs/>
      <w:snapToGrid w:val="0"/>
      <w:sz w:val="28"/>
      <w:szCs w:val="28"/>
    </w:rPr>
  </w:style>
  <w:style w:type="character" w:customStyle="1" w:styleId="456">
    <w:name w:val="注释标题 Char"/>
    <w:basedOn w:val="130"/>
    <w:qFormat/>
    <w:uiPriority w:val="0"/>
    <w:rPr>
      <w:snapToGrid w:val="0"/>
      <w:sz w:val="24"/>
    </w:rPr>
  </w:style>
  <w:style w:type="character" w:customStyle="1" w:styleId="457">
    <w:name w:val="电子邮件签名 Char"/>
    <w:basedOn w:val="130"/>
    <w:qFormat/>
    <w:uiPriority w:val="0"/>
    <w:rPr>
      <w:snapToGrid w:val="0"/>
      <w:sz w:val="24"/>
    </w:rPr>
  </w:style>
  <w:style w:type="character" w:customStyle="1" w:styleId="458">
    <w:name w:val="称呼 Char"/>
    <w:basedOn w:val="130"/>
    <w:qFormat/>
    <w:uiPriority w:val="0"/>
    <w:rPr>
      <w:snapToGrid w:val="0"/>
      <w:sz w:val="24"/>
    </w:rPr>
  </w:style>
  <w:style w:type="character" w:customStyle="1" w:styleId="459">
    <w:name w:val="正文文本 3 Char"/>
    <w:basedOn w:val="130"/>
    <w:qFormat/>
    <w:uiPriority w:val="0"/>
    <w:rPr>
      <w:snapToGrid w:val="0"/>
      <w:sz w:val="16"/>
      <w:szCs w:val="16"/>
    </w:rPr>
  </w:style>
  <w:style w:type="character" w:customStyle="1" w:styleId="460">
    <w:name w:val="结束语 Char"/>
    <w:basedOn w:val="130"/>
    <w:qFormat/>
    <w:uiPriority w:val="0"/>
    <w:rPr>
      <w:snapToGrid w:val="0"/>
      <w:sz w:val="24"/>
    </w:rPr>
  </w:style>
  <w:style w:type="character" w:customStyle="1" w:styleId="461">
    <w:name w:val="HTML 预设格式 Char"/>
    <w:basedOn w:val="130"/>
    <w:qFormat/>
    <w:uiPriority w:val="0"/>
    <w:rPr>
      <w:rFonts w:ascii="Courier New" w:hAnsi="Courier New" w:cs="Courier New"/>
      <w:snapToGrid w:val="0"/>
    </w:rPr>
  </w:style>
  <w:style w:type="character" w:customStyle="1" w:styleId="462">
    <w:name w:val="HTML 地址 Char"/>
    <w:basedOn w:val="130"/>
    <w:qFormat/>
    <w:uiPriority w:val="0"/>
    <w:rPr>
      <w:i/>
      <w:iCs/>
      <w:snapToGrid w:val="0"/>
      <w:sz w:val="24"/>
    </w:rPr>
  </w:style>
  <w:style w:type="character" w:customStyle="1" w:styleId="463">
    <w:name w:val="正文首行缩进 2 Char"/>
    <w:basedOn w:val="166"/>
    <w:qFormat/>
    <w:uiPriority w:val="0"/>
    <w:rPr>
      <w:rFonts w:ascii="宋体" w:hAnsi="宋体" w:eastAsia="宋体" w:cs="Times New Roman"/>
      <w:snapToGrid w:val="0"/>
      <w:kern w:val="2"/>
      <w:sz w:val="28"/>
      <w:szCs w:val="20"/>
    </w:rPr>
  </w:style>
  <w:style w:type="character" w:customStyle="1" w:styleId="464">
    <w:name w:val="签名 Char"/>
    <w:basedOn w:val="130"/>
    <w:qFormat/>
    <w:uiPriority w:val="0"/>
    <w:rPr>
      <w:snapToGrid w:val="0"/>
      <w:sz w:val="24"/>
    </w:rPr>
  </w:style>
  <w:style w:type="character" w:customStyle="1" w:styleId="465">
    <w:name w:val="副标题 Char"/>
    <w:basedOn w:val="130"/>
    <w:qFormat/>
    <w:uiPriority w:val="0"/>
    <w:rPr>
      <w:rFonts w:ascii="Cambria" w:hAnsi="Cambria" w:cs="Times New Roman"/>
      <w:b/>
      <w:bCs/>
      <w:snapToGrid w:val="0"/>
      <w:kern w:val="28"/>
      <w:sz w:val="32"/>
      <w:szCs w:val="32"/>
    </w:rPr>
  </w:style>
  <w:style w:type="character" w:customStyle="1" w:styleId="466">
    <w:name w:val="正文文本缩进 3 Char"/>
    <w:basedOn w:val="130"/>
    <w:qFormat/>
    <w:uiPriority w:val="0"/>
    <w:rPr>
      <w:snapToGrid w:val="0"/>
      <w:sz w:val="16"/>
      <w:szCs w:val="16"/>
    </w:rPr>
  </w:style>
  <w:style w:type="character" w:customStyle="1" w:styleId="467">
    <w:name w:val="信息标题 Char"/>
    <w:basedOn w:val="130"/>
    <w:qFormat/>
    <w:uiPriority w:val="0"/>
    <w:rPr>
      <w:rFonts w:ascii="Cambria" w:hAnsi="Cambria" w:eastAsia="宋体" w:cs="Times New Roman"/>
      <w:snapToGrid w:val="0"/>
      <w:sz w:val="24"/>
      <w:szCs w:val="24"/>
      <w:shd w:val="pct20" w:color="auto" w:fill="auto"/>
    </w:rPr>
  </w:style>
  <w:style w:type="character" w:customStyle="1" w:styleId="468">
    <w:name w:val="标题 Char"/>
    <w:basedOn w:val="130"/>
    <w:qFormat/>
    <w:uiPriority w:val="0"/>
    <w:rPr>
      <w:rFonts w:ascii="Cambria" w:hAnsi="Cambria" w:cs="Times New Roman"/>
      <w:b/>
      <w:bCs/>
      <w:snapToGrid w:val="0"/>
      <w:sz w:val="32"/>
      <w:szCs w:val="32"/>
    </w:rPr>
  </w:style>
  <w:style w:type="character" w:customStyle="1" w:styleId="469">
    <w:name w:val="标题 1 字符1"/>
    <w:qFormat/>
    <w:uiPriority w:val="0"/>
    <w:rPr>
      <w:b/>
      <w:bCs/>
      <w:snapToGrid w:val="0"/>
      <w:kern w:val="44"/>
      <w:sz w:val="44"/>
      <w:szCs w:val="44"/>
    </w:rPr>
  </w:style>
  <w:style w:type="character" w:customStyle="1" w:styleId="470">
    <w:name w:val="Char Char8"/>
    <w:qFormat/>
    <w:locked/>
    <w:uiPriority w:val="0"/>
    <w:rPr>
      <w:rFonts w:ascii="宋体" w:hAnsi="宋体" w:eastAsia="宋体"/>
      <w:kern w:val="2"/>
      <w:sz w:val="18"/>
      <w:szCs w:val="18"/>
      <w:lang w:val="en-US" w:eastAsia="zh-CN" w:bidi="ar-SA"/>
    </w:rPr>
  </w:style>
  <w:style w:type="character" w:customStyle="1" w:styleId="471">
    <w:name w:val="表内居两端对齐 Char"/>
    <w:basedOn w:val="472"/>
    <w:link w:val="474"/>
    <w:qFormat/>
    <w:uiPriority w:val="0"/>
    <w:rPr>
      <w:rFonts w:cs="宋体"/>
      <w:sz w:val="18"/>
      <w:szCs w:val="18"/>
    </w:rPr>
  </w:style>
  <w:style w:type="character" w:customStyle="1" w:styleId="472">
    <w:name w:val="表内居中小五 Char"/>
    <w:link w:val="473"/>
    <w:qFormat/>
    <w:uiPriority w:val="0"/>
    <w:rPr>
      <w:rFonts w:cs="宋体"/>
      <w:sz w:val="18"/>
      <w:szCs w:val="18"/>
    </w:rPr>
  </w:style>
  <w:style w:type="paragraph" w:customStyle="1" w:styleId="473">
    <w:name w:val="表内居中小五"/>
    <w:basedOn w:val="1"/>
    <w:link w:val="472"/>
    <w:qFormat/>
    <w:uiPriority w:val="0"/>
    <w:pPr>
      <w:widowControl w:val="0"/>
      <w:spacing w:after="0" w:line="240" w:lineRule="auto"/>
      <w:jc w:val="center"/>
    </w:pPr>
    <w:rPr>
      <w:rFonts w:ascii="等线" w:hAnsi="等线" w:eastAsia="等线" w:cs="宋体"/>
      <w:color w:val="auto"/>
      <w:sz w:val="18"/>
      <w:szCs w:val="18"/>
    </w:rPr>
  </w:style>
  <w:style w:type="paragraph" w:customStyle="1" w:styleId="474">
    <w:name w:val="表内居两端对齐"/>
    <w:basedOn w:val="473"/>
    <w:link w:val="471"/>
    <w:qFormat/>
    <w:uiPriority w:val="0"/>
    <w:pPr>
      <w:jc w:val="both"/>
    </w:pPr>
  </w:style>
  <w:style w:type="character" w:customStyle="1" w:styleId="475">
    <w:name w:val="二级条标题 Char"/>
    <w:link w:val="476"/>
    <w:qFormat/>
    <w:uiPriority w:val="0"/>
    <w:rPr>
      <w:rFonts w:ascii="黑体" w:eastAsia="黑体"/>
      <w:b/>
    </w:rPr>
  </w:style>
  <w:style w:type="paragraph" w:customStyle="1" w:styleId="476">
    <w:name w:val="二级条标题"/>
    <w:basedOn w:val="1"/>
    <w:next w:val="1"/>
    <w:link w:val="475"/>
    <w:qFormat/>
    <w:uiPriority w:val="0"/>
    <w:pPr>
      <w:spacing w:after="0" w:line="240" w:lineRule="auto"/>
      <w:jc w:val="both"/>
      <w:outlineLvl w:val="3"/>
    </w:pPr>
    <w:rPr>
      <w:rFonts w:ascii="黑体" w:hAnsi="等线" w:eastAsia="黑体" w:cs="Times New Roman"/>
      <w:b/>
      <w:color w:val="auto"/>
    </w:rPr>
  </w:style>
  <w:style w:type="character" w:customStyle="1" w:styleId="477">
    <w:name w:val="jl 三级 Char Char"/>
    <w:link w:val="478"/>
    <w:semiHidden/>
    <w:qFormat/>
    <w:uiPriority w:val="0"/>
    <w:rPr>
      <w:rFonts w:ascii="宋体" w:hAnsi="宋体"/>
      <w:b/>
      <w:color w:val="000000"/>
      <w:sz w:val="24"/>
      <w:szCs w:val="24"/>
    </w:rPr>
  </w:style>
  <w:style w:type="paragraph" w:customStyle="1" w:styleId="478">
    <w:name w:val="jl 三级 Char"/>
    <w:basedOn w:val="1"/>
    <w:link w:val="477"/>
    <w:semiHidden/>
    <w:qFormat/>
    <w:uiPriority w:val="0"/>
    <w:pPr>
      <w:widowControl w:val="0"/>
      <w:autoSpaceDE w:val="0"/>
      <w:autoSpaceDN w:val="0"/>
      <w:adjustRightInd w:val="0"/>
      <w:spacing w:beforeLines="50" w:afterLines="50" w:line="240" w:lineRule="auto"/>
      <w:ind w:firstLine="480" w:firstLineChars="200"/>
      <w:textAlignment w:val="baseline"/>
      <w:outlineLvl w:val="2"/>
    </w:pPr>
    <w:rPr>
      <w:rFonts w:ascii="宋体" w:hAnsi="宋体" w:eastAsia="等线" w:cs="Times New Roman"/>
      <w:b/>
      <w:sz w:val="24"/>
      <w:szCs w:val="24"/>
    </w:rPr>
  </w:style>
  <w:style w:type="character" w:customStyle="1" w:styleId="479">
    <w:name w:val="批注文字 Char2"/>
    <w:semiHidden/>
    <w:qFormat/>
    <w:uiPriority w:val="0"/>
  </w:style>
  <w:style w:type="character" w:customStyle="1" w:styleId="480">
    <w:name w:val="articlebody21"/>
    <w:qFormat/>
    <w:uiPriority w:val="0"/>
    <w:rPr>
      <w:rFonts w:hint="default"/>
      <w:sz w:val="21"/>
    </w:rPr>
  </w:style>
  <w:style w:type="character" w:customStyle="1" w:styleId="481">
    <w:name w:val="jl 正文 Char Char Char"/>
    <w:link w:val="482"/>
    <w:semiHidden/>
    <w:qFormat/>
    <w:uiPriority w:val="0"/>
    <w:rPr>
      <w:rFonts w:ascii="宋体"/>
      <w:sz w:val="24"/>
      <w:szCs w:val="24"/>
    </w:rPr>
  </w:style>
  <w:style w:type="paragraph" w:customStyle="1" w:styleId="482">
    <w:name w:val="jl 正文 Char Char"/>
    <w:basedOn w:val="1"/>
    <w:link w:val="481"/>
    <w:semiHidden/>
    <w:qFormat/>
    <w:uiPriority w:val="0"/>
    <w:pPr>
      <w:widowControl w:val="0"/>
      <w:autoSpaceDE w:val="0"/>
      <w:autoSpaceDN w:val="0"/>
      <w:adjustRightInd w:val="0"/>
      <w:spacing w:after="0" w:line="240" w:lineRule="auto"/>
      <w:ind w:firstLine="200" w:firstLineChars="200"/>
      <w:textAlignment w:val="baseline"/>
    </w:pPr>
    <w:rPr>
      <w:rFonts w:ascii="宋体" w:hAnsi="等线" w:eastAsia="等线" w:cs="Times New Roman"/>
      <w:color w:val="auto"/>
      <w:sz w:val="24"/>
      <w:szCs w:val="24"/>
    </w:rPr>
  </w:style>
  <w:style w:type="character" w:customStyle="1" w:styleId="483">
    <w:name w:val="样式 Arial"/>
    <w:qFormat/>
    <w:uiPriority w:val="0"/>
    <w:rPr>
      <w:rFonts w:hint="default" w:ascii="Times New Roman" w:hAnsi="Times New Roman" w:eastAsia="宋体" w:cs="Times New Roman"/>
      <w:sz w:val="21"/>
      <w:szCs w:val="21"/>
    </w:rPr>
  </w:style>
  <w:style w:type="character" w:customStyle="1" w:styleId="484">
    <w:name w:val="正文文本 Char2"/>
    <w:basedOn w:val="130"/>
    <w:qFormat/>
    <w:uiPriority w:val="0"/>
    <w:rPr>
      <w:kern w:val="2"/>
      <w:sz w:val="21"/>
      <w:szCs w:val="24"/>
    </w:rPr>
  </w:style>
  <w:style w:type="character" w:customStyle="1" w:styleId="485">
    <w:name w:val="访问过的超链接1"/>
    <w:qFormat/>
    <w:uiPriority w:val="0"/>
    <w:rPr>
      <w:color w:val="800080"/>
      <w:u w:val="single"/>
    </w:rPr>
  </w:style>
  <w:style w:type="character" w:customStyle="1" w:styleId="486">
    <w:name w:val="Char Char16"/>
    <w:qFormat/>
    <w:uiPriority w:val="0"/>
    <w:rPr>
      <w:rFonts w:ascii="Arial" w:hAnsi="Arial" w:eastAsia="黑体"/>
      <w:b/>
      <w:bCs/>
      <w:kern w:val="2"/>
      <w:sz w:val="32"/>
      <w:szCs w:val="32"/>
      <w:lang w:val="en-US" w:eastAsia="zh-CN" w:bidi="ar-SA"/>
    </w:rPr>
  </w:style>
  <w:style w:type="character" w:customStyle="1" w:styleId="487">
    <w:name w:val="Char Char11"/>
    <w:qFormat/>
    <w:locked/>
    <w:uiPriority w:val="0"/>
    <w:rPr>
      <w:rFonts w:ascii="宋体" w:hAnsi="宋体" w:eastAsia="宋体"/>
      <w:kern w:val="2"/>
      <w:sz w:val="18"/>
      <w:szCs w:val="18"/>
      <w:lang w:val="en-US" w:eastAsia="zh-CN" w:bidi="ar-SA"/>
    </w:rPr>
  </w:style>
  <w:style w:type="character" w:customStyle="1" w:styleId="488">
    <w:name w:val="引用 Char1"/>
    <w:basedOn w:val="130"/>
    <w:link w:val="489"/>
    <w:qFormat/>
    <w:uiPriority w:val="0"/>
    <w:rPr>
      <w:rFonts w:ascii="Calibri" w:hAnsi="Calibri"/>
      <w:i/>
      <w:sz w:val="24"/>
      <w:szCs w:val="24"/>
      <w:lang w:eastAsia="en-US" w:bidi="en-US"/>
    </w:rPr>
  </w:style>
  <w:style w:type="paragraph" w:customStyle="1" w:styleId="489">
    <w:name w:val="引用1"/>
    <w:basedOn w:val="1"/>
    <w:next w:val="1"/>
    <w:link w:val="488"/>
    <w:qFormat/>
    <w:uiPriority w:val="0"/>
    <w:pPr>
      <w:spacing w:after="0" w:line="240" w:lineRule="auto"/>
    </w:pPr>
    <w:rPr>
      <w:rFonts w:eastAsia="等线" w:cs="Times New Roman"/>
      <w:i/>
      <w:color w:val="auto"/>
      <w:sz w:val="24"/>
      <w:szCs w:val="24"/>
      <w:lang w:eastAsia="en-US" w:bidi="en-US"/>
    </w:rPr>
  </w:style>
  <w:style w:type="character" w:customStyle="1" w:styleId="490">
    <w:name w:val="Char Char51"/>
    <w:qFormat/>
    <w:uiPriority w:val="0"/>
    <w:rPr>
      <w:rFonts w:eastAsia="宋体"/>
      <w:b/>
      <w:kern w:val="44"/>
      <w:sz w:val="28"/>
      <w:szCs w:val="22"/>
      <w:lang w:val="en-US" w:eastAsia="zh-CN" w:bidi="ar-SA"/>
    </w:rPr>
  </w:style>
  <w:style w:type="character" w:customStyle="1" w:styleId="491">
    <w:name w:val="不明显参考1"/>
    <w:qFormat/>
    <w:uiPriority w:val="0"/>
    <w:rPr>
      <w:sz w:val="24"/>
      <w:szCs w:val="24"/>
      <w:u w:val="single"/>
    </w:rPr>
  </w:style>
  <w:style w:type="character" w:customStyle="1" w:styleId="492">
    <w:name w:val="图中文字"/>
    <w:qFormat/>
    <w:uiPriority w:val="0"/>
    <w:rPr>
      <w:rFonts w:ascii="Times New Roman" w:eastAsia="宋体"/>
      <w:sz w:val="15"/>
    </w:rPr>
  </w:style>
  <w:style w:type="character" w:customStyle="1" w:styleId="493">
    <w:name w:val="样式6 Char"/>
    <w:link w:val="494"/>
    <w:qFormat/>
    <w:uiPriority w:val="0"/>
    <w:rPr>
      <w:szCs w:val="24"/>
    </w:rPr>
  </w:style>
  <w:style w:type="paragraph" w:customStyle="1" w:styleId="494">
    <w:name w:val="样式6"/>
    <w:basedOn w:val="1"/>
    <w:link w:val="493"/>
    <w:qFormat/>
    <w:uiPriority w:val="0"/>
    <w:pPr>
      <w:widowControl w:val="0"/>
      <w:numPr>
        <w:ilvl w:val="2"/>
        <w:numId w:val="19"/>
      </w:numPr>
      <w:tabs>
        <w:tab w:val="left" w:pos="1571"/>
      </w:tabs>
      <w:spacing w:after="0" w:line="240" w:lineRule="auto"/>
      <w:jc w:val="both"/>
    </w:pPr>
    <w:rPr>
      <w:rFonts w:ascii="等线" w:hAnsi="等线" w:eastAsia="等线" w:cs="Times New Roman"/>
      <w:color w:val="auto"/>
      <w:szCs w:val="24"/>
    </w:rPr>
  </w:style>
  <w:style w:type="character" w:customStyle="1" w:styleId="495">
    <w:name w:val="明显参考1"/>
    <w:qFormat/>
    <w:uiPriority w:val="0"/>
    <w:rPr>
      <w:b/>
      <w:sz w:val="24"/>
      <w:u w:val="single"/>
    </w:rPr>
  </w:style>
  <w:style w:type="character" w:customStyle="1" w:styleId="496">
    <w:name w:val="Char Char7"/>
    <w:qFormat/>
    <w:uiPriority w:val="0"/>
    <w:rPr>
      <w:rFonts w:ascii="宋体" w:hAnsi="宋体" w:eastAsia="宋体" w:cs="宋体"/>
      <w:b/>
      <w:bCs/>
      <w:kern w:val="36"/>
      <w:sz w:val="48"/>
      <w:szCs w:val="48"/>
    </w:rPr>
  </w:style>
  <w:style w:type="character" w:customStyle="1" w:styleId="497">
    <w:name w:val="明显引用 Char"/>
    <w:qFormat/>
    <w:uiPriority w:val="0"/>
    <w:rPr>
      <w:rFonts w:ascii="Calibri" w:hAnsi="Calibri"/>
      <w:b/>
      <w:i/>
      <w:sz w:val="24"/>
      <w:lang w:eastAsia="en-US" w:bidi="en-US"/>
    </w:rPr>
  </w:style>
  <w:style w:type="character" w:customStyle="1" w:styleId="498">
    <w:name w:val="正文 Char"/>
    <w:qFormat/>
    <w:uiPriority w:val="0"/>
    <w:rPr>
      <w:rFonts w:eastAsia="宋体" w:cs="宋体"/>
      <w:kern w:val="2"/>
      <w:sz w:val="21"/>
      <w:lang w:val="en-US" w:eastAsia="zh-CN" w:bidi="ar-SA"/>
    </w:rPr>
  </w:style>
  <w:style w:type="character" w:customStyle="1" w:styleId="499">
    <w:name w:val="明显引用 Char1"/>
    <w:basedOn w:val="130"/>
    <w:link w:val="500"/>
    <w:qFormat/>
    <w:uiPriority w:val="0"/>
    <w:rPr>
      <w:rFonts w:ascii="Calibri" w:hAnsi="Calibri"/>
      <w:b/>
      <w:i/>
      <w:sz w:val="24"/>
      <w:lang w:eastAsia="en-US" w:bidi="en-US"/>
    </w:rPr>
  </w:style>
  <w:style w:type="paragraph" w:customStyle="1" w:styleId="500">
    <w:name w:val="明显引用1"/>
    <w:basedOn w:val="1"/>
    <w:next w:val="1"/>
    <w:link w:val="499"/>
    <w:qFormat/>
    <w:uiPriority w:val="0"/>
    <w:pPr>
      <w:spacing w:after="0" w:line="240" w:lineRule="auto"/>
      <w:ind w:left="720" w:right="720"/>
    </w:pPr>
    <w:rPr>
      <w:rFonts w:eastAsia="等线" w:cs="Times New Roman"/>
      <w:b/>
      <w:i/>
      <w:color w:val="auto"/>
      <w:sz w:val="24"/>
      <w:lang w:eastAsia="en-US" w:bidi="en-US"/>
    </w:rPr>
  </w:style>
  <w:style w:type="character" w:customStyle="1" w:styleId="501">
    <w:name w:val="样式 标题 3 + 宋体 Char"/>
    <w:link w:val="502"/>
    <w:qFormat/>
    <w:uiPriority w:val="0"/>
    <w:rPr>
      <w:rFonts w:ascii="宋体" w:hAnsi="宋体"/>
      <w:szCs w:val="21"/>
    </w:rPr>
  </w:style>
  <w:style w:type="paragraph" w:customStyle="1" w:styleId="502">
    <w:name w:val="样式 标题 3 + 宋体"/>
    <w:basedOn w:val="4"/>
    <w:link w:val="501"/>
    <w:qFormat/>
    <w:uiPriority w:val="0"/>
    <w:pPr>
      <w:keepNext w:val="0"/>
      <w:keepLines w:val="0"/>
      <w:widowControl w:val="0"/>
      <w:tabs>
        <w:tab w:val="left" w:pos="1560"/>
      </w:tabs>
      <w:snapToGrid w:val="0"/>
      <w:spacing w:after="0" w:line="360" w:lineRule="auto"/>
      <w:ind w:left="360" w:right="0" w:firstLine="0"/>
      <w:jc w:val="both"/>
    </w:pPr>
    <w:rPr>
      <w:rFonts w:ascii="宋体" w:hAnsi="宋体" w:eastAsia="等线" w:cs="Times New Roman"/>
      <w:color w:val="auto"/>
      <w:sz w:val="21"/>
      <w:szCs w:val="21"/>
    </w:rPr>
  </w:style>
  <w:style w:type="character" w:customStyle="1" w:styleId="503">
    <w:name w:val="正文格式 Char"/>
    <w:link w:val="504"/>
    <w:qFormat/>
    <w:uiPriority w:val="0"/>
    <w:rPr>
      <w:rFonts w:ascii="宋体" w:hAnsi="宋体"/>
      <w:bCs/>
      <w:szCs w:val="21"/>
    </w:rPr>
  </w:style>
  <w:style w:type="paragraph" w:customStyle="1" w:styleId="504">
    <w:name w:val="正文格式"/>
    <w:basedOn w:val="1"/>
    <w:link w:val="503"/>
    <w:qFormat/>
    <w:uiPriority w:val="0"/>
    <w:pPr>
      <w:widowControl w:val="0"/>
      <w:topLinePunct/>
      <w:spacing w:after="0" w:line="240" w:lineRule="auto"/>
      <w:ind w:firstLine="420" w:firstLineChars="200"/>
      <w:jc w:val="both"/>
    </w:pPr>
    <w:rPr>
      <w:rFonts w:ascii="宋体" w:hAnsi="宋体" w:eastAsia="等线" w:cs="Times New Roman"/>
      <w:bCs/>
      <w:color w:val="auto"/>
      <w:szCs w:val="21"/>
    </w:rPr>
  </w:style>
  <w:style w:type="character" w:customStyle="1" w:styleId="505">
    <w:name w:val="一级条标题 Char"/>
    <w:link w:val="506"/>
    <w:qFormat/>
    <w:uiPriority w:val="0"/>
    <w:rPr>
      <w:rFonts w:ascii="黑体" w:eastAsia="黑体"/>
      <w:b/>
    </w:rPr>
  </w:style>
  <w:style w:type="paragraph" w:customStyle="1" w:styleId="506">
    <w:name w:val="一级条标题"/>
    <w:basedOn w:val="3"/>
    <w:next w:val="507"/>
    <w:link w:val="505"/>
    <w:qFormat/>
    <w:uiPriority w:val="0"/>
    <w:pPr>
      <w:keepNext w:val="0"/>
      <w:keepLines w:val="0"/>
      <w:tabs>
        <w:tab w:val="left" w:pos="525"/>
        <w:tab w:val="left" w:pos="780"/>
      </w:tabs>
      <w:spacing w:after="0" w:line="240" w:lineRule="auto"/>
      <w:ind w:left="780" w:right="0" w:hanging="360"/>
      <w:jc w:val="both"/>
      <w:outlineLvl w:val="2"/>
    </w:pPr>
    <w:rPr>
      <w:rFonts w:hAnsi="等线" w:eastAsia="黑体" w:cs="Times New Roman"/>
      <w:b/>
      <w:color w:val="auto"/>
      <w:sz w:val="21"/>
    </w:rPr>
  </w:style>
  <w:style w:type="paragraph" w:customStyle="1" w:styleId="507">
    <w:name w:val="段"/>
    <w:qFormat/>
    <w:uiPriority w:val="0"/>
    <w:pPr>
      <w:ind w:firstLine="200" w:firstLineChars="200"/>
      <w:jc w:val="both"/>
    </w:pPr>
    <w:rPr>
      <w:rFonts w:ascii="宋体" w:hAnsi="Times New Roman" w:eastAsia="宋体" w:cs="Times New Roman"/>
      <w:sz w:val="21"/>
      <w:lang w:val="en-US" w:eastAsia="zh-CN" w:bidi="ar-SA"/>
    </w:rPr>
  </w:style>
  <w:style w:type="character" w:customStyle="1" w:styleId="508">
    <w:name w:val="明显强调1"/>
    <w:qFormat/>
    <w:uiPriority w:val="0"/>
    <w:rPr>
      <w:b/>
      <w:i/>
      <w:sz w:val="24"/>
      <w:szCs w:val="24"/>
      <w:u w:val="single"/>
    </w:rPr>
  </w:style>
  <w:style w:type="character" w:customStyle="1" w:styleId="509">
    <w:name w:val="Char Char21"/>
    <w:qFormat/>
    <w:uiPriority w:val="0"/>
    <w:rPr>
      <w:rFonts w:eastAsia="汉仪大宋简"/>
      <w:kern w:val="44"/>
      <w:sz w:val="22"/>
      <w:szCs w:val="22"/>
      <w:lang w:val="en-US" w:eastAsia="zh-CN" w:bidi="ar-SA"/>
    </w:rPr>
  </w:style>
  <w:style w:type="character" w:customStyle="1" w:styleId="510">
    <w:name w:val="Char Char6"/>
    <w:semiHidden/>
    <w:qFormat/>
    <w:uiPriority w:val="0"/>
    <w:rPr>
      <w:rFonts w:ascii="Cambria" w:hAnsi="Cambria" w:eastAsia="宋体" w:cs="Times New Roman"/>
      <w:b/>
      <w:bCs/>
      <w:kern w:val="2"/>
      <w:sz w:val="32"/>
      <w:szCs w:val="32"/>
    </w:rPr>
  </w:style>
  <w:style w:type="character" w:customStyle="1" w:styleId="511">
    <w:name w:val="首行缩进 Char"/>
    <w:link w:val="512"/>
    <w:qFormat/>
    <w:uiPriority w:val="0"/>
    <w:rPr>
      <w:rFonts w:eastAsia="方正书宋简体" w:cs="宋体"/>
    </w:rPr>
  </w:style>
  <w:style w:type="paragraph" w:customStyle="1" w:styleId="512">
    <w:name w:val="首行缩进"/>
    <w:basedOn w:val="1"/>
    <w:link w:val="511"/>
    <w:qFormat/>
    <w:uiPriority w:val="0"/>
    <w:pPr>
      <w:widowControl w:val="0"/>
      <w:spacing w:after="0" w:line="300" w:lineRule="auto"/>
      <w:ind w:firstLine="420" w:firstLineChars="200"/>
      <w:jc w:val="both"/>
    </w:pPr>
    <w:rPr>
      <w:rFonts w:ascii="等线" w:hAnsi="等线" w:eastAsia="方正书宋简体" w:cs="宋体"/>
      <w:color w:val="auto"/>
    </w:rPr>
  </w:style>
  <w:style w:type="character" w:customStyle="1" w:styleId="513">
    <w:name w:val="Char Char5"/>
    <w:semiHidden/>
    <w:qFormat/>
    <w:uiPriority w:val="0"/>
    <w:rPr>
      <w:b/>
      <w:bCs/>
      <w:kern w:val="2"/>
      <w:sz w:val="32"/>
      <w:szCs w:val="32"/>
    </w:rPr>
  </w:style>
  <w:style w:type="character" w:customStyle="1" w:styleId="514">
    <w:name w:val="引用 Char"/>
    <w:qFormat/>
    <w:uiPriority w:val="0"/>
    <w:rPr>
      <w:rFonts w:ascii="Calibri" w:hAnsi="Calibri"/>
      <w:i/>
      <w:sz w:val="24"/>
      <w:szCs w:val="24"/>
      <w:lang w:eastAsia="en-US" w:bidi="en-US"/>
    </w:rPr>
  </w:style>
  <w:style w:type="character" w:customStyle="1" w:styleId="515">
    <w:name w:val="Char Char3"/>
    <w:semiHidden/>
    <w:qFormat/>
    <w:uiPriority w:val="0"/>
    <w:rPr>
      <w:kern w:val="2"/>
      <w:sz w:val="18"/>
      <w:szCs w:val="18"/>
    </w:rPr>
  </w:style>
  <w:style w:type="character" w:customStyle="1" w:styleId="516">
    <w:name w:val="样式 标题 4 + (符号) 宋体 Char"/>
    <w:link w:val="517"/>
    <w:qFormat/>
    <w:uiPriority w:val="0"/>
    <w:rPr>
      <w:rFonts w:ascii="宋体" w:hAnsi="Arial"/>
      <w:b/>
      <w:bCs/>
      <w:szCs w:val="21"/>
    </w:rPr>
  </w:style>
  <w:style w:type="paragraph" w:customStyle="1" w:styleId="517">
    <w:name w:val="样式 标题 4 + (符号) 宋体"/>
    <w:basedOn w:val="5"/>
    <w:link w:val="516"/>
    <w:qFormat/>
    <w:uiPriority w:val="0"/>
    <w:pPr>
      <w:keepNext w:val="0"/>
      <w:keepLines w:val="0"/>
      <w:widowControl w:val="0"/>
      <w:tabs>
        <w:tab w:val="left" w:pos="2976"/>
      </w:tabs>
      <w:adjustRightInd w:val="0"/>
      <w:snapToGrid w:val="0"/>
      <w:spacing w:after="0" w:line="360" w:lineRule="auto"/>
      <w:ind w:left="2551" w:right="0" w:firstLine="0"/>
      <w:jc w:val="both"/>
    </w:pPr>
    <w:rPr>
      <w:rFonts w:ascii="宋体" w:hAnsi="Arial" w:eastAsia="等线" w:cs="Times New Roman"/>
      <w:b/>
      <w:bCs/>
      <w:color w:val="auto"/>
      <w:sz w:val="21"/>
      <w:szCs w:val="21"/>
    </w:rPr>
  </w:style>
  <w:style w:type="character" w:customStyle="1" w:styleId="518">
    <w:name w:val="不明显强调1"/>
    <w:qFormat/>
    <w:uiPriority w:val="0"/>
    <w:rPr>
      <w:i/>
      <w:color w:val="5A5A5A"/>
    </w:rPr>
  </w:style>
  <w:style w:type="character" w:customStyle="1" w:styleId="519">
    <w:name w:val="Char Char41"/>
    <w:qFormat/>
    <w:uiPriority w:val="0"/>
    <w:rPr>
      <w:rFonts w:eastAsia="汉仪大宋简"/>
      <w:kern w:val="44"/>
      <w:sz w:val="22"/>
      <w:szCs w:val="22"/>
      <w:lang w:val="en-US" w:eastAsia="zh-CN" w:bidi="ar-SA"/>
    </w:rPr>
  </w:style>
  <w:style w:type="character" w:customStyle="1" w:styleId="520">
    <w:name w:val="页脚 Char1"/>
    <w:qFormat/>
    <w:uiPriority w:val="99"/>
    <w:rPr>
      <w:rFonts w:ascii="Calibri" w:hAnsi="Calibri" w:eastAsia="宋体" w:cs="Times New Roman"/>
      <w:sz w:val="18"/>
      <w:szCs w:val="18"/>
    </w:rPr>
  </w:style>
  <w:style w:type="character" w:customStyle="1" w:styleId="521">
    <w:name w:val="Char Char2"/>
    <w:qFormat/>
    <w:uiPriority w:val="0"/>
    <w:rPr>
      <w:kern w:val="2"/>
      <w:sz w:val="18"/>
      <w:szCs w:val="18"/>
    </w:rPr>
  </w:style>
  <w:style w:type="character" w:customStyle="1" w:styleId="522">
    <w:name w:val="批注主题 Char3"/>
    <w:basedOn w:val="161"/>
    <w:qFormat/>
    <w:uiPriority w:val="0"/>
    <w:rPr>
      <w:rFonts w:ascii="Times New Roman" w:hAnsi="Times New Roman" w:eastAsia="宋体" w:cs="Times New Roman"/>
      <w:b/>
      <w:bCs/>
      <w:snapToGrid w:val="0"/>
      <w:kern w:val="0"/>
      <w:sz w:val="24"/>
      <w:szCs w:val="20"/>
    </w:rPr>
  </w:style>
  <w:style w:type="paragraph" w:customStyle="1" w:styleId="523">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5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character" w:customStyle="1" w:styleId="525">
    <w:name w:val="签名 字符1"/>
    <w:basedOn w:val="130"/>
    <w:semiHidden/>
    <w:qFormat/>
    <w:uiPriority w:val="99"/>
    <w:rPr>
      <w:rFonts w:ascii="Calibri" w:hAnsi="Calibri" w:eastAsia="宋体" w:cs="Calibri"/>
      <w:color w:val="000000"/>
    </w:rPr>
  </w:style>
  <w:style w:type="paragraph" w:customStyle="1" w:styleId="526">
    <w:name w:val="附录章标题"/>
    <w:next w:val="507"/>
    <w:qFormat/>
    <w:uiPriority w:val="0"/>
    <w:pPr>
      <w:tabs>
        <w:tab w:val="left" w:pos="360"/>
        <w:tab w:val="left" w:pos="1620"/>
      </w:tabs>
      <w:wordWrap w:val="0"/>
      <w:overflowPunct w:val="0"/>
      <w:autoSpaceDE w:val="0"/>
      <w:spacing w:beforeLines="50" w:afterLines="50"/>
      <w:ind w:left="1620" w:hanging="360"/>
      <w:jc w:val="both"/>
      <w:textAlignment w:val="baseline"/>
      <w:outlineLvl w:val="1"/>
    </w:pPr>
    <w:rPr>
      <w:rFonts w:ascii="黑体" w:hAnsi="Times New Roman" w:eastAsia="黑体" w:cs="Times New Roman"/>
      <w:kern w:val="21"/>
      <w:sz w:val="21"/>
      <w:lang w:val="en-US" w:eastAsia="zh-CN" w:bidi="ar-SA"/>
    </w:rPr>
  </w:style>
  <w:style w:type="paragraph" w:customStyle="1" w:styleId="527">
    <w:name w:val="样式 标题 1 + 首行缩进:  2 字符 段前: 1 行 段后: 1 行"/>
    <w:basedOn w:val="2"/>
    <w:semiHidden/>
    <w:qFormat/>
    <w:uiPriority w:val="0"/>
    <w:pPr>
      <w:widowControl w:val="0"/>
      <w:tabs>
        <w:tab w:val="left" w:pos="425"/>
      </w:tabs>
      <w:spacing w:beforeLines="100" w:afterLines="100" w:line="360" w:lineRule="auto"/>
      <w:ind w:left="0" w:right="0" w:firstLine="0"/>
      <w:jc w:val="both"/>
    </w:pPr>
    <w:rPr>
      <w:rFonts w:ascii="Times New Roman" w:hAnsi="Times New Roman" w:eastAsia="宋体" w:cs="Times New Roman"/>
      <w:b/>
      <w:color w:val="auto"/>
      <w:kern w:val="44"/>
      <w:sz w:val="28"/>
      <w:szCs w:val="20"/>
    </w:rPr>
  </w:style>
  <w:style w:type="character" w:customStyle="1" w:styleId="528">
    <w:name w:val="副标题 字符1"/>
    <w:basedOn w:val="130"/>
    <w:qFormat/>
    <w:uiPriority w:val="11"/>
    <w:rPr>
      <w:b/>
      <w:bCs/>
      <w:color w:val="000000"/>
      <w:kern w:val="28"/>
      <w:sz w:val="32"/>
      <w:szCs w:val="32"/>
    </w:rPr>
  </w:style>
  <w:style w:type="paragraph" w:customStyle="1" w:styleId="529">
    <w:name w:val="四级条标题"/>
    <w:basedOn w:val="530"/>
    <w:next w:val="507"/>
    <w:qFormat/>
    <w:uiPriority w:val="0"/>
    <w:pPr>
      <w:tabs>
        <w:tab w:val="left" w:pos="945"/>
        <w:tab w:val="left" w:pos="1021"/>
        <w:tab w:val="left" w:pos="1080"/>
        <w:tab w:val="left" w:pos="1155"/>
      </w:tabs>
      <w:outlineLvl w:val="5"/>
    </w:pPr>
  </w:style>
  <w:style w:type="paragraph" w:customStyle="1" w:styleId="530">
    <w:name w:val="三级条标题"/>
    <w:basedOn w:val="476"/>
    <w:next w:val="507"/>
    <w:qFormat/>
    <w:uiPriority w:val="0"/>
    <w:pPr>
      <w:tabs>
        <w:tab w:val="left" w:pos="945"/>
        <w:tab w:val="left" w:pos="1080"/>
      </w:tabs>
      <w:outlineLvl w:val="4"/>
    </w:pPr>
  </w:style>
  <w:style w:type="character" w:customStyle="1" w:styleId="531">
    <w:name w:val="HTML 地址 字符1"/>
    <w:basedOn w:val="130"/>
    <w:semiHidden/>
    <w:qFormat/>
    <w:uiPriority w:val="99"/>
    <w:rPr>
      <w:rFonts w:ascii="Calibri" w:hAnsi="Calibri" w:eastAsia="宋体" w:cs="Calibri"/>
      <w:i/>
      <w:iCs/>
      <w:color w:val="000000"/>
    </w:rPr>
  </w:style>
  <w:style w:type="paragraph" w:customStyle="1" w:styleId="532">
    <w:name w:val="表文"/>
    <w:basedOn w:val="1"/>
    <w:qFormat/>
    <w:uiPriority w:val="0"/>
    <w:pPr>
      <w:widowControl w:val="0"/>
      <w:topLinePunct/>
      <w:spacing w:before="40" w:after="40" w:line="240" w:lineRule="auto"/>
      <w:jc w:val="both"/>
    </w:pPr>
    <w:rPr>
      <w:rFonts w:ascii="Times New Roman" w:hAnsi="Times New Roman" w:cs="Times New Roman"/>
      <w:color w:val="auto"/>
      <w:sz w:val="18"/>
      <w:szCs w:val="18"/>
    </w:rPr>
  </w:style>
  <w:style w:type="paragraph" w:customStyle="1" w:styleId="533">
    <w:name w:val="图形标题"/>
    <w:basedOn w:val="20"/>
    <w:semiHidden/>
    <w:qFormat/>
    <w:uiPriority w:val="0"/>
    <w:pPr>
      <w:jc w:val="center"/>
    </w:pPr>
    <w:rPr>
      <w:rFonts w:ascii="宋体" w:hAnsi="Plotter" w:eastAsia="宋体"/>
    </w:rPr>
  </w:style>
  <w:style w:type="character" w:customStyle="1" w:styleId="534">
    <w:name w:val="电子邮件签名 字符1"/>
    <w:basedOn w:val="130"/>
    <w:semiHidden/>
    <w:qFormat/>
    <w:uiPriority w:val="99"/>
    <w:rPr>
      <w:rFonts w:ascii="Calibri" w:hAnsi="Calibri" w:eastAsia="宋体" w:cs="Calibri"/>
      <w:color w:val="000000"/>
    </w:rPr>
  </w:style>
  <w:style w:type="paragraph" w:customStyle="1" w:styleId="535">
    <w:name w:val="样式 标题 1 + 非加粗"/>
    <w:basedOn w:val="2"/>
    <w:qFormat/>
    <w:uiPriority w:val="0"/>
    <w:pPr>
      <w:widowControl w:val="0"/>
      <w:topLinePunct/>
      <w:spacing w:after="0" w:line="480" w:lineRule="auto"/>
      <w:ind w:left="0" w:right="0" w:firstLine="420"/>
      <w:jc w:val="both"/>
      <w:textAlignment w:val="baseline"/>
    </w:pPr>
    <w:rPr>
      <w:rFonts w:ascii="Times New Roman" w:hAnsi="Times New Roman" w:eastAsia="宋体" w:cs="Times New Roman"/>
      <w:b/>
      <w:color w:val="auto"/>
      <w:kern w:val="44"/>
      <w:sz w:val="28"/>
    </w:rPr>
  </w:style>
  <w:style w:type="paragraph" w:customStyle="1" w:styleId="536">
    <w:name w:val="font0"/>
    <w:basedOn w:val="1"/>
    <w:semiHidden/>
    <w:qFormat/>
    <w:uiPriority w:val="0"/>
    <w:pPr>
      <w:spacing w:before="100" w:beforeAutospacing="1" w:after="100" w:afterAutospacing="1" w:line="240" w:lineRule="auto"/>
    </w:pPr>
    <w:rPr>
      <w:rFonts w:hint="eastAsia" w:ascii="宋体" w:hAnsi="Times New Roman" w:cs="Times New Roman"/>
      <w:color w:val="auto"/>
      <w:kern w:val="0"/>
      <w:sz w:val="24"/>
      <w:szCs w:val="24"/>
    </w:rPr>
  </w:style>
  <w:style w:type="character" w:customStyle="1" w:styleId="537">
    <w:name w:val="称呼 字符1"/>
    <w:basedOn w:val="130"/>
    <w:semiHidden/>
    <w:qFormat/>
    <w:uiPriority w:val="99"/>
    <w:rPr>
      <w:rFonts w:ascii="Calibri" w:hAnsi="Calibri" w:eastAsia="宋体" w:cs="Calibri"/>
      <w:color w:val="000000"/>
    </w:rPr>
  </w:style>
  <w:style w:type="paragraph" w:customStyle="1" w:styleId="538">
    <w:name w:val="样式 标题 5 + 右侧:  1 字符"/>
    <w:basedOn w:val="6"/>
    <w:qFormat/>
    <w:uiPriority w:val="0"/>
    <w:pPr>
      <w:widowControl w:val="0"/>
      <w:adjustRightInd w:val="0"/>
      <w:spacing w:after="0" w:line="360" w:lineRule="auto"/>
      <w:ind w:left="0" w:right="210" w:rightChars="100" w:firstLine="0"/>
      <w:jc w:val="both"/>
      <w:textAlignment w:val="baseline"/>
    </w:pPr>
    <w:rPr>
      <w:rFonts w:ascii="Times New Roman" w:hAnsi="Times New Roman" w:eastAsia="宋体" w:cs="宋体"/>
      <w:color w:val="auto"/>
      <w:kern w:val="0"/>
      <w:sz w:val="21"/>
      <w:szCs w:val="20"/>
    </w:rPr>
  </w:style>
  <w:style w:type="paragraph" w:customStyle="1" w:styleId="539">
    <w:name w:val="附录表标题"/>
    <w:next w:val="507"/>
    <w:qFormat/>
    <w:uiPriority w:val="0"/>
    <w:pPr>
      <w:tabs>
        <w:tab w:val="left" w:pos="1620"/>
      </w:tabs>
      <w:ind w:hanging="360"/>
      <w:jc w:val="center"/>
      <w:textAlignment w:val="baseline"/>
    </w:pPr>
    <w:rPr>
      <w:rFonts w:ascii="黑体" w:hAnsi="Times New Roman" w:eastAsia="黑体" w:cs="Times New Roman"/>
      <w:kern w:val="21"/>
      <w:sz w:val="21"/>
      <w:lang w:val="en-US" w:eastAsia="zh-CN" w:bidi="ar-SA"/>
    </w:rPr>
  </w:style>
  <w:style w:type="character" w:customStyle="1" w:styleId="540">
    <w:name w:val="结束语 字符1"/>
    <w:basedOn w:val="130"/>
    <w:semiHidden/>
    <w:qFormat/>
    <w:uiPriority w:val="99"/>
    <w:rPr>
      <w:rFonts w:ascii="Calibri" w:hAnsi="Calibri" w:eastAsia="宋体" w:cs="Calibri"/>
      <w:color w:val="000000"/>
    </w:rPr>
  </w:style>
  <w:style w:type="paragraph" w:customStyle="1" w:styleId="541">
    <w:name w:val="附录"/>
    <w:basedOn w:val="2"/>
    <w:qFormat/>
    <w:uiPriority w:val="0"/>
    <w:pPr>
      <w:widowControl w:val="0"/>
      <w:topLinePunct/>
      <w:spacing w:after="0" w:line="960" w:lineRule="auto"/>
      <w:ind w:left="0" w:right="0" w:firstLine="420"/>
      <w:textAlignment w:val="baseline"/>
    </w:pPr>
    <w:rPr>
      <w:rFonts w:ascii="Times New Roman" w:hAnsi="Times New Roman" w:cs="Times New Roman"/>
      <w:color w:val="auto"/>
      <w:sz w:val="28"/>
      <w:szCs w:val="28"/>
    </w:rPr>
  </w:style>
  <w:style w:type="paragraph" w:customStyle="1" w:styleId="54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543">
    <w:name w:val="样式 标题 2标题 2 Char + 宋体"/>
    <w:basedOn w:val="3"/>
    <w:qFormat/>
    <w:uiPriority w:val="0"/>
    <w:pPr>
      <w:keepNext w:val="0"/>
      <w:widowControl w:val="0"/>
      <w:tabs>
        <w:tab w:val="left" w:pos="1320"/>
      </w:tabs>
      <w:adjustRightInd w:val="0"/>
      <w:snapToGrid w:val="0"/>
      <w:spacing w:after="0" w:line="360" w:lineRule="auto"/>
      <w:ind w:left="1320" w:right="0" w:hanging="420"/>
      <w:jc w:val="both"/>
    </w:pPr>
    <w:rPr>
      <w:rFonts w:ascii="宋体" w:hAnsi="Times New Roman" w:cs="Times New Roman"/>
      <w:color w:val="auto"/>
      <w:sz w:val="21"/>
      <w:szCs w:val="21"/>
    </w:rPr>
  </w:style>
  <w:style w:type="paragraph" w:customStyle="1" w:styleId="544">
    <w:name w:val="其他发布部门"/>
    <w:basedOn w:val="1"/>
    <w:qFormat/>
    <w:uiPriority w:val="0"/>
    <w:pPr>
      <w:framePr w:w="7433" w:h="585" w:hRule="exact" w:hSpace="180" w:vSpace="180" w:wrap="around" w:vAnchor="margin" w:hAnchor="margin" w:xAlign="center" w:y="14401" w:anchorLock="1"/>
      <w:spacing w:after="0" w:line="0" w:lineRule="atLeast"/>
      <w:jc w:val="center"/>
    </w:pPr>
    <w:rPr>
      <w:rFonts w:ascii="黑体" w:hAnsi="Times New Roman" w:eastAsia="黑体" w:cs="Times New Roman"/>
      <w:color w:val="auto"/>
      <w:spacing w:val="20"/>
      <w:w w:val="135"/>
      <w:kern w:val="0"/>
      <w:sz w:val="36"/>
      <w:szCs w:val="20"/>
    </w:rPr>
  </w:style>
  <w:style w:type="paragraph" w:customStyle="1" w:styleId="545">
    <w:name w:val="标准书眉一"/>
    <w:qFormat/>
    <w:uiPriority w:val="0"/>
    <w:pPr>
      <w:jc w:val="both"/>
    </w:pPr>
    <w:rPr>
      <w:rFonts w:ascii="Times New Roman" w:hAnsi="Times New Roman" w:eastAsia="宋体" w:cs="Times New Roman"/>
      <w:lang w:val="en-US" w:eastAsia="zh-CN" w:bidi="ar-SA"/>
    </w:rPr>
  </w:style>
  <w:style w:type="paragraph" w:customStyle="1" w:styleId="546">
    <w:name w:val="封面正文"/>
    <w:qFormat/>
    <w:uiPriority w:val="0"/>
    <w:pPr>
      <w:numPr>
        <w:ilvl w:val="0"/>
        <w:numId w:val="20"/>
      </w:numPr>
      <w:tabs>
        <w:tab w:val="left" w:pos="1620"/>
      </w:tabs>
      <w:jc w:val="both"/>
    </w:pPr>
    <w:rPr>
      <w:rFonts w:ascii="Times New Roman" w:hAnsi="Times New Roman" w:eastAsia="宋体" w:cs="Times New Roman"/>
      <w:lang w:val="en-US" w:eastAsia="zh-CN" w:bidi="ar-SA"/>
    </w:rPr>
  </w:style>
  <w:style w:type="paragraph" w:customStyle="1" w:styleId="547">
    <w:name w:val="jl 正文"/>
    <w:basedOn w:val="1"/>
    <w:semiHidden/>
    <w:qFormat/>
    <w:uiPriority w:val="0"/>
    <w:pPr>
      <w:widowControl w:val="0"/>
      <w:autoSpaceDE w:val="0"/>
      <w:autoSpaceDN w:val="0"/>
      <w:adjustRightInd w:val="0"/>
      <w:spacing w:after="0" w:line="240" w:lineRule="auto"/>
      <w:ind w:firstLine="200" w:firstLineChars="200"/>
      <w:textAlignment w:val="baseline"/>
    </w:pPr>
    <w:rPr>
      <w:rFonts w:ascii="宋体" w:hAnsi="Times New Roman" w:cs="Times New Roman"/>
      <w:color w:val="auto"/>
      <w:kern w:val="0"/>
      <w:sz w:val="24"/>
      <w:szCs w:val="24"/>
    </w:rPr>
  </w:style>
  <w:style w:type="paragraph" w:customStyle="1" w:styleId="548">
    <w:name w:val="附录二级条标题"/>
    <w:basedOn w:val="283"/>
    <w:next w:val="507"/>
    <w:qFormat/>
    <w:uiPriority w:val="0"/>
    <w:pPr>
      <w:numPr>
        <w:ilvl w:val="0"/>
        <w:numId w:val="0"/>
      </w:numPr>
      <w:tabs>
        <w:tab w:val="left" w:pos="360"/>
        <w:tab w:val="left" w:pos="1620"/>
      </w:tabs>
      <w:ind w:left="1620" w:hanging="360"/>
      <w:outlineLvl w:val="3"/>
    </w:pPr>
    <w:rPr>
      <w:szCs w:val="20"/>
    </w:rPr>
  </w:style>
  <w:style w:type="paragraph" w:customStyle="1" w:styleId="549">
    <w:name w:val="1.1.1.1N"/>
    <w:basedOn w:val="1"/>
    <w:qFormat/>
    <w:uiPriority w:val="0"/>
    <w:pPr>
      <w:widowControl w:val="0"/>
      <w:autoSpaceDE w:val="0"/>
      <w:autoSpaceDN w:val="0"/>
      <w:adjustRightInd w:val="0"/>
      <w:spacing w:before="60" w:after="60" w:line="360" w:lineRule="atLeast"/>
      <w:ind w:left="1134"/>
      <w:jc w:val="both"/>
    </w:pPr>
    <w:rPr>
      <w:rFonts w:ascii="Arial" w:hAnsi="Arial" w:cs="Times New Roman"/>
      <w:color w:val="auto"/>
      <w:kern w:val="0"/>
      <w:sz w:val="24"/>
      <w:szCs w:val="20"/>
    </w:rPr>
  </w:style>
  <w:style w:type="paragraph" w:customStyle="1" w:styleId="550">
    <w:name w:val="列出段落2"/>
    <w:basedOn w:val="1"/>
    <w:qFormat/>
    <w:uiPriority w:val="0"/>
    <w:pPr>
      <w:widowControl w:val="0"/>
      <w:adjustRightInd w:val="0"/>
      <w:snapToGrid w:val="0"/>
      <w:spacing w:after="0" w:line="360" w:lineRule="auto"/>
      <w:jc w:val="both"/>
    </w:pPr>
    <w:rPr>
      <w:rFonts w:ascii="Arial" w:hAnsi="Arial" w:eastAsia="仿宋_GB2312" w:cs="Arial"/>
      <w:color w:val="auto"/>
      <w:sz w:val="28"/>
      <w:szCs w:val="28"/>
    </w:rPr>
  </w:style>
  <w:style w:type="paragraph" w:customStyle="1" w:styleId="551">
    <w:name w:val="列出段落112"/>
    <w:basedOn w:val="1"/>
    <w:qFormat/>
    <w:uiPriority w:val="0"/>
    <w:pPr>
      <w:widowControl w:val="0"/>
      <w:adjustRightInd w:val="0"/>
      <w:snapToGrid w:val="0"/>
      <w:spacing w:after="0" w:line="360" w:lineRule="auto"/>
      <w:jc w:val="both"/>
    </w:pPr>
    <w:rPr>
      <w:rFonts w:ascii="Arial" w:hAnsi="Arial" w:eastAsia="仿宋_GB2312" w:cs="Arial"/>
      <w:color w:val="auto"/>
      <w:sz w:val="28"/>
      <w:szCs w:val="28"/>
    </w:rPr>
  </w:style>
  <w:style w:type="paragraph" w:customStyle="1" w:styleId="552">
    <w:name w:val="列出段落111"/>
    <w:basedOn w:val="1"/>
    <w:qFormat/>
    <w:uiPriority w:val="0"/>
    <w:pPr>
      <w:widowControl w:val="0"/>
      <w:spacing w:after="0" w:line="240" w:lineRule="auto"/>
      <w:ind w:firstLine="420" w:firstLineChars="200"/>
      <w:jc w:val="both"/>
    </w:pPr>
    <w:rPr>
      <w:rFonts w:ascii="Times New Roman" w:hAnsi="Times New Roman" w:cs="Times New Roman"/>
      <w:color w:val="auto"/>
      <w:szCs w:val="24"/>
    </w:rPr>
  </w:style>
  <w:style w:type="paragraph" w:customStyle="1" w:styleId="553">
    <w:name w:val="样式 首行缩进:  0 厘米 行距: 单倍行距 Char"/>
    <w:basedOn w:val="1"/>
    <w:qFormat/>
    <w:uiPriority w:val="0"/>
    <w:pPr>
      <w:widowControl w:val="0"/>
      <w:adjustRightInd w:val="0"/>
      <w:spacing w:after="0" w:line="240" w:lineRule="auto"/>
      <w:jc w:val="both"/>
      <w:textAlignment w:val="baseline"/>
    </w:pPr>
    <w:rPr>
      <w:rFonts w:ascii="Times New Roman" w:hAnsi="Times New Roman" w:cs="Times New Roman"/>
      <w:color w:val="auto"/>
      <w:kern w:val="0"/>
      <w:szCs w:val="21"/>
    </w:rPr>
  </w:style>
  <w:style w:type="paragraph" w:customStyle="1" w:styleId="554">
    <w:name w:val="列出段落11"/>
    <w:basedOn w:val="1"/>
    <w:qFormat/>
    <w:uiPriority w:val="34"/>
    <w:pPr>
      <w:widowControl w:val="0"/>
      <w:spacing w:after="0" w:line="240" w:lineRule="auto"/>
      <w:ind w:firstLine="420" w:firstLineChars="200"/>
      <w:jc w:val="both"/>
    </w:pPr>
    <w:rPr>
      <w:rFonts w:cs="Times New Roman"/>
      <w:color w:val="auto"/>
    </w:rPr>
  </w:style>
  <w:style w:type="paragraph" w:customStyle="1" w:styleId="555">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556">
    <w:name w:val="三级无标题条"/>
    <w:basedOn w:val="1"/>
    <w:qFormat/>
    <w:uiPriority w:val="0"/>
    <w:pPr>
      <w:widowControl w:val="0"/>
      <w:tabs>
        <w:tab w:val="left" w:pos="780"/>
      </w:tabs>
      <w:spacing w:after="0" w:line="240" w:lineRule="auto"/>
      <w:ind w:left="780" w:hanging="360"/>
      <w:jc w:val="both"/>
    </w:pPr>
    <w:rPr>
      <w:rFonts w:ascii="Times New Roman" w:hAnsi="Times New Roman" w:cs="Times New Roman"/>
      <w:color w:val="auto"/>
      <w:szCs w:val="24"/>
    </w:rPr>
  </w:style>
  <w:style w:type="paragraph" w:customStyle="1" w:styleId="557">
    <w:name w:val="文件标题"/>
    <w:basedOn w:val="1"/>
    <w:qFormat/>
    <w:uiPriority w:val="0"/>
    <w:pPr>
      <w:widowControl w:val="0"/>
      <w:autoSpaceDE w:val="0"/>
      <w:autoSpaceDN w:val="0"/>
      <w:adjustRightInd w:val="0"/>
      <w:spacing w:after="240" w:line="240" w:lineRule="auto"/>
      <w:jc w:val="center"/>
    </w:pPr>
    <w:rPr>
      <w:rFonts w:ascii="Arial Black" w:hAnsi="Arial Black" w:cs="Times New Roman"/>
      <w:color w:val="auto"/>
      <w:kern w:val="0"/>
      <w:sz w:val="48"/>
      <w:szCs w:val="20"/>
    </w:rPr>
  </w:style>
  <w:style w:type="paragraph" w:customStyle="1" w:styleId="558">
    <w:name w:val="样式 样式 标题 2 + 段前: 0.5 行 段后: 0.5 行 + 首行缩进:  2 字符 段前: 0.5 行 段后: 0..."/>
    <w:basedOn w:val="1"/>
    <w:semiHidden/>
    <w:qFormat/>
    <w:uiPriority w:val="0"/>
    <w:pPr>
      <w:keepNext/>
      <w:keepLines/>
      <w:widowControl w:val="0"/>
      <w:adjustRightInd w:val="0"/>
      <w:spacing w:beforeLines="50" w:afterLines="50" w:line="240" w:lineRule="auto"/>
      <w:textAlignment w:val="baseline"/>
      <w:outlineLvl w:val="1"/>
    </w:pPr>
    <w:rPr>
      <w:rFonts w:ascii="Times New Roman" w:hAnsi="Times New Roman" w:eastAsia="黑体" w:cs="Times New Roman"/>
      <w:color w:val="auto"/>
      <w:kern w:val="0"/>
      <w:szCs w:val="20"/>
    </w:rPr>
  </w:style>
  <w:style w:type="paragraph" w:customStyle="1" w:styleId="559">
    <w:name w:val="xl54"/>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cs="Times New Roman"/>
      <w:color w:val="auto"/>
      <w:kern w:val="0"/>
      <w:sz w:val="20"/>
      <w:szCs w:val="20"/>
    </w:rPr>
  </w:style>
  <w:style w:type="paragraph" w:customStyle="1" w:styleId="560">
    <w:name w:val="Toc1"/>
    <w:basedOn w:val="44"/>
    <w:qFormat/>
    <w:uiPriority w:val="0"/>
    <w:pPr>
      <w:numPr>
        <w:ilvl w:val="0"/>
        <w:numId w:val="21"/>
      </w:numPr>
      <w:spacing w:line="360" w:lineRule="auto"/>
      <w:outlineLvl w:val="0"/>
    </w:pPr>
    <w:rPr>
      <w:rFonts w:hAnsi="宋体"/>
      <w:b/>
      <w:sz w:val="28"/>
      <w:szCs w:val="28"/>
    </w:rPr>
  </w:style>
  <w:style w:type="paragraph" w:customStyle="1" w:styleId="561">
    <w:name w:val="样式 首行缩进:  0 厘米 行距: 单倍行距"/>
    <w:basedOn w:val="1"/>
    <w:semiHidden/>
    <w:qFormat/>
    <w:uiPriority w:val="0"/>
    <w:pPr>
      <w:widowControl w:val="0"/>
      <w:adjustRightInd w:val="0"/>
      <w:spacing w:after="0" w:line="240" w:lineRule="auto"/>
      <w:jc w:val="both"/>
      <w:textAlignment w:val="baseline"/>
    </w:pPr>
    <w:rPr>
      <w:rFonts w:ascii="Times New Roman" w:hAnsi="Times New Roman" w:cs="Times New Roman"/>
      <w:color w:val="auto"/>
      <w:kern w:val="0"/>
      <w:szCs w:val="20"/>
    </w:rPr>
  </w:style>
  <w:style w:type="paragraph" w:customStyle="1" w:styleId="562">
    <w:name w:val="xl55"/>
    <w:basedOn w:val="1"/>
    <w:semiHidden/>
    <w:qFormat/>
    <w:uiPriority w:val="0"/>
    <w:pPr>
      <w:pBdr>
        <w:left w:val="single" w:color="auto" w:sz="4" w:space="0"/>
        <w:bottom w:val="single" w:color="auto" w:sz="4" w:space="0"/>
        <w:right w:val="single" w:color="auto" w:sz="4" w:space="0"/>
      </w:pBdr>
      <w:shd w:val="clear" w:color="auto" w:fill="C0C0C0"/>
      <w:spacing w:before="100" w:beforeAutospacing="1" w:after="100" w:afterAutospacing="1" w:line="240" w:lineRule="auto"/>
      <w:jc w:val="center"/>
      <w:textAlignment w:val="center"/>
    </w:pPr>
    <w:rPr>
      <w:rFonts w:ascii="Times New Roman" w:hAnsi="Times New Roman" w:cs="Times New Roman"/>
      <w:color w:val="auto"/>
      <w:kern w:val="0"/>
      <w:sz w:val="16"/>
      <w:szCs w:val="16"/>
    </w:rPr>
  </w:style>
  <w:style w:type="paragraph" w:customStyle="1" w:styleId="563">
    <w:name w:val="TOC 标题11"/>
    <w:basedOn w:val="2"/>
    <w:next w:val="1"/>
    <w:qFormat/>
    <w:uiPriority w:val="39"/>
    <w:pPr>
      <w:spacing w:before="480" w:after="0" w:line="276" w:lineRule="auto"/>
      <w:ind w:left="0" w:right="0" w:firstLine="0"/>
      <w:jc w:val="left"/>
      <w:outlineLvl w:val="9"/>
    </w:pPr>
    <w:rPr>
      <w:rFonts w:ascii="Cambria" w:hAnsi="Cambria" w:eastAsia="宋体" w:cs="Times New Roman"/>
      <w:b/>
      <w:bCs/>
      <w:color w:val="365F91"/>
      <w:kern w:val="0"/>
      <w:sz w:val="28"/>
      <w:szCs w:val="28"/>
    </w:rPr>
  </w:style>
  <w:style w:type="paragraph" w:customStyle="1" w:styleId="564">
    <w:name w:val="标题 3 + 小四 段前: 0 磅 段后: 0 磅 行距: 1.5 倍行距"/>
    <w:basedOn w:val="4"/>
    <w:next w:val="4"/>
    <w:semiHidden/>
    <w:qFormat/>
    <w:uiPriority w:val="0"/>
    <w:pPr>
      <w:widowControl w:val="0"/>
      <w:tabs>
        <w:tab w:val="left" w:pos="2126"/>
      </w:tabs>
      <w:spacing w:after="0" w:line="360" w:lineRule="auto"/>
      <w:ind w:left="1701" w:right="0" w:firstLine="0"/>
      <w:jc w:val="center"/>
    </w:pPr>
    <w:rPr>
      <w:rFonts w:ascii="Times New Roman" w:hAnsi="Times New Roman" w:eastAsia="黑体" w:cs="宋体"/>
      <w:bCs/>
      <w:color w:val="auto"/>
      <w:sz w:val="24"/>
      <w:szCs w:val="20"/>
    </w:rPr>
  </w:style>
  <w:style w:type="paragraph" w:customStyle="1" w:styleId="565">
    <w:name w:val="Char Char Char Char Char Char Char Char Char Char Char Char Char"/>
    <w:basedOn w:val="1"/>
    <w:qFormat/>
    <w:uiPriority w:val="0"/>
    <w:pPr>
      <w:widowControl w:val="0"/>
      <w:spacing w:after="0" w:line="360" w:lineRule="auto"/>
      <w:ind w:firstLine="200" w:firstLineChars="200"/>
      <w:jc w:val="both"/>
    </w:pPr>
    <w:rPr>
      <w:rFonts w:ascii="宋体" w:hAnsi="宋体" w:cs="宋体"/>
      <w:color w:val="auto"/>
      <w:sz w:val="24"/>
      <w:szCs w:val="24"/>
    </w:rPr>
  </w:style>
  <w:style w:type="paragraph" w:customStyle="1" w:styleId="566">
    <w:name w:val="无标题条"/>
    <w:next w:val="507"/>
    <w:qFormat/>
    <w:uiPriority w:val="0"/>
    <w:pPr>
      <w:jc w:val="both"/>
    </w:pPr>
    <w:rPr>
      <w:rFonts w:ascii="Times New Roman" w:hAnsi="Times New Roman" w:eastAsia="宋体" w:cs="Times New Roman"/>
      <w:sz w:val="21"/>
      <w:lang w:val="en-US" w:eastAsia="zh-CN" w:bidi="ar-SA"/>
    </w:rPr>
  </w:style>
  <w:style w:type="paragraph" w:customStyle="1" w:styleId="567">
    <w:name w:val="样式 Arial 首行缩进:  2 字符"/>
    <w:basedOn w:val="1"/>
    <w:qFormat/>
    <w:uiPriority w:val="0"/>
    <w:pPr>
      <w:widowControl w:val="0"/>
      <w:spacing w:after="0" w:line="240" w:lineRule="auto"/>
      <w:ind w:firstLine="403" w:firstLineChars="200"/>
      <w:jc w:val="both"/>
    </w:pPr>
    <w:rPr>
      <w:rFonts w:ascii="Times New Roman" w:hAnsi="Times New Roman" w:cs="华文新魏"/>
      <w:color w:val="auto"/>
      <w:szCs w:val="21"/>
    </w:rPr>
  </w:style>
  <w:style w:type="paragraph" w:customStyle="1" w:styleId="568">
    <w:name w:val="五级无标题条"/>
    <w:basedOn w:val="1"/>
    <w:qFormat/>
    <w:uiPriority w:val="0"/>
    <w:pPr>
      <w:widowControl w:val="0"/>
      <w:tabs>
        <w:tab w:val="left" w:pos="780"/>
      </w:tabs>
      <w:spacing w:after="0" w:line="240" w:lineRule="auto"/>
      <w:ind w:left="780" w:hanging="360"/>
      <w:jc w:val="both"/>
    </w:pPr>
    <w:rPr>
      <w:rFonts w:ascii="Times New Roman" w:hAnsi="Times New Roman" w:cs="Times New Roman"/>
      <w:color w:val="auto"/>
      <w:szCs w:val="24"/>
    </w:rPr>
  </w:style>
  <w:style w:type="paragraph" w:customStyle="1" w:styleId="569">
    <w:name w:val="P7"/>
    <w:qFormat/>
    <w:uiPriority w:val="0"/>
    <w:pPr>
      <w:widowControl w:val="0"/>
      <w:tabs>
        <w:tab w:val="left" w:pos="576"/>
      </w:tabs>
      <w:adjustRightInd w:val="0"/>
      <w:spacing w:after="240" w:line="0" w:lineRule="atLeast"/>
      <w:ind w:left="1728" w:hanging="1728"/>
      <w:jc w:val="both"/>
    </w:pPr>
    <w:rPr>
      <w:rFonts w:ascii="Times New Roman" w:hAnsi="Times New Roman" w:eastAsia="全真中明體" w:cs="Times New Roman"/>
      <w:spacing w:val="20"/>
      <w:sz w:val="24"/>
      <w:lang w:val="en-GB" w:eastAsia="zh-TW" w:bidi="ar-SA"/>
    </w:rPr>
  </w:style>
  <w:style w:type="paragraph" w:customStyle="1" w:styleId="570">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571">
    <w:name w:val="P2"/>
    <w:qFormat/>
    <w:uiPriority w:val="0"/>
    <w:pPr>
      <w:widowControl w:val="0"/>
      <w:adjustRightInd w:val="0"/>
      <w:spacing w:after="240" w:line="0" w:lineRule="atLeast"/>
      <w:ind w:left="1728"/>
      <w:jc w:val="both"/>
      <w:textAlignment w:val="baseline"/>
    </w:pPr>
    <w:rPr>
      <w:rFonts w:ascii="Times New Roman" w:hAnsi="Times New Roman" w:eastAsia="全真中明體" w:cs="Times New Roman"/>
      <w:spacing w:val="20"/>
      <w:sz w:val="24"/>
      <w:lang w:val="en-GB" w:eastAsia="zh-TW" w:bidi="en-US"/>
    </w:rPr>
  </w:style>
  <w:style w:type="paragraph" w:customStyle="1" w:styleId="572">
    <w:name w:val="附录图标题"/>
    <w:next w:val="507"/>
    <w:qFormat/>
    <w:uiPriority w:val="0"/>
    <w:pPr>
      <w:tabs>
        <w:tab w:val="left" w:pos="1620"/>
      </w:tabs>
      <w:ind w:hanging="360"/>
      <w:jc w:val="center"/>
    </w:pPr>
    <w:rPr>
      <w:rFonts w:ascii="黑体" w:hAnsi="Times New Roman" w:eastAsia="黑体" w:cs="Times New Roman"/>
      <w:sz w:val="21"/>
      <w:lang w:val="en-US" w:eastAsia="zh-CN" w:bidi="ar-SA"/>
    </w:rPr>
  </w:style>
  <w:style w:type="paragraph" w:customStyle="1" w:styleId="573">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574">
    <w:name w:val="目次、标准名称标题"/>
    <w:basedOn w:val="1"/>
    <w:next w:val="507"/>
    <w:qFormat/>
    <w:uiPriority w:val="0"/>
    <w:pPr>
      <w:shd w:val="clear" w:color="FFFFFF" w:fill="FFFFFF"/>
      <w:tabs>
        <w:tab w:val="left" w:pos="1140"/>
      </w:tabs>
      <w:spacing w:before="640" w:after="560" w:line="460" w:lineRule="exact"/>
      <w:jc w:val="center"/>
      <w:outlineLvl w:val="0"/>
    </w:pPr>
    <w:rPr>
      <w:rFonts w:ascii="黑体" w:hAnsi="Times New Roman" w:eastAsia="黑体" w:cs="Times New Roman"/>
      <w:color w:val="auto"/>
      <w:kern w:val="0"/>
      <w:sz w:val="32"/>
      <w:szCs w:val="20"/>
    </w:rPr>
  </w:style>
  <w:style w:type="paragraph" w:customStyle="1" w:styleId="575">
    <w:name w:val="样式4"/>
    <w:basedOn w:val="5"/>
    <w:semiHidden/>
    <w:qFormat/>
    <w:uiPriority w:val="0"/>
    <w:pPr>
      <w:widowControl w:val="0"/>
      <w:tabs>
        <w:tab w:val="left" w:pos="2976"/>
      </w:tabs>
      <w:topLinePunct/>
      <w:spacing w:after="0" w:line="480" w:lineRule="auto"/>
      <w:ind w:left="2551" w:right="0" w:firstLine="420"/>
      <w:jc w:val="both"/>
    </w:pPr>
    <w:rPr>
      <w:rFonts w:ascii="Times New Roman" w:hAnsi="Times New Roman" w:eastAsia="楷体_GB2312" w:cs="Times New Roman"/>
      <w:color w:val="auto"/>
      <w:sz w:val="24"/>
      <w:szCs w:val="20"/>
    </w:rPr>
  </w:style>
  <w:style w:type="paragraph" w:customStyle="1" w:styleId="576">
    <w:name w:val="实施日期"/>
    <w:basedOn w:val="1"/>
    <w:qFormat/>
    <w:uiPriority w:val="0"/>
    <w:pPr>
      <w:framePr w:w="4000" w:h="473" w:hRule="exact" w:vSpace="180" w:wrap="around" w:vAnchor="margin" w:hAnchor="margin" w:xAlign="right" w:y="13511" w:anchorLock="1"/>
      <w:spacing w:after="0" w:line="240" w:lineRule="auto"/>
      <w:jc w:val="right"/>
    </w:pPr>
    <w:rPr>
      <w:rFonts w:ascii="Times New Roman" w:hAnsi="Times New Roman" w:eastAsia="黑体" w:cs="Times New Roman"/>
      <w:color w:val="auto"/>
      <w:kern w:val="0"/>
      <w:sz w:val="28"/>
      <w:szCs w:val="20"/>
    </w:rPr>
  </w:style>
  <w:style w:type="paragraph" w:customStyle="1" w:styleId="577">
    <w:name w:val="数字编号列项（二级）"/>
    <w:qFormat/>
    <w:uiPriority w:val="0"/>
    <w:pPr>
      <w:jc w:val="both"/>
    </w:pPr>
    <w:rPr>
      <w:rFonts w:ascii="宋体" w:hAnsi="Times New Roman" w:eastAsia="宋体" w:cs="Times New Roman"/>
      <w:sz w:val="21"/>
      <w:lang w:val="en-US" w:eastAsia="zh-CN" w:bidi="ar-SA"/>
    </w:rPr>
  </w:style>
  <w:style w:type="paragraph" w:customStyle="1" w:styleId="578">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579">
    <w:name w:val="列出段落4"/>
    <w:basedOn w:val="1"/>
    <w:unhideWhenUsed/>
    <w:qFormat/>
    <w:uiPriority w:val="99"/>
    <w:pPr>
      <w:widowControl w:val="0"/>
      <w:spacing w:after="0" w:line="240" w:lineRule="auto"/>
      <w:ind w:firstLine="420" w:firstLineChars="200"/>
      <w:jc w:val="both"/>
    </w:pPr>
    <w:rPr>
      <w:rFonts w:ascii="Times New Roman" w:hAnsi="Times New Roman" w:cs="Times New Roman"/>
      <w:color w:val="auto"/>
      <w:szCs w:val="24"/>
    </w:rPr>
  </w:style>
  <w:style w:type="paragraph" w:customStyle="1" w:styleId="580">
    <w:name w:val="修订11"/>
    <w:semiHidden/>
    <w:qFormat/>
    <w:uiPriority w:val="99"/>
    <w:rPr>
      <w:rFonts w:ascii="Times New Roman" w:hAnsi="Times New Roman" w:eastAsia="宋体" w:cs="Times New Roman"/>
      <w:kern w:val="2"/>
      <w:sz w:val="21"/>
      <w:szCs w:val="24"/>
      <w:lang w:val="en-US" w:eastAsia="zh-CN" w:bidi="ar-SA"/>
    </w:rPr>
  </w:style>
  <w:style w:type="paragraph" w:customStyle="1" w:styleId="581">
    <w:name w:val="图说"/>
    <w:basedOn w:val="1"/>
    <w:semiHidden/>
    <w:qFormat/>
    <w:uiPriority w:val="0"/>
    <w:pPr>
      <w:widowControl w:val="0"/>
      <w:topLinePunct/>
      <w:spacing w:before="40" w:line="240" w:lineRule="auto"/>
      <w:jc w:val="center"/>
    </w:pPr>
    <w:rPr>
      <w:rFonts w:ascii="Times New Roman" w:hAnsi="Times New Roman" w:cs="宋体"/>
      <w:color w:val="auto"/>
      <w:sz w:val="18"/>
      <w:szCs w:val="20"/>
    </w:rPr>
  </w:style>
  <w:style w:type="paragraph" w:styleId="582">
    <w:name w:val="No Spacing"/>
    <w:qFormat/>
    <w:uiPriority w:val="1"/>
    <w:rPr>
      <w:rFonts w:ascii="Calibri" w:hAnsi="Calibri" w:eastAsia="宋体" w:cs="Times New Roman"/>
      <w:sz w:val="22"/>
      <w:szCs w:val="22"/>
      <w:lang w:val="en-US" w:eastAsia="zh-CN" w:bidi="ar-SA"/>
    </w:rPr>
  </w:style>
  <w:style w:type="paragraph" w:customStyle="1" w:styleId="583">
    <w:name w:val="节小标题"/>
    <w:basedOn w:val="9"/>
    <w:semiHidden/>
    <w:qFormat/>
    <w:uiPriority w:val="0"/>
    <w:pPr>
      <w:tabs>
        <w:tab w:val="left" w:pos="6378"/>
        <w:tab w:val="clear" w:pos="1440"/>
      </w:tabs>
      <w:snapToGrid w:val="0"/>
      <w:spacing w:before="100" w:after="0" w:line="300" w:lineRule="auto"/>
      <w:ind w:left="5953" w:firstLine="359"/>
      <w:textAlignment w:val="auto"/>
      <w:outlineLvl w:val="9"/>
    </w:pPr>
    <w:rPr>
      <w:rFonts w:ascii="Times New Roman" w:hAnsi="Times New Roman" w:eastAsia="仿宋_GB2312"/>
      <w:kern w:val="2"/>
      <w:sz w:val="30"/>
      <w:szCs w:val="20"/>
    </w:rPr>
  </w:style>
  <w:style w:type="paragraph" w:customStyle="1" w:styleId="584">
    <w:name w:val="Char3"/>
    <w:basedOn w:val="1"/>
    <w:semiHidden/>
    <w:qFormat/>
    <w:uiPriority w:val="0"/>
    <w:pPr>
      <w:widowControl w:val="0"/>
      <w:spacing w:after="0" w:line="240" w:lineRule="auto"/>
      <w:jc w:val="both"/>
    </w:pPr>
    <w:rPr>
      <w:rFonts w:ascii="Times New Roman" w:hAnsi="Times New Roman" w:cs="Times New Roman"/>
      <w:color w:val="auto"/>
      <w:szCs w:val="20"/>
    </w:rPr>
  </w:style>
  <w:style w:type="paragraph" w:customStyle="1" w:styleId="585">
    <w:name w:val="样式3"/>
    <w:basedOn w:val="4"/>
    <w:semiHidden/>
    <w:qFormat/>
    <w:uiPriority w:val="0"/>
    <w:pPr>
      <w:widowControl w:val="0"/>
      <w:tabs>
        <w:tab w:val="left" w:pos="709"/>
        <w:tab w:val="left" w:pos="2126"/>
      </w:tabs>
      <w:topLinePunct/>
      <w:spacing w:after="0" w:line="720" w:lineRule="auto"/>
      <w:ind w:left="1701" w:right="0" w:firstLine="0"/>
    </w:pPr>
    <w:rPr>
      <w:rFonts w:ascii="Arial" w:hAnsi="Arial" w:eastAsia="黑体" w:cs="Times New Roman"/>
      <w:b/>
      <w:color w:val="auto"/>
      <w:sz w:val="30"/>
      <w:szCs w:val="30"/>
    </w:rPr>
  </w:style>
  <w:style w:type="paragraph" w:customStyle="1" w:styleId="586">
    <w:name w:val="二级无标题条"/>
    <w:basedOn w:val="1"/>
    <w:qFormat/>
    <w:uiPriority w:val="0"/>
    <w:pPr>
      <w:widowControl w:val="0"/>
      <w:tabs>
        <w:tab w:val="left" w:pos="780"/>
      </w:tabs>
      <w:spacing w:after="0" w:line="240" w:lineRule="auto"/>
      <w:ind w:left="780" w:hanging="360"/>
      <w:jc w:val="both"/>
    </w:pPr>
    <w:rPr>
      <w:rFonts w:ascii="Times New Roman" w:hAnsi="Times New Roman" w:cs="Times New Roman"/>
      <w:color w:val="auto"/>
      <w:szCs w:val="24"/>
    </w:rPr>
  </w:style>
  <w:style w:type="paragraph" w:customStyle="1" w:styleId="587">
    <w:name w:val="xl56"/>
    <w:basedOn w:val="1"/>
    <w:semiHidden/>
    <w:qFormat/>
    <w:uiPriority w:val="0"/>
    <w:pPr>
      <w:pBdr>
        <w:top w:val="single" w:color="auto" w:sz="4" w:space="0"/>
        <w:left w:val="single" w:color="auto" w:sz="4" w:space="0"/>
        <w:bottom w:val="single" w:color="auto" w:sz="4" w:space="0"/>
        <w:right w:val="single" w:color="auto" w:sz="4" w:space="0"/>
      </w:pBdr>
      <w:spacing w:before="100" w:beforeAutospacing="1" w:after="100" w:afterAutospacing="1" w:line="240" w:lineRule="auto"/>
      <w:jc w:val="center"/>
      <w:textAlignment w:val="center"/>
    </w:pPr>
    <w:rPr>
      <w:rFonts w:ascii="Times New Roman" w:hAnsi="Times New Roman" w:cs="Times New Roman"/>
      <w:color w:val="auto"/>
      <w:kern w:val="0"/>
      <w:sz w:val="20"/>
      <w:szCs w:val="20"/>
    </w:rPr>
  </w:style>
  <w:style w:type="paragraph" w:customStyle="1" w:styleId="588">
    <w:name w:val="Char Char Char Char Char1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589">
    <w:name w:val="五级条标题"/>
    <w:basedOn w:val="529"/>
    <w:next w:val="507"/>
    <w:qFormat/>
    <w:uiPriority w:val="0"/>
    <w:pPr>
      <w:tabs>
        <w:tab w:val="left" w:pos="1407"/>
        <w:tab w:val="left" w:pos="1440"/>
        <w:tab w:val="clear" w:pos="1021"/>
        <w:tab w:val="clear" w:pos="1155"/>
      </w:tabs>
      <w:outlineLvl w:val="6"/>
    </w:pPr>
  </w:style>
  <w:style w:type="paragraph" w:customStyle="1" w:styleId="590">
    <w:name w:val="文件头"/>
    <w:basedOn w:val="1"/>
    <w:qFormat/>
    <w:uiPriority w:val="0"/>
    <w:pPr>
      <w:widowControl w:val="0"/>
      <w:autoSpaceDE w:val="0"/>
      <w:autoSpaceDN w:val="0"/>
      <w:adjustRightInd w:val="0"/>
      <w:spacing w:before="360" w:after="360" w:line="360" w:lineRule="atLeast"/>
      <w:jc w:val="center"/>
    </w:pPr>
    <w:rPr>
      <w:rFonts w:ascii="黑体" w:hAnsi="Times New Roman" w:eastAsia="黑体" w:cs="Times New Roman"/>
      <w:color w:val="auto"/>
      <w:kern w:val="0"/>
      <w:sz w:val="36"/>
      <w:szCs w:val="20"/>
    </w:rPr>
  </w:style>
  <w:style w:type="paragraph" w:customStyle="1" w:styleId="591">
    <w:name w:val="一级无标题条"/>
    <w:basedOn w:val="1"/>
    <w:qFormat/>
    <w:uiPriority w:val="0"/>
    <w:pPr>
      <w:widowControl w:val="0"/>
      <w:tabs>
        <w:tab w:val="left" w:pos="780"/>
      </w:tabs>
      <w:spacing w:after="0" w:line="240" w:lineRule="auto"/>
      <w:ind w:left="780" w:hanging="360"/>
      <w:jc w:val="both"/>
    </w:pPr>
    <w:rPr>
      <w:rFonts w:ascii="Times New Roman" w:hAnsi="Times New Roman" w:cs="Times New Roman"/>
      <w:color w:val="auto"/>
      <w:szCs w:val="24"/>
    </w:rPr>
  </w:style>
  <w:style w:type="paragraph" w:customStyle="1" w:styleId="592">
    <w:name w:val="Char Char Char Char Char1 Char Char Char Char Char Char"/>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593">
    <w:name w:val="Char Char Char Char1"/>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594">
    <w:name w:val="Char Char Char Char Char Char Char1"/>
    <w:basedOn w:val="1"/>
    <w:qFormat/>
    <w:uiPriority w:val="0"/>
    <w:pPr>
      <w:widowControl w:val="0"/>
      <w:spacing w:after="0" w:line="240" w:lineRule="auto"/>
      <w:jc w:val="both"/>
    </w:pPr>
    <w:rPr>
      <w:rFonts w:ascii="Times New Roman" w:hAnsi="Times New Roman" w:cs="Times New Roman"/>
      <w:color w:val="auto"/>
      <w:szCs w:val="24"/>
    </w:rPr>
  </w:style>
  <w:style w:type="paragraph" w:customStyle="1" w:styleId="595">
    <w:name w:val="附录三级条标题"/>
    <w:basedOn w:val="548"/>
    <w:next w:val="507"/>
    <w:qFormat/>
    <w:uiPriority w:val="0"/>
    <w:pPr>
      <w:outlineLvl w:val="4"/>
    </w:pPr>
  </w:style>
  <w:style w:type="paragraph" w:customStyle="1" w:styleId="596">
    <w:name w:val="四级无标题条"/>
    <w:basedOn w:val="1"/>
    <w:qFormat/>
    <w:uiPriority w:val="0"/>
    <w:pPr>
      <w:widowControl w:val="0"/>
      <w:tabs>
        <w:tab w:val="left" w:pos="780"/>
      </w:tabs>
      <w:spacing w:after="0" w:line="240" w:lineRule="auto"/>
      <w:ind w:left="780" w:hanging="360"/>
      <w:jc w:val="both"/>
    </w:pPr>
    <w:rPr>
      <w:rFonts w:ascii="Times New Roman" w:hAnsi="Times New Roman" w:cs="Times New Roman"/>
      <w:color w:val="auto"/>
      <w:szCs w:val="24"/>
    </w:rPr>
  </w:style>
  <w:style w:type="paragraph" w:customStyle="1" w:styleId="597">
    <w:name w:val="列出段落3"/>
    <w:basedOn w:val="1"/>
    <w:unhideWhenUsed/>
    <w:qFormat/>
    <w:uiPriority w:val="99"/>
    <w:pPr>
      <w:widowControl w:val="0"/>
      <w:spacing w:after="0" w:line="240" w:lineRule="auto"/>
      <w:ind w:firstLine="420" w:firstLineChars="200"/>
      <w:jc w:val="both"/>
    </w:pPr>
    <w:rPr>
      <w:rFonts w:ascii="Times New Roman" w:hAnsi="Times New Roman" w:cs="Times New Roman"/>
      <w:color w:val="auto"/>
      <w:szCs w:val="24"/>
    </w:rPr>
  </w:style>
  <w:style w:type="paragraph" w:customStyle="1" w:styleId="598">
    <w:name w:val="样式5"/>
    <w:semiHidden/>
    <w:qFormat/>
    <w:uiPriority w:val="0"/>
    <w:pPr>
      <w:snapToGrid w:val="0"/>
      <w:spacing w:before="160" w:after="40"/>
      <w:jc w:val="center"/>
    </w:pPr>
    <w:rPr>
      <w:rFonts w:ascii="Times New Roman" w:hAnsi="Times New Roman" w:eastAsia="宋体" w:cs="宋体"/>
      <w:kern w:val="2"/>
      <w:sz w:val="18"/>
      <w:lang w:val="en-US" w:eastAsia="zh-CN" w:bidi="ar-SA"/>
    </w:rPr>
  </w:style>
  <w:style w:type="paragraph" w:customStyle="1" w:styleId="599">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600">
    <w:name w:val="前言首行"/>
    <w:basedOn w:val="1"/>
    <w:qFormat/>
    <w:uiPriority w:val="0"/>
    <w:pPr>
      <w:widowControl w:val="0"/>
      <w:spacing w:after="120" w:line="240" w:lineRule="auto"/>
      <w:jc w:val="center"/>
    </w:pPr>
    <w:rPr>
      <w:rFonts w:ascii="Times New Roman" w:hAnsi="Times New Roman" w:eastAsia="黑体" w:cs="宋体"/>
      <w:b/>
      <w:bCs/>
      <w:color w:val="auto"/>
      <w:sz w:val="32"/>
      <w:szCs w:val="20"/>
    </w:rPr>
  </w:style>
  <w:style w:type="paragraph" w:customStyle="1" w:styleId="601">
    <w:name w:val="样式 标题 2 + 黑体 段前: 10.25 磅 段后: 10.25 磅 行距: 单倍行距"/>
    <w:basedOn w:val="3"/>
    <w:semiHidden/>
    <w:qFormat/>
    <w:uiPriority w:val="0"/>
    <w:pPr>
      <w:widowControl w:val="0"/>
      <w:tabs>
        <w:tab w:val="left" w:pos="1276"/>
      </w:tabs>
      <w:adjustRightInd w:val="0"/>
      <w:spacing w:beforeLines="50" w:afterLines="50" w:line="240" w:lineRule="auto"/>
      <w:ind w:left="851" w:right="0" w:firstLine="0"/>
      <w:textAlignment w:val="baseline"/>
    </w:pPr>
    <w:rPr>
      <w:rFonts w:eastAsia="黑体" w:cs="Times New Roman"/>
      <w:b/>
      <w:color w:val="auto"/>
      <w:kern w:val="0"/>
      <w:sz w:val="24"/>
      <w:szCs w:val="20"/>
    </w:rPr>
  </w:style>
  <w:style w:type="paragraph" w:customStyle="1" w:styleId="602">
    <w:name w:val="无间隔1"/>
    <w:basedOn w:val="1"/>
    <w:qFormat/>
    <w:uiPriority w:val="0"/>
    <w:pPr>
      <w:spacing w:after="0" w:line="240" w:lineRule="auto"/>
    </w:pPr>
    <w:rPr>
      <w:rFonts w:cs="Times New Roman"/>
      <w:color w:val="auto"/>
      <w:kern w:val="0"/>
      <w:sz w:val="24"/>
      <w:szCs w:val="32"/>
      <w:lang w:eastAsia="en-US" w:bidi="en-US"/>
    </w:rPr>
  </w:style>
  <w:style w:type="paragraph" w:customStyle="1" w:styleId="603">
    <w:name w:val="样式 标题 3 + 宋体 段前: 7.8 磅"/>
    <w:basedOn w:val="4"/>
    <w:qFormat/>
    <w:uiPriority w:val="0"/>
    <w:pPr>
      <w:keepNext w:val="0"/>
      <w:keepLines w:val="0"/>
      <w:widowControl w:val="0"/>
      <w:tabs>
        <w:tab w:val="left" w:pos="1560"/>
        <w:tab w:val="left" w:pos="1740"/>
      </w:tabs>
      <w:adjustRightInd w:val="0"/>
      <w:snapToGrid w:val="0"/>
      <w:spacing w:before="156" w:after="0" w:line="360" w:lineRule="auto"/>
      <w:ind w:left="1740" w:right="0" w:hanging="420"/>
      <w:jc w:val="both"/>
    </w:pPr>
    <w:rPr>
      <w:rFonts w:ascii="宋体" w:hAnsi="宋体" w:cs="宋体"/>
      <w:color w:val="auto"/>
      <w:sz w:val="21"/>
      <w:szCs w:val="20"/>
    </w:rPr>
  </w:style>
  <w:style w:type="paragraph" w:customStyle="1" w:styleId="604">
    <w:name w:val="p82"/>
    <w:basedOn w:val="1"/>
    <w:semiHidden/>
    <w:qFormat/>
    <w:uiPriority w:val="0"/>
    <w:pPr>
      <w:tabs>
        <w:tab w:val="left" w:pos="460"/>
      </w:tabs>
      <w:overflowPunct w:val="0"/>
      <w:autoSpaceDE w:val="0"/>
      <w:autoSpaceDN w:val="0"/>
      <w:adjustRightInd w:val="0"/>
      <w:spacing w:after="0" w:line="320" w:lineRule="atLeast"/>
      <w:jc w:val="both"/>
      <w:textAlignment w:val="baseline"/>
    </w:pPr>
    <w:rPr>
      <w:rFonts w:ascii="Times New Roman" w:hAnsi="Times New Roman" w:cs="Times New Roman"/>
      <w:color w:val="auto"/>
      <w:kern w:val="0"/>
      <w:sz w:val="24"/>
      <w:szCs w:val="20"/>
      <w:lang w:val="en-GB"/>
    </w:rPr>
  </w:style>
  <w:style w:type="paragraph" w:customStyle="1" w:styleId="605">
    <w:name w:val="样式7"/>
    <w:basedOn w:val="1"/>
    <w:qFormat/>
    <w:uiPriority w:val="0"/>
    <w:pPr>
      <w:widowControl w:val="0"/>
      <w:numPr>
        <w:ilvl w:val="0"/>
        <w:numId w:val="22"/>
      </w:numPr>
      <w:tabs>
        <w:tab w:val="left" w:pos="1200"/>
      </w:tabs>
      <w:spacing w:after="0" w:line="240" w:lineRule="auto"/>
      <w:jc w:val="both"/>
    </w:pPr>
    <w:rPr>
      <w:rFonts w:ascii="Times New Roman" w:hAnsi="Times New Roman" w:cs="Times New Roman"/>
      <w:color w:val="auto"/>
      <w:szCs w:val="24"/>
    </w:rPr>
  </w:style>
  <w:style w:type="paragraph" w:customStyle="1" w:styleId="606">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607">
    <w:name w:val="1.1.1.1"/>
    <w:basedOn w:val="1"/>
    <w:qFormat/>
    <w:uiPriority w:val="0"/>
    <w:pPr>
      <w:widowControl w:val="0"/>
      <w:autoSpaceDE w:val="0"/>
      <w:autoSpaceDN w:val="0"/>
      <w:adjustRightInd w:val="0"/>
      <w:spacing w:before="60" w:after="60" w:line="360" w:lineRule="atLeast"/>
      <w:ind w:left="1134" w:hanging="1134"/>
      <w:jc w:val="both"/>
    </w:pPr>
    <w:rPr>
      <w:rFonts w:ascii="Arial" w:hAnsi="Arial" w:cs="Times New Roman"/>
      <w:color w:val="auto"/>
      <w:kern w:val="0"/>
      <w:sz w:val="24"/>
      <w:szCs w:val="20"/>
    </w:rPr>
  </w:style>
  <w:style w:type="character" w:customStyle="1" w:styleId="608">
    <w:name w:val="页脚 字符1"/>
    <w:qFormat/>
    <w:uiPriority w:val="99"/>
    <w:rPr>
      <w:kern w:val="2"/>
      <w:sz w:val="18"/>
    </w:rPr>
  </w:style>
  <w:style w:type="character" w:customStyle="1" w:styleId="609">
    <w:name w:val="未处理的提及1"/>
    <w:basedOn w:val="130"/>
    <w:unhideWhenUsed/>
    <w:qFormat/>
    <w:uiPriority w:val="99"/>
    <w:rPr>
      <w:color w:val="605E5C"/>
      <w:shd w:val="clear" w:color="auto" w:fill="E1DFDD"/>
    </w:rPr>
  </w:style>
  <w:style w:type="character" w:customStyle="1" w:styleId="610">
    <w:name w:val="未处理的提及2"/>
    <w:basedOn w:val="130"/>
    <w:unhideWhenUsed/>
    <w:qFormat/>
    <w:uiPriority w:val="99"/>
    <w:rPr>
      <w:color w:val="605E5C"/>
      <w:shd w:val="clear" w:color="auto" w:fill="E1DFDD"/>
    </w:rPr>
  </w:style>
  <w:style w:type="paragraph" w:customStyle="1" w:styleId="611">
    <w:name w:val="_Style 4"/>
    <w:basedOn w:val="2"/>
    <w:next w:val="1"/>
    <w:qFormat/>
    <w:uiPriority w:val="0"/>
    <w:pPr>
      <w:keepNext w:val="0"/>
      <w:keepLines w:val="0"/>
      <w:widowControl w:val="0"/>
      <w:spacing w:after="0" w:line="576" w:lineRule="auto"/>
      <w:ind w:left="0" w:right="0" w:firstLine="0"/>
      <w:jc w:val="left"/>
      <w:outlineLvl w:val="9"/>
    </w:pPr>
    <w:rPr>
      <w:rFonts w:ascii="Calibri" w:hAnsi="Calibri" w:cs="Times New Roman"/>
      <w:color w:val="auto"/>
      <w:kern w:val="0"/>
      <w:sz w:val="44"/>
      <w:szCs w:val="44"/>
      <w:lang w:eastAsia="en-US"/>
    </w:rPr>
  </w:style>
  <w:style w:type="paragraph" w:customStyle="1" w:styleId="612">
    <w:name w:val="TOC 标题2"/>
    <w:basedOn w:val="2"/>
    <w:next w:val="1"/>
    <w:unhideWhenUsed/>
    <w:qFormat/>
    <w:uiPriority w:val="39"/>
    <w:pPr>
      <w:spacing w:before="480" w:after="0" w:line="276" w:lineRule="auto"/>
      <w:jc w:val="left"/>
      <w:outlineLvl w:val="9"/>
    </w:pPr>
    <w:rPr>
      <w:rFonts w:ascii="等线 Light" w:hAnsi="等线 Light" w:eastAsia="等线 Light" w:cs="Times New Roman"/>
      <w:color w:val="2F5496"/>
      <w:kern w:val="0"/>
      <w:sz w:val="28"/>
      <w:szCs w:val="28"/>
    </w:rPr>
  </w:style>
  <w:style w:type="paragraph" w:customStyle="1" w:styleId="613">
    <w:name w:val="CM91"/>
    <w:basedOn w:val="185"/>
    <w:next w:val="185"/>
    <w:qFormat/>
    <w:uiPriority w:val="0"/>
    <w:pPr>
      <w:spacing w:after="160"/>
    </w:pPr>
    <w:rPr>
      <w:color w:val="auto"/>
    </w:rPr>
  </w:style>
  <w:style w:type="paragraph" w:customStyle="1" w:styleId="614">
    <w:name w:val="CM97"/>
    <w:basedOn w:val="185"/>
    <w:next w:val="185"/>
    <w:qFormat/>
    <w:uiPriority w:val="0"/>
    <w:pPr>
      <w:spacing w:after="373"/>
    </w:pPr>
    <w:rPr>
      <w:color w:val="auto"/>
    </w:rPr>
  </w:style>
  <w:style w:type="paragraph" w:customStyle="1" w:styleId="615">
    <w:name w:val="Default1"/>
    <w:qFormat/>
    <w:uiPriority w:val="0"/>
    <w:pPr>
      <w:widowControl w:val="0"/>
      <w:autoSpaceDE w:val="0"/>
      <w:autoSpaceDN w:val="0"/>
      <w:adjustRightInd w:val="0"/>
    </w:pPr>
    <w:rPr>
      <w:rFonts w:ascii="宋体" w:hAnsi="Times New Roman" w:eastAsia="仿宋_GB2312" w:cs="宋体"/>
      <w:color w:val="000000"/>
      <w:sz w:val="24"/>
      <w:szCs w:val="24"/>
      <w:lang w:val="en-US" w:eastAsia="zh-CN" w:bidi="ar-SA"/>
    </w:rPr>
  </w:style>
  <w:style w:type="character" w:customStyle="1" w:styleId="616">
    <w:name w:val="font51"/>
    <w:basedOn w:val="130"/>
    <w:qFormat/>
    <w:uiPriority w:val="0"/>
    <w:rPr>
      <w:rFonts w:ascii="宋体" w:hAnsi="宋体" w:eastAsia="宋体" w:cs="宋体"/>
      <w:b/>
      <w:bCs/>
      <w:color w:val="000000"/>
      <w:sz w:val="40"/>
      <w:szCs w:val="40"/>
      <w:u w:val="none"/>
    </w:rPr>
  </w:style>
  <w:style w:type="character" w:customStyle="1" w:styleId="617">
    <w:name w:val="font61"/>
    <w:basedOn w:val="130"/>
    <w:qFormat/>
    <w:uiPriority w:val="0"/>
    <w:rPr>
      <w:rFonts w:ascii="宋体" w:hAnsi="宋体" w:eastAsia="宋体" w:cs="宋体"/>
      <w:color w:val="000000"/>
      <w:sz w:val="20"/>
      <w:szCs w:val="20"/>
      <w:u w:val="none"/>
    </w:rPr>
  </w:style>
  <w:style w:type="character" w:customStyle="1" w:styleId="618">
    <w:name w:val="font21"/>
    <w:basedOn w:val="130"/>
    <w:qFormat/>
    <w:uiPriority w:val="0"/>
    <w:rPr>
      <w:rFonts w:ascii="宋体" w:hAnsi="宋体" w:eastAsia="宋体" w:cs="宋体"/>
      <w:color w:val="000000"/>
      <w:sz w:val="18"/>
      <w:szCs w:val="18"/>
      <w:u w:val="none"/>
    </w:rPr>
  </w:style>
  <w:style w:type="paragraph" w:customStyle="1" w:styleId="619">
    <w:name w:val="_Style 3"/>
    <w:qFormat/>
    <w:uiPriority w:val="0"/>
    <w:pPr>
      <w:widowControl w:val="0"/>
      <w:jc w:val="both"/>
    </w:pPr>
    <w:rPr>
      <w:rFonts w:ascii="Calibri" w:hAnsi="Calibri" w:eastAsia="宋体" w:cs="Times New Roman"/>
      <w:kern w:val="2"/>
      <w:sz w:val="21"/>
      <w:szCs w:val="22"/>
      <w:lang w:val="en-US" w:eastAsia="zh-CN" w:bidi="ar-SA"/>
    </w:rPr>
  </w:style>
  <w:style w:type="paragraph" w:customStyle="1" w:styleId="620">
    <w:name w:val="Blockquote"/>
    <w:basedOn w:val="1"/>
    <w:qFormat/>
    <w:uiPriority w:val="0"/>
    <w:pPr>
      <w:autoSpaceDE w:val="0"/>
      <w:autoSpaceDN w:val="0"/>
      <w:adjustRightInd w:val="0"/>
      <w:spacing w:before="100" w:after="100"/>
      <w:ind w:left="360" w:right="360"/>
    </w:pPr>
    <w:rPr>
      <w:rFonts w:ascii="Times New Roman" w:hAnsi="Times New Roman" w:cs="Times New Roman"/>
      <w:kern w:val="0"/>
      <w:sz w:val="24"/>
      <w:szCs w:val="20"/>
    </w:rPr>
  </w:style>
  <w:style w:type="paragraph" w:customStyle="1" w:styleId="621">
    <w:name w:val="列表段落11"/>
    <w:basedOn w:val="1"/>
    <w:qFormat/>
    <w:uiPriority w:val="0"/>
    <w:pPr>
      <w:ind w:firstLine="200" w:firstLineChars="200"/>
    </w:pPr>
  </w:style>
  <w:style w:type="paragraph" w:customStyle="1" w:styleId="622">
    <w:name w:val="列表段落1"/>
    <w:basedOn w:val="1"/>
    <w:qFormat/>
    <w:uiPriority w:val="0"/>
    <w:pPr>
      <w:ind w:firstLine="200" w:firstLineChars="200"/>
    </w:pPr>
  </w:style>
  <w:style w:type="table" w:customStyle="1" w:styleId="623">
    <w:name w:val="Table Normal"/>
    <w:semiHidden/>
    <w:unhideWhenUsed/>
    <w:qFormat/>
    <w:uiPriority w:val="2"/>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117</Pages>
  <Words>47837</Words>
  <Characters>50367</Characters>
  <Lines>493</Lines>
  <Paragraphs>138</Paragraphs>
  <TotalTime>1</TotalTime>
  <ScaleCrop>false</ScaleCrop>
  <LinksUpToDate>false</LinksUpToDate>
  <CharactersWithSpaces>52789</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2020-10-21T03:33:00Z</dcterms:created>
  <dc:creator>袁静</dc:creator>
  <cp:lastModifiedBy>琳</cp:lastModifiedBy>
  <cp:lastPrinted>2025-01-21T00:32:00Z</cp:lastPrinted>
  <dcterms:modified xsi:type="dcterms:W3CDTF">2025-06-24T09:19:37Z</dcterms:modified>
  <dc:title>中华人民共和国</dc:title>
  <cp:revision>113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6F50D9D73F0E48D79E0E6F07D6C33BC5_13</vt:lpwstr>
  </property>
  <property fmtid="{D5CDD505-2E9C-101B-9397-08002B2CF9AE}" pid="4" name="KSOTemplateDocerSaveRecord">
    <vt:lpwstr>eyJoZGlkIjoiNjljNDVlMWU4YzgwNDgzYmY5YTdmMzYzMThmOGI3NTUiLCJ1c2VySWQiOiIxMjExMTcxOTkzIn0=</vt:lpwstr>
  </property>
</Properties>
</file>