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34" w:name="_GoBack"/>
      <w:bookmarkEnd w:id="34"/>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广州市净水有限公司2025-2026年度能源管理系统维保项目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方正小标宋简体" w:hAnsi="方正小标宋简体" w:eastAsia="仿宋" w:cs="方正小标宋简体"/>
          <w:sz w:val="44"/>
          <w:szCs w:val="44"/>
          <w:lang w:val="en-US" w:eastAsia="zh-CN"/>
        </w:rPr>
        <w:sectPr>
          <w:footerReference r:id="rId4" w:type="first"/>
          <w:footerReference r:id="rId3" w:type="default"/>
          <w:pgSz w:w="11906" w:h="16838"/>
          <w:pgMar w:top="2098" w:right="1474" w:bottom="1985" w:left="1588" w:header="737"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黑体" w:hAnsi="黑体" w:eastAsia="黑体" w:cs="仿宋_GB2312"/>
          <w:color w:val="auto"/>
          <w:sz w:val="32"/>
          <w:szCs w:val="32"/>
          <w:highlight w:val="none"/>
          <w:lang w:val="en-US" w:eastAsia="zh-CN"/>
        </w:rPr>
        <w:t>二〇二五年五月</w:t>
      </w: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仿宋_GB2312" w:eastAsia="仿宋"/>
          <w:color w:val="auto"/>
          <w:sz w:val="28"/>
          <w:szCs w:val="28"/>
          <w:highlight w:val="none"/>
        </w:rPr>
      </w:pPr>
    </w:p>
    <w:p>
      <w:pPr>
        <w:rPr>
          <w:color w:val="auto"/>
          <w:highlight w:val="none"/>
        </w:rPr>
      </w:pPr>
      <w:r>
        <w:rPr>
          <w:color w:val="auto"/>
          <w:highlight w:val="none"/>
        </w:rPr>
        <w:br w:type="textWrapping"/>
      </w:r>
    </w:p>
    <w:p>
      <w:pPr>
        <w:rPr>
          <w:color w:val="auto"/>
          <w:highlight w:val="none"/>
        </w:rPr>
      </w:pPr>
      <w:r>
        <w:rPr>
          <w:color w:val="auto"/>
          <w:highlight w:val="none"/>
        </w:rPr>
        <w:br w:type="page"/>
      </w:r>
    </w:p>
    <w:p>
      <w:pPr>
        <w:pStyle w:val="3"/>
        <w:rPr>
          <w:rFonts w:hint="eastAsia" w:eastAsia="方正小标宋简体"/>
          <w:color w:val="auto"/>
          <w:highlight w:val="none"/>
          <w:lang w:eastAsia="zh-CN"/>
        </w:rPr>
      </w:pPr>
      <w:bookmarkStart w:id="0" w:name="_Toc9680"/>
      <w:bookmarkStart w:id="1" w:name="_Toc21373"/>
      <w:r>
        <w:rPr>
          <w:rFonts w:hint="eastAsia"/>
          <w:color w:val="auto"/>
          <w:highlight w:val="none"/>
          <w:lang w:eastAsia="zh-CN"/>
        </w:rPr>
        <w:t>采购公告（采购邀请书）</w:t>
      </w:r>
    </w:p>
    <w:bookmarkEnd w:id="0"/>
    <w:bookmarkEnd w:id="1"/>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广州市净水有限公司2025-2026年度能源管理系统维保</w:t>
      </w:r>
      <w:r>
        <w:rPr>
          <w:rFonts w:hint="eastAsia" w:ascii="仿宋_GB2312" w:eastAsia="仿宋_GB2312"/>
          <w:color w:val="auto"/>
          <w:sz w:val="28"/>
          <w:szCs w:val="28"/>
          <w:highlight w:val="none"/>
          <w:u w:val="single"/>
        </w:rPr>
        <w:t xml:space="preserve">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广州市净水有限公司2025-2026年度能源管理系统维保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XJ-20250520-1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30000.00元，限价含全额增值税专用发票。</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无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广州市净水有限公司2025-2026年度能源管理系统维保</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自合同签订之日起一年</w:t>
      </w:r>
      <w:r>
        <w:rPr>
          <w:rFonts w:hint="eastAsia" w:ascii="仿宋_GB2312" w:eastAsia="仿宋_GB2312"/>
          <w:color w:val="auto"/>
          <w:sz w:val="28"/>
          <w:szCs w:val="28"/>
          <w:highlight w:val="none"/>
          <w:u w:val="none"/>
          <w:lang w:val="en-US"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及各分公司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 w:hAnsi="仿宋" w:eastAsia="仿宋" w:cs="仿宋"/>
          <w:sz w:val="28"/>
          <w:szCs w:val="28"/>
          <w:u w:val="single"/>
          <w:lang w:val="en-US" w:eastAsia="zh-CN"/>
        </w:rPr>
        <w:t>满足采购需求及合同草案要求。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 w:hAnsi="仿宋" w:eastAsia="仿宋" w:cs="仿宋"/>
          <w:sz w:val="28"/>
          <w:szCs w:val="28"/>
          <w:u w:val="single"/>
          <w:lang w:val="en-US" w:eastAsia="zh-CN"/>
        </w:rPr>
        <w:t>满足采购需求及合同草案要求。</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类似</w:t>
      </w:r>
      <w:r>
        <w:rPr>
          <w:rFonts w:hint="default" w:ascii="仿宋_GB2312" w:eastAsia="仿宋_GB2312"/>
          <w:color w:val="auto"/>
          <w:sz w:val="28"/>
          <w:szCs w:val="28"/>
          <w:highlight w:val="none"/>
          <w:u w:val="single"/>
          <w:lang w:val="en-US"/>
        </w:rPr>
        <w:t>能源管理</w:t>
      </w:r>
      <w:r>
        <w:rPr>
          <w:rFonts w:hint="eastAsia" w:ascii="仿宋_GB2312" w:eastAsia="仿宋_GB2312"/>
          <w:color w:val="auto"/>
          <w:sz w:val="28"/>
          <w:szCs w:val="28"/>
          <w:highlight w:val="none"/>
          <w:u w:val="single"/>
        </w:rPr>
        <w:t>系统</w:t>
      </w:r>
      <w:r>
        <w:rPr>
          <w:rFonts w:hint="eastAsia" w:ascii="仿宋_GB2312" w:eastAsia="仿宋_GB2312"/>
          <w:color w:val="auto"/>
          <w:sz w:val="28"/>
          <w:szCs w:val="28"/>
          <w:highlight w:val="none"/>
          <w:u w:val="single"/>
          <w:lang w:val="en-US" w:eastAsia="zh-CN"/>
        </w:rPr>
        <w:t>建设或维保</w:t>
      </w:r>
      <w:r>
        <w:rPr>
          <w:rFonts w:hint="eastAsia" w:ascii="仿宋_GB2312" w:eastAsia="仿宋_GB2312"/>
          <w:color w:val="auto"/>
          <w:sz w:val="28"/>
          <w:szCs w:val="28"/>
          <w:highlight w:val="none"/>
        </w:rPr>
        <w:t>项目的业绩。（业绩时间以合同时间为准，业绩金额以合同签订金额为准，提供合同复印件证明，包括但不限于项目名称、金额及实施内容、合同盖章、签订日期，加盖单位公章）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）提供响应承诺书（格式见《承诺函》），供应商承诺于采购结果公告发布或收到采购人通知次日起5个日历天内，提供有效的</w:t>
      </w:r>
      <w:r>
        <w:rPr>
          <w:rFonts w:hint="eastAsia" w:ascii="仿宋_GB2312" w:eastAsia="仿宋_GB2312"/>
          <w:color w:val="auto"/>
          <w:sz w:val="28"/>
          <w:szCs w:val="28"/>
          <w:highlight w:val="none"/>
        </w:rPr>
        <w:t>深圳市中电电力技术股份有限公司</w:t>
      </w:r>
      <w:r>
        <w:rPr>
          <w:rFonts w:hint="eastAsia" w:ascii="仿宋_GB2312" w:eastAsia="仿宋_GB2312"/>
          <w:color w:val="auto"/>
          <w:sz w:val="28"/>
          <w:szCs w:val="28"/>
          <w:highlight w:val="none"/>
          <w:lang w:eastAsia="zh-CN"/>
        </w:rPr>
        <w:t>原厂针对本项目的原厂服务承诺函（或有效的售后服务授权），全部需加盖原厂公章，无法在规定时间内提供原厂售后服务承诺函的，则取消成交候选人资格。</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 xml:space="preserve"> 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附件6：关于**项目投诉书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异议人：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提起异议事项的基本事实：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二、</w:t>
      </w:r>
      <w:r>
        <w:rPr>
          <w:rFonts w:hint="eastAsia" w:ascii="仿宋" w:hAnsi="仿宋" w:eastAsia="仿宋" w:cs="仿宋"/>
          <w:bCs/>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附件：1.提起异议的有效线索和相关证明材料</w:t>
      </w:r>
    </w:p>
    <w:p>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异议人与项目有利害关系的其他证明材料</w:t>
      </w:r>
    </w:p>
    <w:p>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法定代表人证明书</w:t>
      </w:r>
    </w:p>
    <w:p>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授权委托书原件</w:t>
      </w:r>
    </w:p>
    <w:p>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被授权人身份证复印件</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此致</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u w:val="single"/>
        </w:rPr>
        <w:t>（采购人）</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w:t>
      </w:r>
      <w:r>
        <w:rPr>
          <w:rFonts w:hint="eastAsia" w:hAnsi="仿宋"/>
          <w:sz w:val="24"/>
          <w:highlight w:val="none"/>
          <w:lang w:val="en-US" w:eastAsia="zh-CN"/>
        </w:rPr>
        <w:t>应当</w:t>
      </w:r>
      <w:r>
        <w:rPr>
          <w:rFonts w:hAnsi="仿宋"/>
          <w:sz w:val="24"/>
          <w:highlight w:val="none"/>
        </w:rPr>
        <w:t>由其法定代表人或者授权代表签字并盖章；其他组织或者自然人提出异议的，异议书</w:t>
      </w:r>
      <w:r>
        <w:rPr>
          <w:rFonts w:hint="eastAsia" w:hAnsi="仿宋"/>
          <w:sz w:val="24"/>
          <w:highlight w:val="none"/>
          <w:lang w:val="en-US" w:eastAsia="zh-CN"/>
        </w:rPr>
        <w:t>应当</w:t>
      </w:r>
      <w:r>
        <w:rPr>
          <w:rFonts w:hAnsi="仿宋"/>
          <w:sz w:val="24"/>
          <w:highlight w:val="none"/>
        </w:rPr>
        <w:t>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pPr>
        <w:rPr>
          <w:rFonts w:hAnsi="仿宋"/>
          <w:sz w:val="24"/>
          <w:highlight w:val="none"/>
        </w:rPr>
      </w:pPr>
      <w:r>
        <w:rPr>
          <w:rFonts w:hAnsi="仿宋"/>
          <w:sz w:val="24"/>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项目投诉书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r>
        <w:rPr>
          <w:rFonts w:hint="eastAsia" w:ascii="仿宋" w:hAnsi="仿宋" w:eastAsia="仿宋" w:cs="仿宋"/>
          <w:kern w:val="0"/>
          <w:sz w:val="32"/>
          <w:szCs w:val="32"/>
          <w:highlight w:val="none"/>
        </w:rPr>
        <w:t>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性别：</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被投诉人：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通讯地址（如有）：</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提起投诉事项的基本事实：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有效线索和相关证明材料（包括主要证据）：</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投诉人与提起项目有利害关系的证明材料（见说明）：</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投诉人（公章）：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pPr>
        <w:rPr>
          <w:rFonts w:hAnsi="仿宋"/>
          <w:sz w:val="24"/>
          <w:highlight w:val="none"/>
        </w:rPr>
      </w:pPr>
      <w:r>
        <w:rPr>
          <w:rFonts w:hAnsi="仿宋"/>
          <w:sz w:val="24"/>
          <w:highlight w:val="none"/>
        </w:rPr>
        <w:t xml:space="preserve">2. </w:t>
      </w:r>
      <w:r>
        <w:rPr>
          <w:rFonts w:hint="eastAsia" w:hAnsi="仿宋"/>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pPr>
        <w:rPr>
          <w:rFonts w:hAnsi="仿宋"/>
          <w:sz w:val="24"/>
          <w:highlight w:val="none"/>
        </w:rPr>
      </w:pPr>
      <w:r>
        <w:rPr>
          <w:rFonts w:hAnsi="仿宋"/>
          <w:sz w:val="24"/>
          <w:highlight w:val="none"/>
        </w:rPr>
        <w:t>3.为证明与投诉项目有利害关系，投标人以外的其他投诉人应当提供相应证明材料：</w:t>
      </w:r>
    </w:p>
    <w:p>
      <w:pPr>
        <w:outlineLvl w:val="0"/>
        <w:rPr>
          <w:rFonts w:hAnsi="仿宋"/>
          <w:sz w:val="24"/>
          <w:highlight w:val="none"/>
        </w:rPr>
      </w:pPr>
      <w:r>
        <w:rPr>
          <w:rFonts w:hAnsi="仿宋"/>
          <w:sz w:val="24"/>
          <w:highlight w:val="none"/>
        </w:rPr>
        <w:t xml:space="preserve">    （1）属潜在投标人的，提交符合法定有关资格要求的证明文件；</w:t>
      </w:r>
    </w:p>
    <w:p>
      <w:pPr>
        <w:widowControl/>
        <w:spacing w:line="360" w:lineRule="auto"/>
        <w:ind w:firstLine="480" w:firstLineChars="200"/>
        <w:jc w:val="left"/>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r>
        <w:rPr>
          <w:rFonts w:hint="eastAsia" w:hAnsi="仿宋"/>
          <w:sz w:val="24"/>
          <w:highlight w:val="none"/>
        </w:rPr>
        <w:t>（</w:t>
      </w:r>
      <w:r>
        <w:rPr>
          <w:rFonts w:hAnsi="仿宋"/>
          <w:sz w:val="24"/>
          <w:highlight w:val="none"/>
        </w:rPr>
        <w:t>3）可证明与投诉项目有利害关系的其他证明文件。</w:t>
      </w:r>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采购方法</w:t>
      </w: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r>
        <w:rPr>
          <w:rFonts w:hint="eastAsia" w:eastAsia="仿宋"/>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评审办法</w:t>
      </w:r>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r>
        <w:rPr>
          <w:rFonts w:hint="eastAsia" w:eastAsia="仿宋"/>
          <w:color w:val="auto"/>
          <w:highlight w:val="none"/>
        </w:rPr>
        <w:t>经评审的最低价法</w:t>
      </w:r>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w:t>
      </w:r>
      <w:r>
        <w:rPr>
          <w:rFonts w:hint="eastAsia" w:ascii="仿宋_GB2312" w:eastAsia="仿宋" w:hAnsiTheme="minorEastAsia"/>
          <w:color w:val="auto"/>
          <w:sz w:val="28"/>
          <w:szCs w:val="28"/>
          <w:highlight w:val="none"/>
          <w:lang w:val="en-US" w:eastAsia="zh-CN"/>
        </w:rPr>
        <w:t>以供应商提供的合格的业绩金额进行排序，业绩金额最高的排名靠前，以此类推。</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bookmarkStart w:id="2" w:name="_Toc88209947"/>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pStyle w:val="4"/>
        <w:rPr>
          <w:color w:val="auto"/>
          <w:szCs w:val="44"/>
          <w:highlight w:val="none"/>
        </w:rPr>
      </w:pPr>
      <w:r>
        <w:rPr>
          <w:rFonts w:hint="eastAsia"/>
          <w:color w:val="auto"/>
          <w:szCs w:val="44"/>
          <w:highlight w:val="none"/>
        </w:rPr>
        <w:t>采购需求</w:t>
      </w:r>
      <w:bookmarkEnd w:id="2"/>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pStyle w:val="23"/>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广州市净水有限公司2025-2026年度能源管理系统维保</w:t>
      </w:r>
      <w:r>
        <w:rPr>
          <w:rFonts w:hint="eastAsia" w:ascii="仿宋_GB2312" w:eastAsia="仿宋_GB2312"/>
          <w:color w:val="auto"/>
          <w:sz w:val="28"/>
          <w:szCs w:val="28"/>
          <w:highlight w:val="none"/>
          <w:u w:val="single"/>
        </w:rPr>
        <w:t>项目</w:t>
      </w:r>
    </w:p>
    <w:p>
      <w:pPr>
        <w:pStyle w:val="23"/>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none"/>
          <w:lang w:val="en-US" w:eastAsia="zh-CN"/>
        </w:rPr>
        <w:t>项目地点：</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及各分公司</w:t>
      </w:r>
    </w:p>
    <w:p>
      <w:pPr>
        <w:pStyle w:val="23"/>
        <w:rPr>
          <w:rFonts w:hint="eastAsia" w:ascii="仿宋_GB2312" w:hAnsi="宋体" w:eastAsia="仿宋_GB2312" w:cs="Times New Roman"/>
          <w:color w:val="auto"/>
          <w:sz w:val="28"/>
          <w:szCs w:val="28"/>
          <w:highlight w:val="none"/>
          <w:u w:val="single"/>
        </w:rPr>
      </w:pP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1年</w:t>
      </w:r>
      <w:r>
        <w:rPr>
          <w:rFonts w:hint="eastAsia" w:ascii="仿宋_GB2312" w:eastAsia="仿宋_GB2312"/>
          <w:color w:val="auto"/>
          <w:sz w:val="28"/>
          <w:szCs w:val="28"/>
          <w:highlight w:val="none"/>
          <w:u w:val="single"/>
        </w:rPr>
        <w:t xml:space="preserve"> </w:t>
      </w:r>
    </w:p>
    <w:p>
      <w:pPr>
        <w:spacing w:before="120" w:line="600" w:lineRule="exact"/>
        <w:ind w:firstLine="843" w:firstLineChars="300"/>
        <w:jc w:val="left"/>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u w:val="none"/>
          <w:lang w:val="en-US" w:eastAsia="zh-CN"/>
        </w:rPr>
        <w:t>二、维保内容：</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1.</w:t>
      </w:r>
      <w:r>
        <w:rPr>
          <w:rFonts w:hint="eastAsia" w:ascii="仿宋_GB2312" w:hAnsi="宋体" w:eastAsia="仿宋_GB2312" w:cs="Times New Roman"/>
          <w:color w:val="auto"/>
          <w:sz w:val="28"/>
          <w:szCs w:val="28"/>
          <w:highlight w:val="none"/>
          <w:u w:val="single"/>
        </w:rPr>
        <w:t>现场检查与维护保养</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每</w:t>
      </w:r>
      <w:r>
        <w:rPr>
          <w:rFonts w:hint="eastAsia" w:ascii="仿宋_GB2312" w:hAnsi="宋体" w:eastAsia="仿宋_GB2312" w:cs="Times New Roman"/>
          <w:color w:val="auto"/>
          <w:sz w:val="28"/>
          <w:szCs w:val="28"/>
          <w:highlight w:val="none"/>
          <w:u w:val="single"/>
          <w:lang w:val="en-US" w:eastAsia="zh-CN"/>
        </w:rPr>
        <w:t>半年</w:t>
      </w:r>
      <w:r>
        <w:rPr>
          <w:rFonts w:hint="eastAsia" w:ascii="仿宋_GB2312" w:hAnsi="宋体" w:eastAsia="仿宋_GB2312" w:cs="Times New Roman"/>
          <w:color w:val="auto"/>
          <w:sz w:val="28"/>
          <w:szCs w:val="28"/>
          <w:highlight w:val="none"/>
          <w:u w:val="single"/>
        </w:rPr>
        <w:t>对系统和</w:t>
      </w:r>
      <w:r>
        <w:rPr>
          <w:rFonts w:hint="eastAsia" w:ascii="仿宋_GB2312" w:hAnsi="宋体" w:eastAsia="仿宋_GB2312" w:cs="Times New Roman"/>
          <w:color w:val="auto"/>
          <w:sz w:val="28"/>
          <w:szCs w:val="28"/>
          <w:highlight w:val="none"/>
          <w:u w:val="single"/>
          <w:lang w:val="en-US" w:eastAsia="zh-CN"/>
        </w:rPr>
        <w:t>所有厂区</w:t>
      </w:r>
      <w:r>
        <w:rPr>
          <w:rFonts w:hint="eastAsia" w:ascii="仿宋_GB2312" w:hAnsi="宋体" w:eastAsia="仿宋_GB2312" w:cs="Times New Roman"/>
          <w:color w:val="auto"/>
          <w:sz w:val="28"/>
          <w:szCs w:val="28"/>
          <w:highlight w:val="none"/>
          <w:u w:val="single"/>
        </w:rPr>
        <w:t>设备进行一次全面的现场检查和维护保养，确保设备处于良好运行状态。</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检查内容包括但不限于设备外观、运行参数、报警信息、通讯状态等</w:t>
      </w:r>
      <w:r>
        <w:rPr>
          <w:rFonts w:hint="eastAsia" w:ascii="仿宋_GB2312" w:hAnsi="宋体" w:eastAsia="仿宋_GB2312" w:cs="Times New Roman"/>
          <w:color w:val="auto"/>
          <w:sz w:val="28"/>
          <w:szCs w:val="28"/>
          <w:highlight w:val="none"/>
          <w:u w:val="single"/>
          <w:lang w:val="en-US" w:eastAsia="zh-CN"/>
        </w:rPr>
        <w:t>等</w:t>
      </w:r>
      <w:r>
        <w:rPr>
          <w:rFonts w:hint="eastAsia" w:ascii="仿宋_GB2312" w:hAnsi="宋体" w:eastAsia="仿宋_GB2312" w:cs="Times New Roman"/>
          <w:color w:val="auto"/>
          <w:sz w:val="28"/>
          <w:szCs w:val="28"/>
          <w:highlight w:val="none"/>
          <w:u w:val="single"/>
        </w:rPr>
        <w:t>，对发现的问题及时进行处理和修复。</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每次检查完成后，提交书面检查报告，报告内容包括检查日期、检查人员、检查项目、发现的问题及处理措施等，以便</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存档和参考，每年</w:t>
      </w:r>
      <w:r>
        <w:rPr>
          <w:rFonts w:hint="eastAsia" w:ascii="仿宋_GB2312" w:hAnsi="宋体" w:eastAsia="仿宋_GB2312" w:cs="Times New Roman"/>
          <w:color w:val="auto"/>
          <w:sz w:val="28"/>
          <w:szCs w:val="28"/>
          <w:highlight w:val="none"/>
          <w:u w:val="single"/>
          <w:lang w:val="en-US" w:eastAsia="zh-CN"/>
        </w:rPr>
        <w:t>2</w:t>
      </w:r>
      <w:r>
        <w:rPr>
          <w:rFonts w:hint="eastAsia" w:ascii="仿宋_GB2312" w:hAnsi="宋体" w:eastAsia="仿宋_GB2312" w:cs="Times New Roman"/>
          <w:color w:val="auto"/>
          <w:sz w:val="28"/>
          <w:szCs w:val="28"/>
          <w:highlight w:val="none"/>
          <w:u w:val="single"/>
        </w:rPr>
        <w:t>次。</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2.</w:t>
      </w:r>
      <w:r>
        <w:rPr>
          <w:rFonts w:hint="eastAsia" w:ascii="仿宋_GB2312" w:hAnsi="宋体" w:eastAsia="仿宋_GB2312" w:cs="Times New Roman"/>
          <w:color w:val="auto"/>
          <w:sz w:val="28"/>
          <w:szCs w:val="28"/>
          <w:highlight w:val="none"/>
          <w:u w:val="single"/>
        </w:rPr>
        <w:t>技术培训</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向</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的技术人员和运行操作人员提供</w:t>
      </w:r>
      <w:r>
        <w:rPr>
          <w:rFonts w:hint="eastAsia" w:ascii="仿宋_GB2312" w:hAnsi="宋体" w:eastAsia="仿宋_GB2312" w:cs="Times New Roman"/>
          <w:color w:val="auto"/>
          <w:sz w:val="28"/>
          <w:szCs w:val="28"/>
          <w:highlight w:val="none"/>
          <w:u w:val="single"/>
          <w:lang w:val="en-US" w:eastAsia="zh-CN"/>
        </w:rPr>
        <w:t>至少2</w:t>
      </w:r>
      <w:r>
        <w:rPr>
          <w:rFonts w:hint="eastAsia" w:ascii="仿宋_GB2312" w:hAnsi="宋体" w:eastAsia="仿宋_GB2312" w:cs="Times New Roman"/>
          <w:color w:val="auto"/>
          <w:sz w:val="28"/>
          <w:szCs w:val="28"/>
          <w:highlight w:val="none"/>
          <w:u w:val="single"/>
        </w:rPr>
        <w:t>次技术培训。培训内容包括设备的操作、维护、故障排除等方面的知识，提升</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人员的技术水平和操作能力，确保其能够熟练掌握设备的使用和维护方法。</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3.</w:t>
      </w:r>
      <w:r>
        <w:rPr>
          <w:rFonts w:hint="eastAsia" w:ascii="仿宋_GB2312" w:hAnsi="宋体" w:eastAsia="仿宋_GB2312" w:cs="Times New Roman"/>
          <w:color w:val="auto"/>
          <w:sz w:val="28"/>
          <w:szCs w:val="28"/>
          <w:highlight w:val="none"/>
          <w:u w:val="single"/>
        </w:rPr>
        <w:t>现场紧急事件处理</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提供快速响应的现场紧急事件处理服务。接到</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电话通知后，</w:t>
      </w:r>
      <w:r>
        <w:rPr>
          <w:rFonts w:hint="eastAsia" w:ascii="仿宋_GB2312" w:hAnsi="宋体" w:eastAsia="仿宋_GB2312" w:cs="Times New Roman"/>
          <w:color w:val="auto"/>
          <w:sz w:val="28"/>
          <w:szCs w:val="28"/>
          <w:highlight w:val="none"/>
          <w:u w:val="single"/>
          <w:lang w:val="en-US" w:eastAsia="zh-CN"/>
        </w:rPr>
        <w:t>需</w:t>
      </w:r>
      <w:r>
        <w:rPr>
          <w:rFonts w:hint="eastAsia" w:ascii="仿宋_GB2312" w:hAnsi="宋体" w:eastAsia="仿宋_GB2312" w:cs="Times New Roman"/>
          <w:color w:val="auto"/>
          <w:sz w:val="28"/>
          <w:szCs w:val="28"/>
          <w:highlight w:val="none"/>
          <w:u w:val="single"/>
        </w:rPr>
        <w:t>12小时内到达现场，迅速对紧急事件进行处理，提交书面检查保养维护或故障处理</w:t>
      </w:r>
      <w:r>
        <w:rPr>
          <w:rFonts w:hint="eastAsia" w:ascii="仿宋_GB2312" w:hAnsi="宋体" w:eastAsia="仿宋_GB2312" w:cs="Times New Roman"/>
          <w:color w:val="auto"/>
          <w:sz w:val="28"/>
          <w:szCs w:val="28"/>
          <w:highlight w:val="none"/>
          <w:u w:val="single"/>
          <w:lang w:val="en-US" w:eastAsia="zh-CN"/>
        </w:rPr>
        <w:t>记录，</w:t>
      </w:r>
      <w:r>
        <w:rPr>
          <w:rFonts w:hint="eastAsia" w:ascii="仿宋_GB2312" w:hAnsi="宋体" w:eastAsia="仿宋_GB2312" w:cs="Times New Roman"/>
          <w:color w:val="auto"/>
          <w:sz w:val="28"/>
          <w:szCs w:val="28"/>
          <w:highlight w:val="none"/>
          <w:u w:val="single"/>
        </w:rPr>
        <w:t>确保系统和设备的正常运行，减少故障对生产的影响。</w:t>
      </w:r>
    </w:p>
    <w:p>
      <w:pPr>
        <w:pStyle w:val="23"/>
        <w:numPr>
          <w:ilvl w:val="0"/>
          <w:numId w:val="0"/>
        </w:numPr>
        <w:ind w:firstLine="560" w:firstLineChars="200"/>
        <w:rPr>
          <w:rFonts w:hint="eastAsia" w:ascii="仿宋_GB2312" w:hAnsi="宋体" w:eastAsia="仿宋_GB2312" w:cs="Times New Roman"/>
          <w:color w:val="auto"/>
          <w:kern w:val="0"/>
          <w:sz w:val="28"/>
          <w:szCs w:val="28"/>
          <w:highlight w:val="none"/>
          <w:u w:val="single"/>
          <w:lang w:val="en-US" w:eastAsia="zh-CN" w:bidi="ar-SA"/>
        </w:rPr>
      </w:pPr>
      <w:r>
        <w:rPr>
          <w:rFonts w:hint="eastAsia" w:ascii="仿宋_GB2312" w:hAnsi="宋体" w:eastAsia="仿宋_GB2312" w:cs="Times New Roman"/>
          <w:color w:val="auto"/>
          <w:kern w:val="0"/>
          <w:sz w:val="28"/>
          <w:szCs w:val="28"/>
          <w:highlight w:val="none"/>
          <w:u w:val="single"/>
          <w:lang w:val="en-US" w:eastAsia="zh-CN" w:bidi="ar-SA"/>
        </w:rPr>
        <w:t>4.广州市能源管理平台对接</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u w:val="single"/>
          <w:lang w:val="en-US" w:eastAsia="zh-CN"/>
        </w:rPr>
        <w:t>包括数据断开连接恢复、数据安全隔离、数据补录等，确保数据采集及对接稳定性,保障市平台数据采集稳定率不低于95% 。</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5.</w:t>
      </w:r>
      <w:r>
        <w:rPr>
          <w:rFonts w:hint="eastAsia" w:ascii="仿宋_GB2312" w:hAnsi="宋体" w:eastAsia="仿宋_GB2312" w:cs="Times New Roman"/>
          <w:color w:val="auto"/>
          <w:sz w:val="28"/>
          <w:szCs w:val="28"/>
          <w:highlight w:val="none"/>
          <w:u w:val="single"/>
        </w:rPr>
        <w:t>重大活动维保支持</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在维保期内，针对</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的重大活动，</w:t>
      </w:r>
      <w:r>
        <w:rPr>
          <w:rFonts w:hint="eastAsia" w:ascii="仿宋_GB2312" w:hAnsi="宋体" w:eastAsia="仿宋_GB2312" w:cs="Times New Roman"/>
          <w:color w:val="auto"/>
          <w:sz w:val="28"/>
          <w:szCs w:val="28"/>
          <w:highlight w:val="none"/>
          <w:u w:val="single"/>
          <w:lang w:val="en-US" w:eastAsia="zh-CN"/>
        </w:rPr>
        <w:t>按要求</w:t>
      </w:r>
      <w:r>
        <w:rPr>
          <w:rFonts w:hint="eastAsia" w:ascii="仿宋_GB2312" w:hAnsi="宋体" w:eastAsia="仿宋_GB2312" w:cs="Times New Roman"/>
          <w:color w:val="auto"/>
          <w:sz w:val="28"/>
          <w:szCs w:val="28"/>
          <w:highlight w:val="none"/>
          <w:u w:val="single"/>
        </w:rPr>
        <w:t>提前对系统进行全面检查和优化，确保活动期间监控系统的稳定运行，为重大活动提供可靠保障。</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6.</w:t>
      </w:r>
      <w:r>
        <w:rPr>
          <w:rFonts w:hint="eastAsia" w:ascii="仿宋_GB2312" w:hAnsi="宋体" w:eastAsia="仿宋_GB2312" w:cs="Times New Roman"/>
          <w:color w:val="auto"/>
          <w:sz w:val="28"/>
          <w:szCs w:val="28"/>
          <w:highlight w:val="none"/>
          <w:u w:val="single"/>
        </w:rPr>
        <w:t>数据异常分析</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对于</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现场数据异常等事件，协助进行数据异常分析，找出问题的根本原因，为</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提供准确的解决方案，保障系统的安全运行。</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7.</w:t>
      </w:r>
      <w:r>
        <w:rPr>
          <w:rFonts w:hint="eastAsia" w:ascii="仿宋_GB2312" w:hAnsi="宋体" w:eastAsia="仿宋_GB2312" w:cs="Times New Roman"/>
          <w:color w:val="auto"/>
          <w:sz w:val="28"/>
          <w:szCs w:val="28"/>
          <w:highlight w:val="none"/>
          <w:u w:val="single"/>
        </w:rPr>
        <w:t>系统升级</w:t>
      </w:r>
      <w:r>
        <w:rPr>
          <w:rFonts w:hint="eastAsia" w:ascii="仿宋_GB2312" w:hAnsi="宋体" w:eastAsia="仿宋_GB2312" w:cs="Times New Roman"/>
          <w:color w:val="auto"/>
          <w:sz w:val="28"/>
          <w:szCs w:val="28"/>
          <w:highlight w:val="none"/>
          <w:u w:val="single"/>
          <w:lang w:val="en-US" w:eastAsia="zh-CN"/>
        </w:rPr>
        <w:t>优化及</w:t>
      </w:r>
      <w:r>
        <w:rPr>
          <w:rFonts w:hint="eastAsia" w:ascii="仿宋_GB2312" w:hAnsi="宋体" w:eastAsia="仿宋_GB2312" w:cs="Times New Roman"/>
          <w:color w:val="auto"/>
          <w:sz w:val="28"/>
          <w:szCs w:val="28"/>
          <w:highlight w:val="none"/>
          <w:u w:val="single"/>
        </w:rPr>
        <w:t>改造</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结合现场系统运行情况，对需要</w:t>
      </w:r>
      <w:r>
        <w:rPr>
          <w:rFonts w:hint="eastAsia" w:ascii="仿宋_GB2312" w:hAnsi="宋体" w:eastAsia="仿宋_GB2312" w:cs="Times New Roman"/>
          <w:color w:val="auto"/>
          <w:sz w:val="28"/>
          <w:szCs w:val="28"/>
          <w:highlight w:val="none"/>
          <w:u w:val="single"/>
          <w:lang w:val="en-US" w:eastAsia="zh-CN"/>
        </w:rPr>
        <w:t>升级优化的</w:t>
      </w:r>
      <w:r>
        <w:rPr>
          <w:rFonts w:hint="eastAsia" w:ascii="仿宋_GB2312" w:hAnsi="宋体" w:eastAsia="仿宋_GB2312" w:cs="Times New Roman"/>
          <w:color w:val="auto"/>
          <w:sz w:val="28"/>
          <w:szCs w:val="28"/>
          <w:highlight w:val="none"/>
          <w:u w:val="single"/>
        </w:rPr>
        <w:t>系统</w:t>
      </w:r>
      <w:r>
        <w:rPr>
          <w:rFonts w:hint="eastAsia" w:ascii="仿宋_GB2312" w:hAnsi="宋体" w:eastAsia="仿宋_GB2312" w:cs="Times New Roman"/>
          <w:color w:val="auto"/>
          <w:sz w:val="28"/>
          <w:szCs w:val="28"/>
          <w:highlight w:val="none"/>
          <w:u w:val="single"/>
          <w:lang w:val="en-US" w:eastAsia="zh-CN"/>
        </w:rPr>
        <w:t>进行</w:t>
      </w:r>
      <w:r>
        <w:rPr>
          <w:rFonts w:hint="eastAsia" w:ascii="仿宋_GB2312" w:hAnsi="宋体" w:eastAsia="仿宋_GB2312" w:cs="Times New Roman"/>
          <w:color w:val="auto"/>
          <w:sz w:val="28"/>
          <w:szCs w:val="28"/>
          <w:highlight w:val="none"/>
          <w:u w:val="single"/>
        </w:rPr>
        <w:t>升级</w:t>
      </w:r>
      <w:r>
        <w:rPr>
          <w:rFonts w:hint="eastAsia" w:ascii="仿宋_GB2312" w:hAnsi="宋体" w:eastAsia="仿宋_GB2312" w:cs="Times New Roman"/>
          <w:color w:val="auto"/>
          <w:sz w:val="28"/>
          <w:szCs w:val="28"/>
          <w:highlight w:val="none"/>
          <w:u w:val="single"/>
          <w:lang w:val="en-US" w:eastAsia="zh-CN"/>
        </w:rPr>
        <w:t>优化，对需要</w:t>
      </w:r>
      <w:r>
        <w:rPr>
          <w:rFonts w:hint="eastAsia" w:ascii="仿宋_GB2312" w:hAnsi="宋体" w:eastAsia="仿宋_GB2312" w:cs="Times New Roman"/>
          <w:color w:val="auto"/>
          <w:sz w:val="28"/>
          <w:szCs w:val="28"/>
          <w:highlight w:val="none"/>
          <w:u w:val="single"/>
        </w:rPr>
        <w:t>改造的项目给出合理的升级改造方案。</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8.</w:t>
      </w:r>
      <w:r>
        <w:rPr>
          <w:rFonts w:hint="eastAsia" w:ascii="仿宋_GB2312" w:hAnsi="宋体" w:eastAsia="仿宋_GB2312" w:cs="Times New Roman"/>
          <w:color w:val="auto"/>
          <w:sz w:val="28"/>
          <w:szCs w:val="28"/>
          <w:highlight w:val="none"/>
          <w:u w:val="single"/>
        </w:rPr>
        <w:t>设备维护与协助</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对于</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现有设备的同型号更换、升级改造、点位增加等工作，提供服务帮助重新接入系统，确保设备的正常运行。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9.</w:t>
      </w:r>
      <w:r>
        <w:rPr>
          <w:rFonts w:hint="eastAsia" w:ascii="仿宋_GB2312" w:hAnsi="宋体" w:eastAsia="仿宋_GB2312" w:cs="Times New Roman"/>
          <w:color w:val="auto"/>
          <w:sz w:val="28"/>
          <w:szCs w:val="28"/>
          <w:highlight w:val="none"/>
          <w:u w:val="single"/>
        </w:rPr>
        <w:t>隐患排查</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根据</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要求，对系统进行全面、细致的检查，及时发现潜在隐患并整改，</w:t>
      </w:r>
      <w:r>
        <w:rPr>
          <w:rFonts w:hint="eastAsia" w:ascii="仿宋_GB2312" w:hAnsi="宋体" w:eastAsia="仿宋_GB2312" w:cs="Times New Roman"/>
          <w:color w:val="auto"/>
          <w:sz w:val="28"/>
          <w:szCs w:val="28"/>
          <w:highlight w:val="none"/>
          <w:u w:val="single"/>
          <w:lang w:val="en-US" w:eastAsia="zh-CN"/>
        </w:rPr>
        <w:t>修复安全漏洞，</w:t>
      </w:r>
      <w:r>
        <w:rPr>
          <w:rFonts w:hint="eastAsia" w:ascii="仿宋_GB2312" w:hAnsi="宋体" w:eastAsia="仿宋_GB2312" w:cs="Times New Roman"/>
          <w:color w:val="auto"/>
          <w:sz w:val="28"/>
          <w:szCs w:val="28"/>
          <w:highlight w:val="none"/>
          <w:u w:val="single"/>
        </w:rPr>
        <w:t>保障系统的安全稳定运行。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10.</w:t>
      </w:r>
      <w:r>
        <w:rPr>
          <w:rFonts w:hint="eastAsia" w:ascii="仿宋_GB2312" w:hAnsi="宋体" w:eastAsia="仿宋_GB2312" w:cs="Times New Roman"/>
          <w:color w:val="auto"/>
          <w:sz w:val="28"/>
          <w:szCs w:val="28"/>
          <w:highlight w:val="none"/>
          <w:u w:val="single"/>
        </w:rPr>
        <w:t>第三方设备影响处理</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rPr>
        <w:t>若第三方设备影响系统的正常运行，及时提出整改建议，并配合第三方查明原因，协助</w:t>
      </w:r>
      <w:r>
        <w:rPr>
          <w:rFonts w:hint="eastAsia" w:ascii="仿宋_GB2312" w:eastAsia="仿宋_GB2312" w:cs="Times New Roman"/>
          <w:color w:val="auto"/>
          <w:sz w:val="28"/>
          <w:szCs w:val="28"/>
          <w:highlight w:val="none"/>
          <w:u w:val="single"/>
          <w:lang w:eastAsia="zh-CN"/>
        </w:rPr>
        <w:t>采购人</w:t>
      </w:r>
      <w:r>
        <w:rPr>
          <w:rFonts w:hint="eastAsia" w:ascii="仿宋_GB2312" w:hAnsi="宋体" w:eastAsia="仿宋_GB2312" w:cs="Times New Roman"/>
          <w:color w:val="auto"/>
          <w:sz w:val="28"/>
          <w:szCs w:val="28"/>
          <w:highlight w:val="none"/>
          <w:u w:val="single"/>
        </w:rPr>
        <w:t>解决相关问题，确保系统的整体协调运行。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u w:val="single"/>
          <w:lang w:val="en-US" w:eastAsia="zh-CN"/>
        </w:rPr>
        <w:t>11.</w:t>
      </w:r>
      <w:r>
        <w:rPr>
          <w:rFonts w:hint="eastAsia" w:ascii="仿宋_GB2312" w:hAnsi="宋体" w:eastAsia="仿宋_GB2312" w:cs="Times New Roman"/>
          <w:color w:val="auto"/>
          <w:sz w:val="28"/>
          <w:szCs w:val="28"/>
          <w:highlight w:val="none"/>
          <w:u w:val="single"/>
        </w:rPr>
        <w:t>远程诊断服务</w:t>
      </w:r>
    </w:p>
    <w:p>
      <w:pPr>
        <w:pStyle w:val="23"/>
        <w:spacing w:before="120" w:line="360" w:lineRule="auto"/>
        <w:ind w:firstLine="560" w:firstLineChars="200"/>
        <w:rPr>
          <w:rFonts w:hint="eastAsia" w:ascii="仿宋_GB2312" w:hAnsi="仿宋_GB2312" w:eastAsia="仿宋_GB2312" w:cs="仿宋_GB2312"/>
          <w:sz w:val="32"/>
          <w:szCs w:val="32"/>
          <w:highlight w:val="none"/>
          <w:u w:val="single"/>
        </w:rPr>
      </w:pPr>
      <w:r>
        <w:rPr>
          <w:rFonts w:hint="eastAsia" w:ascii="仿宋_GB2312" w:hAnsi="宋体" w:eastAsia="仿宋_GB2312" w:cs="Times New Roman"/>
          <w:color w:val="auto"/>
          <w:sz w:val="28"/>
          <w:szCs w:val="28"/>
          <w:highlight w:val="none"/>
          <w:u w:val="single"/>
        </w:rPr>
        <w:t>提供远程诊断服务。通过远程监控和诊断技术，实时了解系统和设备的运行状态，并提供远程技术支持和解决方案，提高维保服务的效率和响应速度</w:t>
      </w:r>
      <w:r>
        <w:rPr>
          <w:rFonts w:hint="eastAsia" w:ascii="仿宋_GB2312" w:hAnsi="仿宋_GB2312" w:eastAsia="仿宋_GB2312" w:cs="仿宋_GB2312"/>
          <w:sz w:val="32"/>
          <w:szCs w:val="32"/>
          <w:highlight w:val="none"/>
          <w:u w:val="single"/>
        </w:rPr>
        <w:t>。</w:t>
      </w:r>
    </w:p>
    <w:p>
      <w:pPr>
        <w:pStyle w:val="23"/>
        <w:spacing w:before="120" w:line="360" w:lineRule="auto"/>
        <w:ind w:firstLine="640" w:firstLineChars="20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三、支付</w:t>
      </w:r>
    </w:p>
    <w:p>
      <w:pPr>
        <w:pStyle w:val="23"/>
        <w:spacing w:before="120" w:line="360" w:lineRule="auto"/>
        <w:ind w:firstLine="480" w:firstLineChars="200"/>
        <w:rPr>
          <w:rFonts w:hint="default" w:ascii="仿宋_GB2312" w:hAnsi="仿宋_GB2312" w:eastAsia="等线" w:cs="仿宋_GB2312"/>
          <w:sz w:val="32"/>
          <w:szCs w:val="32"/>
          <w:highlight w:val="none"/>
          <w:u w:val="single"/>
          <w:lang w:val="en-US" w:eastAsia="zh-CN"/>
        </w:rPr>
      </w:pPr>
      <w:r>
        <w:rPr>
          <w:rFonts w:hint="eastAsia"/>
          <w:lang w:val="en-US" w:eastAsia="zh-CN"/>
        </w:rPr>
        <w:t>本项目由各分公司平均承担，自行支付服务费用，支付比例为1/13。</w:t>
      </w:r>
    </w:p>
    <w:p>
      <w:pPr>
        <w:adjustRightInd/>
        <w:snapToGrid/>
        <w:spacing w:line="240" w:lineRule="auto"/>
        <w:ind w:firstLine="0" w:firstLineChars="0"/>
        <w:jc w:val="left"/>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合同</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Theme="majorHAnsi" w:hAnsiTheme="majorHAnsi" w:eastAsiaTheme="majorEastAsia"/>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能源管理系统维保项目合同</w:t>
      </w:r>
    </w:p>
    <w:p>
      <w:pPr>
        <w:spacing w:line="400" w:lineRule="atLeast"/>
        <w:jc w:val="center"/>
        <w:rPr>
          <w:rFonts w:ascii="宋体" w:hAnsi="宋体"/>
          <w:b/>
          <w:color w:val="000000" w:themeColor="text1"/>
          <w:sz w:val="28"/>
          <w:highlight w:val="none"/>
          <w14:textFill>
            <w14:solidFill>
              <w14:schemeClr w14:val="tx1"/>
            </w14:solidFill>
          </w14:textFill>
        </w:rPr>
      </w:pPr>
    </w:p>
    <w:p>
      <w:pPr>
        <w:pStyle w:val="23"/>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500" w:lineRule="exact"/>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（以下简称“乙方”）依照</w:t>
      </w:r>
      <w:r>
        <w:rPr>
          <w:rFonts w:hint="eastAsia" w:ascii="宋体" w:hAnsi="宋体" w:eastAsia="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广州市净水有限公司能源管理系统维保项目</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⑶</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招标文件</w:t>
      </w:r>
      <w:r>
        <w:rPr>
          <w:rFonts w:ascii="宋体" w:hAnsi="宋体" w:eastAsia="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投标文件</w:t>
      </w:r>
      <w:r>
        <w:rPr>
          <w:rFonts w:ascii="宋体" w:hAnsi="宋体" w:eastAsia="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14:textFill>
            <w14:solidFill>
              <w14:schemeClr w14:val="tx1"/>
            </w14:solidFill>
          </w14:textFill>
        </w:rPr>
        <w:t>本合同其他附件；</w:t>
      </w:r>
    </w:p>
    <w:p>
      <w:pPr>
        <w:spacing w:line="500" w:lineRule="exact"/>
        <w:ind w:firstLine="482"/>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2.1服务地点：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广州市净水有限公司及各分公司</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2.2服务内容：</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1.现场检查与维护保养</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每半年对系统和所有厂区设备进行一次全面的现场检查和维护保养，确保设备处于良好运行状态。</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检查内容包括但不限于设备外观、运行参数、报警信息、通讯状态等等，对发现的问题及时进行处理和修复。</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每次检查完成后，提交书面检查报告，报告内容包括检查日期、检查人员、检查项目、发现的问题及处理措施等，以便甲方存档和参考，每年2次。</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2.技术培训</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向甲方的技术人员和运行操作人员提供至少2次技术培训。培训内容包括设备的操作、维护、故障排除等方面的知识，提升甲方人员的技术水平和操作能力，确保其能够熟练掌握设备的使用和维护方法。</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3.现场紧急事件处理</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提供快速响应的现场紧急事件处理服务。接到甲方电话通知后，需12小时内到达现场，迅速对紧急事件进行处理，提交书面检查保养维护或故障处理记录，确保系统和设备的正常运行，减少故障对生产的影响。</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4.广州市能源管理平台对接</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包括数据断开连接恢复、数据安全隔离、数据补录等，确保数据采集及对接稳定性,保障市平台数据采集稳定率不低于95%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5.重大活动维保支持</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在维保期内，针对甲方的重大活动，按要求提前对系统进行全面检查和优化，确保活动期间监控系统的稳定运行，为重大活动提供可靠保障。</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6.数据异常分析</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对于甲方现场数据异常等事件，协助进行数据异常分析，找出问题的根本原因，为甲方提供准确的解决方案，保障系统的安全运行。</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7.系统升级优化及改造</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结合现场系统运行情况，对需要升级优化的系统进行升级优化，对需要改造的项目给出合理的升级改造方案。</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8.设备维护与协助</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对于甲方现有设备的同型号更换、升级改造、点位增加等工作，提供服务帮助重新接入系统，确保设备的正常运行。</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9.隐患排查</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根据甲方要求，对系统进行全面、细致的检查，及时发现潜在隐患并整改，修复安全漏洞，保障系统的安全稳定运行。</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10.第三方设备影响处理</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若第三方设备影响系统的正常运行，及时提出整改建议，并配合第三方查明原因，协助甲方解决相关问题，确保系统的整体协调运行。</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11.远程诊断服务</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提供远程诊断服务。通过远程监控和诊断技术，实时了解系统和设备的运行状态，并提供远程技术支持和解决方案，提高维保服务的效率和响应速度。</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2.3维护目标：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完成</w:t>
      </w:r>
      <w:r>
        <w:rPr>
          <w:rFonts w:hint="eastAsia" w:ascii="宋体" w:hAnsi="宋体" w:eastAsia="宋体"/>
          <w:color w:val="000000" w:themeColor="text1"/>
          <w:sz w:val="24"/>
          <w:highlight w:val="none"/>
          <w:u w:val="single"/>
          <w14:textFill>
            <w14:solidFill>
              <w14:schemeClr w14:val="tx1"/>
            </w14:solidFill>
          </w14:textFill>
        </w:rPr>
        <w:t>广州市净水有限公司能源管理系统维保</w:t>
      </w:r>
      <w:r>
        <w:rPr>
          <w:rFonts w:hint="eastAsia" w:ascii="宋体" w:hAnsi="宋体" w:eastAsia="宋体"/>
          <w:color w:val="000000" w:themeColor="text1"/>
          <w:sz w:val="24"/>
          <w:highlight w:val="none"/>
          <w:u w:val="single"/>
          <w:lang w:val="en-US" w:eastAsia="zh-CN"/>
          <w14:textFill>
            <w14:solidFill>
              <w14:schemeClr w14:val="tx1"/>
            </w14:solidFill>
          </w14:textFill>
        </w:rPr>
        <w:t>工作，</w:t>
      </w:r>
      <w:r>
        <w:rPr>
          <w:rFonts w:hint="eastAsia" w:ascii="宋体" w:hAnsi="宋体" w:eastAsia="宋体" w:cs="宋体"/>
          <w:color w:val="000000" w:themeColor="text1"/>
          <w:sz w:val="24"/>
          <w:highlight w:val="none"/>
          <w:u w:val="single"/>
          <w14:textFill>
            <w14:solidFill>
              <w14:schemeClr w14:val="tx1"/>
            </w14:solidFill>
          </w14:textFill>
        </w:rPr>
        <w:t>保障全部厂区电力数据正常稳定采集传输，保障与广州市能源管理平台稳定对接，确保系统和设备的稳定运行。</w:t>
      </w:r>
      <w:r>
        <w:rPr>
          <w:rFonts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602" w:firstLineChars="250"/>
        <w:outlineLvl w:val="0"/>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三、服务期限：X年X月X日至X年X月X日止。</w:t>
      </w:r>
    </w:p>
    <w:p>
      <w:pPr>
        <w:spacing w:line="500" w:lineRule="exact"/>
        <w:ind w:firstLine="602" w:firstLineChars="250"/>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lang w:val="en-US" w:eastAsia="zh-CN"/>
          <w14:textFill>
            <w14:solidFill>
              <w14:schemeClr w14:val="tx1"/>
            </w14:solidFill>
          </w14:textFill>
        </w:rPr>
        <w:t>合同以总价包干形式，</w:t>
      </w:r>
      <w:r>
        <w:rPr>
          <w:rFonts w:ascii="宋体" w:hAnsi="宋体" w:eastAsia="宋体" w:cs="宋体"/>
          <w:color w:val="000000" w:themeColor="text1"/>
          <w:sz w:val="24"/>
          <w:highlight w:val="none"/>
          <w14:textFill>
            <w14:solidFill>
              <w14:schemeClr w14:val="tx1"/>
            </w14:solidFill>
          </w14:textFill>
        </w:rPr>
        <w:t>合同总价为：</w:t>
      </w:r>
      <w:r>
        <w:rPr>
          <w:rFonts w:hint="eastAsia" w:ascii="宋体" w:hAnsi="宋体" w:eastAsia="宋体" w:cs="宋体"/>
          <w:b/>
          <w:color w:val="000000" w:themeColor="text1"/>
          <w:sz w:val="24"/>
          <w:highlight w:val="none"/>
          <w:u w:val="single"/>
          <w14:textFill>
            <w14:solidFill>
              <w14:schemeClr w14:val="tx1"/>
            </w14:solidFill>
          </w14:textFill>
        </w:rPr>
        <w:t>人民币</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tbl>
      <w:tblPr>
        <w:tblStyle w:val="24"/>
        <w:tblpPr w:leftFromText="180" w:rightFromText="180" w:vertAnchor="text" w:horzAnchor="page" w:tblpX="712" w:tblpY="222"/>
        <w:tblOverlap w:val="never"/>
        <w:tblW w:w="11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6"/>
        <w:gridCol w:w="757"/>
        <w:gridCol w:w="730"/>
        <w:gridCol w:w="766"/>
        <w:gridCol w:w="846"/>
        <w:gridCol w:w="730"/>
        <w:gridCol w:w="737"/>
        <w:gridCol w:w="730"/>
        <w:gridCol w:w="730"/>
        <w:gridCol w:w="730"/>
        <w:gridCol w:w="730"/>
        <w:gridCol w:w="736"/>
        <w:gridCol w:w="737"/>
        <w:gridCol w:w="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  单位名称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猎德分公司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沥滘分公司</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大坦沙分公司</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大沙地分公司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均禾分公司</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石井净分公司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龙归分公司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竹料分公司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京溪分公司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大观分公司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江高分公司</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健康城分公司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维保费用（元）</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9707"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2"/>
        <w:rPr>
          <w:rFonts w:hint="eastAsia"/>
        </w:rPr>
      </w:pP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b/>
          <w:bCs w:val="0"/>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eastAsia="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  </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3"/>
        <w:spacing w:line="500" w:lineRule="exact"/>
        <w:ind w:firstLine="480" w:firstLineChars="200"/>
        <w:outlineLvl w:val="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5.2</w:t>
      </w:r>
      <w:r>
        <w:rPr>
          <w:rFonts w:hint="eastAsia" w:hAnsi="宋体" w:cs="宋体"/>
          <w:color w:val="000000" w:themeColor="text1"/>
          <w:sz w:val="24"/>
          <w:szCs w:val="24"/>
          <w:highlight w:val="none"/>
          <w:lang w:val="en-US" w:eastAsia="zh-CN"/>
          <w14:textFill>
            <w14:solidFill>
              <w14:schemeClr w14:val="tx1"/>
            </w14:solidFill>
          </w14:textFill>
        </w:rPr>
        <w:t>签订合同之日起</w:t>
      </w:r>
      <w:r>
        <w:rPr>
          <w:rFonts w:hint="eastAsia" w:hAnsi="宋体" w:cs="宋体"/>
          <w:color w:val="000000" w:themeColor="text1"/>
          <w:sz w:val="24"/>
          <w:szCs w:val="24"/>
          <w:highlight w:val="none"/>
          <w:u w:val="single"/>
          <w:lang w:val="en-US" w:eastAsia="zh-CN"/>
          <w14:textFill>
            <w14:solidFill>
              <w14:schemeClr w14:val="tx1"/>
            </w14:solidFill>
          </w14:textFill>
        </w:rPr>
        <w:t>6个月后</w:t>
      </w:r>
      <w:r>
        <w:rPr>
          <w:rFonts w:hint="eastAsia" w:ascii="宋体" w:hAnsi="宋体" w:eastAsia="宋体" w:cs="宋体"/>
          <w:color w:val="000000" w:themeColor="text1"/>
          <w:sz w:val="24"/>
          <w:szCs w:val="24"/>
          <w:highlight w:val="none"/>
          <w14:textFill>
            <w14:solidFill>
              <w14:schemeClr w14:val="tx1"/>
            </w14:solidFill>
          </w14:textFill>
        </w:rPr>
        <w:t>，乙方提交阶段性</w:t>
      </w:r>
      <w:r>
        <w:rPr>
          <w:rFonts w:hint="eastAsia" w:hAnsi="宋体" w:cs="宋体"/>
          <w:color w:val="000000" w:themeColor="text1"/>
          <w:sz w:val="24"/>
          <w:szCs w:val="24"/>
          <w:highlight w:val="none"/>
          <w:lang w:val="en-US" w:eastAsia="zh-CN"/>
          <w14:textFill>
            <w14:solidFill>
              <w14:schemeClr w14:val="tx1"/>
            </w14:solidFill>
          </w14:textFill>
        </w:rPr>
        <w:t>维保</w:t>
      </w:r>
      <w:r>
        <w:rPr>
          <w:rFonts w:hint="eastAsia" w:ascii="宋体" w:hAnsi="宋体" w:eastAsia="宋体" w:cs="宋体"/>
          <w:color w:val="000000" w:themeColor="text1"/>
          <w:sz w:val="24"/>
          <w:szCs w:val="24"/>
          <w:highlight w:val="none"/>
          <w14:textFill>
            <w14:solidFill>
              <w14:schemeClr w14:val="tx1"/>
            </w14:solidFill>
          </w14:textFill>
        </w:rPr>
        <w:t>报告经甲方</w:t>
      </w:r>
      <w:r>
        <w:rPr>
          <w:rFonts w:hint="eastAsia" w:hAnsi="宋体" w:cs="宋体"/>
          <w:color w:val="000000" w:themeColor="text1"/>
          <w:sz w:val="24"/>
          <w:szCs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szCs w:val="24"/>
          <w:highlight w:val="none"/>
          <w14:textFill>
            <w14:solidFill>
              <w14:schemeClr w14:val="tx1"/>
            </w14:solidFill>
          </w14:textFill>
        </w:rPr>
        <w:t>审核通过后，乙方提交</w:t>
      </w:r>
      <w:r>
        <w:rPr>
          <w:rFonts w:hint="eastAsia" w:ascii="宋体" w:hAnsi="宋体" w:eastAsia="宋体" w:cs="宋体"/>
          <w:color w:val="000000" w:themeColor="text1"/>
          <w:sz w:val="24"/>
          <w:szCs w:val="24"/>
          <w:highlight w:val="none"/>
          <w:u w:val="single"/>
          <w14:textFill>
            <w14:solidFill>
              <w14:schemeClr w14:val="tx1"/>
            </w14:solidFill>
          </w14:textFill>
        </w:rPr>
        <w:t>申请支付资料</w:t>
      </w:r>
      <w:r>
        <w:rPr>
          <w:rFonts w:hint="eastAsia" w:ascii="宋体" w:hAnsi="宋体" w:eastAsia="宋体" w:cs="宋体"/>
          <w:color w:val="000000" w:themeColor="text1"/>
          <w:sz w:val="24"/>
          <w:szCs w:val="24"/>
          <w:highlight w:val="none"/>
          <w14:textFill>
            <w14:solidFill>
              <w14:schemeClr w14:val="tx1"/>
            </w14:solidFill>
          </w14:textFill>
        </w:rPr>
        <w:t>及等额发票后</w:t>
      </w:r>
      <w:r>
        <w:rPr>
          <w:rFonts w:ascii="宋体" w:hAnsi="宋体" w:eastAsia="宋体" w:cs="宋体"/>
          <w:color w:val="000000" w:themeColor="text1"/>
          <w:sz w:val="24"/>
          <w:szCs w:val="24"/>
          <w:highlight w:val="none"/>
          <w:u w:val="single"/>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个工作日内，甲方</w:t>
      </w:r>
      <w:r>
        <w:rPr>
          <w:rFonts w:hint="eastAsia" w:hAnsi="宋体" w:cs="宋体"/>
          <w:color w:val="000000" w:themeColor="text1"/>
          <w:sz w:val="24"/>
          <w:szCs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szCs w:val="24"/>
          <w:highlight w:val="none"/>
          <w14:textFill>
            <w14:solidFill>
              <w14:schemeClr w14:val="tx1"/>
            </w14:solidFill>
          </w14:textFill>
        </w:rPr>
        <w:t>支付</w:t>
      </w:r>
      <w:r>
        <w:rPr>
          <w:rFonts w:hint="eastAsia" w:hAnsi="宋体" w:cs="宋体"/>
          <w:color w:val="000000" w:themeColor="text1"/>
          <w:sz w:val="24"/>
          <w:szCs w:val="24"/>
          <w:highlight w:val="none"/>
          <w:lang w:val="en-US" w:eastAsia="zh-CN"/>
          <w14:textFill>
            <w14:solidFill>
              <w14:schemeClr w14:val="tx1"/>
            </w14:solidFill>
          </w14:textFill>
        </w:rPr>
        <w:t>至该分公司对应的维保费用的</w:t>
      </w:r>
      <w:r>
        <w:rPr>
          <w:rFonts w:hint="eastAsia" w:hAnsi="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500" w:lineRule="exact"/>
        <w:ind w:firstLine="480" w:firstLineChars="200"/>
        <w:outlineLvl w:val="1"/>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5.3合同履约完毕</w:t>
      </w:r>
      <w:r>
        <w:rPr>
          <w:rFonts w:hint="eastAsia" w:ascii="宋体" w:hAnsi="宋体" w:eastAsia="宋体" w:cs="宋体"/>
          <w:color w:val="000000" w:themeColor="text1"/>
          <w:sz w:val="24"/>
          <w:highlight w:val="none"/>
          <w14:textFill>
            <w14:solidFill>
              <w14:schemeClr w14:val="tx1"/>
            </w14:solidFill>
          </w14:textFill>
        </w:rPr>
        <w:t>并经甲方</w:t>
      </w:r>
      <w:r>
        <w:rPr>
          <w:rFonts w:hint="eastAsia" w:ascii="宋体" w:hAnsi="宋体" w:cs="宋体"/>
          <w:color w:val="000000" w:themeColor="text1"/>
          <w:sz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highlight w:val="none"/>
          <w14:textFill>
            <w14:solidFill>
              <w14:schemeClr w14:val="tx1"/>
            </w14:solidFill>
          </w14:textFill>
        </w:rPr>
        <w:t>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w:t>
      </w:r>
      <w:r>
        <w:rPr>
          <w:rFonts w:hint="eastAsia" w:ascii="宋体" w:hAnsi="宋体" w:cs="宋体"/>
          <w:color w:val="000000" w:themeColor="text1"/>
          <w:sz w:val="24"/>
          <w:highlight w:val="none"/>
          <w:lang w:val="en-US" w:eastAsia="zh-CN"/>
          <w14:textFill>
            <w14:solidFill>
              <w14:schemeClr w14:val="tx1"/>
            </w14:solidFill>
          </w14:textFill>
        </w:rPr>
        <w:t>维保</w:t>
      </w:r>
      <w:r>
        <w:rPr>
          <w:rFonts w:hint="eastAsia" w:ascii="宋体" w:hAnsi="宋体" w:eastAsia="宋体" w:cs="宋体"/>
          <w:color w:val="000000" w:themeColor="text1"/>
          <w:sz w:val="24"/>
          <w:highlight w:val="none"/>
          <w14:textFill>
            <w14:solidFill>
              <w14:schemeClr w14:val="tx1"/>
            </w14:solidFill>
          </w14:textFill>
        </w:rPr>
        <w:t>报告。经甲方</w:t>
      </w:r>
      <w:r>
        <w:rPr>
          <w:rFonts w:hint="eastAsia" w:ascii="宋体" w:hAnsi="宋体" w:cs="宋体"/>
          <w:color w:val="000000" w:themeColor="text1"/>
          <w:sz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highlight w:val="none"/>
          <w14:textFill>
            <w14:solidFill>
              <w14:schemeClr w14:val="tx1"/>
            </w14:solidFill>
          </w14:textFill>
        </w:rPr>
        <w:t>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hAnsi="宋体" w:cs="宋体"/>
          <w:color w:val="000000" w:themeColor="text1"/>
          <w:sz w:val="24"/>
          <w:szCs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szCs w:val="24"/>
          <w:highlight w:val="none"/>
          <w14:textFill>
            <w14:solidFill>
              <w14:schemeClr w14:val="tx1"/>
            </w14:solidFill>
          </w14:textFill>
        </w:rPr>
        <w:t>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至</w:t>
      </w:r>
      <w:r>
        <w:rPr>
          <w:rFonts w:hint="eastAsia" w:hAnsi="宋体" w:cs="宋体"/>
          <w:color w:val="000000" w:themeColor="text1"/>
          <w:sz w:val="24"/>
          <w:szCs w:val="24"/>
          <w:highlight w:val="none"/>
          <w:lang w:val="en-US" w:eastAsia="zh-CN"/>
          <w14:textFill>
            <w14:solidFill>
              <w14:schemeClr w14:val="tx1"/>
            </w14:solidFill>
          </w14:textFill>
        </w:rPr>
        <w:t>该分公司对应的维保费用的</w:t>
      </w:r>
      <w:r>
        <w:rPr>
          <w:rFonts w:hint="eastAsia" w:hAnsi="宋体" w:cs="宋体"/>
          <w:color w:val="000000" w:themeColor="text1"/>
          <w:sz w:val="24"/>
          <w:szCs w:val="24"/>
          <w:highlight w:val="none"/>
          <w:u w:val="singl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w:t>
      </w:r>
      <w:r>
        <w:rPr>
          <w:rFonts w:hint="eastAsia" w:ascii="宋体" w:hAnsi="宋体" w:cs="宋体"/>
          <w:color w:val="000000" w:themeColor="text1"/>
          <w:sz w:val="24"/>
          <w:szCs w:val="24"/>
          <w:highlight w:val="none"/>
          <w:lang w:val="en-US" w:eastAsia="zh-CN"/>
          <w14:textFill>
            <w14:solidFill>
              <w14:schemeClr w14:val="tx1"/>
            </w14:solidFill>
          </w14:textFill>
        </w:rPr>
        <w:t>否则</w:t>
      </w:r>
      <w:r>
        <w:rPr>
          <w:rFonts w:hint="eastAsia" w:ascii="宋体" w:hAnsi="宋体" w:cs="宋体"/>
          <w:color w:val="000000" w:themeColor="text1"/>
          <w:sz w:val="24"/>
          <w:szCs w:val="24"/>
          <w:highlight w:val="none"/>
          <w14:textFill>
            <w14:solidFill>
              <w14:schemeClr w14:val="tx1"/>
            </w14:solidFill>
          </w14:textFill>
        </w:rPr>
        <w:t>甲方有权直接从应付款项中抵扣。</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5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p>
    <w:p>
      <w:pPr>
        <w:spacing w:line="5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名称：广州市净水有限公司</w:t>
      </w:r>
    </w:p>
    <w:p>
      <w:pPr>
        <w:spacing w:line="5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税号：91440101755584729Q</w:t>
      </w:r>
    </w:p>
    <w:p>
      <w:pPr>
        <w:spacing w:line="5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地址：广州市天河区临江大道501号 </w:t>
      </w:r>
    </w:p>
    <w:p>
      <w:pPr>
        <w:spacing w:line="5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开户行：民生银行广州分行</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账号：0301014140006932；</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无；</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六、双方责任</w:t>
      </w:r>
    </w:p>
    <w:p>
      <w:pPr>
        <w:pStyle w:val="48"/>
        <w:spacing w:line="500" w:lineRule="exact"/>
        <w:ind w:firstLineChars="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6.1</w:t>
      </w:r>
      <w:r>
        <w:rPr>
          <w:rFonts w:hint="eastAsia" w:ascii="宋体" w:hAnsi="宋体" w:eastAsia="宋体"/>
          <w:color w:val="000000" w:themeColor="text1"/>
          <w:sz w:val="24"/>
          <w:szCs w:val="24"/>
          <w:highlight w:val="none"/>
          <w14:textFill>
            <w14:solidFill>
              <w14:schemeClr w14:val="tx1"/>
            </w14:solidFill>
          </w14:textFill>
        </w:rPr>
        <w:t>乙方不得传播</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olor w:val="000000" w:themeColor="text1"/>
          <w:sz w:val="24"/>
          <w:szCs w:val="24"/>
          <w:highlight w:val="none"/>
          <w14:textFill>
            <w14:solidFill>
              <w14:schemeClr w14:val="tx1"/>
            </w14:solidFill>
          </w14:textFill>
        </w:rPr>
        <w:t>公司内部网络、服务器、应用系统等有关的资料。</w:t>
      </w:r>
    </w:p>
    <w:p>
      <w:pPr>
        <w:spacing w:line="500" w:lineRule="exact"/>
        <w:ind w:left="54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6.2乙方履行合同时，应严格遵守国家法律法规和甲方相关的各项规章制度，服</w:t>
      </w:r>
    </w:p>
    <w:p>
      <w:pPr>
        <w:spacing w:line="500" w:lineRule="exact"/>
        <w:ind w:left="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6.4</w:t>
      </w:r>
      <w:r>
        <w:rPr>
          <w:rFonts w:hint="eastAsia" w:ascii="宋体" w:hAnsi="宋体" w:eastAsia="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 </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6.9甲方发现故障时及时通知乙方，乙方在收到通知</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12 </w:t>
      </w:r>
      <w:r>
        <w:rPr>
          <w:rFonts w:ascii="宋体" w:hAnsi="宋体" w:eastAsia="宋体"/>
          <w:color w:val="000000" w:themeColor="text1"/>
          <w:sz w:val="24"/>
          <w:highlight w:val="none"/>
          <w14:textFill>
            <w14:solidFill>
              <w14:schemeClr w14:val="tx1"/>
            </w14:solidFill>
          </w14:textFill>
        </w:rPr>
        <w:t xml:space="preserve"> 小时内提供维护，并排除故障。</w:t>
      </w:r>
      <w:r>
        <w:rPr>
          <w:rFonts w:hint="eastAsia" w:ascii="宋体" w:hAnsi="宋体" w:eastAsia="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6.10甲方保证所涉及的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6.11甲方对本合同所保修的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6.12乙方负责对甲方涉及</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管理技术人员进行</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7.1</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14:textFill>
            <w14:solidFill>
              <w14:schemeClr w14:val="tx1"/>
            </w14:solidFill>
          </w14:textFill>
        </w:rPr>
        <w:t>1日支付违约金人民币</w:t>
      </w:r>
      <w:r>
        <w:rPr>
          <w:rFonts w:ascii="宋体" w:hAnsi="宋体" w:eastAsia="宋体" w:cs="宋体"/>
          <w:bCs/>
          <w:color w:val="000000" w:themeColor="text1"/>
          <w:sz w:val="24"/>
          <w:highlight w:val="none"/>
          <w:u w:val="single"/>
          <w14:textFill>
            <w14:solidFill>
              <w14:schemeClr w14:val="tx1"/>
            </w14:solidFill>
          </w14:textFill>
        </w:rPr>
        <w:t>1</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ascii="宋体" w:hAnsi="宋体" w:eastAsia="宋体" w:cs="宋体"/>
          <w:bCs/>
          <w:color w:val="000000" w:themeColor="text1"/>
          <w:sz w:val="24"/>
          <w:highlight w:val="none"/>
          <w:u w:val="single"/>
          <w14:textFill>
            <w14:solidFill>
              <w14:schemeClr w14:val="tx1"/>
            </w14:solidFill>
          </w14:textFill>
        </w:rPr>
        <w:t>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合同总价的</w:t>
      </w:r>
      <w:r>
        <w:rPr>
          <w:rFonts w:ascii="宋体" w:hAnsi="宋体" w:eastAsia="宋体" w:cs="宋体"/>
          <w:bCs/>
          <w:color w:val="000000" w:themeColor="text1"/>
          <w:sz w:val="24"/>
          <w:highlight w:val="none"/>
          <w:u w:val="single"/>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如合同另行约定违约责任，从其约定</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7.3乙方未能及时处理故障，每延误故障处理1日，甲方</w:t>
      </w:r>
      <w:r>
        <w:rPr>
          <w:rFonts w:hint="eastAsia" w:ascii="宋体" w:hAnsi="宋体"/>
          <w:color w:val="000000" w:themeColor="text1"/>
          <w:sz w:val="24"/>
          <w:highlight w:val="none"/>
          <w:lang w:val="en-US" w:eastAsia="zh-CN"/>
          <w14:textFill>
            <w14:solidFill>
              <w14:schemeClr w14:val="tx1"/>
            </w14:solidFill>
          </w14:textFill>
        </w:rPr>
        <w:t>分公司</w:t>
      </w:r>
      <w:r>
        <w:rPr>
          <w:rFonts w:hint="eastAsia" w:ascii="宋体" w:hAnsi="宋体" w:eastAsia="宋体"/>
          <w:color w:val="000000" w:themeColor="text1"/>
          <w:sz w:val="24"/>
          <w:highlight w:val="none"/>
          <w14:textFill>
            <w14:solidFill>
              <w14:schemeClr w14:val="tx1"/>
            </w14:solidFill>
          </w14:textFill>
        </w:rPr>
        <w:t>有权要求乙方支付</w:t>
      </w:r>
      <w:r>
        <w:rPr>
          <w:rFonts w:ascii="宋体" w:hAnsi="宋体" w:eastAsia="宋体" w:cs="宋体"/>
          <w:bCs/>
          <w:color w:val="000000" w:themeColor="text1"/>
          <w:sz w:val="24"/>
          <w:highlight w:val="none"/>
          <w:u w:val="single"/>
          <w14:textFill>
            <w14:solidFill>
              <w14:schemeClr w14:val="tx1"/>
            </w14:solidFill>
          </w14:textFill>
        </w:rPr>
        <w:t>1</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ascii="宋体" w:hAnsi="宋体" w:eastAsia="宋体" w:cs="宋体"/>
          <w:bCs/>
          <w:color w:val="000000" w:themeColor="text1"/>
          <w:sz w:val="24"/>
          <w:highlight w:val="none"/>
          <w:u w:val="single"/>
          <w14:textFill>
            <w14:solidFill>
              <w14:schemeClr w14:val="tx1"/>
            </w14:solidFill>
          </w14:textFill>
        </w:rPr>
        <w:t>元</w:t>
      </w:r>
      <w:r>
        <w:rPr>
          <w:rFonts w:ascii="宋体" w:hAnsi="宋体" w:eastAsia="宋体"/>
          <w:color w:val="000000" w:themeColor="text1"/>
          <w:sz w:val="24"/>
          <w:highlight w:val="none"/>
          <w:u w:val="single"/>
          <w14:textFill>
            <w14:solidFill>
              <w14:schemeClr w14:val="tx1"/>
            </w14:solidFill>
          </w14:textFill>
        </w:rPr>
        <w:t>/日</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eastAsia="宋体"/>
          <w:color w:val="000000" w:themeColor="text1"/>
          <w:sz w:val="24"/>
          <w:highlight w:val="none"/>
          <w:u w:val="single"/>
          <w14:textFill>
            <w14:solidFill>
              <w14:schemeClr w14:val="tx1"/>
            </w14:solidFill>
          </w14:textFill>
        </w:rPr>
        <w:t>合同总价的10%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eastAsia="宋体"/>
          <w:color w:val="000000" w:themeColor="text1"/>
          <w:sz w:val="24"/>
          <w:highlight w:val="none"/>
          <w:u w:val="single"/>
          <w14:textFill>
            <w14:solidFill>
              <w14:schemeClr w14:val="tx1"/>
            </w14:solidFill>
          </w14:textFill>
        </w:rPr>
        <w:t>合同总价的10%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480"/>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7.6</w:t>
      </w:r>
      <w:r>
        <w:rPr>
          <w:rFonts w:hint="eastAsia" w:ascii="宋体" w:hAnsi="宋体" w:eastAsia="宋体"/>
          <w:color w:val="000000" w:themeColor="text1"/>
          <w:sz w:val="24"/>
          <w:highlight w:val="none"/>
          <w14:textFill>
            <w14:solidFill>
              <w14:schemeClr w14:val="tx1"/>
            </w14:solidFill>
          </w14:textFill>
        </w:rPr>
        <w:t>因不可抗力因素引起合同不能按期履行，由双方另行协商解决。</w:t>
      </w:r>
    </w:p>
    <w:p>
      <w:pPr>
        <w:spacing w:line="500" w:lineRule="exact"/>
        <w:ind w:firstLine="480" w:firstLineChars="200"/>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7.7</w:t>
      </w:r>
      <w:r>
        <w:rPr>
          <w:rFonts w:hint="eastAsia" w:ascii="宋体" w:hAnsi="宋体" w:eastAsia="宋体" w:cs="Times New Roman"/>
          <w:color w:val="000000" w:themeColor="text1"/>
          <w:sz w:val="24"/>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r>
        <w:rPr>
          <w:rFonts w:hint="eastAsia" w:ascii="宋体" w:hAnsi="宋体" w:eastAsia="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eastAsia="zh-CN"/>
          <w14:textFill>
            <w14:solidFill>
              <w14:schemeClr w14:val="tx1"/>
            </w14:solidFill>
          </w14:textFill>
        </w:rPr>
        <w:t>。</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14:textFill>
            <w14:solidFill>
              <w14:schemeClr w14:val="tx1"/>
            </w14:solidFill>
          </w14:textFill>
        </w:rPr>
      </w:pPr>
      <w:bookmarkStart w:id="3" w:name="_Toc518993000"/>
      <w:bookmarkStart w:id="4" w:name="_Toc107446862"/>
      <w:bookmarkStart w:id="5" w:name="_Toc19692"/>
      <w:bookmarkStart w:id="6" w:name="_Toc474245226"/>
      <w:bookmarkStart w:id="7" w:name="_Toc306350467"/>
      <w:bookmarkStart w:id="8" w:name="_Toc107447255"/>
      <w:bookmarkStart w:id="9" w:name="_Toc520190040"/>
      <w:bookmarkStart w:id="10" w:name="_Toc183666531"/>
      <w:r>
        <w:rPr>
          <w:rFonts w:hint="eastAsia" w:ascii="宋体" w:hAnsi="宋体" w:eastAsia="宋体" w:cs="宋体"/>
          <w:b/>
          <w:bCs/>
          <w:color w:val="000000" w:themeColor="text1"/>
          <w:sz w:val="24"/>
          <w:highlight w:val="none"/>
          <w14:textFill>
            <w14:solidFill>
              <w14:schemeClr w14:val="tx1"/>
            </w14:solidFill>
          </w14:textFill>
        </w:rPr>
        <w:t>八、不可抗力</w:t>
      </w:r>
      <w:bookmarkEnd w:id="3"/>
      <w:bookmarkEnd w:id="4"/>
      <w:bookmarkEnd w:id="5"/>
      <w:bookmarkEnd w:id="6"/>
      <w:bookmarkEnd w:id="7"/>
      <w:bookmarkEnd w:id="8"/>
      <w:bookmarkEnd w:id="9"/>
      <w:bookmarkEnd w:id="10"/>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bookmarkStart w:id="11" w:name="_Toc12010"/>
      <w:bookmarkStart w:id="12" w:name="_Toc306350468"/>
      <w:bookmarkStart w:id="13" w:name="_Toc183666532"/>
      <w:r>
        <w:rPr>
          <w:rFonts w:ascii="宋体" w:hAnsi="宋体" w:eastAsia="宋体" w:cs="宋体"/>
          <w:bCs/>
          <w:color w:val="000000" w:themeColor="text1"/>
          <w:sz w:val="24"/>
          <w:highlight w:val="none"/>
          <w14:textFill>
            <w14:solidFill>
              <w14:schemeClr w14:val="tx1"/>
            </w14:solidFill>
          </w14:textFill>
        </w:rPr>
        <w:t xml:space="preserve">8.1 </w:t>
      </w:r>
      <w:r>
        <w:rPr>
          <w:rFonts w:hint="eastAsia" w:ascii="宋体" w:hAnsi="宋体" w:eastAsia="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eastAsia="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eastAsia="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8.4 </w:t>
      </w:r>
      <w:r>
        <w:rPr>
          <w:rFonts w:hint="eastAsia" w:ascii="宋体" w:hAnsi="宋体" w:eastAsia="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474245227"/>
      <w:bookmarkStart w:id="15" w:name="_Toc118172294"/>
      <w:bookmarkStart w:id="16" w:name="_Toc107447257"/>
      <w:bookmarkStart w:id="17" w:name="_Toc107446864"/>
      <w:bookmarkStart w:id="18" w:name="_Toc518993001"/>
      <w:bookmarkStart w:id="19" w:name="_Toc520190041"/>
    </w:p>
    <w:p>
      <w:pPr>
        <w:spacing w:before="156" w:beforeLines="50" w:after="156" w:afterLines="50"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争议解决</w:t>
      </w:r>
      <w:bookmarkEnd w:id="11"/>
      <w:bookmarkEnd w:id="12"/>
      <w:bookmarkEnd w:id="13"/>
      <w:bookmarkEnd w:id="14"/>
      <w:bookmarkEnd w:id="15"/>
      <w:bookmarkEnd w:id="16"/>
      <w:bookmarkEnd w:id="17"/>
      <w:bookmarkEnd w:id="18"/>
      <w:bookmarkEnd w:id="19"/>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bookmarkStart w:id="20" w:name="_Toc183666533"/>
      <w:bookmarkStart w:id="21" w:name="_Toc306350469"/>
      <w:r>
        <w:rPr>
          <w:rFonts w:ascii="宋体" w:hAnsi="宋体" w:eastAsia="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20"/>
      <w:bookmarkEnd w:id="21"/>
      <w:bookmarkStart w:id="22" w:name="_Toc474245229"/>
      <w:bookmarkStart w:id="23" w:name="_Toc520190043"/>
      <w:bookmarkStart w:id="24" w:name="_Toc518993003"/>
    </w:p>
    <w:p>
      <w:pPr>
        <w:spacing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bookmarkStart w:id="25" w:name="_Toc107446871"/>
      <w:bookmarkStart w:id="26" w:name="_Toc107447264"/>
      <w:r>
        <w:rPr>
          <w:rFonts w:hint="eastAsia" w:ascii="宋体" w:hAnsi="宋体" w:eastAsia="宋体" w:cs="宋体"/>
          <w:b/>
          <w:bCs/>
          <w:color w:val="000000" w:themeColor="text1"/>
          <w:sz w:val="24"/>
          <w:highlight w:val="none"/>
          <w14:textFill>
            <w14:solidFill>
              <w14:schemeClr w14:val="tx1"/>
            </w14:solidFill>
          </w14:textFill>
        </w:rPr>
        <w:t>十、合同生效及其他</w:t>
      </w:r>
      <w:bookmarkEnd w:id="22"/>
      <w:bookmarkEnd w:id="23"/>
      <w:bookmarkEnd w:id="24"/>
      <w:bookmarkEnd w:id="25"/>
      <w:bookmarkEnd w:id="26"/>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10.2本合同正文一式</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6  </w:t>
      </w:r>
      <w:r>
        <w:rPr>
          <w:rFonts w:ascii="宋体" w:hAnsi="宋体" w:eastAsia="宋体" w:cs="宋体"/>
          <w:color w:val="000000" w:themeColor="text1"/>
          <w:sz w:val="24"/>
          <w:highlight w:val="none"/>
          <w14:textFill>
            <w14:solidFill>
              <w14:schemeClr w14:val="tx1"/>
            </w14:solidFill>
          </w14:textFill>
        </w:rPr>
        <w:t xml:space="preserve"> 份，其中：甲方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14:textFill>
            <w14:solidFill>
              <w14:schemeClr w14:val="tx1"/>
            </w14:solidFill>
          </w14:textFill>
        </w:rPr>
        <w:t>份，乙方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份。</w:t>
      </w:r>
    </w:p>
    <w:p>
      <w:pPr>
        <w:spacing w:line="500" w:lineRule="exact"/>
        <w:ind w:firstLine="48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lang w:val="en-US" w:eastAsia="zh-CN"/>
          <w14:textFill>
            <w14:solidFill>
              <w14:schemeClr w14:val="tx1"/>
            </w14:solidFill>
          </w14:textFill>
        </w:rPr>
        <w:t>补</w:t>
      </w:r>
      <w:r>
        <w:rPr>
          <w:rFonts w:ascii="宋体" w:hAnsi="宋体" w:eastAsia="宋体" w:cs="宋体"/>
          <w:color w:val="000000" w:themeColor="text1"/>
          <w:sz w:val="24"/>
          <w:highlight w:val="none"/>
          <w14:textFill>
            <w14:solidFill>
              <w14:schemeClr w14:val="tx1"/>
            </w14:solidFill>
          </w14:textFill>
        </w:rPr>
        <w:t>充条款</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w:t>
      </w:r>
    </w:p>
    <w:p>
      <w:pPr>
        <w:pStyle w:val="23"/>
        <w:rPr>
          <w:rFonts w:ascii="宋体" w:hAnsi="宋体" w:eastAsia="宋体" w:cs="宋体"/>
          <w:color w:val="000000" w:themeColor="text1"/>
          <w:sz w:val="24"/>
          <w:highlight w:val="none"/>
          <w:u w:val="single"/>
          <w14:textFill>
            <w14:solidFill>
              <w14:schemeClr w14:val="tx1"/>
            </w14:solidFill>
          </w14:textFill>
        </w:rPr>
      </w:pPr>
    </w:p>
    <w:p>
      <w:pPr>
        <w:pStyle w:val="23"/>
        <w:rPr>
          <w:rFonts w:ascii="宋体" w:hAnsi="宋体" w:eastAsia="宋体" w:cs="宋体"/>
          <w:color w:val="000000" w:themeColor="text1"/>
          <w:sz w:val="24"/>
          <w:highlight w:val="none"/>
          <w:u w:val="single"/>
          <w14:textFill>
            <w14:solidFill>
              <w14:schemeClr w14:val="tx1"/>
            </w14:solidFill>
          </w14:textFill>
        </w:rPr>
      </w:pPr>
    </w:p>
    <w:p>
      <w:pPr>
        <w:pStyle w:val="23"/>
        <w:rPr>
          <w:rFonts w:ascii="宋体" w:hAnsi="宋体" w:eastAsia="宋体" w:cs="宋体"/>
          <w:color w:val="000000" w:themeColor="text1"/>
          <w:sz w:val="24"/>
          <w:highlight w:val="none"/>
          <w:u w:val="single"/>
          <w14:textFill>
            <w14:solidFill>
              <w14:schemeClr w14:val="tx1"/>
            </w14:solidFill>
          </w14:textFill>
        </w:rPr>
      </w:pP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2.廉洁协议</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3.保密协议</w:t>
      </w:r>
    </w:p>
    <w:p>
      <w:pPr>
        <w:spacing w:line="500" w:lineRule="exact"/>
        <w:ind w:firstLine="1320" w:firstLineChars="55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4.</w:t>
      </w:r>
      <w:r>
        <w:rPr>
          <w:rFonts w:ascii="宋体" w:hAnsi="宋体" w:eastAsia="宋体" w:cs="宋体"/>
          <w:sz w:val="24"/>
          <w:szCs w:val="24"/>
        </w:rPr>
        <w:t>营运场所施工安全及消防安全协议书</w:t>
      </w:r>
    </w:p>
    <w:p>
      <w:pPr>
        <w:spacing w:line="500" w:lineRule="exact"/>
        <w:ind w:firstLine="1320" w:firstLineChars="550"/>
        <w:rPr>
          <w:rFonts w:hint="eastAsia" w:ascii="宋体" w:hAnsi="宋体" w:eastAsia="宋体"/>
          <w:color w:val="000000" w:themeColor="text1"/>
          <w:sz w:val="24"/>
          <w:highlight w:val="none"/>
          <w:lang w:val="en-US"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采购</w:t>
      </w:r>
      <w:r>
        <w:rPr>
          <w:rFonts w:hint="eastAsia" w:ascii="宋体" w:hAnsi="宋体" w:eastAsia="宋体"/>
          <w:color w:val="000000" w:themeColor="text1"/>
          <w:sz w:val="24"/>
          <w:highlight w:val="none"/>
          <w14:textFill>
            <w14:solidFill>
              <w14:schemeClr w14:val="tx1"/>
            </w14:solidFill>
          </w14:textFill>
        </w:rPr>
        <w:t>需求</w:t>
      </w:r>
      <w:r>
        <w:rPr>
          <w:rFonts w:hint="eastAsia" w:ascii="宋体" w:hAnsi="宋体"/>
          <w:color w:val="000000" w:themeColor="text1"/>
          <w:sz w:val="24"/>
          <w:highlight w:val="none"/>
          <w:lang w:val="en-US" w:eastAsia="zh-CN"/>
          <w14:textFill>
            <w14:solidFill>
              <w14:schemeClr w14:val="tx1"/>
            </w14:solidFill>
          </w14:textFill>
        </w:rPr>
        <w:t>书</w:t>
      </w:r>
    </w:p>
    <w:p>
      <w:pPr>
        <w:spacing w:line="500" w:lineRule="exact"/>
        <w:ind w:firstLine="1320" w:firstLineChars="55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6.履约行为的情形及相应被暂停参与投标活动的处理标准</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乙方：（盖章）</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法定代表人或</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授权代理人：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地址：</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经办人：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p>
    <w:p>
      <w:pPr>
        <w:widowControl w:val="0"/>
        <w:spacing w:line="480" w:lineRule="exact"/>
        <w:ind w:left="5565" w:hanging="6360" w:hangingChars="265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ascii="宋体" w:hAnsi="宋体" w:eastAsia="宋体" w:cs="宋体"/>
          <w:color w:val="000000" w:themeColor="text1"/>
          <w:sz w:val="24"/>
          <w:highlight w:val="none"/>
          <w14:textFill>
            <w14:solidFill>
              <w14:schemeClr w14:val="tx1"/>
            </w14:solidFill>
          </w14:textFill>
        </w:rPr>
        <w:t xml:space="preserve">    年    月    日         签署日期：    年    月    日  </w:t>
      </w:r>
    </w:p>
    <w:p>
      <w:pPr>
        <w:widowControl/>
        <w:jc w:val="left"/>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widowControl/>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1</w:t>
      </w:r>
    </w:p>
    <w:p>
      <w:pPr>
        <w:widowControl/>
        <w:jc w:val="left"/>
        <w:rPr>
          <w:rFonts w:hint="eastAsia" w:ascii="宋体" w:hAnsi="宋体" w:cs="宋体"/>
          <w:color w:val="000000" w:themeColor="text1"/>
          <w:szCs w:val="21"/>
          <w:highlight w:val="none"/>
          <w14:textFill>
            <w14:solidFill>
              <w14:schemeClr w14:val="tx1"/>
            </w14:solidFill>
          </w14:textFill>
        </w:rPr>
      </w:pPr>
    </w:p>
    <w:p>
      <w:pPr>
        <w:pStyle w:val="23"/>
        <w:rPr>
          <w:rFonts w:hint="eastAsia"/>
        </w:rPr>
      </w:pPr>
    </w:p>
    <w:p>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合同名称（穗净水合[      ]    号）</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3"/>
        <w:rPr>
          <w:rFonts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4"/>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hint="eastAsia" w:ascii="宋体" w:hAnsi="宋体" w:cs="宋体"/>
          <w:b/>
          <w:bCs/>
          <w:color w:val="000000" w:themeColor="text1"/>
          <w:szCs w:val="21"/>
          <w:highlight w:val="none"/>
          <w14:textFill>
            <w14:solidFill>
              <w14:schemeClr w14:val="tx1"/>
            </w14:solidFill>
          </w14:textFill>
        </w:rPr>
      </w:pPr>
      <w:bookmarkStart w:id="27" w:name="OLE_LINK2"/>
      <w:r>
        <w:rPr>
          <w:rFonts w:hint="eastAsia" w:ascii="宋体" w:hAnsi="宋体" w:cs="宋体"/>
          <w:b/>
          <w:bCs/>
          <w:color w:val="000000" w:themeColor="text1"/>
          <w:szCs w:val="21"/>
          <w:highlight w:val="none"/>
          <w14:textFill>
            <w14:solidFill>
              <w14:schemeClr w14:val="tx1"/>
            </w14:solidFill>
          </w14:textFill>
        </w:rPr>
        <w:t>附件4</w:t>
      </w:r>
    </w:p>
    <w:bookmarkEnd w:id="27"/>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营运场所施工安全及消防安全协议书</w:t>
      </w: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kern w:val="0"/>
          <w:sz w:val="28"/>
          <w:szCs w:val="28"/>
          <w:highlight w:val="none"/>
        </w:rPr>
      </w:pP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根据《中华人民共和国安全生产法》、</w:t>
      </w:r>
      <w:r>
        <w:rPr>
          <w:rFonts w:hint="eastAsia" w:ascii="仿宋_GB2312" w:hAnsi="仿宋_GB2312" w:eastAsia="仿宋_GB2312" w:cs="仿宋_GB2312"/>
          <w:kern w:val="0"/>
          <w:sz w:val="28"/>
          <w:szCs w:val="28"/>
          <w:highlight w:val="none"/>
          <w:lang w:eastAsia="zh-CN"/>
        </w:rPr>
        <w:t>《中华人民共和国消防法》、</w:t>
      </w:r>
      <w:r>
        <w:rPr>
          <w:rFonts w:hint="eastAsia" w:ascii="仿宋_GB2312" w:hAnsi="仿宋_GB2312" w:eastAsia="仿宋_GB2312" w:cs="仿宋_GB2312"/>
          <w:kern w:val="0"/>
          <w:sz w:val="28"/>
          <w:szCs w:val="28"/>
          <w:highlight w:val="none"/>
        </w:rPr>
        <w:t>《生产安全事故报告和调查处理条例》等国家及地方有关安全生产</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消防安全</w:t>
      </w:r>
      <w:r>
        <w:rPr>
          <w:rFonts w:hint="eastAsia" w:ascii="仿宋_GB2312" w:hAnsi="仿宋_GB2312" w:eastAsia="仿宋_GB2312" w:cs="仿宋_GB2312"/>
          <w:kern w:val="0"/>
          <w:sz w:val="28"/>
          <w:szCs w:val="28"/>
          <w:highlight w:val="none"/>
        </w:rPr>
        <w:t>法律法规，甲乙双方就安全</w:t>
      </w:r>
      <w:r>
        <w:rPr>
          <w:rFonts w:hint="eastAsia" w:ascii="仿宋_GB2312" w:hAnsi="仿宋_GB2312" w:eastAsia="仿宋_GB2312" w:cs="仿宋_GB2312"/>
          <w:kern w:val="0"/>
          <w:sz w:val="28"/>
          <w:szCs w:val="28"/>
          <w:highlight w:val="none"/>
          <w:lang w:val="en-US" w:eastAsia="zh-CN"/>
        </w:rPr>
        <w:t>及消防安全</w:t>
      </w:r>
      <w:r>
        <w:rPr>
          <w:rFonts w:hint="eastAsia" w:ascii="仿宋_GB2312" w:hAnsi="仿宋_GB2312" w:eastAsia="仿宋_GB2312" w:cs="仿宋_GB2312"/>
          <w:kern w:val="0"/>
          <w:sz w:val="28"/>
          <w:szCs w:val="28"/>
          <w:highlight w:val="none"/>
        </w:rPr>
        <w:t>事宜，</w:t>
      </w:r>
      <w:r>
        <w:rPr>
          <w:rFonts w:hint="eastAsia" w:ascii="仿宋_GB2312" w:hAnsi="仿宋_GB2312" w:eastAsia="仿宋_GB2312" w:cs="仿宋_GB2312"/>
          <w:sz w:val="28"/>
          <w:szCs w:val="28"/>
          <w:highlight w:val="none"/>
        </w:rPr>
        <w:t>经双方友好协商，达成如下协议</w:t>
      </w:r>
      <w:r>
        <w:rPr>
          <w:rFonts w:hint="eastAsia" w:ascii="仿宋_GB2312" w:hAnsi="仿宋_GB2312" w:eastAsia="仿宋_GB2312" w:cs="仿宋_GB2312"/>
          <w:kern w:val="0"/>
          <w:sz w:val="28"/>
          <w:szCs w:val="28"/>
          <w:highlight w:val="none"/>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一、总则</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本协议是合同</w:t>
      </w:r>
      <w:r>
        <w:rPr>
          <w:rFonts w:hint="eastAsia" w:ascii="仿宋_GB2312" w:hAnsi="仿宋_GB2312" w:eastAsia="仿宋_GB2312" w:cs="仿宋_GB2312"/>
          <w:sz w:val="28"/>
          <w:szCs w:val="28"/>
          <w:highlight w:val="none"/>
          <w:u w:val="single"/>
        </w:rPr>
        <w:t xml:space="preserve">    （穗净水合〔     〕    号） </w:t>
      </w:r>
      <w:r>
        <w:rPr>
          <w:rFonts w:hint="eastAsia" w:ascii="仿宋_GB2312" w:hAnsi="仿宋_GB2312" w:eastAsia="仿宋_GB2312" w:cs="仿宋_GB2312"/>
          <w:sz w:val="28"/>
          <w:szCs w:val="28"/>
          <w:highlight w:val="none"/>
        </w:rPr>
        <w:t>的组成部分。</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二</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乙双方应遵守国家、省、市有关</w:t>
      </w:r>
      <w:r>
        <w:rPr>
          <w:rFonts w:hint="eastAsia" w:ascii="仿宋_GB2312" w:hAnsi="仿宋_GB2312" w:eastAsia="仿宋_GB2312" w:cs="仿宋_GB2312"/>
          <w:kern w:val="0"/>
          <w:sz w:val="28"/>
          <w:szCs w:val="28"/>
          <w:highlight w:val="none"/>
        </w:rPr>
        <w:t>安全生产</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消防安全的法律、法规、规章，履行</w:t>
      </w:r>
      <w:r>
        <w:rPr>
          <w:rFonts w:hint="eastAsia" w:ascii="仿宋_GB2312" w:hAnsi="仿宋_GB2312" w:eastAsia="仿宋_GB2312" w:cs="仿宋_GB2312"/>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消防安全职责，保障人员生命、财产安全。</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三</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乙双方应当逐级落实</w:t>
      </w:r>
      <w:r>
        <w:rPr>
          <w:rFonts w:hint="eastAsia" w:ascii="仿宋_GB2312" w:hAnsi="仿宋_GB2312" w:eastAsia="仿宋_GB2312" w:cs="仿宋_GB2312"/>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消防安全责任制，明确逐级岗位人员的安全</w:t>
      </w:r>
      <w:r>
        <w:rPr>
          <w:rFonts w:hint="eastAsia" w:ascii="仿宋_GB2312" w:hAnsi="仿宋_GB2312" w:eastAsia="仿宋_GB2312" w:cs="仿宋_GB2312"/>
          <w:kern w:val="0"/>
          <w:sz w:val="28"/>
          <w:szCs w:val="28"/>
          <w:highlight w:val="none"/>
          <w:lang w:val="en-US" w:eastAsia="zh-CN"/>
        </w:rPr>
        <w:t>生产、消防安全</w:t>
      </w:r>
      <w:r>
        <w:rPr>
          <w:rFonts w:hint="eastAsia" w:ascii="仿宋_GB2312" w:hAnsi="仿宋_GB2312" w:eastAsia="仿宋_GB2312" w:cs="仿宋_GB2312"/>
          <w:color w:val="auto"/>
          <w:kern w:val="0"/>
          <w:sz w:val="28"/>
          <w:szCs w:val="28"/>
          <w:highlight w:val="none"/>
        </w:rPr>
        <w:t>职责。</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四</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本协议是对在满足法律法规规定的双方安全及消防安全责任的基础上的补充事项。</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（五）对乙方租用的第三方车辆，视同为乙方车辆，由乙方承担安全及消防安全责任。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六</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乙方的单位、车辆、人员资质（</w:t>
      </w:r>
      <w:r>
        <w:rPr>
          <w:rFonts w:hint="eastAsia" w:ascii="仿宋_GB2312" w:hAnsi="仿宋_GB2312" w:eastAsia="仿宋_GB2312" w:cs="仿宋_GB2312"/>
          <w:b/>
          <w:bCs w:val="0"/>
          <w:color w:val="auto"/>
          <w:kern w:val="0"/>
          <w:sz w:val="28"/>
          <w:szCs w:val="28"/>
          <w:highlight w:val="none"/>
          <w:lang w:val="en-US" w:eastAsia="zh-CN"/>
        </w:rPr>
        <w:t>单项选择并填写</w:t>
      </w:r>
      <w:r>
        <w:rPr>
          <w:rFonts w:hint="eastAsia" w:ascii="仿宋_GB2312" w:hAnsi="仿宋_GB2312" w:eastAsia="仿宋_GB2312" w:cs="仿宋_GB2312"/>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A3"/>
      </w:r>
      <w:r>
        <w:rPr>
          <w:rFonts w:hint="eastAsia" w:ascii="仿宋_GB2312" w:hAnsi="仿宋_GB2312" w:eastAsia="仿宋_GB2312" w:cs="仿宋_GB2312"/>
          <w:color w:val="auto"/>
          <w:kern w:val="0"/>
          <w:sz w:val="28"/>
          <w:szCs w:val="28"/>
          <w:highlight w:val="none"/>
          <w:lang w:val="en-US" w:eastAsia="zh-CN"/>
        </w:rPr>
        <w:t>1.详见合同第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lang w:val="en-US" w:eastAsia="zh-CN"/>
        </w:rPr>
        <w:t>条。</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A3"/>
      </w:r>
      <w:r>
        <w:rPr>
          <w:rFonts w:hint="eastAsia" w:ascii="仿宋_GB2312" w:hAnsi="仿宋_GB2312" w:eastAsia="仿宋_GB2312" w:cs="仿宋_GB2312"/>
          <w:color w:val="auto"/>
          <w:kern w:val="0"/>
          <w:sz w:val="28"/>
          <w:szCs w:val="28"/>
          <w:highlight w:val="none"/>
          <w:lang w:val="en-US" w:eastAsia="zh-CN"/>
        </w:rPr>
        <w:t>2.详见文件《</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二、甲方的安全及消防安全责任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交底告知</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甲方应对乙方进行交底。交底内容应</w:t>
      </w:r>
      <w:r>
        <w:rPr>
          <w:rFonts w:hint="eastAsia" w:ascii="仿宋_GB2312" w:hAnsi="仿宋_GB2312" w:eastAsia="仿宋_GB2312" w:cs="仿宋_GB2312"/>
          <w:sz w:val="28"/>
          <w:szCs w:val="28"/>
          <w:highlight w:val="none"/>
          <w:lang w:val="en-US" w:eastAsia="zh-CN"/>
        </w:rPr>
        <w:t>向乙方传达</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甲方规定的</w:t>
      </w:r>
      <w:r>
        <w:rPr>
          <w:rFonts w:hint="eastAsia" w:ascii="仿宋_GB2312" w:hAnsi="仿宋_GB2312" w:eastAsia="仿宋_GB2312" w:cs="仿宋_GB2312"/>
          <w:sz w:val="28"/>
          <w:szCs w:val="28"/>
          <w:highlight w:val="none"/>
        </w:rPr>
        <w:t>安全生产及消防安全管理要求。</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2.当乙方提出相关规范或乙方内部管理制度，比甲方规定的</w:t>
      </w:r>
      <w:r>
        <w:rPr>
          <w:rFonts w:hint="eastAsia" w:ascii="仿宋_GB2312" w:hAnsi="仿宋_GB2312" w:eastAsia="仿宋_GB2312" w:cs="仿宋_GB2312"/>
          <w:sz w:val="28"/>
          <w:szCs w:val="28"/>
          <w:highlight w:val="none"/>
        </w:rPr>
        <w:t>安全生产及消防安全管理要求</w:t>
      </w:r>
      <w:r>
        <w:rPr>
          <w:rFonts w:hint="eastAsia" w:ascii="仿宋_GB2312" w:hAnsi="仿宋_GB2312" w:eastAsia="仿宋_GB2312" w:cs="仿宋_GB2312"/>
          <w:sz w:val="28"/>
          <w:szCs w:val="28"/>
          <w:highlight w:val="none"/>
          <w:lang w:val="en-US" w:eastAsia="zh-CN"/>
        </w:rPr>
        <w:t>更严格的，应当接纳乙方的建议。</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3.告知乙方车辆允许行驶的区域、限速、限高、限重，允许停车装、卸作业的位置。</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（二）现场监管。</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2.甲方应监督乙方车辆离开营运单位前做好车辆外观检查，确保车牌、反光标志等无被遮挡。</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（三）事故报告。</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1.乙方在甲方属地范围内发生安全事故及消防安全事故，应当按水投集团有关程序，如实向集团报告。</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三、乙方的安全及消防安全责任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接受交底告知并复核确认安全风险，落实管控措施</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1.乙方接受甲方交底。</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2.当甲方规定的安全生产及消防安全管理要求，比相关规范或乙方内部管理制度严格的，按甲方的执行。</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在甲方属地范围内的作业与应急</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1.乙方车辆仅允许在甲方指定的区域，按方向行驶、停放以及装卸作业。</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2.乙方的车辆限速、限高、限重应符合甲方要求。</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3.乙方在甲方属地范围作业应当配备的个人劳动防护用品，由乙方负责提供，并确保有效。</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4.乙方在甲方属地范围内发生安全事故及消防安全事故的，必须配合甲方现场人员开展应急工作。</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在甲方属地范围外的作业与应急</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1.由乙方根据交通运输、危化品、危废、固废等法律法规、行业标准等予以执行。</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（四）补充条款</w:t>
      </w:r>
      <w:r>
        <w:rPr>
          <w:rFonts w:hint="eastAsia" w:ascii="仿宋_GB2312" w:hAnsi="仿宋_GB2312" w:eastAsia="仿宋_GB2312" w:cs="仿宋_GB2312"/>
          <w:sz w:val="28"/>
          <w:szCs w:val="28"/>
          <w:highlight w:val="none"/>
          <w:u w:val="single"/>
        </w:rPr>
        <w:t xml:space="preserve">        </w:t>
      </w:r>
      <w:r>
        <w:rPr>
          <w:rFonts w:hint="default" w:ascii="仿宋_GB2312" w:hAnsi="仿宋_GB2312" w:eastAsia="仿宋_GB2312" w:cs="仿宋_GB2312"/>
          <w:sz w:val="28"/>
          <w:szCs w:val="28"/>
          <w:highlight w:val="none"/>
          <w:u w:val="single"/>
          <w:lang w:val="en-US"/>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四、违约责任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在甲方甲方属地范围内，未发生安全事故或消防安全事故的违约责任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1.乙方未履行安全及消防安全责任的，有权按合同相关条款处理。</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2.因甲方未履行安全及消防安全责任，乙方有权按合同相关条款处理。</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（二）在甲方属地范围内，发生安全事故或消防安全事故的违约责任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2.如甲方未能提供甲方履职证明的，根据责任调查报告（意见）承担责任。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（三）在甲方属地范围外，发生安全事故或消防安全事故的违约责任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1.由乙方承担责任。</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2.如对甲方货物造成损失的，根据合同向甲方赔偿。</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五、附则</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）本协议</w:t>
      </w:r>
      <w:r>
        <w:rPr>
          <w:rFonts w:hint="eastAsia" w:ascii="仿宋_GB2312" w:hAnsi="仿宋_GB2312" w:eastAsia="仿宋_GB2312" w:cs="仿宋_GB2312"/>
          <w:sz w:val="28"/>
          <w:szCs w:val="28"/>
          <w:highlight w:val="none"/>
          <w:lang w:val="en-US" w:eastAsia="zh-CN"/>
        </w:rPr>
        <w:t>作为合同的附件</w:t>
      </w:r>
      <w:r>
        <w:rPr>
          <w:rFonts w:hint="eastAsia" w:ascii="仿宋_GB2312" w:hAnsi="仿宋_GB2312" w:eastAsia="仿宋_GB2312" w:cs="仿宋_GB2312"/>
          <w:sz w:val="28"/>
          <w:szCs w:val="28"/>
          <w:highlight w:val="none"/>
        </w:rPr>
        <w:t>同时</w:t>
      </w:r>
      <w:r>
        <w:rPr>
          <w:rFonts w:hint="eastAsia" w:ascii="仿宋_GB2312" w:hAnsi="仿宋_GB2312" w:eastAsia="仿宋_GB2312" w:cs="仿宋_GB2312"/>
          <w:sz w:val="28"/>
          <w:szCs w:val="28"/>
          <w:highlight w:val="none"/>
          <w:lang w:val="en-US" w:eastAsia="zh-CN"/>
        </w:rPr>
        <w:t>签字、同事盖章</w:t>
      </w:r>
      <w:r>
        <w:rPr>
          <w:rFonts w:hint="eastAsia" w:ascii="仿宋_GB2312" w:hAnsi="仿宋_GB2312" w:eastAsia="仿宋_GB2312" w:cs="仿宋_GB2312"/>
          <w:sz w:val="28"/>
          <w:szCs w:val="28"/>
          <w:highlight w:val="none"/>
        </w:rPr>
        <w:t>、同时生效、同时终止，具有</w:t>
      </w:r>
      <w:r>
        <w:rPr>
          <w:rFonts w:hint="eastAsia" w:ascii="仿宋_GB2312" w:hAnsi="仿宋_GB2312" w:eastAsia="仿宋_GB2312" w:cs="仿宋_GB2312"/>
          <w:sz w:val="28"/>
          <w:szCs w:val="28"/>
          <w:highlight w:val="none"/>
          <w:lang w:val="en-US" w:eastAsia="zh-CN"/>
        </w:rPr>
        <w:t>同等</w:t>
      </w:r>
      <w:r>
        <w:rPr>
          <w:rFonts w:hint="eastAsia" w:ascii="仿宋_GB2312" w:hAnsi="仿宋_GB2312" w:eastAsia="仿宋_GB2312" w:cs="仿宋_GB2312"/>
          <w:sz w:val="28"/>
          <w:szCs w:val="28"/>
          <w:highlight w:val="none"/>
        </w:rPr>
        <w:t>的法律效力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甲方、乙方双方执持数量与合同一致。</w:t>
      </w:r>
    </w:p>
    <w:p>
      <w:pPr>
        <w:spacing w:line="520" w:lineRule="exact"/>
        <w:rPr>
          <w:rFonts w:hint="eastAsia" w:ascii="仿宋_GB2312" w:hAnsi="仿宋_GB2312" w:eastAsia="仿宋_GB2312" w:cs="仿宋_GB2312"/>
          <w:sz w:val="28"/>
          <w:szCs w:val="28"/>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签约代表：</w:t>
            </w:r>
          </w:p>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pPr>
              <w:widowControl w:val="0"/>
              <w:adjustRightInd/>
              <w:snapToGrid/>
              <w:spacing w:line="520" w:lineRule="exact"/>
              <w:ind w:firstLine="280" w:firstLineChars="1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c>
          <w:tcPr>
            <w:tcW w:w="4474" w:type="dxa"/>
            <w:noWrap w:val="0"/>
            <w:vAlign w:val="top"/>
          </w:tcPr>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签约代表：</w:t>
            </w:r>
          </w:p>
          <w:p>
            <w:pPr>
              <w:widowControl w:val="0"/>
              <w:adjustRightInd/>
              <w:snapToGrid/>
              <w:spacing w:line="52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pPr>
              <w:widowControl w:val="0"/>
              <w:adjustRightInd/>
              <w:snapToGrid/>
              <w:spacing w:line="520" w:lineRule="exact"/>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附件5</w:t>
      </w:r>
    </w:p>
    <w:p>
      <w:pPr>
        <w:pStyle w:val="23"/>
        <w:ind w:firstLine="3092" w:firstLineChars="1100"/>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采购需求书</w:t>
      </w:r>
    </w:p>
    <w:p>
      <w:pPr>
        <w:pStyle w:val="23"/>
        <w:rPr>
          <w:rFonts w:hint="eastAsia" w:ascii="仿宋" w:hAnsi="仿宋" w:eastAsia="仿宋" w:cs="仿宋"/>
          <w:b/>
          <w:color w:val="auto"/>
          <w:kern w:val="2"/>
          <w:sz w:val="28"/>
          <w:szCs w:val="28"/>
          <w:highlight w:val="none"/>
          <w:lang w:val="en-US" w:eastAsia="zh-CN" w:bidi="ar-SA"/>
        </w:rPr>
      </w:pPr>
    </w:p>
    <w:p>
      <w:pPr>
        <w:pStyle w:val="23"/>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项目名称：  广州市净水有限公司能源管理系统维保项目</w:t>
      </w:r>
    </w:p>
    <w:p>
      <w:pPr>
        <w:pStyle w:val="23"/>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项目地点：</w:t>
      </w:r>
      <w:r>
        <w:rPr>
          <w:rFonts w:hint="eastAsia" w:ascii="仿宋_GB2312" w:eastAsia="仿宋_GB2312"/>
          <w:color w:val="auto"/>
          <w:sz w:val="28"/>
          <w:szCs w:val="28"/>
          <w:highlight w:val="none"/>
          <w:u w:val="none"/>
        </w:rPr>
        <w:t>广州市净水有限公司</w:t>
      </w:r>
      <w:r>
        <w:rPr>
          <w:rFonts w:hint="eastAsia" w:ascii="仿宋_GB2312" w:eastAsia="仿宋_GB2312"/>
          <w:color w:val="auto"/>
          <w:sz w:val="28"/>
          <w:szCs w:val="28"/>
          <w:highlight w:val="none"/>
          <w:u w:val="none"/>
          <w:lang w:val="en-US" w:eastAsia="zh-CN"/>
        </w:rPr>
        <w:t>及各分公司</w:t>
      </w:r>
    </w:p>
    <w:p>
      <w:pPr>
        <w:pStyle w:val="23"/>
        <w:rPr>
          <w:rFonts w:hint="eastAsia" w:ascii="仿宋_GB2312" w:hAnsi="宋体" w:eastAsia="仿宋_GB2312" w:cs="Times New Roman"/>
          <w:color w:val="auto"/>
          <w:sz w:val="28"/>
          <w:szCs w:val="28"/>
          <w:highlight w:val="none"/>
          <w:u w:val="none"/>
        </w:rPr>
      </w:pPr>
      <w:r>
        <w:rPr>
          <w:rFonts w:hint="eastAsia" w:ascii="仿宋_GB2312" w:eastAsia="仿宋_GB2312"/>
          <w:color w:val="auto"/>
          <w:sz w:val="28"/>
          <w:szCs w:val="28"/>
          <w:highlight w:val="none"/>
          <w:u w:val="none"/>
        </w:rPr>
        <w:t>服务期</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1年</w:t>
      </w:r>
      <w:r>
        <w:rPr>
          <w:rFonts w:hint="eastAsia" w:ascii="仿宋_GB2312" w:eastAsia="仿宋_GB2312"/>
          <w:color w:val="auto"/>
          <w:sz w:val="28"/>
          <w:szCs w:val="28"/>
          <w:highlight w:val="none"/>
          <w:u w:val="none"/>
        </w:rPr>
        <w:t xml:space="preserve"> </w:t>
      </w:r>
    </w:p>
    <w:p>
      <w:pPr>
        <w:pStyle w:val="23"/>
        <w:numPr>
          <w:ilvl w:val="0"/>
          <w:numId w:val="0"/>
        </w:numPr>
        <w:spacing w:before="120" w:line="360" w:lineRule="auto"/>
        <w:ind w:firstLine="840" w:firstLineChars="300"/>
        <w:rPr>
          <w:rFonts w:hint="eastAsia" w:ascii="仿宋_GB2312" w:hAnsi="宋体" w:eastAsia="仿宋_GB2312" w:cs="Times New Roman"/>
          <w:color w:val="auto"/>
          <w:sz w:val="28"/>
          <w:szCs w:val="28"/>
          <w:highlight w:val="none"/>
          <w:u w:val="none"/>
          <w:lang w:val="en-US" w:eastAsia="zh-CN"/>
        </w:rPr>
      </w:pPr>
      <w:r>
        <w:rPr>
          <w:rFonts w:hint="eastAsia" w:ascii="仿宋_GB2312" w:hAnsi="宋体" w:eastAsia="仿宋_GB2312" w:cs="Times New Roman"/>
          <w:color w:val="auto"/>
          <w:sz w:val="28"/>
          <w:szCs w:val="28"/>
          <w:highlight w:val="none"/>
          <w:u w:val="none"/>
          <w:lang w:val="en-US" w:eastAsia="zh-CN"/>
        </w:rPr>
        <w:t>维保内容：</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1.</w:t>
      </w:r>
      <w:r>
        <w:rPr>
          <w:rFonts w:hint="eastAsia" w:ascii="仿宋_GB2312" w:hAnsi="宋体" w:eastAsia="仿宋_GB2312" w:cs="Times New Roman"/>
          <w:color w:val="auto"/>
          <w:sz w:val="28"/>
          <w:szCs w:val="28"/>
          <w:highlight w:val="none"/>
          <w:u w:val="none"/>
        </w:rPr>
        <w:t>现场检查与维护保养</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每</w:t>
      </w:r>
      <w:r>
        <w:rPr>
          <w:rFonts w:hint="eastAsia" w:ascii="仿宋_GB2312" w:hAnsi="宋体" w:eastAsia="仿宋_GB2312" w:cs="Times New Roman"/>
          <w:color w:val="auto"/>
          <w:sz w:val="28"/>
          <w:szCs w:val="28"/>
          <w:highlight w:val="none"/>
          <w:u w:val="none"/>
          <w:lang w:val="en-US" w:eastAsia="zh-CN"/>
        </w:rPr>
        <w:t>半年</w:t>
      </w:r>
      <w:r>
        <w:rPr>
          <w:rFonts w:hint="eastAsia" w:ascii="仿宋_GB2312" w:hAnsi="宋体" w:eastAsia="仿宋_GB2312" w:cs="Times New Roman"/>
          <w:color w:val="auto"/>
          <w:sz w:val="28"/>
          <w:szCs w:val="28"/>
          <w:highlight w:val="none"/>
          <w:u w:val="none"/>
        </w:rPr>
        <w:t>对系统和</w:t>
      </w:r>
      <w:r>
        <w:rPr>
          <w:rFonts w:hint="eastAsia" w:ascii="仿宋_GB2312" w:hAnsi="宋体" w:eastAsia="仿宋_GB2312" w:cs="Times New Roman"/>
          <w:color w:val="auto"/>
          <w:sz w:val="28"/>
          <w:szCs w:val="28"/>
          <w:highlight w:val="none"/>
          <w:u w:val="none"/>
          <w:lang w:val="en-US" w:eastAsia="zh-CN"/>
        </w:rPr>
        <w:t>所有厂区</w:t>
      </w:r>
      <w:r>
        <w:rPr>
          <w:rFonts w:hint="eastAsia" w:ascii="仿宋_GB2312" w:hAnsi="宋体" w:eastAsia="仿宋_GB2312" w:cs="Times New Roman"/>
          <w:color w:val="auto"/>
          <w:sz w:val="28"/>
          <w:szCs w:val="28"/>
          <w:highlight w:val="none"/>
          <w:u w:val="none"/>
        </w:rPr>
        <w:t>设备进行一次全面的现场检查和维护保养，确保设备处于良好运行状态。</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检查内容包括但不限于设备外观、运行参数、报警信息、通讯状态等</w:t>
      </w:r>
      <w:r>
        <w:rPr>
          <w:rFonts w:hint="eastAsia" w:ascii="仿宋_GB2312" w:hAnsi="宋体" w:eastAsia="仿宋_GB2312" w:cs="Times New Roman"/>
          <w:color w:val="auto"/>
          <w:sz w:val="28"/>
          <w:szCs w:val="28"/>
          <w:highlight w:val="none"/>
          <w:u w:val="none"/>
          <w:lang w:val="en-US" w:eastAsia="zh-CN"/>
        </w:rPr>
        <w:t>等</w:t>
      </w:r>
      <w:r>
        <w:rPr>
          <w:rFonts w:hint="eastAsia" w:ascii="仿宋_GB2312" w:hAnsi="宋体" w:eastAsia="仿宋_GB2312" w:cs="Times New Roman"/>
          <w:color w:val="auto"/>
          <w:sz w:val="28"/>
          <w:szCs w:val="28"/>
          <w:highlight w:val="none"/>
          <w:u w:val="none"/>
        </w:rPr>
        <w:t>，对发现的问题及时进行处理和修复。</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每次检查完成后，提交书面检查报告，报告内容包括检查日期、检查人员、检查项目、发现的问题及处理措施等，以便甲方存档和参考，每年</w:t>
      </w:r>
      <w:r>
        <w:rPr>
          <w:rFonts w:hint="eastAsia" w:ascii="仿宋_GB2312" w:hAnsi="宋体" w:eastAsia="仿宋_GB2312" w:cs="Times New Roman"/>
          <w:color w:val="auto"/>
          <w:sz w:val="28"/>
          <w:szCs w:val="28"/>
          <w:highlight w:val="none"/>
          <w:u w:val="none"/>
          <w:lang w:val="en-US" w:eastAsia="zh-CN"/>
        </w:rPr>
        <w:t>2</w:t>
      </w:r>
      <w:r>
        <w:rPr>
          <w:rFonts w:hint="eastAsia" w:ascii="仿宋_GB2312" w:hAnsi="宋体" w:eastAsia="仿宋_GB2312" w:cs="Times New Roman"/>
          <w:color w:val="auto"/>
          <w:sz w:val="28"/>
          <w:szCs w:val="28"/>
          <w:highlight w:val="none"/>
          <w:u w:val="none"/>
        </w:rPr>
        <w:t>次。</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2.</w:t>
      </w:r>
      <w:r>
        <w:rPr>
          <w:rFonts w:hint="eastAsia" w:ascii="仿宋_GB2312" w:hAnsi="宋体" w:eastAsia="仿宋_GB2312" w:cs="Times New Roman"/>
          <w:color w:val="auto"/>
          <w:sz w:val="28"/>
          <w:szCs w:val="28"/>
          <w:highlight w:val="none"/>
          <w:u w:val="none"/>
        </w:rPr>
        <w:t>技术培训</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向甲方的技术人员和运行操作人员提供</w:t>
      </w:r>
      <w:r>
        <w:rPr>
          <w:rFonts w:hint="eastAsia" w:ascii="仿宋_GB2312" w:hAnsi="宋体" w:eastAsia="仿宋_GB2312" w:cs="Times New Roman"/>
          <w:color w:val="auto"/>
          <w:sz w:val="28"/>
          <w:szCs w:val="28"/>
          <w:highlight w:val="none"/>
          <w:u w:val="none"/>
          <w:lang w:val="en-US" w:eastAsia="zh-CN"/>
        </w:rPr>
        <w:t>至少2</w:t>
      </w:r>
      <w:r>
        <w:rPr>
          <w:rFonts w:hint="eastAsia" w:ascii="仿宋_GB2312" w:hAnsi="宋体" w:eastAsia="仿宋_GB2312" w:cs="Times New Roman"/>
          <w:color w:val="auto"/>
          <w:sz w:val="28"/>
          <w:szCs w:val="28"/>
          <w:highlight w:val="none"/>
          <w:u w:val="none"/>
        </w:rPr>
        <w:t>次技术培训。培训内容包括设备的操作、维护、故障排除等方面的知识，提升甲方人员的技术水平和操作能力，确保其能够熟练掌握设备的使用和维护方法。</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3.</w:t>
      </w:r>
      <w:r>
        <w:rPr>
          <w:rFonts w:hint="eastAsia" w:ascii="仿宋_GB2312" w:hAnsi="宋体" w:eastAsia="仿宋_GB2312" w:cs="Times New Roman"/>
          <w:color w:val="auto"/>
          <w:sz w:val="28"/>
          <w:szCs w:val="28"/>
          <w:highlight w:val="none"/>
          <w:u w:val="none"/>
        </w:rPr>
        <w:t>现场紧急事件处理</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提供快速响应的现场紧急事件处理服务。接到甲方电话通知后，</w:t>
      </w:r>
      <w:r>
        <w:rPr>
          <w:rFonts w:hint="eastAsia" w:ascii="仿宋_GB2312" w:hAnsi="宋体" w:eastAsia="仿宋_GB2312" w:cs="Times New Roman"/>
          <w:color w:val="auto"/>
          <w:sz w:val="28"/>
          <w:szCs w:val="28"/>
          <w:highlight w:val="none"/>
          <w:u w:val="none"/>
          <w:lang w:val="en-US" w:eastAsia="zh-CN"/>
        </w:rPr>
        <w:t>需</w:t>
      </w:r>
      <w:r>
        <w:rPr>
          <w:rFonts w:hint="eastAsia" w:ascii="仿宋_GB2312" w:hAnsi="宋体" w:eastAsia="仿宋_GB2312" w:cs="Times New Roman"/>
          <w:color w:val="auto"/>
          <w:sz w:val="28"/>
          <w:szCs w:val="28"/>
          <w:highlight w:val="none"/>
          <w:u w:val="none"/>
        </w:rPr>
        <w:t>12小时内到达现场，迅速对紧急事件进行处理，提交书面检查保养维护或故障处理</w:t>
      </w:r>
      <w:r>
        <w:rPr>
          <w:rFonts w:hint="eastAsia" w:ascii="仿宋_GB2312" w:hAnsi="宋体" w:eastAsia="仿宋_GB2312" w:cs="Times New Roman"/>
          <w:color w:val="auto"/>
          <w:sz w:val="28"/>
          <w:szCs w:val="28"/>
          <w:highlight w:val="none"/>
          <w:u w:val="none"/>
          <w:lang w:val="en-US" w:eastAsia="zh-CN"/>
        </w:rPr>
        <w:t>记录，</w:t>
      </w:r>
      <w:r>
        <w:rPr>
          <w:rFonts w:hint="eastAsia" w:ascii="仿宋_GB2312" w:hAnsi="宋体" w:eastAsia="仿宋_GB2312" w:cs="Times New Roman"/>
          <w:color w:val="auto"/>
          <w:sz w:val="28"/>
          <w:szCs w:val="28"/>
          <w:highlight w:val="none"/>
          <w:u w:val="none"/>
        </w:rPr>
        <w:t>确保系统和设备的正常运行，减少故障对生产的影响。</w:t>
      </w:r>
    </w:p>
    <w:p>
      <w:pPr>
        <w:pStyle w:val="23"/>
        <w:numPr>
          <w:ilvl w:val="0"/>
          <w:numId w:val="0"/>
        </w:numPr>
        <w:ind w:firstLine="560" w:firstLineChars="200"/>
        <w:rPr>
          <w:rFonts w:hint="eastAsia" w:ascii="仿宋_GB2312" w:hAnsi="宋体" w:eastAsia="仿宋_GB2312" w:cs="Times New Roman"/>
          <w:color w:val="auto"/>
          <w:kern w:val="0"/>
          <w:sz w:val="28"/>
          <w:szCs w:val="28"/>
          <w:highlight w:val="none"/>
          <w:u w:val="none"/>
          <w:lang w:val="en-US" w:eastAsia="zh-CN" w:bidi="ar-SA"/>
        </w:rPr>
      </w:pPr>
      <w:r>
        <w:rPr>
          <w:rFonts w:hint="eastAsia" w:ascii="仿宋_GB2312" w:hAnsi="宋体" w:eastAsia="仿宋_GB2312" w:cs="Times New Roman"/>
          <w:color w:val="auto"/>
          <w:kern w:val="0"/>
          <w:sz w:val="28"/>
          <w:szCs w:val="28"/>
          <w:highlight w:val="none"/>
          <w:u w:val="none"/>
          <w:lang w:val="en-US" w:eastAsia="zh-CN" w:bidi="ar-SA"/>
        </w:rPr>
        <w:t>4.广州市能源管理平台对接</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lang w:val="en-US" w:eastAsia="zh-CN"/>
        </w:rPr>
      </w:pPr>
      <w:r>
        <w:rPr>
          <w:rFonts w:hint="eastAsia" w:ascii="仿宋_GB2312" w:hAnsi="宋体" w:eastAsia="仿宋_GB2312" w:cs="Times New Roman"/>
          <w:color w:val="auto"/>
          <w:sz w:val="28"/>
          <w:szCs w:val="28"/>
          <w:highlight w:val="none"/>
          <w:u w:val="none"/>
          <w:lang w:val="en-US" w:eastAsia="zh-CN"/>
        </w:rPr>
        <w:t>包括数据断开连接恢复、数据安全隔离、数据补录等，确保数据采集及对接稳定性,保障市平台数据采集稳定率不低于95% 。</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5.</w:t>
      </w:r>
      <w:r>
        <w:rPr>
          <w:rFonts w:hint="eastAsia" w:ascii="仿宋_GB2312" w:hAnsi="宋体" w:eastAsia="仿宋_GB2312" w:cs="Times New Roman"/>
          <w:color w:val="auto"/>
          <w:sz w:val="28"/>
          <w:szCs w:val="28"/>
          <w:highlight w:val="none"/>
          <w:u w:val="none"/>
        </w:rPr>
        <w:t>重大活动维保支持</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在维保期内，针对甲方的重大活动，</w:t>
      </w:r>
      <w:r>
        <w:rPr>
          <w:rFonts w:hint="eastAsia" w:ascii="仿宋_GB2312" w:hAnsi="宋体" w:eastAsia="仿宋_GB2312" w:cs="Times New Roman"/>
          <w:color w:val="auto"/>
          <w:sz w:val="28"/>
          <w:szCs w:val="28"/>
          <w:highlight w:val="none"/>
          <w:u w:val="none"/>
          <w:lang w:val="en-US" w:eastAsia="zh-CN"/>
        </w:rPr>
        <w:t>按要求</w:t>
      </w:r>
      <w:r>
        <w:rPr>
          <w:rFonts w:hint="eastAsia" w:ascii="仿宋_GB2312" w:hAnsi="宋体" w:eastAsia="仿宋_GB2312" w:cs="Times New Roman"/>
          <w:color w:val="auto"/>
          <w:sz w:val="28"/>
          <w:szCs w:val="28"/>
          <w:highlight w:val="none"/>
          <w:u w:val="none"/>
        </w:rPr>
        <w:t>提前对系统进行全面检查和优化，确保活动期间监控系统的稳定运行，为重大活动提供可靠保障。</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6.</w:t>
      </w:r>
      <w:r>
        <w:rPr>
          <w:rFonts w:hint="eastAsia" w:ascii="仿宋_GB2312" w:hAnsi="宋体" w:eastAsia="仿宋_GB2312" w:cs="Times New Roman"/>
          <w:color w:val="auto"/>
          <w:sz w:val="28"/>
          <w:szCs w:val="28"/>
          <w:highlight w:val="none"/>
          <w:u w:val="none"/>
        </w:rPr>
        <w:t>数据异常分析</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对于甲方现场数据异常等事件，协助进行数据异常分析，找出问题的根本原因，为甲方提供准确的解决方案，保障系统的安全运行。</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7.</w:t>
      </w:r>
      <w:r>
        <w:rPr>
          <w:rFonts w:hint="eastAsia" w:ascii="仿宋_GB2312" w:hAnsi="宋体" w:eastAsia="仿宋_GB2312" w:cs="Times New Roman"/>
          <w:color w:val="auto"/>
          <w:sz w:val="28"/>
          <w:szCs w:val="28"/>
          <w:highlight w:val="none"/>
          <w:u w:val="none"/>
        </w:rPr>
        <w:t>系统升级</w:t>
      </w:r>
      <w:r>
        <w:rPr>
          <w:rFonts w:hint="eastAsia" w:ascii="仿宋_GB2312" w:hAnsi="宋体" w:eastAsia="仿宋_GB2312" w:cs="Times New Roman"/>
          <w:color w:val="auto"/>
          <w:sz w:val="28"/>
          <w:szCs w:val="28"/>
          <w:highlight w:val="none"/>
          <w:u w:val="none"/>
          <w:lang w:val="en-US" w:eastAsia="zh-CN"/>
        </w:rPr>
        <w:t>优化及</w:t>
      </w:r>
      <w:r>
        <w:rPr>
          <w:rFonts w:hint="eastAsia" w:ascii="仿宋_GB2312" w:hAnsi="宋体" w:eastAsia="仿宋_GB2312" w:cs="Times New Roman"/>
          <w:color w:val="auto"/>
          <w:sz w:val="28"/>
          <w:szCs w:val="28"/>
          <w:highlight w:val="none"/>
          <w:u w:val="none"/>
        </w:rPr>
        <w:t>改造</w:t>
      </w:r>
    </w:p>
    <w:p>
      <w:pPr>
        <w:pStyle w:val="23"/>
        <w:numPr>
          <w:ilvl w:val="0"/>
          <w:numId w:val="0"/>
        </w:numPr>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结合现场系统运行情况，对需要</w:t>
      </w:r>
      <w:r>
        <w:rPr>
          <w:rFonts w:hint="eastAsia" w:ascii="仿宋_GB2312" w:hAnsi="宋体" w:eastAsia="仿宋_GB2312" w:cs="Times New Roman"/>
          <w:color w:val="auto"/>
          <w:sz w:val="28"/>
          <w:szCs w:val="28"/>
          <w:highlight w:val="none"/>
          <w:u w:val="none"/>
          <w:lang w:val="en-US" w:eastAsia="zh-CN"/>
        </w:rPr>
        <w:t>升级优化的</w:t>
      </w:r>
      <w:r>
        <w:rPr>
          <w:rFonts w:hint="eastAsia" w:ascii="仿宋_GB2312" w:hAnsi="宋体" w:eastAsia="仿宋_GB2312" w:cs="Times New Roman"/>
          <w:color w:val="auto"/>
          <w:sz w:val="28"/>
          <w:szCs w:val="28"/>
          <w:highlight w:val="none"/>
          <w:u w:val="none"/>
        </w:rPr>
        <w:t>系统</w:t>
      </w:r>
      <w:r>
        <w:rPr>
          <w:rFonts w:hint="eastAsia" w:ascii="仿宋_GB2312" w:hAnsi="宋体" w:eastAsia="仿宋_GB2312" w:cs="Times New Roman"/>
          <w:color w:val="auto"/>
          <w:sz w:val="28"/>
          <w:szCs w:val="28"/>
          <w:highlight w:val="none"/>
          <w:u w:val="none"/>
          <w:lang w:val="en-US" w:eastAsia="zh-CN"/>
        </w:rPr>
        <w:t>进行</w:t>
      </w:r>
      <w:r>
        <w:rPr>
          <w:rFonts w:hint="eastAsia" w:ascii="仿宋_GB2312" w:hAnsi="宋体" w:eastAsia="仿宋_GB2312" w:cs="Times New Roman"/>
          <w:color w:val="auto"/>
          <w:sz w:val="28"/>
          <w:szCs w:val="28"/>
          <w:highlight w:val="none"/>
          <w:u w:val="none"/>
        </w:rPr>
        <w:t>升级</w:t>
      </w:r>
      <w:r>
        <w:rPr>
          <w:rFonts w:hint="eastAsia" w:ascii="仿宋_GB2312" w:hAnsi="宋体" w:eastAsia="仿宋_GB2312" w:cs="Times New Roman"/>
          <w:color w:val="auto"/>
          <w:sz w:val="28"/>
          <w:szCs w:val="28"/>
          <w:highlight w:val="none"/>
          <w:u w:val="none"/>
          <w:lang w:val="en-US" w:eastAsia="zh-CN"/>
        </w:rPr>
        <w:t>优化，对需要</w:t>
      </w:r>
      <w:r>
        <w:rPr>
          <w:rFonts w:hint="eastAsia" w:ascii="仿宋_GB2312" w:hAnsi="宋体" w:eastAsia="仿宋_GB2312" w:cs="Times New Roman"/>
          <w:color w:val="auto"/>
          <w:sz w:val="28"/>
          <w:szCs w:val="28"/>
          <w:highlight w:val="none"/>
          <w:u w:val="none"/>
        </w:rPr>
        <w:t>改造的项目给出合理的升级改造方案。</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8.</w:t>
      </w:r>
      <w:r>
        <w:rPr>
          <w:rFonts w:hint="eastAsia" w:ascii="仿宋_GB2312" w:hAnsi="宋体" w:eastAsia="仿宋_GB2312" w:cs="Times New Roman"/>
          <w:color w:val="auto"/>
          <w:sz w:val="28"/>
          <w:szCs w:val="28"/>
          <w:highlight w:val="none"/>
          <w:u w:val="none"/>
        </w:rPr>
        <w:t>设备维护与协助</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对于甲方现有设备的同型号更换、升级改造、点位增加等工作，提供服务帮助重新接入系统，确保设备的正常运行。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9.</w:t>
      </w:r>
      <w:r>
        <w:rPr>
          <w:rFonts w:hint="eastAsia" w:ascii="仿宋_GB2312" w:hAnsi="宋体" w:eastAsia="仿宋_GB2312" w:cs="Times New Roman"/>
          <w:color w:val="auto"/>
          <w:sz w:val="28"/>
          <w:szCs w:val="28"/>
          <w:highlight w:val="none"/>
          <w:u w:val="none"/>
        </w:rPr>
        <w:t>隐患排查</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根据甲方要求，对系统进行全面、细致的检查，及时发现潜在隐患并整改，</w:t>
      </w:r>
      <w:r>
        <w:rPr>
          <w:rFonts w:hint="eastAsia" w:ascii="仿宋_GB2312" w:hAnsi="宋体" w:eastAsia="仿宋_GB2312" w:cs="Times New Roman"/>
          <w:color w:val="auto"/>
          <w:sz w:val="28"/>
          <w:szCs w:val="28"/>
          <w:highlight w:val="none"/>
          <w:u w:val="none"/>
          <w:lang w:val="en-US" w:eastAsia="zh-CN"/>
        </w:rPr>
        <w:t>修复安全漏洞，</w:t>
      </w:r>
      <w:r>
        <w:rPr>
          <w:rFonts w:hint="eastAsia" w:ascii="仿宋_GB2312" w:hAnsi="宋体" w:eastAsia="仿宋_GB2312" w:cs="Times New Roman"/>
          <w:color w:val="auto"/>
          <w:sz w:val="28"/>
          <w:szCs w:val="28"/>
          <w:highlight w:val="none"/>
          <w:u w:val="none"/>
        </w:rPr>
        <w:t>保障系统的安全稳定运行。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10.</w:t>
      </w:r>
      <w:r>
        <w:rPr>
          <w:rFonts w:hint="eastAsia" w:ascii="仿宋_GB2312" w:hAnsi="宋体" w:eastAsia="仿宋_GB2312" w:cs="Times New Roman"/>
          <w:color w:val="auto"/>
          <w:sz w:val="28"/>
          <w:szCs w:val="28"/>
          <w:highlight w:val="none"/>
          <w:u w:val="none"/>
        </w:rPr>
        <w:t>第三方设备影响处理</w:t>
      </w:r>
    </w:p>
    <w:p>
      <w:pPr>
        <w:pStyle w:val="23"/>
        <w:spacing w:before="120" w:line="360" w:lineRule="auto"/>
        <w:ind w:firstLine="560" w:firstLineChars="200"/>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rPr>
        <w:t>若第三方设备影响系统的正常运行，及时提出整改建议，并配合第三方查明原因，协助甲方解决相关问题，确保系统的整体协调运行。</w:t>
      </w:r>
    </w:p>
    <w:p>
      <w:pPr>
        <w:pStyle w:val="23"/>
        <w:adjustRightInd/>
        <w:snapToGrid/>
        <w:spacing w:before="120" w:beforeLines="0" w:line="360" w:lineRule="auto"/>
        <w:ind w:firstLine="560" w:firstLineChars="200"/>
        <w:jc w:val="both"/>
        <w:rPr>
          <w:rFonts w:hint="eastAsia" w:ascii="仿宋_GB2312" w:hAnsi="宋体" w:eastAsia="仿宋_GB2312" w:cs="Times New Roman"/>
          <w:color w:val="auto"/>
          <w:sz w:val="28"/>
          <w:szCs w:val="28"/>
          <w:highlight w:val="none"/>
          <w:u w:val="none"/>
        </w:rPr>
      </w:pPr>
      <w:r>
        <w:rPr>
          <w:rFonts w:hint="eastAsia" w:ascii="仿宋_GB2312" w:hAnsi="宋体" w:eastAsia="仿宋_GB2312" w:cs="Times New Roman"/>
          <w:color w:val="auto"/>
          <w:sz w:val="28"/>
          <w:szCs w:val="28"/>
          <w:highlight w:val="none"/>
          <w:u w:val="none"/>
          <w:lang w:val="en-US" w:eastAsia="zh-CN"/>
        </w:rPr>
        <w:t>11.</w:t>
      </w:r>
      <w:r>
        <w:rPr>
          <w:rFonts w:hint="eastAsia" w:ascii="仿宋_GB2312" w:hAnsi="宋体" w:eastAsia="仿宋_GB2312" w:cs="Times New Roman"/>
          <w:color w:val="auto"/>
          <w:sz w:val="28"/>
          <w:szCs w:val="28"/>
          <w:highlight w:val="none"/>
          <w:u w:val="none"/>
        </w:rPr>
        <w:t>远程诊断服务</w:t>
      </w:r>
    </w:p>
    <w:p>
      <w:pPr>
        <w:pStyle w:val="23"/>
        <w:spacing w:before="120" w:line="360" w:lineRule="auto"/>
        <w:ind w:firstLine="560" w:firstLineChars="200"/>
        <w:rPr>
          <w:rFonts w:hint="eastAsia" w:ascii="仿宋_GB2312" w:hAnsi="仿宋_GB2312" w:eastAsia="仿宋_GB2312" w:cs="仿宋_GB2312"/>
          <w:sz w:val="32"/>
          <w:szCs w:val="32"/>
          <w:highlight w:val="none"/>
          <w:u w:val="none"/>
        </w:rPr>
      </w:pPr>
      <w:r>
        <w:rPr>
          <w:rFonts w:hint="eastAsia" w:ascii="仿宋_GB2312" w:hAnsi="宋体" w:eastAsia="仿宋_GB2312" w:cs="Times New Roman"/>
          <w:color w:val="auto"/>
          <w:sz w:val="28"/>
          <w:szCs w:val="28"/>
          <w:highlight w:val="none"/>
          <w:u w:val="none"/>
        </w:rPr>
        <w:t>提供远程诊断服务。通过远程监控和诊断技术，实时了解系统和设备的运行状态，并提供远程技术支持和解决方案，提高维保服务的效率和响应速度</w:t>
      </w:r>
      <w:r>
        <w:rPr>
          <w:rFonts w:hint="eastAsia" w:ascii="仿宋_GB2312" w:hAnsi="仿宋_GB2312" w:eastAsia="仿宋_GB2312" w:cs="仿宋_GB2312"/>
          <w:sz w:val="32"/>
          <w:szCs w:val="32"/>
          <w:highlight w:val="none"/>
          <w:u w:val="none"/>
        </w:rPr>
        <w:t>。</w:t>
      </w:r>
    </w:p>
    <w:p>
      <w:pPr>
        <w:rPr>
          <w:rFonts w:hint="eastAsia"/>
          <w:u w:val="none"/>
        </w:rPr>
      </w:pPr>
      <w:r>
        <w:rPr>
          <w:rFonts w:hint="eastAsia"/>
          <w:u w:val="none"/>
        </w:rPr>
        <w:br w:type="page"/>
      </w:r>
    </w:p>
    <w:p>
      <w:pPr>
        <w:widowControl/>
        <w:jc w:val="left"/>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6</w:t>
      </w:r>
    </w:p>
    <w:p>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bl>
    <w:p>
      <w:pPr>
        <w:contextualSpacing/>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pPr>
        <w:pStyle w:val="2"/>
        <w:rPr>
          <w:rFonts w:hint="eastAsia"/>
          <w:lang w:val="en-US" w:eastAsia="zh-CN"/>
        </w:rPr>
      </w:pPr>
    </w:p>
    <w:p>
      <w:pPr>
        <w:adjustRightInd w:val="0"/>
        <w:snapToGrid w:val="0"/>
        <w:spacing w:beforeLines="50" w:afterLines="50" w:line="600" w:lineRule="exact"/>
        <w:jc w:val="both"/>
        <w:rPr>
          <w:rFonts w:hint="default" w:ascii="方正小标宋简体" w:eastAsia="方正小标宋简体"/>
          <w:color w:val="auto"/>
          <w:sz w:val="44"/>
          <w:szCs w:val="44"/>
          <w:highlight w:val="none"/>
          <w:lang w:val="en-US" w:eastAsia="zh-CN"/>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1.响应函</w:t>
      </w:r>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28"/>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28"/>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28"/>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3"/>
        <w:ind w:left="0" w:leftChars="0" w:firstLine="0" w:firstLineChars="0"/>
        <w:rPr>
          <w:rFonts w:hint="eastAsia" w:ascii="仿宋_GB2312" w:hAnsi="宋体" w:eastAsia="仿宋"/>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 w:hAnsiTheme="minorEastAsia"/>
          <w:color w:val="auto"/>
          <w:sz w:val="28"/>
          <w:szCs w:val="28"/>
          <w:highlight w:val="none"/>
          <w:lang w:val="en-US" w:eastAsia="zh-CN"/>
        </w:rPr>
      </w:pPr>
    </w:p>
    <w:p>
      <w:pPr>
        <w:pStyle w:val="2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r>
        <w:rPr>
          <w:rFonts w:hint="eastAsia" w:ascii="仿宋_GB2312" w:eastAsia="仿宋" w:hAnsiTheme="minorEastAsia"/>
          <w:color w:val="auto"/>
          <w:sz w:val="28"/>
          <w:szCs w:val="28"/>
          <w:highlight w:val="none"/>
          <w:lang w:val="en-US" w:eastAsia="zh-CN"/>
        </w:rPr>
        <w:br w:type="page"/>
      </w:r>
    </w:p>
    <w:p>
      <w:pPr>
        <w:pStyle w:val="5"/>
        <w:numPr>
          <w:ilvl w:val="0"/>
          <w:numId w:val="5"/>
        </w:numPr>
        <w:rPr>
          <w:rFonts w:hint="eastAsia" w:asciiTheme="minorEastAsia" w:hAnsiTheme="minorEastAsia" w:eastAsiaTheme="minorEastAsia"/>
          <w:color w:val="auto"/>
          <w:sz w:val="28"/>
          <w:szCs w:val="28"/>
          <w:highlight w:val="none"/>
          <w:lang w:eastAsia="zh-CN"/>
        </w:rPr>
      </w:pPr>
      <w:bookmarkStart w:id="28" w:name="_Toc32430"/>
      <w:bookmarkStart w:id="29" w:name="_Toc19423"/>
      <w:r>
        <w:rPr>
          <w:rFonts w:hint="eastAsia" w:asciiTheme="minorEastAsia" w:hAnsiTheme="minorEastAsia" w:eastAsiaTheme="minorEastAsia"/>
          <w:color w:val="auto"/>
          <w:sz w:val="28"/>
          <w:szCs w:val="28"/>
          <w:highlight w:val="none"/>
        </w:rPr>
        <w:t>报价表</w:t>
      </w:r>
      <w:bookmarkEnd w:id="28"/>
      <w:bookmarkEnd w:id="29"/>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项目报价表</w:t>
      </w:r>
    </w:p>
    <w:p>
      <w:pPr>
        <w:pStyle w:val="23"/>
        <w:adjustRightInd/>
        <w:spacing w:after="0"/>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3"/>
        <w:gridCol w:w="261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 w:cs="仿宋_GB2312"/>
                <w:b w:val="0"/>
                <w:bCs w:val="0"/>
                <w:kern w:val="2"/>
                <w:sz w:val="24"/>
                <w:szCs w:val="24"/>
                <w:vertAlign w:val="baseline"/>
                <w:lang w:val="en-US" w:eastAsia="zh-CN" w:bidi="ar-SA"/>
              </w:rPr>
              <w:t>项目名称</w:t>
            </w:r>
          </w:p>
        </w:tc>
        <w:tc>
          <w:tcPr>
            <w:tcW w:w="2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kern w:val="2"/>
                <w:sz w:val="24"/>
                <w:szCs w:val="24"/>
                <w:vertAlign w:val="baseline"/>
                <w:lang w:val="en-US" w:eastAsia="zh-CN" w:bidi="ar-SA"/>
              </w:rPr>
              <w:t>税率（%）</w:t>
            </w:r>
          </w:p>
        </w:tc>
        <w:tc>
          <w:tcPr>
            <w:tcW w:w="26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rPr>
              <w:t>广州市净水有限公司2025-2026年度能源管理系统维保</w:t>
            </w:r>
          </w:p>
        </w:tc>
        <w:tc>
          <w:tcPr>
            <w:tcW w:w="26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p>
        </w:tc>
        <w:tc>
          <w:tcPr>
            <w:tcW w:w="26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注：1.以上报价包括但不限于设计费、人工费、材料费、安装费、运输费、装卸费、加班费、材料运输费用及各项税费等全部费用。</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2.本项目报价为固定价，除税率外应统一保留两位小数；响应文件内不得含有任何对本报价进行修改的其他说明，否则将被视为无效报价。</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3.供应商需按国家法定并适应本项目类型的税率报价，报价中应包含为实施本项目所包含的全部税费，本报价表税率仅限增值税。</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4.本格式文件内容不得擅自删改。</w:t>
      </w:r>
    </w:p>
    <w:p>
      <w:pPr>
        <w:pStyle w:val="6"/>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6"/>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6"/>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snapToGrid/>
        <w:spacing w:line="240" w:lineRule="auto"/>
        <w:ind w:firstLine="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pPr>
        <w:pStyle w:val="5"/>
        <w:rPr>
          <w:rFonts w:asciiTheme="majorEastAsia" w:hAnsiTheme="majorEastAsia" w:eastAsiaTheme="majorEastAsia"/>
          <w:color w:val="auto"/>
          <w:sz w:val="28"/>
          <w:szCs w:val="28"/>
          <w:highlight w:val="none"/>
        </w:rPr>
      </w:pPr>
      <w:bookmarkStart w:id="30" w:name="_Toc87616402"/>
      <w:bookmarkStart w:id="31" w:name="_Toc16386"/>
      <w:bookmarkStart w:id="32" w:name="_Toc88209965"/>
      <w:bookmarkStart w:id="33"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30"/>
      <w:bookmarkEnd w:id="31"/>
      <w:bookmarkEnd w:id="32"/>
      <w:bookmarkEnd w:id="33"/>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6.1承诺函</w:t>
      </w:r>
    </w:p>
    <w:p>
      <w:pPr>
        <w:adjustRightInd w:val="0"/>
        <w:snapToGrid w:val="0"/>
        <w:spacing w:line="360" w:lineRule="auto"/>
        <w:jc w:val="center"/>
        <w:rPr>
          <w:rFonts w:hint="eastAsia" w:ascii="宋体" w:hAnsi="宋体" w:eastAsia="宋体" w:cs="宋体"/>
          <w:b/>
          <w:sz w:val="36"/>
          <w:szCs w:val="36"/>
          <w:highlight w:val="none"/>
          <w:lang w:val="en-GB" w:eastAsia="zh-CN"/>
        </w:rPr>
      </w:pPr>
      <w:r>
        <w:rPr>
          <w:rFonts w:hint="eastAsia" w:ascii="宋体" w:hAnsi="宋体" w:cs="宋体"/>
          <w:b/>
          <w:sz w:val="36"/>
          <w:szCs w:val="36"/>
          <w:highlight w:val="none"/>
          <w:lang w:val="en-US" w:eastAsia="zh-CN"/>
        </w:rPr>
        <w:t>承诺函</w:t>
      </w:r>
    </w:p>
    <w:p>
      <w:pPr>
        <w:adjustRightInd w:val="0"/>
        <w:snapToGrid w:val="0"/>
        <w:spacing w:line="240" w:lineRule="auto"/>
        <w:rPr>
          <w:rFonts w:ascii="宋体" w:hAnsi="宋体" w:cs="宋体"/>
          <w:b/>
          <w:iCs/>
          <w:sz w:val="24"/>
          <w:szCs w:val="24"/>
          <w:highlight w:val="none"/>
        </w:rPr>
      </w:pP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lang w:eastAsia="zh-CN"/>
        </w:rPr>
        <w:t>广州市净水有限公</w:t>
      </w:r>
      <w:r>
        <w:rPr>
          <w:rFonts w:hint="eastAsia" w:ascii="宋体" w:hAnsi="宋体" w:cs="宋体"/>
          <w:bCs/>
          <w:iCs/>
          <w:sz w:val="24"/>
          <w:szCs w:val="24"/>
          <w:highlight w:val="none"/>
          <w:lang w:eastAsia="zh-CN"/>
        </w:rPr>
        <w:t>司</w:t>
      </w:r>
      <w:r>
        <w:rPr>
          <w:rFonts w:hint="eastAsia" w:ascii="宋体" w:hAnsi="宋体" w:cs="宋体"/>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u w:val="none"/>
          <w:lang w:eastAsia="zh-CN"/>
        </w:rPr>
      </w:pPr>
      <w:r>
        <w:rPr>
          <w:rFonts w:hint="eastAsia" w:ascii="宋体" w:hAnsi="宋体" w:eastAsia="宋体" w:cs="宋体"/>
          <w:color w:val="auto"/>
          <w:sz w:val="24"/>
          <w:szCs w:val="24"/>
          <w:highlight w:val="none"/>
          <w:u w:val="none"/>
          <w:lang w:val="en-US" w:eastAsia="zh-CN"/>
        </w:rPr>
        <w:t>我单位已完整阅读并清楚了解采购文件内容，并做出如下</w:t>
      </w:r>
      <w:r>
        <w:rPr>
          <w:rFonts w:hint="eastAsia" w:ascii="宋体" w:hAnsi="宋体" w:eastAsia="宋体" w:cs="宋体"/>
          <w:sz w:val="24"/>
          <w:szCs w:val="24"/>
          <w:highlight w:val="none"/>
          <w:u w:val="none"/>
        </w:rPr>
        <w:t>承诺</w:t>
      </w:r>
      <w:r>
        <w:rPr>
          <w:rFonts w:hint="eastAsia" w:ascii="宋体" w:hAnsi="宋体" w:eastAsia="宋体" w:cs="宋体"/>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cs="宋体"/>
          <w:sz w:val="24"/>
          <w:szCs w:val="24"/>
          <w:highlight w:val="none"/>
          <w:u w:val="none"/>
          <w:lang w:eastAsia="zh-CN"/>
        </w:rPr>
      </w:pPr>
      <w:r>
        <w:rPr>
          <w:rFonts w:hint="eastAsia" w:ascii="宋体" w:hAnsi="宋体" w:cs="宋体"/>
          <w:sz w:val="24"/>
          <w:szCs w:val="24"/>
          <w:highlight w:val="none"/>
          <w:u w:val="none"/>
          <w:lang w:val="en-US" w:eastAsia="zh-CN"/>
        </w:rPr>
        <w:t>我单位将</w:t>
      </w:r>
      <w:r>
        <w:rPr>
          <w:rFonts w:hint="eastAsia" w:ascii="宋体" w:hAnsi="宋体" w:cs="宋体"/>
          <w:sz w:val="24"/>
          <w:szCs w:val="24"/>
          <w:highlight w:val="none"/>
          <w:u w:val="none"/>
        </w:rPr>
        <w:t>于采购结果公告发布或收到采购人通知次日起5个日历天内，提供有效的深圳市中电电力技术股份有限公司原厂针对本项目的原厂服务承诺函（或有效的售后服务授权），全部需加盖原厂公章</w:t>
      </w:r>
      <w:r>
        <w:rPr>
          <w:rFonts w:hint="eastAsia" w:ascii="宋体" w:hAnsi="宋体" w:cs="宋体"/>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u w:val="none"/>
          <w:shd w:val="clear" w:color="auto" w:fill="auto"/>
        </w:rPr>
      </w:pPr>
      <w:r>
        <w:rPr>
          <w:rFonts w:hint="eastAsia" w:ascii="宋体" w:hAnsi="宋体" w:cs="宋体"/>
          <w:sz w:val="24"/>
          <w:szCs w:val="24"/>
          <w:highlight w:val="none"/>
          <w:u w:val="none"/>
        </w:rPr>
        <w:t>无法在规定时间内提供原厂售后服务承诺函的，则</w:t>
      </w:r>
      <w:r>
        <w:rPr>
          <w:rFonts w:hint="eastAsia" w:ascii="宋体" w:hAnsi="宋体" w:cs="宋体"/>
          <w:sz w:val="24"/>
          <w:szCs w:val="24"/>
          <w:highlight w:val="none"/>
          <w:u w:val="none"/>
          <w:lang w:val="en-US" w:eastAsia="zh-CN"/>
        </w:rPr>
        <w:t>自愿放弃</w:t>
      </w:r>
      <w:r>
        <w:rPr>
          <w:rFonts w:hint="eastAsia" w:ascii="宋体" w:hAnsi="宋体" w:cs="宋体"/>
          <w:sz w:val="24"/>
          <w:szCs w:val="24"/>
          <w:highlight w:val="none"/>
          <w:u w:val="none"/>
        </w:rPr>
        <w:t>成交候选人资格。</w:t>
      </w:r>
    </w:p>
    <w:p>
      <w:pPr>
        <w:adjustRightInd w:val="0"/>
        <w:snapToGrid w:val="0"/>
        <w:spacing w:line="360" w:lineRule="auto"/>
        <w:ind w:right="84" w:rightChars="40" w:firstLine="480" w:firstLineChars="2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专此函达。</w:t>
      </w:r>
    </w:p>
    <w:p>
      <w:pPr>
        <w:pStyle w:val="23"/>
        <w:rPr>
          <w:rFonts w:hint="eastAsia" w:ascii="宋体" w:hAnsi="宋体" w:cs="宋体"/>
          <w:sz w:val="24"/>
          <w:szCs w:val="24"/>
          <w:highlight w:val="none"/>
        </w:rPr>
      </w:pPr>
    </w:p>
    <w:p>
      <w:pPr>
        <w:pStyle w:val="23"/>
        <w:rPr>
          <w:rFonts w:hint="eastAsia" w:ascii="宋体" w:hAnsi="宋体" w:cs="宋体"/>
          <w:sz w:val="24"/>
          <w:szCs w:val="24"/>
          <w:highlight w:val="none"/>
        </w:rPr>
      </w:pPr>
    </w:p>
    <w:p>
      <w:pPr>
        <w:adjustRightInd w:val="0"/>
        <w:snapToGrid w:val="0"/>
        <w:spacing w:line="360" w:lineRule="auto"/>
        <w:ind w:right="84" w:rightChars="40" w:firstLine="4080" w:firstLineChars="1700"/>
        <w:jc w:val="right"/>
        <w:rPr>
          <w:rFonts w:ascii="宋体" w:hAnsi="宋体" w:cs="宋体"/>
          <w:sz w:val="24"/>
          <w:szCs w:val="24"/>
          <w:highlight w:val="none"/>
        </w:rPr>
      </w:pPr>
      <w:r>
        <w:rPr>
          <w:rFonts w:hint="eastAsia" w:ascii="宋体" w:hAnsi="宋体" w:cs="宋体"/>
          <w:sz w:val="24"/>
          <w:szCs w:val="24"/>
          <w:highlight w:val="none"/>
        </w:rPr>
        <w:t xml:space="preserve">供应商名称（单位公章）： </w:t>
      </w:r>
    </w:p>
    <w:p>
      <w:pPr>
        <w:snapToGrid w:val="0"/>
        <w:spacing w:beforeLines="0" w:afterLines="0" w:line="360" w:lineRule="auto"/>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pPr>
        <w:pStyle w:val="6"/>
        <w:ind w:firstLine="0"/>
        <w:rPr>
          <w:rFonts w:hint="default"/>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6.2</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B305E1B"/>
    <w:multiLevelType w:val="singleLevel"/>
    <w:tmpl w:val="2B305E1B"/>
    <w:lvl w:ilvl="0" w:tentative="0">
      <w:start w:val="2"/>
      <w:numFmt w:val="decimal"/>
      <w:lvlText w:val="%1."/>
      <w:lvlJc w:val="left"/>
      <w:pPr>
        <w:tabs>
          <w:tab w:val="left" w:pos="312"/>
        </w:tabs>
        <w:ind w:left="840" w:firstLine="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3D1E90C"/>
    <w:multiLevelType w:val="singleLevel"/>
    <w:tmpl w:val="73D1E90C"/>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B94BD5"/>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635A79"/>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5D5AF0"/>
    <w:rsid w:val="0D37662E"/>
    <w:rsid w:val="0D794204"/>
    <w:rsid w:val="0D9D13BC"/>
    <w:rsid w:val="0E2125D1"/>
    <w:rsid w:val="0E214211"/>
    <w:rsid w:val="0E5F2769"/>
    <w:rsid w:val="0ED8332F"/>
    <w:rsid w:val="0F4D75A3"/>
    <w:rsid w:val="0F5B2DCA"/>
    <w:rsid w:val="0F6E26F8"/>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2F83C31"/>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CD862D7"/>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E84705"/>
    <w:rsid w:val="21303941"/>
    <w:rsid w:val="218400BA"/>
    <w:rsid w:val="21AB1E2F"/>
    <w:rsid w:val="21D40498"/>
    <w:rsid w:val="22493963"/>
    <w:rsid w:val="22767047"/>
    <w:rsid w:val="23A05588"/>
    <w:rsid w:val="240476A1"/>
    <w:rsid w:val="24E953B9"/>
    <w:rsid w:val="24FD7FDE"/>
    <w:rsid w:val="252B3B1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060191"/>
    <w:rsid w:val="2B240782"/>
    <w:rsid w:val="2B345DDC"/>
    <w:rsid w:val="2B7A49FA"/>
    <w:rsid w:val="2BB533C1"/>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6B158C"/>
    <w:rsid w:val="327171DF"/>
    <w:rsid w:val="33133EB9"/>
    <w:rsid w:val="332C7DE9"/>
    <w:rsid w:val="3391569E"/>
    <w:rsid w:val="341E3434"/>
    <w:rsid w:val="34BB4442"/>
    <w:rsid w:val="3584136B"/>
    <w:rsid w:val="35EE5A04"/>
    <w:rsid w:val="35FF5AA4"/>
    <w:rsid w:val="360B7EBA"/>
    <w:rsid w:val="36416867"/>
    <w:rsid w:val="367D5DD4"/>
    <w:rsid w:val="36844467"/>
    <w:rsid w:val="369C32FD"/>
    <w:rsid w:val="36BB6ECA"/>
    <w:rsid w:val="37666E72"/>
    <w:rsid w:val="37A64948"/>
    <w:rsid w:val="37FF4429"/>
    <w:rsid w:val="38081EA3"/>
    <w:rsid w:val="38167A04"/>
    <w:rsid w:val="381C3783"/>
    <w:rsid w:val="38D004A9"/>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783F9B"/>
    <w:rsid w:val="4CD200BA"/>
    <w:rsid w:val="4D1D311C"/>
    <w:rsid w:val="4D2044E7"/>
    <w:rsid w:val="4D916BA6"/>
    <w:rsid w:val="4D9E38E4"/>
    <w:rsid w:val="4DC44169"/>
    <w:rsid w:val="4DE24E21"/>
    <w:rsid w:val="4E1B19A3"/>
    <w:rsid w:val="4E48787F"/>
    <w:rsid w:val="4E5C41CF"/>
    <w:rsid w:val="4E5C7274"/>
    <w:rsid w:val="4E8D5680"/>
    <w:rsid w:val="4EF0709E"/>
    <w:rsid w:val="4F0469A4"/>
    <w:rsid w:val="4F4B0CE5"/>
    <w:rsid w:val="4FBF5D0D"/>
    <w:rsid w:val="500E56F4"/>
    <w:rsid w:val="50540C73"/>
    <w:rsid w:val="50752AF8"/>
    <w:rsid w:val="513C6A7B"/>
    <w:rsid w:val="51536362"/>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4B5193"/>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106020"/>
    <w:rsid w:val="656B1D10"/>
    <w:rsid w:val="65B841F9"/>
    <w:rsid w:val="66022B28"/>
    <w:rsid w:val="664A38E2"/>
    <w:rsid w:val="66581E87"/>
    <w:rsid w:val="665965B1"/>
    <w:rsid w:val="666F1DE3"/>
    <w:rsid w:val="66766EBB"/>
    <w:rsid w:val="66E07E42"/>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0BD39C1"/>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3732AB"/>
    <w:rsid w:val="77736C04"/>
    <w:rsid w:val="780E5898"/>
    <w:rsid w:val="782642CC"/>
    <w:rsid w:val="7894095E"/>
    <w:rsid w:val="78964555"/>
    <w:rsid w:val="78CF4963"/>
    <w:rsid w:val="79000679"/>
    <w:rsid w:val="7916258F"/>
    <w:rsid w:val="791C0FE5"/>
    <w:rsid w:val="79A416F0"/>
    <w:rsid w:val="79B03EB6"/>
    <w:rsid w:val="79B61437"/>
    <w:rsid w:val="7A6D23B2"/>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AC7B9F"/>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szCs w:val="24"/>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6"/>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6"/>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character" w:customStyle="1" w:styleId="47">
    <w:name w:val="p141"/>
    <w:qFormat/>
    <w:uiPriority w:val="0"/>
    <w:rPr>
      <w:sz w:val="21"/>
      <w:szCs w:val="21"/>
    </w:rPr>
  </w:style>
  <w:style w:type="paragraph" w:customStyle="1" w:styleId="48">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22128</Words>
  <Characters>22871</Characters>
  <Lines>300</Lines>
  <Paragraphs>84</Paragraphs>
  <TotalTime>12</TotalTime>
  <ScaleCrop>false</ScaleCrop>
  <LinksUpToDate>false</LinksUpToDate>
  <CharactersWithSpaces>24937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2025-05-20T07:09:20Z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D30BADFD0BDB43CD8CBB3AD52ABB9431_13</vt:lpwstr>
  </property>
  <property fmtid="{D5CDD505-2E9C-101B-9397-08002B2CF9AE}" pid="4" name="KSOTemplateDocerSaveRecord">
    <vt:lpwstr>eyJoZGlkIjoiYWNlNTNmYTg2YTk2YzBlZmY5MDJmNzVhNmU5MTU4MDEiLCJ1c2VySWQiOiI1MDk3MTA1MjAifQ==</vt:lpwstr>
  </property>
</Properties>
</file>