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color w:val="auto"/>
          <w:highlight w:val="none"/>
        </w:rPr>
      </w:pPr>
      <w:bookmarkStart w:id="227" w:name="_GoBack"/>
      <w:bookmarkEnd w:id="227"/>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广州市净水有限公司关于开展玻璃</w:t>
      </w: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幕墙安全检测项目</w:t>
      </w:r>
    </w:p>
    <w:p>
      <w:pPr>
        <w:pStyle w:val="2"/>
        <w:rPr>
          <w:rFonts w:hint="eastAsia" w:ascii="方正小标宋简体" w:hAnsi="方正小标宋简体" w:eastAsia="方正小标宋简体" w:cs="方正小标宋简体"/>
          <w:color w:val="auto"/>
          <w:sz w:val="52"/>
          <w:szCs w:val="52"/>
          <w:highlight w:val="none"/>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年一月</w:t>
      </w:r>
    </w:p>
    <w:p>
      <w:pPr>
        <w:jc w:val="center"/>
        <w:rPr>
          <w:rFonts w:ascii="方正小标宋简体" w:hAnsi="方正小标宋简体" w:eastAsia="仿宋" w:cs="方正小标宋简体"/>
          <w:color w:val="auto"/>
          <w:sz w:val="44"/>
          <w:szCs w:val="44"/>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目   录</w:t>
      </w:r>
    </w:p>
    <w:p>
      <w:pPr>
        <w:spacing w:line="360" w:lineRule="auto"/>
        <w:rPr>
          <w:rFonts w:ascii="仿宋_GB2312" w:hAnsi="仿宋_GB2312" w:eastAsia="仿宋" w:cs="仿宋_GB2312"/>
          <w:color w:val="auto"/>
          <w:sz w:val="32"/>
          <w:szCs w:val="32"/>
          <w:highlight w:val="none"/>
        </w:rPr>
      </w:pPr>
    </w:p>
    <w:p>
      <w:pPr>
        <w:pStyle w:val="19"/>
        <w:numPr>
          <w:ilvl w:val="0"/>
          <w:numId w:val="1"/>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采购公告（采购邀请书）</w:t>
      </w:r>
    </w:p>
    <w:p>
      <w:pPr>
        <w:pStyle w:val="19"/>
        <w:numPr>
          <w:ilvl w:val="0"/>
          <w:numId w:val="1"/>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供应商须知</w:t>
      </w:r>
    </w:p>
    <w:p>
      <w:pPr>
        <w:pStyle w:val="19"/>
        <w:numPr>
          <w:ilvl w:val="0"/>
          <w:numId w:val="1"/>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采购方法</w:t>
      </w:r>
    </w:p>
    <w:p>
      <w:pPr>
        <w:pStyle w:val="19"/>
        <w:numPr>
          <w:ilvl w:val="0"/>
          <w:numId w:val="1"/>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评审方法</w:t>
      </w:r>
    </w:p>
    <w:p>
      <w:pPr>
        <w:pStyle w:val="19"/>
        <w:numPr>
          <w:ilvl w:val="0"/>
          <w:numId w:val="1"/>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采购需求</w:t>
      </w:r>
    </w:p>
    <w:p>
      <w:pPr>
        <w:pStyle w:val="19"/>
        <w:numPr>
          <w:ilvl w:val="0"/>
          <w:numId w:val="1"/>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numPr>
          <w:ilvl w:val="0"/>
          <w:numId w:val="1"/>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rPr>
          <w:rFonts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2"/>
        <w:adjustRightInd/>
        <w:snapToGrid/>
        <w:ind w:firstLine="0"/>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8145"/>
      <w:bookmarkStart w:id="1" w:name="_Toc17696"/>
      <w:bookmarkStart w:id="2" w:name="_Toc26148"/>
      <w:bookmarkStart w:id="3" w:name="_Toc1711"/>
    </w:p>
    <w:p>
      <w:pPr>
        <w:pStyle w:val="22"/>
        <w:adjustRightInd/>
        <w:snapToGrid/>
        <w:ind w:firstLine="0"/>
        <w:rPr>
          <w:rFonts w:ascii="仿宋_GB2312" w:hAnsi="仿宋_GB2312" w:eastAsia="仿宋" w:cs="仿宋_GB2312"/>
          <w:color w:val="auto"/>
          <w:sz w:val="32"/>
          <w:szCs w:val="32"/>
          <w:highlight w:val="none"/>
        </w:rPr>
      </w:pPr>
    </w:p>
    <w:p>
      <w:pPr>
        <w:rPr>
          <w:rFonts w:ascii="仿宋_GB2312" w:hAnsi="仿宋_GB2312" w:eastAsia="仿宋" w:cs="仿宋_GB2312"/>
          <w:color w:val="auto"/>
          <w:sz w:val="28"/>
          <w:szCs w:val="28"/>
          <w:highlight w:val="none"/>
        </w:rPr>
      </w:pPr>
      <w:bookmarkStart w:id="4" w:name="_Toc19609"/>
      <w:bookmarkStart w:id="5" w:name="_Toc4275"/>
      <w:bookmarkStart w:id="6" w:name="_Toc31938"/>
      <w:bookmarkStart w:id="7" w:name="_Toc17801"/>
      <w:bookmarkStart w:id="8" w:name="_Toc11322"/>
      <w:bookmarkStart w:id="9" w:name="_Toc7519"/>
      <w:bookmarkStart w:id="10" w:name="_Toc1669"/>
    </w:p>
    <w:p>
      <w:pPr>
        <w:rPr>
          <w:rFonts w:ascii="仿宋_GB2312" w:hAnsi="仿宋_GB2312" w:eastAsia="仿宋" w:cs="仿宋_GB2312"/>
          <w:color w:val="auto"/>
          <w:sz w:val="28"/>
          <w:szCs w:val="28"/>
          <w:highlight w:val="none"/>
        </w:rPr>
      </w:pPr>
    </w:p>
    <w:p>
      <w:pPr>
        <w:rPr>
          <w:rFonts w:ascii="仿宋_GB2312" w:hAnsi="仿宋_GB2312" w:eastAsia="仿宋" w:cs="仿宋_GB2312"/>
          <w:color w:val="auto"/>
          <w:sz w:val="28"/>
          <w:szCs w:val="28"/>
          <w:highlight w:val="none"/>
        </w:rPr>
      </w:pPr>
    </w:p>
    <w:p>
      <w:pPr>
        <w:pBdr>
          <w:top w:val="double" w:color="auto" w:sz="4" w:space="0"/>
          <w:bottom w:val="double" w:color="auto" w:sz="4" w:space="0"/>
        </w:pBdr>
        <w:jc w:val="center"/>
        <w:rPr>
          <w:rFonts w:ascii="仿宋_GB2312" w:hAnsi="仿宋_GB2312" w:eastAsia="仿宋" w:cs="仿宋_GB2312"/>
          <w:color w:val="auto"/>
          <w:sz w:val="44"/>
          <w:szCs w:val="44"/>
          <w:highlight w:val="none"/>
        </w:rPr>
      </w:pPr>
      <w:r>
        <w:rPr>
          <w:rFonts w:hint="eastAsia" w:ascii="方正小标宋简体" w:hAnsi="方正小标宋简体" w:eastAsia="仿宋" w:cs="方正小标宋简体"/>
          <w:color w:val="auto"/>
          <w:sz w:val="44"/>
          <w:szCs w:val="44"/>
          <w:highlight w:val="none"/>
        </w:rPr>
        <w:t>第一章</w:t>
      </w:r>
    </w:p>
    <w:bookmarkEnd w:id="0"/>
    <w:bookmarkEnd w:id="1"/>
    <w:bookmarkEnd w:id="2"/>
    <w:bookmarkEnd w:id="3"/>
    <w:bookmarkEnd w:id="4"/>
    <w:bookmarkEnd w:id="5"/>
    <w:bookmarkEnd w:id="6"/>
    <w:bookmarkEnd w:id="7"/>
    <w:bookmarkEnd w:id="8"/>
    <w:bookmarkEnd w:id="9"/>
    <w:bookmarkEnd w:id="10"/>
    <w:p>
      <w:pPr>
        <w:rPr>
          <w:rFonts w:ascii="仿宋_GB2312" w:hAnsi="仿宋_GB2312" w:eastAsia="仿宋" w:cs="仿宋_GB2312"/>
          <w:color w:val="auto"/>
          <w:sz w:val="28"/>
          <w:szCs w:val="28"/>
          <w:highlight w:val="none"/>
        </w:rPr>
      </w:pPr>
    </w:p>
    <w:p>
      <w:pPr>
        <w:pStyle w:val="3"/>
        <w:spacing w:before="0" w:after="0" w:line="360" w:lineRule="auto"/>
        <w:rPr>
          <w:rFonts w:eastAsia="仿宋"/>
          <w:color w:val="auto"/>
          <w:highlight w:val="none"/>
        </w:rPr>
      </w:pPr>
      <w:r>
        <w:rPr>
          <w:rFonts w:hint="eastAsia" w:eastAsia="仿宋"/>
          <w:color w:val="auto"/>
          <w:highlight w:val="none"/>
        </w:rPr>
        <w:t>采购公告（采购邀请书）</w:t>
      </w: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仿宋_GB2312" w:eastAsia="仿宋"/>
          <w:color w:val="auto"/>
          <w:sz w:val="28"/>
          <w:szCs w:val="28"/>
          <w:highlight w:val="none"/>
        </w:rPr>
      </w:pPr>
    </w:p>
    <w:p>
      <w:pPr>
        <w:adjustRightInd w:val="0"/>
        <w:snapToGrid w:val="0"/>
        <w:spacing w:before="156" w:beforeLines="50" w:after="156" w:afterLines="50" w:line="600" w:lineRule="exact"/>
        <w:jc w:val="left"/>
        <w:rPr>
          <w:color w:val="auto"/>
          <w:highlight w:val="none"/>
        </w:rPr>
      </w:pPr>
    </w:p>
    <w:p>
      <w:pPr>
        <w:pStyle w:val="3"/>
        <w:rPr>
          <w:rFonts w:eastAsia="仿宋"/>
          <w:color w:val="auto"/>
          <w:highlight w:val="none"/>
        </w:rPr>
      </w:pPr>
      <w:bookmarkStart w:id="11" w:name="_Toc9680"/>
      <w:bookmarkStart w:id="12" w:name="_Toc21373"/>
      <w:r>
        <w:rPr>
          <w:rFonts w:hint="eastAsia" w:eastAsia="仿宋"/>
          <w:color w:val="auto"/>
          <w:highlight w:val="none"/>
        </w:rPr>
        <w:t>采购公告（采购邀请书）</w:t>
      </w:r>
    </w:p>
    <w:bookmarkEnd w:id="11"/>
    <w:bookmarkEnd w:id="12"/>
    <w:p>
      <w:pPr>
        <w:adjustRightInd w:val="0"/>
        <w:snapToGrid w:val="0"/>
        <w:spacing w:line="600" w:lineRule="exact"/>
        <w:ind w:firstLine="560" w:firstLineChars="200"/>
        <w:rPr>
          <w:rFonts w:ascii="仿宋_GB2312" w:hAnsi="仿宋_GB2312" w:eastAsia="仿宋" w:cs="仿宋_GB2312"/>
          <w:color w:val="auto"/>
          <w:sz w:val="28"/>
          <w:szCs w:val="28"/>
          <w:highlight w:val="none"/>
          <w:u w:val="single"/>
        </w:rPr>
      </w:pPr>
      <w:r>
        <w:rPr>
          <w:rFonts w:hint="eastAsia" w:ascii="仿宋_GB2312" w:hAnsi="Calibri" w:eastAsia="仿宋_GB2312" w:cs="Times New Roman"/>
          <w:color w:val="auto"/>
          <w:sz w:val="28"/>
          <w:szCs w:val="28"/>
          <w:highlight w:val="none"/>
          <w:u w:val="single"/>
          <w:lang w:bidi="ar"/>
        </w:rPr>
        <w:t>广州市净水有限公司关于开展玻璃幕墙安全检测项目</w:t>
      </w:r>
      <w:r>
        <w:rPr>
          <w:rFonts w:hint="eastAsia" w:ascii="仿宋_GB2312" w:hAnsi="仿宋_GB2312" w:eastAsia="仿宋" w:cs="仿宋_GB2312"/>
          <w:color w:val="auto"/>
          <w:sz w:val="28"/>
          <w:szCs w:val="28"/>
          <w:highlight w:val="none"/>
        </w:rPr>
        <w:t>已具备采购条件，现邀请合格单位参加本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rPr>
        <w:sym w:font="Wingdings 2" w:char="0052"/>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rPr>
        <w:t xml:space="preserve">邀请采购 </w:t>
      </w:r>
      <w:r>
        <w:rPr>
          <w:rFonts w:hint="eastAsia" w:ascii="仿宋_GB2312" w:hAnsi="仿宋_GB2312" w:eastAsia="仿宋" w:cs="仿宋_GB2312"/>
          <w:color w:val="auto"/>
          <w:sz w:val="28"/>
          <w:szCs w:val="28"/>
          <w:highlight w:val="none"/>
          <w:u w:val="single"/>
        </w:rPr>
        <w:sym w:font="Wingdings 2" w:char="0052"/>
      </w:r>
      <w:r>
        <w:rPr>
          <w:rFonts w:hint="eastAsia" w:ascii="仿宋_GB2312" w:hAnsi="仿宋_GB2312" w:eastAsia="仿宋" w:cs="仿宋_GB2312"/>
          <w:color w:val="auto"/>
          <w:sz w:val="28"/>
          <w:szCs w:val="28"/>
          <w:highlight w:val="none"/>
          <w:u w:val="single"/>
        </w:rPr>
        <w:t>公开采购</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hAnsi="Calibri" w:eastAsia="仿宋_GB2312" w:cs="Times New Roman"/>
          <w:color w:val="auto"/>
          <w:sz w:val="28"/>
          <w:szCs w:val="28"/>
          <w:highlight w:val="none"/>
          <w:u w:val="single"/>
          <w:lang w:bidi="ar"/>
        </w:rPr>
        <w:t>广州市净水有限公司关于开展玻璃幕墙安全检测项目</w:t>
      </w:r>
      <w:r>
        <w:rPr>
          <w:rFonts w:hint="eastAsia" w:ascii="仿宋_GB2312" w:eastAsia="仿宋"/>
          <w:color w:val="auto"/>
          <w:sz w:val="28"/>
          <w:szCs w:val="28"/>
          <w:highlight w:val="none"/>
        </w:rPr>
        <w:t>。</w:t>
      </w:r>
    </w:p>
    <w:p>
      <w:pPr>
        <w:adjustRightInd w:val="0"/>
        <w:snapToGrid w:val="0"/>
        <w:spacing w:line="600" w:lineRule="exact"/>
        <w:jc w:val="left"/>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XJ-20250116-1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1.3资金来源：</w:t>
      </w:r>
      <w:r>
        <w:rPr>
          <w:rFonts w:hint="eastAsia" w:ascii="仿宋_GB2312" w:eastAsia="仿宋"/>
          <w:color w:val="auto"/>
          <w:sz w:val="28"/>
          <w:szCs w:val="28"/>
          <w:highlight w:val="none"/>
          <w:u w:val="single"/>
        </w:rPr>
        <w:t xml:space="preserve">自有资金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1.4最高限价（元）：</w:t>
      </w:r>
      <w:r>
        <w:rPr>
          <w:rFonts w:hint="eastAsia" w:ascii="仿宋_GB2312" w:eastAsia="仿宋"/>
          <w:color w:val="auto"/>
          <w:sz w:val="28"/>
          <w:szCs w:val="28"/>
          <w:highlight w:val="none"/>
          <w:u w:val="single"/>
        </w:rPr>
        <w:t xml:space="preserve"> </w:t>
      </w:r>
      <w:r>
        <w:rPr>
          <w:rFonts w:hint="eastAsia" w:ascii="仿宋" w:hAnsi="仿宋" w:eastAsia="仿宋" w:cs="仿宋"/>
          <w:color w:val="auto"/>
          <w:sz w:val="28"/>
          <w:szCs w:val="28"/>
          <w:highlight w:val="none"/>
          <w:u w:val="single"/>
          <w:lang w:bidi="ar"/>
        </w:rPr>
        <w:t>33,200.00</w:t>
      </w:r>
      <w:r>
        <w:rPr>
          <w:rFonts w:hint="eastAsia" w:ascii="仿宋" w:hAnsi="仿宋" w:eastAsia="仿宋" w:cs="仿宋"/>
          <w:color w:val="auto"/>
          <w:sz w:val="28"/>
          <w:szCs w:val="28"/>
          <w:highlight w:val="none"/>
          <w:u w:val="single"/>
          <w:lang w:val="zh-CN" w:bidi="ar"/>
        </w:rPr>
        <w:t>元，</w:t>
      </w:r>
      <w:r>
        <w:rPr>
          <w:rFonts w:hint="eastAsia" w:ascii="仿宋" w:hAnsi="仿宋" w:eastAsia="仿宋" w:cs="仿宋"/>
          <w:color w:val="auto"/>
          <w:sz w:val="28"/>
          <w:szCs w:val="28"/>
          <w:highlight w:val="none"/>
          <w:u w:val="single"/>
          <w:lang w:bidi="ar"/>
        </w:rPr>
        <w:t>限价含全额增值税专用发票</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1.5标段划分：</w:t>
      </w:r>
      <w:r>
        <w:rPr>
          <w:rFonts w:hint="eastAsia" w:ascii="仿宋_GB2312" w:eastAsia="仿宋"/>
          <w:color w:val="auto"/>
          <w:sz w:val="28"/>
          <w:szCs w:val="28"/>
          <w:highlight w:val="none"/>
          <w:u w:val="single"/>
        </w:rPr>
        <w:t xml:space="preserve">  /                                              </w:t>
      </w:r>
      <w:r>
        <w:rPr>
          <w:rFonts w:hint="eastAsia" w:ascii="仿宋_GB2312" w:eastAsia="仿宋"/>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rPr>
        <w:t xml:space="preserve"> 本项目对广州净水公司本部办公楼东侧玻璃幕墙开展安全检测鉴定，玻璃幕墙高度约30米，面积约400平方米，检测后出具安全检测鉴定报告书</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 xml:space="preserve">    30天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 xml:space="preserve"> 广州市净水有限公司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rPr>
        <w:t xml:space="preserve"> </w:t>
      </w:r>
      <w:r>
        <w:rPr>
          <w:rFonts w:hint="eastAsia" w:ascii="仿宋_GB2312" w:hAnsi="Calibri" w:eastAsia="仿宋_GB2312" w:cs="Times New Roman"/>
          <w:color w:val="auto"/>
          <w:sz w:val="28"/>
          <w:szCs w:val="28"/>
          <w:highlight w:val="none"/>
          <w:u w:val="single"/>
          <w:lang w:bidi="ar"/>
        </w:rPr>
        <w:t>按合同条款和有关技术标准规范进行验收。使用的各种材料必须符合有关技术标准规范要求</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2.5其他：☑安全目标如下：</w:t>
      </w:r>
      <w:r>
        <w:rPr>
          <w:rFonts w:hint="eastAsia" w:ascii="仿宋_GB2312" w:eastAsia="仿宋"/>
          <w:color w:val="auto"/>
          <w:sz w:val="28"/>
          <w:szCs w:val="28"/>
          <w:highlight w:val="none"/>
          <w:u w:val="single"/>
        </w:rPr>
        <w:t>满足合同草案及采购需求</w:t>
      </w:r>
      <w:r>
        <w:rPr>
          <w:rFonts w:hint="eastAsia" w:ascii="仿宋_GB2312" w:eastAsia="仿宋"/>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（2）供应商应当具备</w:t>
      </w:r>
      <w:r>
        <w:rPr>
          <w:rFonts w:hint="eastAsia" w:ascii="仿宋_GB2312" w:eastAsia="仿宋"/>
          <w:color w:val="auto"/>
          <w:sz w:val="28"/>
          <w:szCs w:val="28"/>
          <w:highlight w:val="none"/>
          <w:u w:val="single"/>
        </w:rPr>
        <w:t>建设工程质量检测资质证书，检测范围应当包含建筑幕墙工程检测，并且是广州市房屋鉴定备案库里的单位</w:t>
      </w:r>
      <w:r>
        <w:rPr>
          <w:rFonts w:hint="eastAsia" w:ascii="仿宋_GB2312" w:eastAsia="仿宋"/>
          <w:color w:val="auto"/>
          <w:sz w:val="28"/>
          <w:szCs w:val="28"/>
          <w:highlight w:val="none"/>
        </w:rPr>
        <w:t>资质。</w:t>
      </w:r>
    </w:p>
    <w:p>
      <w:pPr>
        <w:adjustRightInd w:val="0"/>
        <w:snapToGrid w:val="0"/>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①具备建设行政主管部门颁发的建设工程质量检测机构资质证书（检测范围覆盖建筑幕墙工程检测），且证书在有效期内。根据《住房和城乡建设部关于印发《建设工程质量检测机构资质标准》的通知》（建质规〔2023〕1号，以下简称新标准），持前述新标准的建设工程质量检测机构资质证书的单位，资质条件应满足：综合资质证书或专项资质证书（专项资质证书包括：建筑幕墙），且证书在有效期内。如供应商检测机构资质证书的检测项目与主要检测内容名称不同，但表达的意思一致也视为满足该项条件。</w:t>
      </w:r>
    </w:p>
    <w:p>
      <w:pPr>
        <w:adjustRightInd w:val="0"/>
        <w:snapToGrid w:val="0"/>
        <w:spacing w:line="600" w:lineRule="exact"/>
        <w:ind w:firstLine="560" w:firstLineChars="200"/>
        <w:rPr>
          <w:rFonts w:ascii="仿宋_GB2312" w:eastAsia="仿宋"/>
          <w:color w:val="auto"/>
          <w:sz w:val="28"/>
          <w:szCs w:val="28"/>
          <w:highlight w:val="none"/>
          <w:u w:val="single"/>
        </w:rPr>
      </w:pPr>
      <w:r>
        <w:rPr>
          <w:rFonts w:hint="eastAsia" w:ascii="仿宋_GB2312" w:eastAsia="仿宋"/>
          <w:color w:val="auto"/>
          <w:sz w:val="28"/>
          <w:szCs w:val="28"/>
          <w:highlight w:val="none"/>
        </w:rPr>
        <w:t>②完成广州市房屋使用安全鉴定单位备案，提供供应商在“广州市已备案房屋使用安全鉴定单位基本情况系统（链接https://121.8.227.77:9006/housingCensusReport/Building.jsp）”截图并加盖公章，截图应体现下列内容：单位资质(认证)证书：C.建设工程质量检测机构资质证书；建设工程质量检测资质：专项检测；专项检测：建筑幕墙工程检测。如有其他可表明备案情况的资料，也可提供，但应包含以上要素并加盖公章。</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（3）</w:t>
      </w:r>
      <w:r>
        <w:rPr>
          <w:rFonts w:hint="eastAsia" w:ascii="仿宋_GB2312" w:eastAsia="仿宋"/>
          <w:color w:val="auto"/>
          <w:sz w:val="28"/>
          <w:szCs w:val="28"/>
          <w:highlight w:val="none"/>
          <w:u w:val="single"/>
        </w:rPr>
        <w:t xml:space="preserve"> 202</w:t>
      </w:r>
      <w:r>
        <w:rPr>
          <w:rFonts w:hint="eastAsia" w:ascii="仿宋_GB2312" w:eastAsia="仿宋"/>
          <w:color w:val="auto"/>
          <w:sz w:val="28"/>
          <w:szCs w:val="28"/>
          <w:highlight w:val="none"/>
          <w:u w:val="single"/>
          <w:lang w:val="en-US" w:eastAsia="zh-CN"/>
        </w:rPr>
        <w:t>2</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年1月1日至今，供应商最少具有一项</w:t>
      </w:r>
      <w:r>
        <w:rPr>
          <w:rFonts w:hint="eastAsia" w:ascii="仿宋_GB2312" w:eastAsia="仿宋"/>
          <w:color w:val="auto"/>
          <w:sz w:val="28"/>
          <w:szCs w:val="28"/>
          <w:highlight w:val="none"/>
          <w:u w:val="single"/>
        </w:rPr>
        <w:t xml:space="preserve"> 玻璃幕墙安全鉴定 </w:t>
      </w:r>
      <w:r>
        <w:rPr>
          <w:rFonts w:hint="eastAsia" w:ascii="仿宋_GB2312" w:eastAsia="仿宋"/>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（4）项目负责人应当具备</w:t>
      </w:r>
      <w:r>
        <w:rPr>
          <w:rFonts w:hint="eastAsia" w:ascii="仿宋_GB2312" w:eastAsia="仿宋"/>
          <w:color w:val="auto"/>
          <w:sz w:val="28"/>
          <w:szCs w:val="28"/>
          <w:highlight w:val="none"/>
          <w:u w:val="single"/>
        </w:rPr>
        <w:t>工程类专业中级及以上技术职称</w:t>
      </w:r>
      <w:r>
        <w:rPr>
          <w:rFonts w:hint="eastAsia" w:ascii="仿宋_GB2312" w:eastAsia="仿宋"/>
          <w:color w:val="auto"/>
          <w:sz w:val="28"/>
          <w:szCs w:val="28"/>
          <w:highlight w:val="none"/>
        </w:rPr>
        <w:t>资格条件。</w:t>
      </w:r>
    </w:p>
    <w:p>
      <w:pPr>
        <w:pStyle w:val="22"/>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（5）其他要求：</w:t>
      </w:r>
      <w:r>
        <w:rPr>
          <w:rFonts w:hint="eastAsia" w:ascii="仿宋_GB2312" w:eastAsia="仿宋"/>
          <w:color w:val="auto"/>
          <w:sz w:val="28"/>
          <w:szCs w:val="28"/>
          <w:highlight w:val="none"/>
          <w:u w:val="single"/>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（7）在“信用中国”网站（www.creditchina.gov.cn）中被列入失信被执行人、安全生产领域严重失信惩戒名单、拖欠农民工工资失信联合惩戒对象名单。</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（8）在“信用中国”网站（www.creditchina.gov.cn）中被列入严重失信主体名单。</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（9）其他违法违纪行为，经审查认为不宜被邀请参加采购活动的。</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（10）其他禁止情形：</w:t>
      </w:r>
      <w:r>
        <w:rPr>
          <w:rFonts w:hint="eastAsia" w:ascii="仿宋_GB2312" w:eastAsia="仿宋"/>
          <w:color w:val="auto"/>
          <w:sz w:val="28"/>
          <w:szCs w:val="28"/>
          <w:highlight w:val="none"/>
          <w:u w:val="single"/>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 xml:space="preserve">3.3本次项目□接受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不接受联合体参加采购活动</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联合体的资格认定标准如下：</w:t>
      </w:r>
      <w:r>
        <w:rPr>
          <w:rFonts w:hint="eastAsia" w:ascii="仿宋_GB2312" w:eastAsia="仿宋"/>
          <w:color w:val="auto"/>
          <w:sz w:val="28"/>
          <w:szCs w:val="28"/>
          <w:highlight w:val="none"/>
          <w:u w:val="single"/>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Cs w:val="21"/>
          <w:highlight w:val="none"/>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17</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rPr>
        <w:t>广州市净水有限公司门户网站</w:t>
      </w:r>
      <w:r>
        <w:rPr>
          <w:rFonts w:hint="eastAsia" w:ascii="仿宋_GB2312" w:eastAsia="仿宋"/>
          <w:color w:val="auto"/>
          <w:sz w:val="28"/>
          <w:szCs w:val="28"/>
          <w:highlight w:val="none"/>
        </w:rPr>
        <w:t>下载采购文件，无需报名。</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ind w:firstLine="560" w:firstLineChars="200"/>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不组织</w:t>
      </w:r>
    </w:p>
    <w:p>
      <w:pPr>
        <w:adjustRightInd w:val="0"/>
        <w:snapToGrid w:val="0"/>
        <w:spacing w:line="600" w:lineRule="exact"/>
        <w:ind w:firstLine="560" w:firstLineChars="200"/>
        <w:rPr>
          <w:rFonts w:ascii="仿宋_GB2312" w:hAnsi="仿宋_GB2312" w:eastAsia="仿宋" w:cs="仿宋_GB2312"/>
          <w:color w:val="auto"/>
          <w:sz w:val="28"/>
          <w:szCs w:val="28"/>
          <w:highlight w:val="none"/>
          <w:lang w:val="zh-CN"/>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rPr>
        <w:t>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pPr>
        <w:pStyle w:val="22"/>
        <w:spacing w:line="600" w:lineRule="exact"/>
        <w:ind w:firstLine="560" w:firstLineChars="200"/>
        <w:rPr>
          <w:rFonts w:ascii="仿宋_GB2312" w:hAnsi="仿宋_GB2312" w:eastAsia="仿宋" w:cs="仿宋_GB2312"/>
          <w:color w:val="auto"/>
          <w:kern w:val="2"/>
          <w:sz w:val="28"/>
          <w:szCs w:val="28"/>
          <w:highlight w:val="none"/>
          <w:u w:val="single"/>
        </w:rPr>
      </w:pPr>
      <w:r>
        <w:rPr>
          <w:rFonts w:hint="eastAsia" w:ascii="仿宋_GB2312" w:hAnsi="仿宋_GB2312" w:eastAsia="仿宋" w:cs="仿宋_GB2312"/>
          <w:color w:val="auto"/>
          <w:kern w:val="2"/>
          <w:sz w:val="28"/>
          <w:szCs w:val="28"/>
          <w:highlight w:val="none"/>
        </w:rPr>
        <w:t>踏勘现场联系人：</w:t>
      </w:r>
      <w:r>
        <w:rPr>
          <w:rFonts w:hint="eastAsia" w:ascii="仿宋_GB2312" w:hAnsi="仿宋_GB2312" w:eastAsia="仿宋" w:cs="仿宋_GB2312"/>
          <w:color w:val="auto"/>
          <w:kern w:val="2"/>
          <w:sz w:val="28"/>
          <w:szCs w:val="28"/>
          <w:highlight w:val="none"/>
          <w:u w:val="single"/>
        </w:rPr>
        <w:t>廖工</w:t>
      </w:r>
    </w:p>
    <w:p>
      <w:pPr>
        <w:pStyle w:val="22"/>
        <w:spacing w:line="600" w:lineRule="exact"/>
        <w:ind w:firstLine="560" w:firstLineChars="200"/>
        <w:rPr>
          <w:rFonts w:ascii="仿宋_GB2312" w:hAnsi="仿宋_GB2312" w:eastAsia="仿宋" w:cs="仿宋_GB2312"/>
          <w:color w:val="auto"/>
          <w:sz w:val="28"/>
          <w:szCs w:val="28"/>
          <w:highlight w:val="none"/>
          <w:u w:val="single"/>
        </w:rPr>
      </w:pPr>
      <w:r>
        <w:rPr>
          <w:rFonts w:hint="eastAsia" w:ascii="仿宋_GB2312" w:hAnsi="仿宋_GB2312" w:eastAsia="仿宋" w:cs="仿宋_GB2312"/>
          <w:color w:val="auto"/>
          <w:kern w:val="2"/>
          <w:sz w:val="28"/>
          <w:szCs w:val="28"/>
          <w:highlight w:val="none"/>
        </w:rPr>
        <w:t>踏勘现场联系人联系方式：</w:t>
      </w:r>
      <w:r>
        <w:rPr>
          <w:rFonts w:hint="eastAsia" w:ascii="仿宋_GB2312" w:hAnsi="仿宋_GB2312" w:eastAsia="仿宋" w:cs="仿宋_GB2312"/>
          <w:color w:val="auto"/>
          <w:kern w:val="2"/>
          <w:sz w:val="28"/>
          <w:szCs w:val="28"/>
          <w:highlight w:val="none"/>
          <w:u w:val="single"/>
        </w:rPr>
        <w:t>020</w:t>
      </w:r>
      <w:r>
        <w:rPr>
          <w:rFonts w:hint="eastAsia" w:ascii="仿宋_GB2312" w:hAnsi="仿宋_GB2312" w:eastAsia="仿宋" w:cs="仿宋_GB2312"/>
          <w:color w:val="auto"/>
          <w:kern w:val="2"/>
          <w:sz w:val="28"/>
          <w:szCs w:val="28"/>
          <w:highlight w:val="none"/>
          <w:u w:val="single"/>
          <w:lang w:val="en-US" w:eastAsia="zh-CN"/>
        </w:rPr>
        <w:t>-</w:t>
      </w:r>
      <w:r>
        <w:rPr>
          <w:rFonts w:hint="eastAsia" w:ascii="仿宋_GB2312" w:hAnsi="仿宋_GB2312" w:eastAsia="仿宋" w:cs="仿宋_GB2312"/>
          <w:color w:val="auto"/>
          <w:kern w:val="2"/>
          <w:sz w:val="28"/>
          <w:szCs w:val="28"/>
          <w:highlight w:val="none"/>
          <w:u w:val="single"/>
        </w:rPr>
        <w:t>38890256</w:t>
      </w:r>
    </w:p>
    <w:p>
      <w:pPr>
        <w:adjustRightInd w:val="0"/>
        <w:snapToGrid w:val="0"/>
        <w:spacing w:line="600" w:lineRule="exact"/>
        <w:ind w:left="279" w:leftChars="133" w:firstLine="280" w:firstLineChars="100"/>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rPr>
        <w:t>。</w:t>
      </w:r>
    </w:p>
    <w:p>
      <w:pPr>
        <w:adjustRightInd w:val="0"/>
        <w:snapToGrid w:val="0"/>
        <w:spacing w:line="600" w:lineRule="exact"/>
        <w:ind w:firstLine="560" w:firstLineChars="200"/>
        <w:jc w:val="left"/>
        <w:rPr>
          <w:rFonts w:ascii="仿宋_GB2312" w:hAnsi="仿宋_GB2312" w:eastAsia="仿宋" w:cs="仿宋_GB2312"/>
          <w:b/>
          <w:color w:val="auto"/>
          <w:sz w:val="28"/>
          <w:szCs w:val="28"/>
          <w:highlight w:val="none"/>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广州市天河区临江大道501号广州市净水有限公司</w:t>
      </w:r>
      <w:r>
        <w:rPr>
          <w:rFonts w:hint="eastAsia" w:ascii="仿宋_GB2312" w:eastAsia="仿宋"/>
          <w:color w:val="auto"/>
          <w:sz w:val="28"/>
          <w:szCs w:val="28"/>
          <w:highlight w:val="none"/>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6.1递交响应文件集合时间：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22</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22</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6.2递交响应文件截止时间：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22</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6.3递交地址：</w:t>
      </w:r>
      <w:r>
        <w:rPr>
          <w:rFonts w:hint="eastAsia" w:ascii="仿宋_GB2312" w:eastAsia="仿宋"/>
          <w:color w:val="auto"/>
          <w:sz w:val="28"/>
          <w:szCs w:val="28"/>
          <w:highlight w:val="none"/>
          <w:u w:val="single"/>
        </w:rPr>
        <w:t>广州市天河区临江大道501号广州市净水有限公司6楼招标部</w:t>
      </w:r>
      <w:r>
        <w:rPr>
          <w:rFonts w:hint="eastAsia" w:ascii="仿宋_GB2312" w:eastAsia="仿宋"/>
          <w:color w:val="auto"/>
          <w:sz w:val="28"/>
          <w:szCs w:val="28"/>
          <w:highlight w:val="none"/>
        </w:rPr>
        <w:t>。</w:t>
      </w:r>
    </w:p>
    <w:p>
      <w:pPr>
        <w:pStyle w:val="6"/>
        <w:spacing w:after="0" w:line="600" w:lineRule="exact"/>
        <w:ind w:firstLine="560" w:firstLineChars="200"/>
        <w:rPr>
          <w:rFonts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spacing w:after="0" w:line="600" w:lineRule="exact"/>
        <w:ind w:firstLine="560" w:firstLineChars="200"/>
        <w:rPr>
          <w:rFonts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6"/>
        <w:spacing w:after="0" w:line="600" w:lineRule="exact"/>
        <w:ind w:firstLine="560" w:firstLineChars="200"/>
        <w:rPr>
          <w:rFonts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6"/>
        <w:spacing w:after="0" w:line="600" w:lineRule="exact"/>
        <w:ind w:firstLine="560" w:firstLineChars="200"/>
        <w:rPr>
          <w:rFonts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6"/>
        <w:spacing w:after="0" w:line="600" w:lineRule="exact"/>
        <w:ind w:firstLine="560" w:firstLineChars="200"/>
        <w:rPr>
          <w:rFonts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6"/>
        <w:spacing w:after="0" w:line="600" w:lineRule="exact"/>
        <w:ind w:firstLine="560" w:firstLineChars="200"/>
        <w:rPr>
          <w:rFonts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7.1发布公告的其他媒介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本项目采购公告（采购邀请书）、公告补充及修改同步在广州市净水有限公司门户网站及广州国企阳光采购服务平台上发布。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7.2响应文件递交注意事项</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adjustRightInd w:val="0"/>
        <w:snapToGrid w:val="0"/>
        <w:spacing w:line="600" w:lineRule="exact"/>
        <w:ind w:firstLine="560" w:firstLineChars="200"/>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widowControl/>
        <w:adjustRightInd w:val="0"/>
        <w:snapToGrid w:val="0"/>
        <w:spacing w:line="600" w:lineRule="exact"/>
        <w:ind w:firstLine="560" w:firstLineChars="200"/>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rPr>
        <w:t>38890</w:t>
      </w:r>
      <w:r>
        <w:rPr>
          <w:rFonts w:hint="eastAsia" w:ascii="仿宋_GB2312" w:hAnsi="仿宋" w:eastAsia="仿宋"/>
          <w:color w:val="auto"/>
          <w:sz w:val="28"/>
          <w:szCs w:val="28"/>
          <w:highlight w:val="none"/>
          <w:u w:val="single"/>
          <w:lang w:val="en-US" w:eastAsia="zh-CN"/>
        </w:rPr>
        <w:t>467</w:t>
      </w:r>
      <w:r>
        <w:rPr>
          <w:rFonts w:ascii="仿宋_GB2312" w:hAnsi="仿宋" w:eastAsia="仿宋"/>
          <w:color w:val="auto"/>
          <w:sz w:val="28"/>
          <w:szCs w:val="28"/>
          <w:highlight w:val="none"/>
        </w:rPr>
        <w:t>。</w:t>
      </w:r>
    </w:p>
    <w:p>
      <w:pPr>
        <w:widowControl/>
        <w:adjustRightInd w:val="0"/>
        <w:snapToGrid w:val="0"/>
        <w:spacing w:line="600" w:lineRule="exact"/>
        <w:ind w:firstLine="560" w:firstLineChars="200"/>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
                <w:color w:val="auto"/>
                <w:sz w:val="28"/>
                <w:szCs w:val="28"/>
                <w:highlight w:val="none"/>
              </w:rPr>
            </w:pPr>
            <w:r>
              <w:rPr>
                <w:rFonts w:ascii="仿宋_GB2312" w:eastAsia="仿宋"/>
                <w:color w:val="auto"/>
                <w:sz w:val="28"/>
                <w:szCs w:val="28"/>
                <w:highlight w:val="none"/>
              </w:rPr>
              <w:t>联系人</w:t>
            </w:r>
            <w:r>
              <w:rPr>
                <w:rFonts w:hint="eastAsia" w:ascii="仿宋_GB2312" w:eastAsia="仿宋"/>
                <w:color w:val="auto"/>
                <w:sz w:val="28"/>
                <w:szCs w:val="28"/>
                <w:highlight w:val="none"/>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
                <w:color w:val="auto"/>
                <w:sz w:val="28"/>
                <w:szCs w:val="28"/>
                <w:highlight w:val="none"/>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16</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spacing w:line="360" w:lineRule="auto"/>
        <w:rPr>
          <w:rFonts w:ascii="仿宋_GB2312" w:hAnsi="仿宋_GB2312" w:eastAsia="仿宋" w:cs="仿宋_GB2312"/>
          <w:color w:val="auto"/>
          <w:sz w:val="28"/>
          <w:szCs w:val="28"/>
          <w:highlight w:val="none"/>
        </w:rPr>
      </w:pPr>
      <w:bookmarkStart w:id="13" w:name="_Toc10891"/>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bookmarkStart w:id="14" w:name="_Toc16705"/>
      <w:bookmarkStart w:id="15" w:name="_Toc2331"/>
      <w:bookmarkStart w:id="16" w:name="_Toc19295"/>
      <w:bookmarkStart w:id="17" w:name="_Toc16557"/>
      <w:bookmarkStart w:id="18" w:name="_Toc32588"/>
      <w:bookmarkStart w:id="19" w:name="_Toc23749"/>
      <w:bookmarkStart w:id="20" w:name="_Toc25603"/>
      <w:bookmarkStart w:id="21" w:name="_Toc2324"/>
      <w:bookmarkStart w:id="22" w:name="_Toc9448"/>
      <w:bookmarkStart w:id="23" w:name="_Toc7340"/>
    </w:p>
    <w:p>
      <w:pPr>
        <w:pBdr>
          <w:top w:val="double" w:color="auto" w:sz="4" w:space="0"/>
          <w:bottom w:val="double" w:color="auto" w:sz="4" w:space="0"/>
        </w:pBdr>
        <w:spacing w:line="36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第二章</w:t>
      </w:r>
    </w:p>
    <w:bookmarkEnd w:id="13"/>
    <w:bookmarkEnd w:id="14"/>
    <w:bookmarkEnd w:id="15"/>
    <w:bookmarkEnd w:id="16"/>
    <w:bookmarkEnd w:id="17"/>
    <w:bookmarkEnd w:id="18"/>
    <w:bookmarkEnd w:id="19"/>
    <w:bookmarkEnd w:id="20"/>
    <w:bookmarkEnd w:id="21"/>
    <w:bookmarkEnd w:id="22"/>
    <w:bookmarkEnd w:id="23"/>
    <w:p>
      <w:pPr>
        <w:spacing w:line="360" w:lineRule="auto"/>
        <w:rPr>
          <w:rFonts w:ascii="仿宋_GB2312" w:hAnsi="仿宋_GB2312" w:eastAsia="仿宋" w:cs="仿宋_GB2312"/>
          <w:color w:val="auto"/>
          <w:sz w:val="28"/>
          <w:szCs w:val="28"/>
          <w:highlight w:val="none"/>
        </w:rPr>
      </w:pPr>
      <w:bookmarkStart w:id="24" w:name="_Toc2339"/>
      <w:bookmarkStart w:id="25" w:name="_Toc3416"/>
    </w:p>
    <w:p>
      <w:pPr>
        <w:pStyle w:val="4"/>
        <w:spacing w:before="0" w:after="0" w:line="360" w:lineRule="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numPr>
          <w:ilvl w:val="255"/>
          <w:numId w:val="0"/>
        </w:numPr>
        <w:adjustRightInd/>
        <w:snapToGrid/>
        <w:spacing w:line="600" w:lineRule="exact"/>
        <w:ind w:firstLine="560" w:firstLineChars="200"/>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详见第一章采购公告（采购邀请书）3.供应商资格要求</w:t>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numPr>
          <w:ilvl w:val="255"/>
          <w:numId w:val="0"/>
        </w:numPr>
        <w:spacing w:line="60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adjustRightInd w:val="0"/>
              <w:snapToGrid w:val="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rPr>
              <w:t>（1）采购公告（采购邀请书）</w:t>
            </w:r>
          </w:p>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adjustRightInd w:val="0"/>
              <w:snapToGrid w:val="0"/>
              <w:rPr>
                <w:rFonts w:ascii="仿宋_GB2312" w:eastAsia="仿宋"/>
                <w:color w:val="auto"/>
                <w:sz w:val="24"/>
                <w:szCs w:val="24"/>
                <w:highlight w:val="none"/>
              </w:rPr>
            </w:pPr>
            <w:r>
              <w:rPr>
                <w:rFonts w:hint="eastAsia" w:ascii="仿宋_GB2312" w:eastAsia="仿宋"/>
                <w:color w:val="auto"/>
                <w:sz w:val="24"/>
                <w:szCs w:val="24"/>
                <w:highlight w:val="none"/>
              </w:rPr>
              <w:t>1.2.1供应商对采购文件有疑问的，应当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rPr>
              <w:t>2.3</w:t>
            </w:r>
          </w:p>
        </w:tc>
        <w:tc>
          <w:tcPr>
            <w:tcW w:w="1680" w:type="dxa"/>
            <w:vAlign w:val="center"/>
          </w:tcPr>
          <w:p>
            <w:pPr>
              <w:adjustRightInd w:val="0"/>
              <w:snapToGrid w:val="0"/>
              <w:jc w:val="center"/>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本项目</w:t>
            </w:r>
            <w:r>
              <w:rPr>
                <w:rFonts w:hint="eastAsia" w:ascii="仿宋_GB2312" w:eastAsia="仿宋"/>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最高限价及低价说明</w:t>
            </w:r>
          </w:p>
        </w:tc>
        <w:tc>
          <w:tcPr>
            <w:tcW w:w="5750"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adjustRightInd w:val="0"/>
              <w:snapToGrid w:val="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adjustRightInd w:val="0"/>
              <w:snapToGrid w:val="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adjustRightInd w:val="0"/>
              <w:snapToGrid w:val="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rPr>
              <w:t>5</w:t>
            </w:r>
            <w:r>
              <w:rPr>
                <w:rFonts w:hint="eastAsia" w:ascii="仿宋_GB2312" w:eastAsia="仿宋"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color w:val="auto"/>
                <w:sz w:val="24"/>
                <w:szCs w:val="24"/>
                <w:highlight w:val="none"/>
              </w:rPr>
              <w:t>推荐</w:t>
            </w:r>
            <w:r>
              <w:rPr>
                <w:rFonts w:hint="eastAsia" w:ascii="仿宋_GB2312" w:hAnsi="仿宋_GB2312" w:eastAsia="仿宋" w:cs="仿宋_GB2312"/>
                <w:color w:val="auto"/>
                <w:sz w:val="24"/>
                <w:szCs w:val="24"/>
                <w:highlight w:val="none"/>
                <w:u w:val="single"/>
              </w:rPr>
              <w:t>2</w:t>
            </w:r>
            <w:r>
              <w:rPr>
                <w:rFonts w:hint="eastAsia" w:ascii="仿宋_GB2312" w:hAnsi="仿宋_GB2312" w:eastAsia="仿宋" w:cs="仿宋_GB2312"/>
                <w:color w:val="auto"/>
                <w:sz w:val="24"/>
                <w:szCs w:val="24"/>
                <w:highlight w:val="none"/>
              </w:rPr>
              <w:t>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ascii="仿宋_GB2312" w:eastAsia="仿宋_GB2312"/>
                <w:color w:val="auto"/>
                <w:sz w:val="24"/>
                <w:szCs w:val="24"/>
                <w:highlight w:val="none"/>
              </w:rPr>
            </w:pPr>
          </w:p>
        </w:tc>
        <w:tc>
          <w:tcPr>
            <w:tcW w:w="1680" w:type="dxa"/>
            <w:vMerge w:val="continue"/>
            <w:vAlign w:val="center"/>
          </w:tcPr>
          <w:p>
            <w:pPr>
              <w:adjustRightInd w:val="0"/>
              <w:snapToGrid w:val="0"/>
              <w:jc w:val="center"/>
              <w:rPr>
                <w:rFonts w:ascii="仿宋_GB2312" w:eastAsia="仿宋_GB2312"/>
                <w:color w:val="auto"/>
                <w:sz w:val="24"/>
                <w:szCs w:val="24"/>
                <w:highlight w:val="none"/>
              </w:rPr>
            </w:pPr>
          </w:p>
        </w:tc>
        <w:tc>
          <w:tcPr>
            <w:tcW w:w="5750" w:type="dxa"/>
            <w:tcBorders>
              <w:right w:val="nil"/>
            </w:tcBorders>
            <w:vAlign w:val="center"/>
          </w:tcPr>
          <w:p>
            <w:pPr>
              <w:jc w:val="left"/>
              <w:rPr>
                <w:rFonts w:ascii="仿宋_GB2312" w:hAnsi="仿宋_GB2312" w:eastAsia="仿宋" w:cs="仿宋_GB2312"/>
                <w:color w:val="auto"/>
                <w:sz w:val="24"/>
                <w:szCs w:val="24"/>
                <w:highlight w:val="none"/>
              </w:rPr>
            </w:pPr>
            <w:r>
              <w:rPr>
                <w:rFonts w:ascii="仿宋_GB2312" w:hAnsi="仿宋_GB2312" w:eastAsia="仿宋" w:cs="仿宋_GB2312"/>
                <w:color w:val="auto"/>
                <w:sz w:val="24"/>
                <w:szCs w:val="24"/>
                <w:highlight w:val="none"/>
              </w:rPr>
              <w:t>采购人</w:t>
            </w:r>
            <w:r>
              <w:rPr>
                <w:rFonts w:hint="eastAsia" w:ascii="仿宋_GB2312" w:hAnsi="仿宋_GB2312" w:eastAsia="仿宋" w:cs="仿宋_GB2312"/>
                <w:color w:val="auto"/>
                <w:sz w:val="24"/>
                <w:szCs w:val="24"/>
                <w:highlight w:val="none"/>
              </w:rPr>
              <w:t>和成交供应商应当在成交-通知书发出之日起</w:t>
            </w:r>
            <w:r>
              <w:rPr>
                <w:rFonts w:hint="eastAsia" w:ascii="仿宋_GB2312" w:hAnsi="仿宋_GB2312" w:eastAsia="仿宋" w:cs="仿宋_GB2312"/>
                <w:color w:val="auto"/>
                <w:sz w:val="24"/>
                <w:szCs w:val="24"/>
                <w:highlight w:val="none"/>
                <w:u w:val="single"/>
              </w:rPr>
              <w:t>30</w:t>
            </w:r>
            <w:r>
              <w:rPr>
                <w:rFonts w:hint="eastAsia" w:ascii="仿宋_GB2312" w:hAnsi="仿宋_GB2312" w:eastAsia="仿宋" w:cs="仿宋_GB2312"/>
                <w:color w:val="auto"/>
                <w:sz w:val="24"/>
                <w:szCs w:val="24"/>
                <w:highlight w:val="none"/>
              </w:rPr>
              <w:t>日内，根据采购文件和成交供应商的响应文件订立书面合同。</w:t>
            </w:r>
          </w:p>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color w:val="auto"/>
                <w:sz w:val="24"/>
                <w:szCs w:val="24"/>
                <w:highlight w:val="none"/>
              </w:rPr>
              <w:t>合同自采购人成交通知书到达成交供应商时成立。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ascii="仿宋_GB2312" w:eastAsia="仿宋_GB2312"/>
                <w:color w:val="auto"/>
                <w:sz w:val="24"/>
                <w:szCs w:val="24"/>
                <w:highlight w:val="none"/>
              </w:rPr>
            </w:pPr>
          </w:p>
        </w:tc>
        <w:tc>
          <w:tcPr>
            <w:tcW w:w="1680" w:type="dxa"/>
            <w:vMerge w:val="continue"/>
            <w:vAlign w:val="center"/>
          </w:tcPr>
          <w:p>
            <w:pPr>
              <w:adjustRightInd w:val="0"/>
              <w:snapToGrid w:val="0"/>
              <w:jc w:val="center"/>
              <w:rPr>
                <w:rFonts w:ascii="仿宋_GB2312" w:eastAsia="仿宋_GB2312"/>
                <w:color w:val="auto"/>
                <w:sz w:val="24"/>
                <w:szCs w:val="24"/>
                <w:highlight w:val="none"/>
              </w:rPr>
            </w:pPr>
          </w:p>
        </w:tc>
        <w:tc>
          <w:tcPr>
            <w:tcW w:w="5750" w:type="dxa"/>
            <w:tcBorders>
              <w:right w:val="nil"/>
            </w:tcBorders>
            <w:vAlign w:val="center"/>
          </w:tcPr>
          <w:p>
            <w:pPr>
              <w:numPr>
                <w:ilvl w:val="255"/>
                <w:numId w:val="0"/>
              </w:numPr>
              <w:jc w:val="left"/>
              <w:rPr>
                <w:rFonts w:ascii="仿宋_GB2312" w:hAnsi="仿宋_GB2312" w:eastAsia="仿宋" w:cs="仿宋_GB2312"/>
                <w:color w:val="auto"/>
                <w:sz w:val="24"/>
                <w:szCs w:val="24"/>
                <w:highlight w:val="none"/>
              </w:rPr>
            </w:pPr>
            <w:r>
              <w:rPr>
                <w:rFonts w:hint="eastAsia" w:ascii="仿宋_GB2312" w:hAnsi="仿宋_GB2312" w:eastAsia="仿宋" w:cs="仿宋_GB2312"/>
                <w:color w:val="auto"/>
                <w:sz w:val="24"/>
                <w:szCs w:val="24"/>
                <w:highlight w:val="none"/>
              </w:rPr>
              <w:t>1.成交供应商无正当理由拒签合同，或者在签订合同时向采购人提出附加条件的，采购人有权依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p>
          <w:p>
            <w:pPr>
              <w:jc w:val="left"/>
              <w:rPr>
                <w:rFonts w:ascii="仿宋_GB2312" w:hAnsi="仿宋_GB2312" w:eastAsia="仿宋" w:cs="仿宋_GB2312"/>
                <w:color w:val="auto"/>
                <w:sz w:val="24"/>
                <w:szCs w:val="24"/>
                <w:highlight w:val="none"/>
              </w:rPr>
            </w:pPr>
            <w:r>
              <w:rPr>
                <w:rFonts w:hint="eastAsia" w:ascii="仿宋_GB2312" w:hAnsi="仿宋_GB2312" w:eastAsia="仿宋" w:cs="仿宋_GB2312"/>
                <w:color w:val="auto"/>
                <w:sz w:val="24"/>
                <w:szCs w:val="24"/>
                <w:highlight w:val="none"/>
              </w:rPr>
              <w:t>2.成交供应商被查实供应商资格无效或存在其它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p>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color w:val="auto"/>
                <w:sz w:val="24"/>
                <w:szCs w:val="24"/>
                <w:highlight w:val="none"/>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不一致情形</w:t>
            </w:r>
          </w:p>
        </w:tc>
        <w:tc>
          <w:tcPr>
            <w:tcW w:w="5750" w:type="dxa"/>
            <w:tcBorders>
              <w:right w:val="nil"/>
            </w:tcBorders>
            <w:vAlign w:val="center"/>
          </w:tcPr>
          <w:p>
            <w:pPr>
              <w:adjustRightInd w:val="0"/>
              <w:snapToGrid w:val="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1.合同签订阶段，如采购文件需求内容与采购文件响应文件格式报价表存在不一致情形，则以采购文件响应文件格式报价表为准。</w:t>
            </w:r>
          </w:p>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2.合同签订阶段，除报价表外，如采购文件条款与合同存在不一致情形，则以合同为准。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2.20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响应性</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无</w:t>
            </w:r>
          </w:p>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（2）响应文件未按规定格式填写，或内容与采购文件严重背离的。</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（3）响应文件有两个以上报价的（采购文件允许提交备选方案的除外）。</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（4）质量标准不符合采购文件要求的。</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（5）服务期不符合采购文件要求的。</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（6）报价超过最高限价的。</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（7）供应商不符合国家或采购文件规定的资格条件。</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（8）响应文件没有对采购文件的实质性要求和条件作出响应。</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（9）非法定代表人/负责人或授权委托代理人递交响应文件。</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（10）其他不符合采购文件要求的情形。</w:t>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本项目无须递交响应保证金。</w:t>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响应文件包括下列内容:</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1.响应函</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2.法定代表人/负责人证明或授权委托书</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3.资格审查资料</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5.报价表</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6.其他资料</w:t>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7.1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异议函应由异议人的法定代表人/负责人（单位负责人）或其授权的代理人签字并加盖单位章。</w:t>
      </w:r>
    </w:p>
    <w:p>
      <w:pPr>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7.3异议人与采购人对异议事项无法达成一致的，异议人可向采购人的监管部门进行反映。</w:t>
      </w:r>
    </w:p>
    <w:p>
      <w:pPr>
        <w:numPr>
          <w:ilvl w:val="0"/>
          <w:numId w:val="3"/>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spacing w:line="600" w:lineRule="exact"/>
        <w:ind w:firstLine="560" w:firstLineChars="200"/>
        <w:jc w:val="left"/>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spacing w:line="600" w:lineRule="exact"/>
        <w:ind w:firstLine="560" w:firstLineChars="200"/>
        <w:jc w:val="left"/>
        <w:rPr>
          <w:rFonts w:asciiTheme="majorEastAsia" w:hAnsiTheme="majorEastAsia" w:eastAsiaTheme="majorEastAsia"/>
          <w:b/>
          <w:color w:val="auto"/>
          <w:sz w:val="28"/>
          <w:szCs w:val="28"/>
          <w:highlight w:val="none"/>
        </w:rPr>
      </w:pPr>
      <w:r>
        <w:rPr>
          <w:rFonts w:hint="eastAsia" w:ascii="仿宋_GB2312" w:eastAsia="仿宋"/>
          <w:color w:val="auto"/>
          <w:sz w:val="28"/>
          <w:szCs w:val="28"/>
          <w:highlight w:val="none"/>
        </w:rPr>
        <w:t>附件5：关于**项目异议书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8"/>
        <w:rPr>
          <w:rFonts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附件2</w:t>
      </w:r>
    </w:p>
    <w:p>
      <w:pPr>
        <w:adjustRightInd w:val="0"/>
        <w:snapToGrid w:val="0"/>
        <w:jc w:val="center"/>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8"/>
        <w:rPr>
          <w:rFonts w:ascii="仿宋_GB2312" w:hAnsi="仿宋_GB2312" w:eastAsia="仿宋" w:cs="仿宋_GB2312"/>
          <w:color w:val="auto"/>
          <w:highlight w:val="none"/>
        </w:rPr>
      </w:pPr>
    </w:p>
    <w:p>
      <w:pPr>
        <w:adjustRightInd w:val="0"/>
        <w:snapToGrid w:val="0"/>
        <w:spacing w:line="600" w:lineRule="exact"/>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rPr>
        <w:t>：</w:t>
      </w:r>
    </w:p>
    <w:p>
      <w:pPr>
        <w:adjustRightInd w:val="0"/>
        <w:snapToGrid w:val="0"/>
        <w:spacing w:line="600" w:lineRule="exact"/>
        <w:ind w:firstLine="560" w:firstLineChars="200"/>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60" w:firstLineChars="200"/>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adjustRightInd w:val="0"/>
        <w:snapToGrid w:val="0"/>
        <w:spacing w:line="600" w:lineRule="exact"/>
        <w:ind w:firstLine="560" w:firstLineChars="200"/>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adjustRightInd w:val="0"/>
        <w:snapToGrid w:val="0"/>
        <w:spacing w:line="600" w:lineRule="exact"/>
        <w:ind w:firstLine="560" w:firstLineChars="200"/>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 xml:space="preserve">日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附件3</w:t>
      </w:r>
    </w:p>
    <w:p>
      <w:pPr>
        <w:adjustRightInd w:val="0"/>
        <w:snapToGrid w:val="0"/>
        <w:jc w:val="center"/>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8"/>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法定代表人/负责人或委托代理人：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附件4</w:t>
      </w:r>
    </w:p>
    <w:p>
      <w:pPr>
        <w:adjustRightInd w:val="0"/>
        <w:snapToGrid w:val="0"/>
        <w:jc w:val="center"/>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8"/>
        <w:rPr>
          <w:color w:val="auto"/>
          <w:highlight w:val="none"/>
        </w:rPr>
      </w:pPr>
    </w:p>
    <w:p>
      <w:pPr>
        <w:pStyle w:val="38"/>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rPr>
        <w:t xml:space="preserve">      项目</w:t>
      </w:r>
      <w:r>
        <w:rPr>
          <w:rFonts w:hint="eastAsia" w:ascii="仿宋_GB2312" w:eastAsia="仿宋" w:hAnsiTheme="majorEastAsia"/>
          <w:color w:val="auto"/>
          <w:sz w:val="28"/>
          <w:szCs w:val="28"/>
          <w:highlight w:val="none"/>
        </w:rPr>
        <w:t>的成交供应商。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rPr>
        <w:t>30</w:t>
      </w:r>
      <w:r>
        <w:rPr>
          <w:rFonts w:hint="eastAsia" w:ascii="仿宋_GB2312" w:eastAsia="仿宋"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附件5</w:t>
      </w:r>
    </w:p>
    <w:p>
      <w:pPr>
        <w:adjustRightInd w:val="0"/>
        <w:snapToGrid w:val="0"/>
        <w:jc w:val="center"/>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住所地：   </w:t>
      </w:r>
      <w:r>
        <w:rPr>
          <w:rFonts w:hAnsi="宋体" w:cs="仿宋_GB2312"/>
          <w:color w:val="auto"/>
          <w:kern w:val="0"/>
          <w:sz w:val="28"/>
          <w:szCs w:val="28"/>
          <w:highlight w:val="none"/>
        </w:rPr>
        <w:t xml:space="preserve"> 邮编：</w:t>
      </w:r>
    </w:p>
    <w:p>
      <w:pPr>
        <w:widowControl/>
        <w:jc w:val="left"/>
        <w:rPr>
          <w:rFonts w:hAnsi="宋体" w:eastAsia="宋体" w:cs="宋体"/>
          <w:color w:val="auto"/>
          <w:kern w:val="0"/>
          <w:sz w:val="28"/>
          <w:szCs w:val="28"/>
          <w:highlight w:val="none"/>
        </w:rPr>
      </w:pPr>
      <w:r>
        <w:rPr>
          <w:rFonts w:hint="eastAsia" w:hAnsi="宋体" w:cs="仿宋_GB2312"/>
          <w:color w:val="auto"/>
          <w:kern w:val="0"/>
          <w:sz w:val="28"/>
          <w:szCs w:val="28"/>
          <w:highlight w:val="none"/>
        </w:rPr>
        <w:t>法定代表人/负责人：      联系电话：</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异议人授权代表：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             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法定代表人/负责人或授权代表（签字）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spacing w:line="360" w:lineRule="auto"/>
        <w:jc w:val="left"/>
        <w:rPr>
          <w:rFonts w:ascii="仿宋_GB2312" w:eastAsia="仿宋"/>
          <w:color w:val="auto"/>
          <w:sz w:val="28"/>
          <w:szCs w:val="28"/>
          <w:highlight w:val="none"/>
        </w:rPr>
      </w:pPr>
    </w:p>
    <w:p>
      <w:pPr>
        <w:spacing w:line="360" w:lineRule="auto"/>
        <w:jc w:val="left"/>
        <w:rPr>
          <w:rFonts w:ascii="仿宋_GB2312" w:eastAsia="仿宋"/>
          <w:color w:val="auto"/>
          <w:sz w:val="28"/>
          <w:szCs w:val="28"/>
          <w:highlight w:val="none"/>
        </w:rPr>
      </w:pPr>
    </w:p>
    <w:p>
      <w:pPr>
        <w:spacing w:line="360" w:lineRule="auto"/>
        <w:jc w:val="left"/>
        <w:rPr>
          <w:rFonts w:ascii="仿宋_GB2312" w:eastAsia="仿宋"/>
          <w:color w:val="auto"/>
          <w:sz w:val="28"/>
          <w:szCs w:val="28"/>
          <w:highlight w:val="none"/>
        </w:rPr>
      </w:pPr>
    </w:p>
    <w:p>
      <w:pPr>
        <w:spacing w:line="360" w:lineRule="auto"/>
        <w:jc w:val="left"/>
        <w:rPr>
          <w:rFonts w:ascii="仿宋_GB2312" w:eastAsia="仿宋"/>
          <w:color w:val="auto"/>
          <w:sz w:val="28"/>
          <w:szCs w:val="28"/>
          <w:highlight w:val="none"/>
        </w:rPr>
      </w:pPr>
    </w:p>
    <w:p>
      <w:pPr>
        <w:spacing w:line="360" w:lineRule="auto"/>
        <w:jc w:val="left"/>
        <w:rPr>
          <w:rFonts w:ascii="仿宋_GB2312" w:eastAsia="仿宋"/>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第三章</w:t>
      </w:r>
    </w:p>
    <w:p>
      <w:pPr>
        <w:spacing w:line="360" w:lineRule="auto"/>
        <w:jc w:val="left"/>
        <w:rPr>
          <w:rFonts w:ascii="仿宋_GB2312" w:eastAsia="仿宋"/>
          <w:color w:val="auto"/>
          <w:sz w:val="28"/>
          <w:szCs w:val="28"/>
          <w:highlight w:val="none"/>
        </w:rPr>
      </w:pPr>
    </w:p>
    <w:p>
      <w:pPr>
        <w:pStyle w:val="4"/>
        <w:spacing w:before="0" w:after="0" w:line="360" w:lineRule="auto"/>
        <w:rPr>
          <w:rFonts w:eastAsia="仿宋"/>
          <w:color w:val="auto"/>
          <w:sz w:val="44"/>
          <w:szCs w:val="40"/>
          <w:highlight w:val="none"/>
        </w:rPr>
      </w:pPr>
      <w:bookmarkStart w:id="26" w:name="_Toc88209934"/>
      <w:bookmarkStart w:id="27" w:name="_Toc7303"/>
      <w:bookmarkStart w:id="28" w:name="_Toc7040"/>
      <w:bookmarkStart w:id="29" w:name="_Toc87616371"/>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rPr>
          <w:rFonts w:eastAsia="仿宋"/>
          <w:color w:val="auto"/>
          <w:highlight w:val="none"/>
        </w:rPr>
      </w:pPr>
      <w:bookmarkStart w:id="30" w:name="_Toc3789"/>
      <w:bookmarkStart w:id="31" w:name="_Toc24895"/>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rPr>
              <w:t>本项目所有采购内容和范围</w:t>
            </w:r>
            <w:r>
              <w:rPr>
                <w:rFonts w:hint="eastAsia" w:ascii="仿宋_GB2312" w:eastAsia="仿宋" w:hAnsiTheme="minorEastAsia"/>
                <w:color w:val="auto"/>
                <w:sz w:val="24"/>
                <w:szCs w:val="24"/>
                <w:highlight w:val="none"/>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p>
          <w:p>
            <w:pPr>
              <w:adjustRightInd w:val="0"/>
              <w:snapToGrid w:val="0"/>
              <w:ind w:firstLine="480" w:firstLineChars="200"/>
              <w:rPr>
                <w:rFonts w:ascii="仿宋_GB2312" w:eastAsia="仿宋_GB2312" w:hAnsiTheme="minorEastAsia"/>
                <w:color w:val="auto"/>
                <w:sz w:val="24"/>
                <w:szCs w:val="24"/>
                <w:highlight w:val="none"/>
              </w:rPr>
            </w:pPr>
            <w:r>
              <w:rPr>
                <w:rFonts w:ascii="仿宋_GB2312" w:eastAsia="仿宋" w:hAnsiTheme="minorEastAsia"/>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spacing w:line="360" w:lineRule="auto"/>
        <w:ind w:firstLine="560" w:firstLineChars="200"/>
        <w:jc w:val="left"/>
        <w:rPr>
          <w:rFonts w:ascii="仿宋_GB2312" w:eastAsia="仿宋"/>
          <w:color w:val="auto"/>
          <w:sz w:val="28"/>
          <w:szCs w:val="28"/>
          <w:highlight w:val="none"/>
        </w:rPr>
      </w:pPr>
    </w:p>
    <w:p>
      <w:pPr>
        <w:spacing w:line="360" w:lineRule="auto"/>
        <w:ind w:firstLine="560" w:firstLineChars="200"/>
        <w:jc w:val="left"/>
        <w:rPr>
          <w:rFonts w:ascii="仿宋_GB2312" w:eastAsia="仿宋"/>
          <w:color w:val="auto"/>
          <w:sz w:val="28"/>
          <w:szCs w:val="28"/>
          <w:highlight w:val="none"/>
        </w:rPr>
      </w:pPr>
    </w:p>
    <w:p>
      <w:pPr>
        <w:spacing w:line="360" w:lineRule="auto"/>
        <w:ind w:firstLine="560" w:firstLineChars="200"/>
        <w:jc w:val="left"/>
        <w:rPr>
          <w:rFonts w:ascii="仿宋_GB2312" w:eastAsia="仿宋"/>
          <w:color w:val="auto"/>
          <w:sz w:val="28"/>
          <w:szCs w:val="28"/>
          <w:highlight w:val="none"/>
        </w:rPr>
      </w:pPr>
    </w:p>
    <w:p>
      <w:pPr>
        <w:spacing w:line="360" w:lineRule="auto"/>
        <w:ind w:firstLine="560" w:firstLineChars="200"/>
        <w:jc w:val="left"/>
        <w:rPr>
          <w:rFonts w:ascii="仿宋_GB2312" w:eastAsia="仿宋"/>
          <w:color w:val="auto"/>
          <w:sz w:val="28"/>
          <w:szCs w:val="28"/>
          <w:highlight w:val="none"/>
        </w:rPr>
      </w:pPr>
    </w:p>
    <w:p>
      <w:pPr>
        <w:spacing w:line="360" w:lineRule="auto"/>
        <w:ind w:firstLine="560" w:firstLineChars="200"/>
        <w:jc w:val="left"/>
        <w:rPr>
          <w:rFonts w:ascii="仿宋_GB2312" w:eastAsia="仿宋"/>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第四章</w:t>
      </w:r>
    </w:p>
    <w:p>
      <w:pPr>
        <w:spacing w:line="360" w:lineRule="auto"/>
        <w:ind w:firstLine="560" w:firstLineChars="200"/>
        <w:jc w:val="left"/>
        <w:rPr>
          <w:rFonts w:ascii="仿宋_GB2312" w:eastAsia="仿宋"/>
          <w:color w:val="auto"/>
          <w:sz w:val="28"/>
          <w:szCs w:val="28"/>
          <w:highlight w:val="none"/>
        </w:rPr>
      </w:pPr>
    </w:p>
    <w:p>
      <w:pPr>
        <w:spacing w:line="360" w:lineRule="auto"/>
        <w:jc w:val="center"/>
        <w:rPr>
          <w:rFonts w:ascii="方正小标宋简体" w:hAnsi="方正小标宋简体" w:eastAsia="仿宋" w:cs="方正小标宋简体"/>
          <w:color w:val="auto"/>
          <w:sz w:val="44"/>
          <w:szCs w:val="44"/>
          <w:highlight w:val="none"/>
        </w:rPr>
      </w:pPr>
      <w:bookmarkStart w:id="32" w:name="_Toc21079"/>
      <w:bookmarkStart w:id="33" w:name="_Toc6308"/>
      <w:bookmarkStart w:id="34" w:name="_Toc21840"/>
      <w:bookmarkStart w:id="35" w:name="_Toc88209941"/>
      <w:bookmarkStart w:id="36" w:name="_Toc87616378"/>
      <w:bookmarkStart w:id="37" w:name="_Toc7831"/>
      <w:bookmarkStart w:id="38" w:name="_Toc12177"/>
      <w:bookmarkStart w:id="39" w:name="_Toc29345"/>
      <w:bookmarkStart w:id="40" w:name="_Toc13898"/>
      <w:bookmarkStart w:id="41" w:name="_Toc32607"/>
      <w:bookmarkStart w:id="42" w:name="_Toc30530"/>
      <w:bookmarkStart w:id="43" w:name="_Toc22212"/>
      <w:bookmarkStart w:id="44" w:name="_Toc29484"/>
      <w:r>
        <w:rPr>
          <w:rFonts w:hint="eastAsia" w:ascii="方正小标宋简体" w:hAnsi="方正小标宋简体" w:eastAsia="仿宋" w:cs="方正小标宋简体"/>
          <w:color w:val="auto"/>
          <w:sz w:val="44"/>
          <w:szCs w:val="44"/>
          <w:highlight w:val="none"/>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rPr>
          <w:rFonts w:eastAsia="仿宋"/>
          <w:color w:val="auto"/>
          <w:highlight w:val="none"/>
        </w:rPr>
      </w:pPr>
      <w:bookmarkStart w:id="45" w:name="_Toc26826"/>
      <w:bookmarkStart w:id="46" w:name="_Toc23033"/>
      <w:r>
        <w:rPr>
          <w:rFonts w:ascii="Arial" w:hAnsi="Arial" w:eastAsia="仿宋" w:cs="Arial"/>
          <w:color w:val="auto"/>
          <w:highlight w:val="none"/>
        </w:rPr>
        <w:t>√</w:t>
      </w:r>
      <w:r>
        <w:rPr>
          <w:rFonts w:hint="eastAsia" w:eastAsia="仿宋"/>
          <w:color w:val="auto"/>
          <w:highlight w:val="none"/>
        </w:rPr>
        <w:t>经评审的最低价法</w:t>
      </w:r>
      <w:bookmarkEnd w:id="45"/>
      <w:bookmarkEnd w:id="46"/>
    </w:p>
    <w:p>
      <w:pPr>
        <w:adjustRightInd w:val="0"/>
        <w:snapToGrid w:val="0"/>
        <w:spacing w:line="600" w:lineRule="exact"/>
        <w:jc w:val="left"/>
        <w:rPr>
          <w:rFonts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（1）运输费用及保险费（如有）。</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与营业执照</w:t>
            </w:r>
            <w:r>
              <w:rPr>
                <w:rFonts w:hint="eastAsia" w:ascii="仿宋_GB2312" w:eastAsia="仿宋"/>
                <w:color w:val="auto"/>
                <w:sz w:val="24"/>
                <w:szCs w:val="24"/>
                <w:highlight w:val="none"/>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有响应函，有法定代表人（单位负责人）或其委托代理人签字（或签章）并加盖单位公章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法定代表人/负责人授权委托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有授权书，授权书有法定代表人/负责人及其委托代理人签字并加盖单位公章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第五章</w:t>
      </w:r>
    </w:p>
    <w:p>
      <w:pPr>
        <w:spacing w:line="360" w:lineRule="auto"/>
        <w:jc w:val="left"/>
        <w:rPr>
          <w:rFonts w:ascii="仿宋_GB2312" w:eastAsia="仿宋" w:hAnsiTheme="minorEastAsia"/>
          <w:color w:val="auto"/>
          <w:sz w:val="28"/>
          <w:szCs w:val="28"/>
          <w:highlight w:val="none"/>
        </w:rPr>
      </w:pPr>
    </w:p>
    <w:p>
      <w:pPr>
        <w:pStyle w:val="4"/>
        <w:rPr>
          <w:rFonts w:eastAsia="仿宋"/>
          <w:color w:val="auto"/>
          <w:szCs w:val="44"/>
          <w:highlight w:val="none"/>
        </w:rPr>
      </w:pPr>
      <w:r>
        <w:rPr>
          <w:rFonts w:hint="eastAsia" w:eastAsia="仿宋"/>
          <w:color w:val="auto"/>
          <w:szCs w:val="44"/>
          <w:highlight w:val="none"/>
        </w:rPr>
        <w:t>采购需求</w:t>
      </w:r>
    </w:p>
    <w:p>
      <w:pPr>
        <w:spacing w:line="360" w:lineRule="auto"/>
        <w:jc w:val="left"/>
        <w:rPr>
          <w:rFonts w:ascii="仿宋_GB2312" w:eastAsia="仿宋" w:hAnsiTheme="minorEastAsia"/>
          <w:color w:val="auto"/>
          <w:sz w:val="28"/>
          <w:szCs w:val="28"/>
          <w:highlight w:val="none"/>
        </w:rPr>
      </w:pPr>
      <w:bookmarkStart w:id="47" w:name="_Toc88209947"/>
    </w:p>
    <w:p>
      <w:pPr>
        <w:spacing w:line="360" w:lineRule="auto"/>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spacing w:line="360" w:lineRule="auto"/>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2、全文所有要求均为实质性响应条款，供应商如有任何一条负偏离则导致</w:t>
      </w:r>
      <w:r>
        <w:rPr>
          <w:rFonts w:hint="eastAsia" w:ascii="宋体" w:hAnsi="宋体" w:cs="宋体"/>
          <w:color w:val="auto"/>
          <w:sz w:val="24"/>
          <w:szCs w:val="24"/>
          <w:highlight w:val="none"/>
        </w:rPr>
        <w:t>响应</w:t>
      </w:r>
      <w:r>
        <w:rPr>
          <w:rFonts w:hint="eastAsia" w:ascii="宋体" w:hAnsi="宋体" w:eastAsia="宋体" w:cs="宋体"/>
          <w:color w:val="auto"/>
          <w:sz w:val="24"/>
          <w:szCs w:val="24"/>
          <w:highlight w:val="none"/>
        </w:rPr>
        <w:t>（报价）文件无效。</w:t>
      </w:r>
    </w:p>
    <w:p>
      <w:pPr>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bookmarkEnd w:id="47"/>
    <w:p>
      <w:pPr>
        <w:jc w:val="center"/>
        <w:rPr>
          <w:rFonts w:ascii="方正小标宋简体" w:hAnsi="方正小标宋简体" w:eastAsia="方正小标宋简体" w:cs="方正小标宋简体"/>
          <w:color w:val="auto"/>
          <w:sz w:val="44"/>
          <w:szCs w:val="44"/>
          <w:highlight w:val="none"/>
          <w:lang w:bidi="ar"/>
        </w:rPr>
      </w:pPr>
      <w:r>
        <w:rPr>
          <w:rFonts w:hint="eastAsia" w:ascii="方正小标宋简体" w:hAnsi="方正小标宋简体" w:eastAsia="方正小标宋简体" w:cs="方正小标宋简体"/>
          <w:color w:val="auto"/>
          <w:sz w:val="44"/>
          <w:szCs w:val="44"/>
          <w:highlight w:val="none"/>
          <w:lang w:bidi="ar"/>
        </w:rPr>
        <w:t>公司本部玻璃幕墙安全检测技术需求书</w:t>
      </w:r>
    </w:p>
    <w:p>
      <w:pPr>
        <w:rPr>
          <w:rFonts w:ascii="仿宋_GB2312" w:hAnsi="仿宋_GB2312" w:eastAsia="仿宋_GB2312" w:cs="仿宋_GB2312"/>
          <w:color w:val="auto"/>
          <w:sz w:val="32"/>
          <w:szCs w:val="32"/>
          <w:highlight w:val="none"/>
          <w:lang w:bidi="ar"/>
        </w:rPr>
      </w:pP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公司本部办公楼东侧的玻璃幕墙使用已超20年，根据《广州市建筑玻璃幕墙管理办法》（广州市政府令 148 号）的要求，拟委托第三方单位对公司本部办公楼东侧的玻璃幕墙开展安全性鉴定。</w:t>
      </w:r>
    </w:p>
    <w:p>
      <w:pPr>
        <w:ind w:firstLine="643" w:firstLineChars="200"/>
        <w:rPr>
          <w:rFonts w:ascii="仿宋_GB2312" w:hAnsi="仿宋_GB2312" w:eastAsia="仿宋_GB2312" w:cs="仿宋_GB2312"/>
          <w:b/>
          <w:color w:val="auto"/>
          <w:sz w:val="32"/>
          <w:szCs w:val="32"/>
          <w:highlight w:val="none"/>
          <w:lang w:bidi="ar"/>
        </w:rPr>
      </w:pPr>
      <w:r>
        <w:rPr>
          <w:rFonts w:hint="eastAsia" w:ascii="仿宋_GB2312" w:hAnsi="仿宋_GB2312" w:eastAsia="仿宋_GB2312" w:cs="仿宋_GB2312"/>
          <w:b/>
          <w:color w:val="auto"/>
          <w:sz w:val="32"/>
          <w:szCs w:val="32"/>
          <w:highlight w:val="none"/>
          <w:lang w:bidi="ar"/>
        </w:rPr>
        <w:t>1.项目概况</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公司本部办公楼东侧的玻璃幕墙高度约30米，面积约400平方，为确保玻璃幕墙的安全性、可靠性和功能性，需要对其进行全面安全检测。</w:t>
      </w:r>
    </w:p>
    <w:p>
      <w:pPr>
        <w:ind w:firstLine="643" w:firstLineChars="200"/>
        <w:rPr>
          <w:rFonts w:ascii="仿宋_GB2312" w:hAnsi="仿宋_GB2312" w:eastAsia="仿宋_GB2312" w:cs="仿宋_GB2312"/>
          <w:b/>
          <w:color w:val="auto"/>
          <w:sz w:val="32"/>
          <w:szCs w:val="32"/>
          <w:highlight w:val="none"/>
          <w:lang w:bidi="ar"/>
        </w:rPr>
      </w:pPr>
      <w:r>
        <w:rPr>
          <w:rFonts w:hint="eastAsia" w:ascii="仿宋_GB2312" w:hAnsi="仿宋_GB2312" w:eastAsia="仿宋_GB2312" w:cs="仿宋_GB2312"/>
          <w:b/>
          <w:color w:val="auto"/>
          <w:sz w:val="32"/>
          <w:szCs w:val="32"/>
          <w:highlight w:val="none"/>
          <w:lang w:bidi="ar"/>
        </w:rPr>
        <w:t>2.鉴定的主要依据(包括但不限于以下文件)</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（1）广东省标准《建筑幕墙可靠性鉴定技术规程》（DBJ/T 15-88-2022）</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（2）中华人民共和国行业标准《玻璃幕墙工程技术规范》（JGJ 102-2003）</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（3）中华人民共和国国家标准《建筑幕墙》（GB/T 21086-2007）</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（4）中华人民共和国行业标准《建筑玻璃应用技术规程》（JGJ 113-2015）</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（5）中华人民共和国国家标准《民用建筑通用规范》（GB 55031-2022）</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（6）中华人民共和国国家标准《建筑用安全玻璃第2部分：钢化玻璃》 (GB 15763.2-2005)</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（7）中华人民共和国行业标准《建筑门窗幕墙用钢化玻璃》（JG/T 455-2014）</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（8）中华人民共和国国家标准《建筑结构荷载规范》（GB 50009-2012）</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（9）广东省标准《建筑结构荷载规范》（DBJ 15-101-2022）</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（10）中华人民共和国行业标准《玻璃幕墙工程质量检验标准》（JGJ/T 139-2020）</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（11）中华人民共和国行业标准《混凝土结构后锚固技术规程》（JGJ 145-2013）</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（12）中华人民共和国国家标准《建筑用硅酮结构密封胶》 (GB 16776</w:t>
      </w:r>
      <w:r>
        <w:rPr>
          <w:rFonts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bidi="ar"/>
        </w:rPr>
        <w:t>2005)</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（13）建设部建质[2006]291号文《既有建筑幕墙安全维护管理办法》</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（14）广东省建设厅粤建管[2007]122号文《广东省建设厅既有建筑幕墙安全维护管理实施细则》</w:t>
      </w:r>
    </w:p>
    <w:p>
      <w:pPr>
        <w:ind w:firstLine="640" w:firstLineChars="200"/>
        <w:rPr>
          <w:rFonts w:ascii="仿宋_GB2312" w:hAnsi="仿宋_GB2312" w:eastAsia="仿宋_GB2312" w:cs="仿宋_GB2312"/>
          <w:b/>
          <w:color w:val="auto"/>
          <w:sz w:val="32"/>
          <w:szCs w:val="32"/>
          <w:highlight w:val="none"/>
          <w:lang w:bidi="ar"/>
        </w:rPr>
      </w:pPr>
      <w:r>
        <w:rPr>
          <w:rFonts w:hint="eastAsia" w:ascii="仿宋_GB2312" w:hAnsi="仿宋_GB2312" w:eastAsia="仿宋_GB2312" w:cs="仿宋_GB2312"/>
          <w:color w:val="auto"/>
          <w:sz w:val="32"/>
          <w:szCs w:val="32"/>
          <w:highlight w:val="none"/>
          <w:lang w:bidi="ar"/>
        </w:rPr>
        <w:t>（15）广州市人民政府令[2017]148号文《广州市建筑玻璃幕墙管理办法》</w:t>
      </w:r>
    </w:p>
    <w:p>
      <w:pPr>
        <w:ind w:firstLine="643" w:firstLineChars="200"/>
        <w:rPr>
          <w:rFonts w:ascii="仿宋_GB2312" w:hAnsi="仿宋_GB2312" w:eastAsia="仿宋_GB2312" w:cs="仿宋_GB2312"/>
          <w:b/>
          <w:color w:val="auto"/>
          <w:sz w:val="32"/>
          <w:szCs w:val="32"/>
          <w:highlight w:val="none"/>
          <w:lang w:bidi="ar"/>
        </w:rPr>
      </w:pPr>
      <w:r>
        <w:rPr>
          <w:rFonts w:hint="eastAsia" w:ascii="仿宋_GB2312" w:hAnsi="仿宋_GB2312" w:eastAsia="仿宋_GB2312" w:cs="仿宋_GB2312"/>
          <w:b/>
          <w:color w:val="auto"/>
          <w:sz w:val="32"/>
          <w:szCs w:val="32"/>
          <w:highlight w:val="none"/>
          <w:lang w:bidi="ar"/>
        </w:rPr>
        <w:t>3. 鉴定单元划分及现场检查数量</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根据工程的实际情况，初步确定将本工程定为1个鉴定单元。</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根据DBJ/T 15-88-2022中第3.4.1条的规定，幕墙结构和构造检查，应按每个鉴定单元各类结构构件和构造节点总数的1%进行抽样，且均不少于5个构件或5处构造部位。</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开启窗应按每个鉴定单元各形式开启窗总数的5%进行抽样，且均不少于10个。</w:t>
      </w:r>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鉴定单元划分及现场检查数量见表1。</w:t>
      </w:r>
    </w:p>
    <w:p>
      <w:pPr>
        <w:spacing w:after="120"/>
        <w:jc w:val="center"/>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表1鉴定单元划分及现场检查数量（以面板计算）</w:t>
      </w:r>
    </w:p>
    <w:tbl>
      <w:tblPr>
        <w:tblStyle w:val="23"/>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486"/>
        <w:gridCol w:w="2603"/>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7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序号</w:t>
            </w:r>
          </w:p>
        </w:tc>
        <w:tc>
          <w:tcPr>
            <w:tcW w:w="24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鉴定单元</w:t>
            </w:r>
          </w:p>
        </w:tc>
        <w:tc>
          <w:tcPr>
            <w:tcW w:w="2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检查面板数量</w:t>
            </w:r>
          </w:p>
        </w:tc>
        <w:tc>
          <w:tcPr>
            <w:tcW w:w="25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检查开启窗数量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7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w:t>
            </w:r>
          </w:p>
        </w:tc>
        <w:tc>
          <w:tcPr>
            <w:tcW w:w="24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隐框玻璃幕墙</w:t>
            </w:r>
          </w:p>
        </w:tc>
        <w:tc>
          <w:tcPr>
            <w:tcW w:w="2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5件</w:t>
            </w:r>
          </w:p>
        </w:tc>
        <w:tc>
          <w:tcPr>
            <w:tcW w:w="25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b/>
                <w:color w:val="auto"/>
                <w:sz w:val="32"/>
                <w:szCs w:val="32"/>
                <w:highlight w:val="none"/>
                <w:lang w:bidi="ar"/>
              </w:rPr>
            </w:pPr>
            <w:bookmarkStart w:id="48" w:name="_Toc40372236"/>
            <w:bookmarkStart w:id="49" w:name="_Toc32589"/>
            <w:bookmarkStart w:id="50" w:name="_Toc27792"/>
            <w:bookmarkStart w:id="51" w:name="_Toc20050"/>
            <w:bookmarkStart w:id="52" w:name="_Toc19735"/>
            <w:bookmarkStart w:id="53" w:name="_Toc2671"/>
            <w:bookmarkStart w:id="54" w:name="_Toc13637"/>
            <w:bookmarkStart w:id="55" w:name="_Toc16424"/>
            <w:bookmarkStart w:id="56" w:name="_Toc24799"/>
            <w:bookmarkStart w:id="57" w:name="_Toc26773"/>
            <w:bookmarkStart w:id="58" w:name="_Toc6937"/>
            <w:bookmarkStart w:id="59" w:name="_Toc40090466"/>
            <w:bookmarkStart w:id="60" w:name="_Toc45892240"/>
            <w:bookmarkStart w:id="61" w:name="_Toc45892242"/>
            <w:bookmarkStart w:id="62" w:name="_Toc40372242"/>
            <w:bookmarkStart w:id="63" w:name="_Toc30105"/>
            <w:bookmarkStart w:id="64" w:name="_Toc40090470"/>
            <w:r>
              <w:rPr>
                <w:rFonts w:hint="eastAsia" w:ascii="仿宋_GB2312" w:hAnsi="仿宋_GB2312" w:eastAsia="仿宋_GB2312" w:cs="仿宋_GB2312"/>
                <w:b/>
                <w:color w:val="auto"/>
                <w:sz w:val="32"/>
                <w:szCs w:val="32"/>
                <w:highlight w:val="none"/>
                <w:lang w:bidi="ar"/>
              </w:rPr>
              <w:t>备注</w:t>
            </w:r>
          </w:p>
        </w:tc>
        <w:tc>
          <w:tcPr>
            <w:tcW w:w="7644"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b/>
                <w:color w:val="auto"/>
                <w:sz w:val="32"/>
                <w:szCs w:val="32"/>
                <w:highlight w:val="none"/>
                <w:lang w:bidi="ar"/>
              </w:rPr>
            </w:pPr>
            <w:r>
              <w:rPr>
                <w:rFonts w:hint="eastAsia" w:ascii="仿宋_GB2312" w:hAnsi="仿宋_GB2312" w:eastAsia="仿宋_GB2312" w:cs="仿宋_GB2312"/>
                <w:b/>
                <w:color w:val="auto"/>
                <w:sz w:val="32"/>
                <w:szCs w:val="32"/>
                <w:highlight w:val="none"/>
                <w:lang w:bidi="ar"/>
              </w:rPr>
              <w:t>现场拆卸部分幕墙面板由鉴定单位负责恢复。</w:t>
            </w:r>
          </w:p>
        </w:tc>
      </w:tr>
    </w:tbl>
    <w:p>
      <w:pPr>
        <w:autoSpaceDE w:val="0"/>
        <w:autoSpaceDN w:val="0"/>
        <w:adjustRightInd w:val="0"/>
        <w:spacing w:before="60" w:line="360" w:lineRule="auto"/>
        <w:outlineLvl w:val="1"/>
        <w:rPr>
          <w:rFonts w:ascii="仿宋_GB2312" w:hAnsi="仿宋_GB2312" w:eastAsia="仿宋_GB2312" w:cs="仿宋_GB2312"/>
          <w:b/>
          <w:color w:val="auto"/>
          <w:sz w:val="32"/>
          <w:szCs w:val="32"/>
          <w:highlight w:val="none"/>
          <w:lang w:bidi="ar"/>
        </w:rPr>
      </w:pPr>
      <w:r>
        <w:rPr>
          <w:rFonts w:hint="eastAsia" w:ascii="仿宋_GB2312" w:hAnsi="仿宋_GB2312" w:eastAsia="仿宋_GB2312" w:cs="仿宋_GB2312"/>
          <w:b/>
          <w:color w:val="auto"/>
          <w:sz w:val="32"/>
          <w:szCs w:val="32"/>
          <w:highlight w:val="none"/>
          <w:lang w:bidi="ar"/>
        </w:rPr>
        <w:t>4. 现场检查内容</w:t>
      </w:r>
      <w:bookmarkEnd w:id="48"/>
      <w:bookmarkEnd w:id="49"/>
      <w:bookmarkEnd w:id="50"/>
      <w:bookmarkEnd w:id="51"/>
      <w:bookmarkEnd w:id="52"/>
      <w:bookmarkEnd w:id="53"/>
      <w:bookmarkEnd w:id="54"/>
      <w:bookmarkEnd w:id="55"/>
      <w:bookmarkEnd w:id="56"/>
      <w:bookmarkEnd w:id="57"/>
      <w:bookmarkEnd w:id="58"/>
      <w:bookmarkEnd w:id="59"/>
      <w:bookmarkEnd w:id="60"/>
    </w:p>
    <w:bookmarkEnd w:id="61"/>
    <w:bookmarkEnd w:id="62"/>
    <w:bookmarkEnd w:id="63"/>
    <w:bookmarkEnd w:id="64"/>
    <w:p>
      <w:pPr>
        <w:jc w:val="center"/>
        <w:rPr>
          <w:rFonts w:ascii="仿宋_GB2312" w:hAnsi="仿宋_GB2312" w:eastAsia="仿宋_GB2312" w:cs="仿宋_GB2312"/>
          <w:color w:val="auto"/>
          <w:sz w:val="32"/>
          <w:szCs w:val="32"/>
          <w:highlight w:val="none"/>
          <w:lang w:bidi="ar"/>
        </w:rPr>
      </w:pPr>
      <w:bookmarkStart w:id="65" w:name="_Toc1831"/>
      <w:bookmarkStart w:id="66" w:name="_Toc6889"/>
      <w:bookmarkStart w:id="67" w:name="_Toc3415"/>
      <w:bookmarkStart w:id="68" w:name="_Toc29911"/>
      <w:bookmarkStart w:id="69" w:name="_Toc9636"/>
      <w:bookmarkStart w:id="70" w:name="_Toc968"/>
      <w:bookmarkStart w:id="71" w:name="_Toc8706"/>
      <w:bookmarkStart w:id="72" w:name="_Toc30494"/>
      <w:bookmarkStart w:id="73" w:name="_Toc3438"/>
      <w:r>
        <w:rPr>
          <w:rFonts w:hint="eastAsia" w:ascii="仿宋_GB2312" w:hAnsi="仿宋_GB2312" w:eastAsia="仿宋_GB2312" w:cs="仿宋_GB2312"/>
          <w:color w:val="auto"/>
          <w:sz w:val="32"/>
          <w:szCs w:val="32"/>
          <w:highlight w:val="none"/>
          <w:lang w:bidi="ar"/>
        </w:rPr>
        <w:t>表</w:t>
      </w:r>
      <w:bookmarkStart w:id="74" w:name="_Toc528672488"/>
      <w:bookmarkStart w:id="75" w:name="_Toc6263"/>
      <w:bookmarkStart w:id="76" w:name="_Toc51164803"/>
      <w:bookmarkStart w:id="77" w:name="_Toc534624642"/>
      <w:bookmarkStart w:id="78" w:name="_Toc23576"/>
      <w:bookmarkStart w:id="79" w:name="_Toc508098858"/>
      <w:bookmarkStart w:id="80" w:name="_Toc14244932"/>
      <w:bookmarkStart w:id="81" w:name="_Toc12746205"/>
      <w:bookmarkStart w:id="82" w:name="_Toc528672579"/>
      <w:bookmarkStart w:id="83" w:name="_Toc27100"/>
      <w:bookmarkStart w:id="84" w:name="_Toc517641646"/>
      <w:r>
        <w:rPr>
          <w:rFonts w:hint="eastAsia" w:ascii="仿宋_GB2312" w:hAnsi="仿宋_GB2312" w:eastAsia="仿宋_GB2312" w:cs="仿宋_GB2312"/>
          <w:color w:val="auto"/>
          <w:sz w:val="32"/>
          <w:szCs w:val="32"/>
          <w:highlight w:val="none"/>
          <w:lang w:bidi="ar"/>
        </w:rPr>
        <w:t>2隐框玻璃幕墙检查内容</w:t>
      </w:r>
    </w:p>
    <w:tbl>
      <w:tblPr>
        <w:tblStyle w:val="23"/>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067"/>
        <w:gridCol w:w="1609"/>
        <w:gridCol w:w="2314"/>
        <w:gridCol w:w="3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序号</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检查内容</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检查项目</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检查手段、仪器</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1</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幕墙材料检查</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立柱、横梁的规格及外观质量</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钢卷尺、游标卡尺、工业内窥镜观察（技术分析）</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测量立柱、横梁的规格、壁厚，检查立柱、横梁的锈蚀情况。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2</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cs="仿宋_GB2312" w:asciiTheme="minorEastAsia" w:hAnsiTheme="minorEastAsia"/>
                <w:color w:val="auto"/>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玻璃面板的外观质量、规格</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超声波测厚仪、观察（技术分析）</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测量玻璃面板的规格、厚度，检查玻璃面板的外观质量。检查中空玻璃结构胶是否有开裂、起泡、粉化、脱胶、变色、褪色和化学析出物等现象。鉴别中空玻璃结构胶是否为聚硫胶。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3</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cs="仿宋_GB2312" w:asciiTheme="minorEastAsia" w:hAnsiTheme="minorEastAsia"/>
                <w:color w:val="auto"/>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玻璃面板的表面应力</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玻璃表面应力仪</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检测玻璃面板表面应力，以确定玻璃的钢化状态及表面应力差是否符合要求。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4</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cs="仿宋_GB2312" w:asciiTheme="minorEastAsia" w:hAnsiTheme="minorEastAsia"/>
                <w:color w:val="auto"/>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玻璃面板与附框间结构胶的粘结质量</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粘结强度检测仪、手拉试验</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检查结构密封胶与基材是否粘接良好，同时检查胶体有无失去弹性的硬化现象。检查结构胶的拉伸粘结强度是否符合标准要求。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5</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cs="仿宋_GB2312" w:asciiTheme="minorEastAsia" w:hAnsiTheme="minorEastAsia"/>
                <w:color w:val="auto"/>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耐候胶的外观质量</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观察（技术分析）</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检查耐候胶是否有开裂、起泡、软化发粘、粉化、脱胶、变色、褪色和化学析出物。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6</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幕墙构造检查</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立柱、横梁连接情况</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工业内窥镜观察（技术分析）、钢卷尺、游标卡尺</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检查支承构件之间的连接方式和连接情况，检查连接处的锈蚀情况。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7</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与主体结构连接情况</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工业内窥镜观察（技术分析）、钢卷尺、游标卡尺</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检查幕墙与建筑主体结构连接处的连接件、绝缘片、紧固件的规格、数量，检查连接件的构造及安装情况。检查预埋件、连接件表面防腐层的情况。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8</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与主体结构连接抗拔力（如有必要）</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锚杆拉力计、百分表、千斤顶</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如检查发现幕墙与主体结构连接情况不符合设计或标准要求，则对与主体结构连接进行现场抗拔力试验，以检验其承载能力。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9</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防火构造情况</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钢卷尺、工业内窥镜观察（技术分析）</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检查防火构造形式、材料、规格、质量状态、施工质量。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10</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玻璃面板的安装情况</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钢卷尺、游标卡尺</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检查玻璃面板的安装固定方式及固定状况。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13</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开启窗情况</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塞尺、游标卡尺</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测量开启窗规格、开启距离。检查开启窗安装固定情况、关闭后的密封情况。检查锁点与锁座是否配合严密。</w:t>
            </w:r>
          </w:p>
          <w:p>
            <w:pPr>
              <w:spacing w:line="400" w:lineRule="exact"/>
              <w:rPr>
                <w:rFonts w:cs="仿宋_GB2312" w:asciiTheme="minorEastAsia" w:hAnsiTheme="minorEastAsia"/>
                <w:color w:val="auto"/>
                <w:sz w:val="28"/>
                <w:szCs w:val="28"/>
                <w:highlight w:val="none"/>
                <w:lang w:bidi="ar"/>
              </w:rPr>
            </w:pPr>
            <w:r>
              <w:rPr>
                <w:rFonts w:hint="eastAsia" w:cs="仿宋_GB2312" w:asciiTheme="minorEastAsia" w:hAnsiTheme="minorEastAsia"/>
                <w:color w:val="auto"/>
                <w:sz w:val="28"/>
                <w:szCs w:val="28"/>
                <w:highlight w:val="none"/>
                <w:lang w:bidi="ar"/>
              </w:rPr>
              <w:t>检查开启窗结构胶是否有开裂、起泡、粉化、脱胶、变色、褪色和化学析出物等现象。鉴别中空玻璃结构胶是否为聚硫胶。</w:t>
            </w:r>
          </w:p>
        </w:tc>
      </w:tr>
      <w:bookmarkEnd w:id="74"/>
      <w:bookmarkEnd w:id="75"/>
      <w:bookmarkEnd w:id="76"/>
      <w:bookmarkEnd w:id="77"/>
      <w:bookmarkEnd w:id="78"/>
      <w:bookmarkEnd w:id="79"/>
      <w:bookmarkEnd w:id="80"/>
      <w:bookmarkEnd w:id="81"/>
      <w:bookmarkEnd w:id="82"/>
      <w:bookmarkEnd w:id="83"/>
      <w:bookmarkEnd w:id="84"/>
    </w:tbl>
    <w:p>
      <w:pPr>
        <w:ind w:firstLine="643" w:firstLineChars="200"/>
        <w:rPr>
          <w:rFonts w:ascii="仿宋_GB2312" w:hAnsi="仿宋_GB2312" w:eastAsia="仿宋_GB2312" w:cs="仿宋_GB2312"/>
          <w:b/>
          <w:color w:val="auto"/>
          <w:sz w:val="32"/>
          <w:szCs w:val="32"/>
          <w:highlight w:val="none"/>
          <w:lang w:bidi="ar"/>
        </w:rPr>
      </w:pPr>
      <w:r>
        <w:rPr>
          <w:rFonts w:hint="eastAsia" w:ascii="仿宋_GB2312" w:hAnsi="仿宋_GB2312" w:eastAsia="仿宋_GB2312" w:cs="仿宋_GB2312"/>
          <w:b/>
          <w:color w:val="auto"/>
          <w:sz w:val="32"/>
          <w:szCs w:val="32"/>
          <w:highlight w:val="none"/>
          <w:lang w:bidi="ar"/>
        </w:rPr>
        <w:t>5. 施工情况与图纸校核</w:t>
      </w:r>
      <w:bookmarkEnd w:id="65"/>
      <w:bookmarkEnd w:id="66"/>
      <w:bookmarkEnd w:id="67"/>
      <w:bookmarkEnd w:id="68"/>
      <w:bookmarkEnd w:id="69"/>
      <w:bookmarkEnd w:id="70"/>
      <w:bookmarkEnd w:id="71"/>
      <w:bookmarkEnd w:id="72"/>
      <w:bookmarkEnd w:id="73"/>
    </w:p>
    <w:p>
      <w:pPr>
        <w:ind w:firstLine="640" w:firstLineChars="200"/>
        <w:rPr>
          <w:rFonts w:ascii="仿宋_GB2312" w:hAnsi="仿宋_GB2312" w:eastAsia="仿宋_GB2312" w:cs="仿宋_GB2312"/>
          <w:color w:val="auto"/>
          <w:sz w:val="32"/>
          <w:szCs w:val="32"/>
          <w:highlight w:val="none"/>
          <w:lang w:bidi="ar"/>
        </w:rPr>
      </w:pPr>
      <w:bookmarkStart w:id="85" w:name="_Toc10151"/>
      <w:bookmarkStart w:id="86" w:name="_Toc4449"/>
      <w:bookmarkStart w:id="87" w:name="_Toc40372243"/>
      <w:bookmarkStart w:id="88" w:name="_Toc45892243"/>
      <w:bookmarkStart w:id="89" w:name="_Toc40090471"/>
      <w:r>
        <w:rPr>
          <w:rFonts w:hint="eastAsia" w:ascii="仿宋_GB2312" w:hAnsi="仿宋_GB2312" w:eastAsia="仿宋_GB2312" w:cs="仿宋_GB2312"/>
          <w:color w:val="auto"/>
          <w:sz w:val="32"/>
          <w:szCs w:val="32"/>
          <w:highlight w:val="none"/>
          <w:lang w:bidi="ar"/>
        </w:rPr>
        <w:t>核对隐框玻璃幕墙所检查位置的幕墙安装情况是否符合设计要求和现行标准要求。</w:t>
      </w:r>
    </w:p>
    <w:p>
      <w:pPr>
        <w:ind w:firstLine="643" w:firstLineChars="200"/>
        <w:rPr>
          <w:rFonts w:ascii="仿宋_GB2312" w:hAnsi="仿宋_GB2312" w:eastAsia="仿宋_GB2312" w:cs="仿宋_GB2312"/>
          <w:b/>
          <w:color w:val="auto"/>
          <w:sz w:val="32"/>
          <w:szCs w:val="32"/>
          <w:highlight w:val="none"/>
          <w:lang w:bidi="ar"/>
        </w:rPr>
      </w:pPr>
      <w:bookmarkStart w:id="90" w:name="_Toc12983"/>
      <w:bookmarkStart w:id="91" w:name="_Toc18379"/>
      <w:bookmarkStart w:id="92" w:name="_Toc16703"/>
      <w:bookmarkStart w:id="93" w:name="_Toc18620"/>
      <w:bookmarkStart w:id="94" w:name="_Toc9761"/>
      <w:bookmarkStart w:id="95" w:name="_Toc11077"/>
      <w:bookmarkStart w:id="96" w:name="_Toc7633"/>
      <w:bookmarkStart w:id="97" w:name="_Toc26029"/>
      <w:r>
        <w:rPr>
          <w:rFonts w:hint="eastAsia" w:ascii="仿宋_GB2312" w:hAnsi="仿宋_GB2312" w:eastAsia="仿宋_GB2312" w:cs="仿宋_GB2312"/>
          <w:b/>
          <w:color w:val="auto"/>
          <w:sz w:val="32"/>
          <w:szCs w:val="32"/>
          <w:highlight w:val="none"/>
          <w:lang w:bidi="ar"/>
        </w:rPr>
        <w:t>6. 分析计算</w:t>
      </w:r>
      <w:bookmarkEnd w:id="85"/>
      <w:bookmarkEnd w:id="86"/>
      <w:bookmarkEnd w:id="87"/>
      <w:bookmarkEnd w:id="88"/>
      <w:bookmarkEnd w:id="89"/>
      <w:bookmarkEnd w:id="90"/>
      <w:bookmarkEnd w:id="91"/>
      <w:bookmarkEnd w:id="92"/>
      <w:bookmarkEnd w:id="93"/>
      <w:bookmarkEnd w:id="94"/>
      <w:bookmarkEnd w:id="95"/>
      <w:bookmarkEnd w:id="96"/>
      <w:bookmarkEnd w:id="97"/>
    </w:p>
    <w:p>
      <w:pPr>
        <w:ind w:firstLine="640" w:firstLineChars="200"/>
        <w:rPr>
          <w:rFonts w:ascii="仿宋_GB2312" w:hAnsi="仿宋_GB2312" w:eastAsia="仿宋_GB2312" w:cs="仿宋_GB2312"/>
          <w:color w:val="auto"/>
          <w:sz w:val="32"/>
          <w:szCs w:val="32"/>
          <w:highlight w:val="none"/>
          <w:lang w:bidi="ar"/>
        </w:rPr>
      </w:pPr>
      <w:bookmarkStart w:id="98" w:name="_Toc45892244"/>
      <w:bookmarkStart w:id="99" w:name="_Toc30016"/>
      <w:bookmarkStart w:id="100" w:name="_Toc40090472"/>
      <w:bookmarkStart w:id="101" w:name="_Toc19408"/>
      <w:bookmarkStart w:id="102" w:name="_Toc40372244"/>
      <w:r>
        <w:rPr>
          <w:rFonts w:hint="eastAsia" w:ascii="仿宋_GB2312" w:hAnsi="仿宋_GB2312" w:eastAsia="仿宋_GB2312" w:cs="仿宋_GB2312"/>
          <w:color w:val="auto"/>
          <w:sz w:val="32"/>
          <w:szCs w:val="32"/>
          <w:highlight w:val="none"/>
          <w:lang w:bidi="ar"/>
        </w:rPr>
        <w:t>对隐框玻璃幕墙进行结构体系受力分析，验算幕墙立柱、横梁、支座、玻璃面板及其连接构造、结构胶等的承载能力。</w:t>
      </w:r>
    </w:p>
    <w:p>
      <w:pPr>
        <w:ind w:firstLine="643" w:firstLineChars="200"/>
        <w:rPr>
          <w:rFonts w:ascii="仿宋_GB2312" w:hAnsi="仿宋_GB2312" w:eastAsia="仿宋_GB2312" w:cs="仿宋_GB2312"/>
          <w:b/>
          <w:color w:val="auto"/>
          <w:sz w:val="32"/>
          <w:szCs w:val="32"/>
          <w:highlight w:val="none"/>
          <w:lang w:bidi="ar"/>
        </w:rPr>
      </w:pPr>
      <w:bookmarkStart w:id="103" w:name="_Toc9399"/>
      <w:bookmarkStart w:id="104" w:name="_Toc14095"/>
      <w:bookmarkStart w:id="105" w:name="_Toc6376"/>
      <w:bookmarkStart w:id="106" w:name="_Toc10559"/>
      <w:bookmarkStart w:id="107" w:name="_Toc16930"/>
      <w:bookmarkStart w:id="108" w:name="_Toc22559"/>
      <w:bookmarkStart w:id="109" w:name="_Toc4525"/>
      <w:bookmarkStart w:id="110" w:name="_Toc24926"/>
      <w:r>
        <w:rPr>
          <w:rFonts w:hint="eastAsia" w:ascii="仿宋_GB2312" w:hAnsi="仿宋_GB2312" w:eastAsia="仿宋_GB2312" w:cs="仿宋_GB2312"/>
          <w:b/>
          <w:color w:val="auto"/>
          <w:sz w:val="32"/>
          <w:szCs w:val="32"/>
          <w:highlight w:val="none"/>
          <w:lang w:bidi="ar"/>
        </w:rPr>
        <w:t>7. 评估定级</w:t>
      </w:r>
      <w:bookmarkEnd w:id="98"/>
      <w:bookmarkEnd w:id="99"/>
      <w:bookmarkEnd w:id="100"/>
      <w:bookmarkEnd w:id="101"/>
      <w:bookmarkEnd w:id="102"/>
      <w:bookmarkEnd w:id="103"/>
      <w:bookmarkEnd w:id="104"/>
      <w:bookmarkEnd w:id="105"/>
      <w:bookmarkEnd w:id="106"/>
      <w:bookmarkEnd w:id="107"/>
      <w:bookmarkEnd w:id="108"/>
      <w:bookmarkEnd w:id="109"/>
      <w:bookmarkEnd w:id="110"/>
      <w:bookmarkStart w:id="111" w:name="_Toc45892245"/>
      <w:bookmarkStart w:id="112" w:name="_Toc22362"/>
      <w:bookmarkStart w:id="113" w:name="_Toc40372245"/>
      <w:bookmarkStart w:id="114" w:name="_Toc40090473"/>
      <w:bookmarkStart w:id="115" w:name="_Toc16284"/>
    </w:p>
    <w:p>
      <w:pPr>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（1）隐框玻璃幕墙</w:t>
      </w:r>
    </w:p>
    <w:p>
      <w:pPr>
        <w:ind w:firstLine="640" w:firstLineChars="200"/>
        <w:rPr>
          <w:rFonts w:ascii="仿宋_GB2312" w:hAnsi="仿宋_GB2312" w:eastAsia="仿宋_GB2312" w:cs="仿宋_GB2312"/>
          <w:color w:val="auto"/>
          <w:sz w:val="32"/>
          <w:szCs w:val="32"/>
          <w:highlight w:val="none"/>
          <w:lang w:bidi="ar"/>
        </w:rPr>
      </w:pPr>
      <w:bookmarkStart w:id="116" w:name="_Toc7686"/>
      <w:bookmarkStart w:id="117" w:name="_Toc114473695"/>
      <w:bookmarkStart w:id="118" w:name="_Toc9042"/>
      <w:bookmarkStart w:id="119" w:name="_Toc16790"/>
      <w:bookmarkStart w:id="120" w:name="_Toc10285"/>
      <w:bookmarkStart w:id="121" w:name="_Toc20528"/>
      <w:bookmarkStart w:id="122" w:name="_Toc25373"/>
      <w:bookmarkStart w:id="123" w:name="_Toc28972"/>
      <w:bookmarkStart w:id="124" w:name="_Toc25817"/>
      <w:r>
        <w:rPr>
          <w:rFonts w:hint="eastAsia" w:ascii="仿宋_GB2312" w:hAnsi="仿宋_GB2312" w:eastAsia="仿宋_GB2312" w:cs="仿宋_GB2312"/>
          <w:color w:val="auto"/>
          <w:sz w:val="32"/>
          <w:szCs w:val="32"/>
          <w:highlight w:val="none"/>
          <w:lang w:bidi="ar"/>
        </w:rPr>
        <w:t>1）对隐框玻璃幕墙的材料检查结果进行分类汇总、专项分析。</w:t>
      </w:r>
      <w:bookmarkEnd w:id="116"/>
      <w:bookmarkEnd w:id="117"/>
      <w:bookmarkEnd w:id="118"/>
      <w:bookmarkEnd w:id="119"/>
      <w:bookmarkEnd w:id="120"/>
      <w:bookmarkEnd w:id="121"/>
      <w:bookmarkEnd w:id="122"/>
      <w:bookmarkEnd w:id="123"/>
      <w:bookmarkEnd w:id="124"/>
    </w:p>
    <w:p>
      <w:pPr>
        <w:ind w:firstLine="640" w:firstLineChars="200"/>
        <w:rPr>
          <w:rFonts w:ascii="仿宋_GB2312" w:hAnsi="仿宋_GB2312" w:eastAsia="仿宋_GB2312" w:cs="仿宋_GB2312"/>
          <w:color w:val="auto"/>
          <w:sz w:val="32"/>
          <w:szCs w:val="32"/>
          <w:highlight w:val="none"/>
          <w:lang w:bidi="ar"/>
        </w:rPr>
      </w:pPr>
      <w:bookmarkStart w:id="125" w:name="_Toc14944"/>
      <w:bookmarkStart w:id="126" w:name="_Toc26724"/>
      <w:bookmarkStart w:id="127" w:name="_Toc498"/>
      <w:bookmarkStart w:id="128" w:name="_Toc30540"/>
      <w:bookmarkStart w:id="129" w:name="_Toc27846"/>
      <w:bookmarkStart w:id="130" w:name="_Toc114473696"/>
      <w:bookmarkStart w:id="131" w:name="_Toc19228"/>
      <w:bookmarkStart w:id="132" w:name="_Toc28576"/>
      <w:bookmarkStart w:id="133" w:name="_Toc27657"/>
      <w:r>
        <w:rPr>
          <w:rFonts w:hint="eastAsia" w:ascii="仿宋_GB2312" w:hAnsi="仿宋_GB2312" w:eastAsia="仿宋_GB2312" w:cs="仿宋_GB2312"/>
          <w:color w:val="auto"/>
          <w:sz w:val="32"/>
          <w:szCs w:val="32"/>
          <w:highlight w:val="none"/>
          <w:lang w:bidi="ar"/>
        </w:rPr>
        <w:t>2）对隐框玻璃幕墙的构造检查结果进行分类汇总、专项分析。</w:t>
      </w:r>
      <w:bookmarkEnd w:id="125"/>
      <w:bookmarkEnd w:id="126"/>
      <w:bookmarkEnd w:id="127"/>
      <w:bookmarkEnd w:id="128"/>
      <w:bookmarkEnd w:id="129"/>
      <w:bookmarkEnd w:id="130"/>
      <w:bookmarkEnd w:id="131"/>
      <w:bookmarkEnd w:id="132"/>
      <w:bookmarkEnd w:id="133"/>
    </w:p>
    <w:p>
      <w:pPr>
        <w:ind w:firstLine="640" w:firstLineChars="200"/>
        <w:rPr>
          <w:rFonts w:ascii="仿宋_GB2312" w:hAnsi="仿宋_GB2312" w:eastAsia="仿宋_GB2312" w:cs="仿宋_GB2312"/>
          <w:color w:val="auto"/>
          <w:sz w:val="32"/>
          <w:szCs w:val="32"/>
          <w:highlight w:val="none"/>
          <w:lang w:bidi="ar"/>
        </w:rPr>
      </w:pPr>
      <w:bookmarkStart w:id="134" w:name="_Toc32247"/>
      <w:bookmarkStart w:id="135" w:name="_Toc17471"/>
      <w:bookmarkStart w:id="136" w:name="_Toc30293"/>
      <w:bookmarkStart w:id="137" w:name="_Toc13709"/>
      <w:bookmarkStart w:id="138" w:name="_Toc114473697"/>
      <w:bookmarkStart w:id="139" w:name="_Toc30041"/>
      <w:bookmarkStart w:id="140" w:name="_Toc5953"/>
      <w:bookmarkStart w:id="141" w:name="_Toc23288"/>
      <w:bookmarkStart w:id="142" w:name="_Toc6674"/>
      <w:r>
        <w:rPr>
          <w:rFonts w:hint="eastAsia" w:ascii="仿宋_GB2312" w:hAnsi="仿宋_GB2312" w:eastAsia="仿宋_GB2312" w:cs="仿宋_GB2312"/>
          <w:color w:val="auto"/>
          <w:sz w:val="32"/>
          <w:szCs w:val="32"/>
          <w:highlight w:val="none"/>
          <w:lang w:bidi="ar"/>
        </w:rPr>
        <w:t>3）对隐框玻璃幕墙的结构验算数据资料进行全面分析。</w:t>
      </w:r>
      <w:bookmarkEnd w:id="134"/>
      <w:bookmarkEnd w:id="135"/>
      <w:bookmarkEnd w:id="136"/>
      <w:bookmarkEnd w:id="137"/>
      <w:bookmarkEnd w:id="138"/>
      <w:bookmarkEnd w:id="139"/>
      <w:bookmarkEnd w:id="140"/>
      <w:bookmarkEnd w:id="141"/>
      <w:bookmarkEnd w:id="142"/>
    </w:p>
    <w:p>
      <w:pPr>
        <w:ind w:firstLine="640" w:firstLineChars="200"/>
        <w:rPr>
          <w:rFonts w:ascii="仿宋_GB2312" w:hAnsi="仿宋_GB2312" w:eastAsia="仿宋_GB2312" w:cs="仿宋_GB2312"/>
          <w:color w:val="auto"/>
          <w:sz w:val="32"/>
          <w:szCs w:val="32"/>
          <w:highlight w:val="none"/>
          <w:lang w:bidi="ar"/>
        </w:rPr>
      </w:pPr>
      <w:bookmarkStart w:id="143" w:name="_Toc8166"/>
      <w:bookmarkStart w:id="144" w:name="_Toc17762"/>
      <w:bookmarkStart w:id="145" w:name="_Toc5064"/>
      <w:bookmarkStart w:id="146" w:name="_Toc2858"/>
      <w:bookmarkStart w:id="147" w:name="_Toc114473698"/>
      <w:bookmarkStart w:id="148" w:name="_Toc30928"/>
      <w:bookmarkStart w:id="149" w:name="_Toc8660"/>
      <w:bookmarkStart w:id="150" w:name="_Toc9743"/>
      <w:bookmarkStart w:id="151" w:name="_Toc13416"/>
      <w:r>
        <w:rPr>
          <w:rFonts w:hint="eastAsia" w:ascii="仿宋_GB2312" w:hAnsi="仿宋_GB2312" w:eastAsia="仿宋_GB2312" w:cs="仿宋_GB2312"/>
          <w:color w:val="auto"/>
          <w:sz w:val="32"/>
          <w:szCs w:val="32"/>
          <w:highlight w:val="none"/>
          <w:lang w:bidi="ar"/>
        </w:rPr>
        <w:t>4）对隐框玻璃幕墙进行综合评估，确定幕墙安全性鉴定等级。</w:t>
      </w:r>
      <w:bookmarkEnd w:id="143"/>
      <w:bookmarkEnd w:id="144"/>
      <w:bookmarkEnd w:id="145"/>
      <w:bookmarkEnd w:id="146"/>
      <w:bookmarkEnd w:id="147"/>
      <w:bookmarkEnd w:id="148"/>
      <w:bookmarkEnd w:id="149"/>
      <w:bookmarkEnd w:id="150"/>
      <w:bookmarkEnd w:id="151"/>
    </w:p>
    <w:p>
      <w:pPr>
        <w:ind w:firstLine="643" w:firstLineChars="200"/>
        <w:rPr>
          <w:rFonts w:ascii="仿宋_GB2312" w:hAnsi="仿宋_GB2312" w:eastAsia="仿宋_GB2312" w:cs="仿宋_GB2312"/>
          <w:b/>
          <w:color w:val="auto"/>
          <w:sz w:val="32"/>
          <w:szCs w:val="32"/>
          <w:highlight w:val="none"/>
          <w:lang w:bidi="ar"/>
        </w:rPr>
      </w:pPr>
      <w:bookmarkStart w:id="152" w:name="_Toc8507"/>
      <w:bookmarkStart w:id="153" w:name="_Toc1190"/>
      <w:bookmarkStart w:id="154" w:name="_Toc27416"/>
      <w:bookmarkStart w:id="155" w:name="_Toc15852"/>
      <w:bookmarkStart w:id="156" w:name="_Toc21876"/>
      <w:bookmarkStart w:id="157" w:name="_Toc25996"/>
      <w:bookmarkStart w:id="158" w:name="_Toc15974"/>
      <w:bookmarkStart w:id="159" w:name="_Toc22857"/>
      <w:r>
        <w:rPr>
          <w:rFonts w:hint="eastAsia" w:ascii="仿宋_GB2312" w:hAnsi="仿宋_GB2312" w:eastAsia="仿宋_GB2312" w:cs="仿宋_GB2312"/>
          <w:b/>
          <w:color w:val="auto"/>
          <w:sz w:val="32"/>
          <w:szCs w:val="32"/>
          <w:highlight w:val="none"/>
          <w:lang w:bidi="ar"/>
        </w:rPr>
        <w:t>8. 鉴定报告</w:t>
      </w:r>
      <w:bookmarkEnd w:id="111"/>
      <w:bookmarkEnd w:id="112"/>
      <w:bookmarkEnd w:id="113"/>
      <w:bookmarkEnd w:id="114"/>
      <w:bookmarkEnd w:id="115"/>
      <w:bookmarkEnd w:id="152"/>
      <w:bookmarkEnd w:id="153"/>
      <w:bookmarkEnd w:id="154"/>
      <w:bookmarkEnd w:id="155"/>
      <w:bookmarkEnd w:id="156"/>
      <w:bookmarkEnd w:id="157"/>
      <w:bookmarkEnd w:id="158"/>
      <w:bookmarkEnd w:id="159"/>
    </w:p>
    <w:p>
      <w:pPr>
        <w:ind w:firstLine="64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32"/>
          <w:szCs w:val="32"/>
          <w:highlight w:val="none"/>
          <w:lang w:bidi="ar"/>
        </w:rPr>
        <w:t>检查、分析、鉴定工作完成后，提供建筑幕墙的安全性鉴定报告。报告包括建筑物和建筑幕墙概况，鉴定的目的、范围和内容，鉴定依据，鉴定方案，检查、分析、鉴定的结果，对幕墙安全性进行评级并给出相应的结论，指出幕墙存在的主要问题及提出相应的处理建议。</w:t>
      </w:r>
    </w:p>
    <w:p>
      <w:pPr>
        <w:pStyle w:val="13"/>
        <w:adjustRightInd w:val="0"/>
        <w:snapToGrid w:val="0"/>
        <w:spacing w:line="520" w:lineRule="exact"/>
        <w:ind w:firstLine="643" w:firstLineChars="200"/>
        <w:rPr>
          <w:rFonts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rPr>
        <w:t>9.</w:t>
      </w:r>
      <w:r>
        <w:rPr>
          <w:rFonts w:hint="eastAsia" w:ascii="仿宋_GB2312" w:hAnsi="仿宋_GB2312" w:eastAsia="仿宋_GB2312" w:cs="仿宋_GB2312"/>
          <w:b/>
          <w:color w:val="auto"/>
          <w:sz w:val="32"/>
          <w:szCs w:val="32"/>
          <w:highlight w:val="none"/>
          <w:lang w:val="zh-CN"/>
        </w:rPr>
        <w:t>项目商务要求</w:t>
      </w:r>
    </w:p>
    <w:p>
      <w:pPr>
        <w:spacing w:line="520" w:lineRule="exact"/>
        <w:ind w:firstLine="640" w:firstLineChars="200"/>
        <w:rPr>
          <w:rFonts w:ascii="仿宋_GB2312" w:hAnsi="仿宋_GB2312" w:eastAsia="仿宋_GB2312" w:cs="仿宋_GB2312"/>
          <w:bCs/>
          <w:color w:val="auto"/>
          <w:sz w:val="32"/>
          <w:szCs w:val="32"/>
          <w:highlight w:val="none"/>
          <w:lang w:val="zh-CN"/>
        </w:rPr>
      </w:pPr>
      <w:r>
        <w:rPr>
          <w:rFonts w:hint="eastAsia" w:ascii="仿宋_GB2312" w:hAnsi="仿宋_GB2312" w:eastAsia="仿宋_GB2312" w:cs="仿宋_GB2312"/>
          <w:color w:val="auto"/>
          <w:sz w:val="32"/>
          <w:szCs w:val="32"/>
          <w:highlight w:val="none"/>
        </w:rPr>
        <w:t>1.服务期：3</w:t>
      </w:r>
      <w:r>
        <w:rPr>
          <w:rFonts w:hint="eastAsia" w:ascii="仿宋_GB2312" w:hAnsi="仿宋_GB2312" w:eastAsia="仿宋_GB2312" w:cs="仿宋_GB2312"/>
          <w:bCs/>
          <w:color w:val="auto"/>
          <w:sz w:val="32"/>
          <w:szCs w:val="32"/>
          <w:highlight w:val="none"/>
        </w:rPr>
        <w:t>0天。</w:t>
      </w:r>
      <w:r>
        <w:rPr>
          <w:rFonts w:hint="eastAsia" w:ascii="仿宋_GB2312" w:hAnsi="仿宋_GB2312" w:eastAsia="仿宋_GB2312" w:cs="仿宋_GB2312"/>
          <w:bCs/>
          <w:color w:val="auto"/>
          <w:sz w:val="32"/>
          <w:szCs w:val="32"/>
          <w:highlight w:val="none"/>
          <w:lang w:val="zh-CN"/>
        </w:rPr>
        <w:t>具体日期以甲方（业主）发出的开工令为准。</w:t>
      </w:r>
    </w:p>
    <w:p>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2.安全文明施工要求：</w:t>
      </w:r>
    </w:p>
    <w:p>
      <w:pPr>
        <w:autoSpaceDE w:val="0"/>
        <w:autoSpaceDN w:val="0"/>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在鉴定进行中，承包单位要注意保护场内的各种管线和设施。若有任何损坏，须立即通知有关部门和发包人，并由损坏单位承担损失和修复费用。</w:t>
      </w:r>
    </w:p>
    <w:p>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3.总包及分包规定：</w:t>
      </w:r>
    </w:p>
    <w:p>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承包单位不许转包，不许擅自分包,</w:t>
      </w: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color w:val="auto"/>
          <w:sz w:val="32"/>
          <w:szCs w:val="32"/>
          <w:highlight w:val="none"/>
        </w:rPr>
        <w:t>否则，发包人有权单方面终止合同，并令其立即退场，由此而造成的经济损失由承包单位负责赔偿。</w:t>
      </w:r>
    </w:p>
    <w:p>
      <w:pPr>
        <w:spacing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4.付款方式：银行汇票形式。</w:t>
      </w:r>
    </w:p>
    <w:p>
      <w:pPr>
        <w:spacing w:line="520" w:lineRule="exact"/>
        <w:ind w:firstLine="640" w:firstLineChars="200"/>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5.承包方式：</w:t>
      </w:r>
      <w:r>
        <w:rPr>
          <w:rFonts w:hint="eastAsia" w:ascii="仿宋_GB2312" w:hAnsi="仿宋_GB2312" w:eastAsia="仿宋_GB2312" w:cs="仿宋_GB2312"/>
          <w:color w:val="auto"/>
          <w:sz w:val="32"/>
          <w:szCs w:val="32"/>
          <w:highlight w:val="none"/>
          <w:lang w:val="zh-CN"/>
        </w:rPr>
        <w:t>单价包干。</w:t>
      </w:r>
    </w:p>
    <w:p>
      <w:pPr>
        <w:rPr>
          <w:color w:val="auto"/>
          <w:highlight w:val="none"/>
        </w:rPr>
      </w:pPr>
      <w:r>
        <w:rPr>
          <w:color w:val="auto"/>
          <w:highlight w:val="none"/>
        </w:rPr>
        <w:br w:type="page"/>
      </w:r>
    </w:p>
    <w:p>
      <w:pPr>
        <w:pStyle w:val="2"/>
        <w:rPr>
          <w:color w:val="auto"/>
          <w:highlight w:val="none"/>
        </w:rPr>
      </w:pPr>
    </w:p>
    <w:p>
      <w:pPr>
        <w:pStyle w:val="2"/>
        <w:rPr>
          <w:color w:val="auto"/>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第六章</w:t>
      </w:r>
    </w:p>
    <w:p>
      <w:pPr>
        <w:spacing w:line="360" w:lineRule="auto"/>
        <w:jc w:val="left"/>
        <w:rPr>
          <w:rFonts w:ascii="仿宋_GB2312" w:eastAsia="仿宋" w:hAnsiTheme="minorEastAsia"/>
          <w:color w:val="auto"/>
          <w:sz w:val="28"/>
          <w:szCs w:val="28"/>
          <w:highlight w:val="none"/>
        </w:rPr>
      </w:pPr>
    </w:p>
    <w:p>
      <w:pPr>
        <w:pStyle w:val="3"/>
        <w:rPr>
          <w:rFonts w:eastAsia="仿宋"/>
          <w:color w:val="auto"/>
          <w:highlight w:val="none"/>
        </w:rPr>
      </w:pPr>
      <w:bookmarkStart w:id="160" w:name="_Toc19088"/>
      <w:bookmarkStart w:id="161" w:name="_Toc12980"/>
      <w:bookmarkStart w:id="162" w:name="_Toc19686"/>
      <w:bookmarkStart w:id="163" w:name="_Toc22797"/>
      <w:bookmarkStart w:id="164" w:name="_Toc13309"/>
      <w:bookmarkStart w:id="165" w:name="_Toc22501"/>
      <w:bookmarkStart w:id="166" w:name="_Toc323"/>
      <w:bookmarkStart w:id="167" w:name="_Toc87616386"/>
      <w:bookmarkStart w:id="168" w:name="_Toc8183"/>
      <w:bookmarkStart w:id="169" w:name="_Toc88209949"/>
      <w:bookmarkStart w:id="170" w:name="_Toc12968"/>
      <w:bookmarkStart w:id="171" w:name="_Toc1375"/>
      <w:bookmarkStart w:id="172" w:name="_Toc12721"/>
      <w:r>
        <w:rPr>
          <w:rFonts w:hint="eastAsia" w:eastAsia="仿宋"/>
          <w:color w:val="auto"/>
          <w:highlight w:val="none"/>
        </w:rPr>
        <w:t>合同</w:t>
      </w:r>
      <w:bookmarkEnd w:id="160"/>
      <w:bookmarkEnd w:id="161"/>
      <w:bookmarkEnd w:id="162"/>
      <w:bookmarkEnd w:id="163"/>
      <w:bookmarkEnd w:id="164"/>
      <w:bookmarkEnd w:id="165"/>
      <w:bookmarkEnd w:id="166"/>
      <w:bookmarkEnd w:id="167"/>
      <w:bookmarkEnd w:id="168"/>
      <w:bookmarkEnd w:id="169"/>
      <w:bookmarkEnd w:id="170"/>
      <w:bookmarkEnd w:id="171"/>
      <w:bookmarkEnd w:id="172"/>
    </w:p>
    <w:p>
      <w:pPr>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广州市净水有限公司玻璃幕墙</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安全检测项目合同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项目名称: 广州市净水有限公司玻璃幕墙安全检测项目</w:t>
      </w:r>
    </w:p>
    <w:p>
      <w:pPr>
        <w:pStyle w:val="29"/>
        <w:spacing w:line="360" w:lineRule="auto"/>
        <w:rPr>
          <w:color w:val="auto"/>
          <w:highlight w:val="none"/>
        </w:rPr>
      </w:pP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项目编号：</w:t>
      </w:r>
      <w:bookmarkStart w:id="173" w:name="合同"/>
      <w:bookmarkEnd w:id="173"/>
    </w:p>
    <w:p>
      <w:pPr>
        <w:pStyle w:val="2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pStyle w:val="6"/>
        <w:ind w:left="420"/>
        <w:rPr>
          <w:rFonts w:ascii="宋体" w:hAnsi="宋体" w:cs="宋体"/>
          <w:b/>
          <w:color w:val="auto"/>
          <w:sz w:val="30"/>
          <w:highlight w:val="none"/>
        </w:rPr>
      </w:pPr>
    </w:p>
    <w:p>
      <w:pPr>
        <w:pStyle w:val="6"/>
        <w:ind w:left="420"/>
        <w:rPr>
          <w:rFonts w:ascii="宋体" w:hAnsi="宋体" w:cs="宋体"/>
          <w:b/>
          <w:color w:val="auto"/>
          <w:sz w:val="30"/>
          <w:highlight w:val="none"/>
        </w:rPr>
      </w:pPr>
    </w:p>
    <w:p>
      <w:pPr>
        <w:pStyle w:val="6"/>
        <w:ind w:left="420"/>
        <w:rPr>
          <w:rFonts w:ascii="宋体" w:hAnsi="宋体" w:cs="宋体"/>
          <w:b/>
          <w:color w:val="auto"/>
          <w:sz w:val="30"/>
          <w:highlight w:val="none"/>
        </w:rPr>
      </w:pPr>
    </w:p>
    <w:p>
      <w:pPr>
        <w:spacing w:after="156" w:afterLines="50" w:line="440" w:lineRule="exact"/>
        <w:ind w:firstLine="480" w:firstLineChars="200"/>
        <w:rPr>
          <w:bCs/>
          <w:color w:val="auto"/>
          <w:sz w:val="24"/>
          <w:highlight w:val="none"/>
        </w:rPr>
      </w:pPr>
      <w:r>
        <w:rPr>
          <w:rFonts w:hint="eastAsia"/>
          <w:bCs/>
          <w:color w:val="auto"/>
          <w:sz w:val="24"/>
          <w:highlight w:val="none"/>
        </w:rPr>
        <w:t>根据《中华人民共和国民法典》及其他有关法律、行政法规，</w:t>
      </w:r>
      <w:r>
        <w:rPr>
          <w:rFonts w:hint="eastAsia"/>
          <w:bCs/>
          <w:color w:val="auto"/>
          <w:sz w:val="24"/>
          <w:highlight w:val="none"/>
          <w:u w:val="single"/>
        </w:rPr>
        <w:t>广州市净水有限公司</w:t>
      </w:r>
      <w:r>
        <w:rPr>
          <w:bCs/>
          <w:color w:val="auto"/>
          <w:sz w:val="24"/>
          <w:highlight w:val="none"/>
        </w:rPr>
        <w:t xml:space="preserve"> </w:t>
      </w:r>
      <w:r>
        <w:rPr>
          <w:rFonts w:hint="eastAsia"/>
          <w:bCs/>
          <w:color w:val="auto"/>
          <w:sz w:val="24"/>
          <w:highlight w:val="none"/>
        </w:rPr>
        <w:t>（以下简称“甲方”）与</w:t>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rPr>
        <w:t>（以下简称“乙方”）就</w:t>
      </w:r>
      <w:r>
        <w:rPr>
          <w:rFonts w:hint="eastAsia"/>
          <w:bCs/>
          <w:color w:val="auto"/>
          <w:sz w:val="24"/>
          <w:highlight w:val="none"/>
          <w:u w:val="single"/>
        </w:rPr>
        <w:t>广州市净水有限公司关于开展玻璃幕墙安全检测项目</w:t>
      </w:r>
      <w:r>
        <w:rPr>
          <w:rFonts w:hint="eastAsia"/>
          <w:bCs/>
          <w:color w:val="auto"/>
          <w:sz w:val="24"/>
          <w:highlight w:val="none"/>
        </w:rPr>
        <w:t>开展相关指标检测服务工作</w:t>
      </w:r>
      <w:bookmarkStart w:id="174" w:name="_Toc518992986"/>
      <w:bookmarkStart w:id="175" w:name="_Toc520190026"/>
      <w:bookmarkStart w:id="176" w:name="_Toc183666513"/>
      <w:bookmarkStart w:id="177" w:name="_Toc1018"/>
      <w:bookmarkStart w:id="178" w:name="_Toc474245210"/>
      <w:r>
        <w:rPr>
          <w:rFonts w:hint="eastAsia"/>
          <w:bCs/>
          <w:color w:val="auto"/>
          <w:sz w:val="24"/>
          <w:highlight w:val="none"/>
        </w:rPr>
        <w:t>。为明确双方的权利和义务，依据《中华人民共和国民法典》及其他相关法律，甲乙双方经友好协商，签订本合同。</w:t>
      </w:r>
    </w:p>
    <w:p>
      <w:pPr>
        <w:spacing w:after="156" w:afterLines="50" w:line="44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第一条 组成合同的文件及优先顺序</w:t>
      </w:r>
    </w:p>
    <w:p>
      <w:pPr>
        <w:spacing w:line="360" w:lineRule="auto"/>
        <w:ind w:firstLine="480" w:firstLineChars="200"/>
        <w:rPr>
          <w:rFonts w:ascii="宋体" w:hAnsi="宋体" w:cs="宋体"/>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bookmarkEnd w:id="174"/>
    <w:bookmarkEnd w:id="175"/>
    <w:bookmarkEnd w:id="176"/>
    <w:bookmarkEnd w:id="177"/>
    <w:bookmarkEnd w:id="178"/>
    <w:p>
      <w:pPr>
        <w:spacing w:line="360" w:lineRule="auto"/>
        <w:ind w:firstLine="482"/>
        <w:rPr>
          <w:rFonts w:ascii="宋体" w:hAnsi="宋体" w:cs="宋体"/>
          <w:color w:val="auto"/>
          <w:sz w:val="24"/>
          <w:highlight w:val="none"/>
        </w:rPr>
      </w:pPr>
      <w:r>
        <w:rPr>
          <w:rFonts w:hint="eastAsia" w:ascii="宋体" w:hAnsi="宋体" w:cs="宋体"/>
          <w:color w:val="auto"/>
          <w:sz w:val="24"/>
          <w:highlight w:val="none"/>
        </w:rPr>
        <w:t>⑴</w:t>
      </w:r>
      <w:r>
        <w:rPr>
          <w:rFonts w:ascii="宋体" w:hAnsi="宋体" w:cs="宋体"/>
          <w:color w:val="auto"/>
          <w:sz w:val="24"/>
          <w:highlight w:val="none"/>
        </w:rPr>
        <w:t xml:space="preserve"> </w:t>
      </w:r>
      <w:r>
        <w:rPr>
          <w:rFonts w:hint="eastAsia" w:ascii="宋体" w:hAnsi="宋体" w:cs="宋体"/>
          <w:color w:val="auto"/>
          <w:sz w:val="24"/>
          <w:highlight w:val="none"/>
        </w:rPr>
        <w:t>在本合同实施过程双方签署的补充与修正文件；</w:t>
      </w:r>
    </w:p>
    <w:p>
      <w:pPr>
        <w:spacing w:line="360" w:lineRule="auto"/>
        <w:ind w:firstLine="482"/>
        <w:rPr>
          <w:rFonts w:ascii="宋体" w:hAnsi="宋体" w:cs="宋体"/>
          <w:color w:val="auto"/>
          <w:sz w:val="24"/>
          <w:highlight w:val="none"/>
        </w:rPr>
      </w:pPr>
      <w:r>
        <w:rPr>
          <w:rFonts w:hint="eastAsia" w:ascii="宋体" w:hAnsi="宋体" w:cs="宋体"/>
          <w:color w:val="auto"/>
          <w:sz w:val="24"/>
          <w:highlight w:val="none"/>
        </w:rPr>
        <w:t>⑵</w:t>
      </w:r>
      <w:r>
        <w:rPr>
          <w:rFonts w:ascii="宋体" w:hAnsi="宋体" w:cs="宋体"/>
          <w:color w:val="auto"/>
          <w:sz w:val="24"/>
          <w:highlight w:val="none"/>
        </w:rPr>
        <w:t xml:space="preserve"> </w:t>
      </w:r>
      <w:r>
        <w:rPr>
          <w:rFonts w:hint="eastAsia" w:ascii="宋体" w:hAnsi="宋体" w:cs="宋体"/>
          <w:color w:val="auto"/>
          <w:sz w:val="24"/>
          <w:highlight w:val="none"/>
        </w:rPr>
        <w:t>本合同书；</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⑺ </w:t>
      </w:r>
      <w:r>
        <w:rPr>
          <w:rFonts w:hint="eastAsia" w:ascii="宋体" w:hAnsi="宋体" w:cs="宋体"/>
          <w:color w:val="auto"/>
          <w:sz w:val="24"/>
          <w:highlight w:val="none"/>
        </w:rPr>
        <w:t>工程报价单</w:t>
      </w:r>
      <w:r>
        <w:rPr>
          <w:rFonts w:hint="eastAsia" w:ascii="宋体" w:hAnsi="宋体" w:cs="宋体"/>
          <w:bCs/>
          <w:color w:val="auto"/>
          <w:sz w:val="24"/>
          <w:highlight w:val="none"/>
        </w:rPr>
        <w:t>；</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⑻ 本合同其他附件；</w:t>
      </w:r>
    </w:p>
    <w:p>
      <w:pPr>
        <w:spacing w:line="360" w:lineRule="auto"/>
        <w:ind w:firstLine="482" w:firstLineChars="200"/>
        <w:rPr>
          <w:rFonts w:ascii="宋体" w:hAnsi="宋体" w:cs="宋体"/>
          <w:bCs/>
          <w:color w:val="auto"/>
          <w:sz w:val="24"/>
          <w:highlight w:val="none"/>
        </w:rPr>
      </w:pPr>
      <w:bookmarkStart w:id="179" w:name="_Toc107446842"/>
      <w:bookmarkStart w:id="180" w:name="_Toc183666514"/>
      <w:bookmarkStart w:id="181" w:name="_Toc520190027"/>
      <w:bookmarkStart w:id="182" w:name="_Toc26357"/>
      <w:bookmarkStart w:id="183" w:name="_Toc474245211"/>
      <w:bookmarkStart w:id="184" w:name="_Toc518992987"/>
      <w:bookmarkStart w:id="185" w:name="_Toc107447235"/>
      <w:r>
        <w:rPr>
          <w:rFonts w:hint="eastAsia" w:ascii="宋体" w:hAnsi="宋体" w:cs="宋体"/>
          <w:b/>
          <w:bCs/>
          <w:color w:val="auto"/>
          <w:sz w:val="24"/>
          <w:highlight w:val="none"/>
        </w:rPr>
        <w:t>第二条</w:t>
      </w:r>
      <w:r>
        <w:rPr>
          <w:rFonts w:ascii="宋体" w:hAnsi="宋体" w:cs="宋体"/>
          <w:b/>
          <w:bCs/>
          <w:color w:val="auto"/>
          <w:sz w:val="24"/>
          <w:highlight w:val="none"/>
        </w:rPr>
        <w:t xml:space="preserve"> </w:t>
      </w:r>
      <w:r>
        <w:rPr>
          <w:rFonts w:hint="eastAsia" w:ascii="宋体" w:hAnsi="宋体" w:cs="宋体"/>
          <w:b/>
          <w:color w:val="auto"/>
          <w:sz w:val="24"/>
          <w:highlight w:val="none"/>
        </w:rPr>
        <w:t>服务范围</w:t>
      </w:r>
    </w:p>
    <w:p>
      <w:pPr>
        <w:spacing w:after="156" w:afterLines="50" w:line="440" w:lineRule="exact"/>
        <w:ind w:firstLine="480" w:firstLineChars="200"/>
        <w:rPr>
          <w:bCs/>
          <w:color w:val="auto"/>
          <w:sz w:val="24"/>
          <w:highlight w:val="none"/>
        </w:rPr>
      </w:pPr>
      <w:r>
        <w:rPr>
          <w:bCs/>
          <w:color w:val="auto"/>
          <w:sz w:val="24"/>
          <w:highlight w:val="none"/>
        </w:rPr>
        <w:t>2.1根据甲方</w:t>
      </w:r>
      <w:r>
        <w:rPr>
          <w:rFonts w:hint="eastAsia"/>
          <w:bCs/>
          <w:color w:val="auto"/>
          <w:sz w:val="24"/>
          <w:highlight w:val="none"/>
        </w:rPr>
        <w:t>公司本部办公楼东侧玻璃幕墙安全检测鉴定的</w:t>
      </w:r>
      <w:r>
        <w:rPr>
          <w:bCs/>
          <w:color w:val="auto"/>
          <w:sz w:val="24"/>
          <w:highlight w:val="none"/>
        </w:rPr>
        <w:t>要求，乙方受甲方委托负责</w:t>
      </w:r>
      <w:r>
        <w:rPr>
          <w:rFonts w:hint="eastAsia"/>
          <w:bCs/>
          <w:color w:val="auto"/>
          <w:sz w:val="24"/>
          <w:highlight w:val="none"/>
        </w:rPr>
        <w:t>鉴定</w:t>
      </w:r>
      <w:r>
        <w:rPr>
          <w:bCs/>
          <w:color w:val="auto"/>
          <w:sz w:val="24"/>
          <w:highlight w:val="none"/>
        </w:rPr>
        <w:t>服务，并出具</w:t>
      </w:r>
      <w:r>
        <w:rPr>
          <w:rFonts w:hint="eastAsia"/>
          <w:bCs/>
          <w:color w:val="auto"/>
          <w:sz w:val="24"/>
          <w:highlight w:val="none"/>
        </w:rPr>
        <w:t>鉴定报告</w:t>
      </w:r>
      <w:r>
        <w:rPr>
          <w:bCs/>
          <w:color w:val="auto"/>
          <w:sz w:val="24"/>
          <w:highlight w:val="none"/>
        </w:rPr>
        <w:t>。</w:t>
      </w:r>
    </w:p>
    <w:p>
      <w:pPr>
        <w:spacing w:after="156" w:afterLines="50" w:line="440" w:lineRule="exact"/>
        <w:ind w:firstLine="480" w:firstLineChars="200"/>
        <w:rPr>
          <w:bCs/>
          <w:color w:val="auto"/>
          <w:sz w:val="24"/>
          <w:highlight w:val="none"/>
        </w:rPr>
      </w:pPr>
      <w:r>
        <w:rPr>
          <w:bCs/>
          <w:color w:val="auto"/>
          <w:sz w:val="24"/>
          <w:highlight w:val="none"/>
        </w:rPr>
        <w:t>2.2服务工期</w:t>
      </w:r>
    </w:p>
    <w:p>
      <w:pPr>
        <w:spacing w:after="156" w:afterLines="50" w:line="440" w:lineRule="exact"/>
        <w:ind w:firstLine="480" w:firstLineChars="200"/>
        <w:rPr>
          <w:bCs/>
          <w:color w:val="auto"/>
          <w:sz w:val="24"/>
          <w:highlight w:val="none"/>
        </w:rPr>
      </w:pPr>
      <w:r>
        <w:rPr>
          <w:bCs/>
          <w:color w:val="auto"/>
          <w:sz w:val="24"/>
          <w:highlight w:val="none"/>
        </w:rPr>
        <w:t>服务工期：合同签订之日起3</w:t>
      </w:r>
      <w:r>
        <w:rPr>
          <w:rFonts w:hint="eastAsia"/>
          <w:bCs/>
          <w:color w:val="auto"/>
          <w:sz w:val="24"/>
          <w:highlight w:val="none"/>
        </w:rPr>
        <w:t>个月内</w:t>
      </w:r>
      <w:r>
        <w:rPr>
          <w:bCs/>
          <w:color w:val="auto"/>
          <w:sz w:val="24"/>
          <w:highlight w:val="none"/>
        </w:rPr>
        <w:t>。</w:t>
      </w:r>
    </w:p>
    <w:p>
      <w:pPr>
        <w:spacing w:after="160" w:line="276" w:lineRule="auto"/>
        <w:ind w:firstLine="482"/>
        <w:rPr>
          <w:b/>
          <w:bCs/>
          <w:color w:val="auto"/>
          <w:sz w:val="24"/>
          <w:highlight w:val="none"/>
        </w:rPr>
      </w:pPr>
      <w:r>
        <w:rPr>
          <w:b/>
          <w:bCs/>
          <w:color w:val="auto"/>
          <w:sz w:val="24"/>
          <w:highlight w:val="none"/>
        </w:rPr>
        <w:t>第三条 合同价格</w:t>
      </w:r>
    </w:p>
    <w:p>
      <w:pPr>
        <w:spacing w:after="156" w:afterLines="50" w:line="440" w:lineRule="exact"/>
        <w:ind w:firstLine="480" w:firstLineChars="200"/>
        <w:rPr>
          <w:bCs/>
          <w:color w:val="auto"/>
          <w:sz w:val="24"/>
          <w:highlight w:val="none"/>
        </w:rPr>
      </w:pPr>
      <w:r>
        <w:rPr>
          <w:bCs/>
          <w:color w:val="auto"/>
          <w:sz w:val="24"/>
          <w:highlight w:val="none"/>
        </w:rPr>
        <w:t>3.1本合同</w:t>
      </w:r>
      <w:r>
        <w:rPr>
          <w:rFonts w:hint="eastAsia"/>
          <w:bCs/>
          <w:color w:val="auto"/>
          <w:sz w:val="24"/>
          <w:highlight w:val="none"/>
        </w:rPr>
        <w:t>承包方式为总价包干，暂定</w:t>
      </w:r>
      <w:r>
        <w:rPr>
          <w:bCs/>
          <w:color w:val="auto"/>
          <w:sz w:val="24"/>
          <w:highlight w:val="none"/>
        </w:rPr>
        <w:t>总价为</w:t>
      </w:r>
      <w:r>
        <w:rPr>
          <w:bCs/>
          <w:color w:val="auto"/>
          <w:sz w:val="24"/>
          <w:highlight w:val="none"/>
          <w:u w:val="single"/>
        </w:rPr>
        <w:t xml:space="preserve">        </w:t>
      </w:r>
      <w:r>
        <w:rPr>
          <w:bCs/>
          <w:color w:val="auto"/>
          <w:sz w:val="24"/>
          <w:highlight w:val="none"/>
        </w:rPr>
        <w:t>万元，（人民币）大</w:t>
      </w:r>
      <w:r>
        <w:rPr>
          <w:rFonts w:hint="eastAsia"/>
          <w:bCs/>
          <w:color w:val="auto"/>
          <w:sz w:val="24"/>
          <w:highlight w:val="none"/>
        </w:rPr>
        <w:t>写</w:t>
      </w:r>
      <w:r>
        <w:rPr>
          <w:bCs/>
          <w:color w:val="auto"/>
          <w:sz w:val="24"/>
          <w:highlight w:val="none"/>
        </w:rPr>
        <w:t>：</w:t>
      </w:r>
      <w:r>
        <w:rPr>
          <w:bCs/>
          <w:color w:val="auto"/>
          <w:sz w:val="24"/>
          <w:highlight w:val="none"/>
          <w:u w:val="single"/>
        </w:rPr>
        <w:t xml:space="preserve">                 </w:t>
      </w:r>
      <w:r>
        <w:rPr>
          <w:bCs/>
          <w:color w:val="auto"/>
          <w:sz w:val="24"/>
          <w:highlight w:val="none"/>
        </w:rPr>
        <w:t xml:space="preserve">。 </w:t>
      </w:r>
    </w:p>
    <w:p>
      <w:pPr>
        <w:spacing w:after="156" w:afterLines="50" w:line="440" w:lineRule="exact"/>
        <w:ind w:firstLine="480" w:firstLineChars="200"/>
        <w:rPr>
          <w:bCs/>
          <w:color w:val="auto"/>
          <w:sz w:val="24"/>
          <w:highlight w:val="none"/>
        </w:rPr>
      </w:pPr>
      <w:r>
        <w:rPr>
          <w:rFonts w:hint="eastAsia"/>
          <w:bCs/>
          <w:color w:val="auto"/>
          <w:sz w:val="24"/>
          <w:highlight w:val="none"/>
        </w:rPr>
        <w:t>3.2本合同约定的价格为含税价价格(税率   %)，合同履行期间国家税率调整或乙方开票的实际税率与前述税率不一致的，不含税价不变，价税合计按实际税率相应调整，以开具发票时间为准。</w:t>
      </w:r>
    </w:p>
    <w:p>
      <w:pPr>
        <w:pStyle w:val="2"/>
        <w:rPr>
          <w:color w:val="auto"/>
          <w:highlight w:val="none"/>
        </w:rPr>
      </w:pPr>
    </w:p>
    <w:p>
      <w:pPr>
        <w:spacing w:after="156" w:afterLines="50" w:line="440" w:lineRule="exact"/>
        <w:ind w:firstLine="480" w:firstLineChars="200"/>
        <w:rPr>
          <w:bCs/>
          <w:color w:val="auto"/>
          <w:sz w:val="24"/>
          <w:highlight w:val="none"/>
        </w:rPr>
      </w:pPr>
      <w:r>
        <w:rPr>
          <w:rFonts w:hint="eastAsia"/>
          <w:bCs/>
          <w:color w:val="auto"/>
          <w:sz w:val="24"/>
          <w:highlight w:val="none"/>
        </w:rPr>
        <w:t>3</w:t>
      </w:r>
      <w:r>
        <w:rPr>
          <w:bCs/>
          <w:color w:val="auto"/>
          <w:sz w:val="24"/>
          <w:highlight w:val="none"/>
        </w:rPr>
        <w:t>.3所有的服务价格包括了</w:t>
      </w:r>
      <w:r>
        <w:rPr>
          <w:rFonts w:hint="eastAsia"/>
          <w:bCs/>
          <w:color w:val="auto"/>
          <w:sz w:val="24"/>
          <w:highlight w:val="none"/>
        </w:rPr>
        <w:t>鉴定</w:t>
      </w:r>
      <w:r>
        <w:rPr>
          <w:bCs/>
          <w:color w:val="auto"/>
          <w:sz w:val="24"/>
          <w:highlight w:val="none"/>
        </w:rPr>
        <w:t>所需车辆、人员、工具、仪器、物料、运输保存、</w:t>
      </w:r>
      <w:r>
        <w:rPr>
          <w:rFonts w:hint="eastAsia"/>
          <w:bCs/>
          <w:color w:val="auto"/>
          <w:sz w:val="24"/>
          <w:highlight w:val="none"/>
        </w:rPr>
        <w:t>检测</w:t>
      </w:r>
      <w:r>
        <w:rPr>
          <w:bCs/>
          <w:color w:val="auto"/>
          <w:sz w:val="24"/>
          <w:highlight w:val="none"/>
        </w:rPr>
        <w:t>和复测、证书出具等的全部费用</w:t>
      </w:r>
      <w:r>
        <w:rPr>
          <w:rFonts w:hint="eastAsia"/>
          <w:bCs/>
          <w:color w:val="auto"/>
          <w:sz w:val="24"/>
          <w:highlight w:val="none"/>
        </w:rPr>
        <w:t>，在项目实施期间费用均不得调整(如项目实施内容变更，需调整合同暂定价，双方另行协商签订补充协议)。</w:t>
      </w:r>
    </w:p>
    <w:p>
      <w:pPr>
        <w:spacing w:after="156" w:afterLines="50" w:line="440" w:lineRule="exact"/>
        <w:ind w:firstLine="482" w:firstLineChars="200"/>
        <w:rPr>
          <w:b/>
          <w:color w:val="auto"/>
          <w:sz w:val="24"/>
          <w:highlight w:val="none"/>
        </w:rPr>
      </w:pPr>
      <w:bookmarkStart w:id="186" w:name="_Toc474245213"/>
      <w:bookmarkStart w:id="187" w:name="_Toc520190029"/>
      <w:bookmarkStart w:id="188" w:name="_Toc518992989"/>
      <w:bookmarkStart w:id="189" w:name="_Toc107447236"/>
      <w:bookmarkStart w:id="190" w:name="_Toc107446843"/>
      <w:r>
        <w:rPr>
          <w:b/>
          <w:color w:val="auto"/>
          <w:sz w:val="24"/>
          <w:highlight w:val="none"/>
        </w:rPr>
        <w:t>第四条 服务要求</w:t>
      </w:r>
    </w:p>
    <w:p>
      <w:pPr>
        <w:spacing w:after="156" w:afterLines="50" w:line="440" w:lineRule="exact"/>
        <w:ind w:firstLine="480" w:firstLineChars="200"/>
        <w:rPr>
          <w:bCs/>
          <w:color w:val="auto"/>
          <w:sz w:val="24"/>
          <w:highlight w:val="none"/>
        </w:rPr>
      </w:pPr>
      <w:r>
        <w:rPr>
          <w:bCs/>
          <w:color w:val="auto"/>
          <w:sz w:val="24"/>
          <w:highlight w:val="none"/>
        </w:rPr>
        <w:t>4.1.双方签订《安全协议书》，自觉遵守甲方管理单位安全生产相关的管理制度，承担安全主体责任。</w:t>
      </w:r>
    </w:p>
    <w:p>
      <w:pPr>
        <w:spacing w:after="156" w:afterLines="50" w:line="440" w:lineRule="exact"/>
        <w:ind w:firstLine="480" w:firstLineChars="200"/>
        <w:rPr>
          <w:bCs/>
          <w:color w:val="auto"/>
          <w:sz w:val="24"/>
          <w:highlight w:val="none"/>
        </w:rPr>
      </w:pPr>
      <w:r>
        <w:rPr>
          <w:bCs/>
          <w:color w:val="auto"/>
          <w:sz w:val="24"/>
          <w:highlight w:val="none"/>
        </w:rPr>
        <w:t>4.2.</w:t>
      </w:r>
      <w:r>
        <w:rPr>
          <w:rFonts w:hint="eastAsia" w:ascii="宋体" w:hAnsi="宋体" w:cs="宋体"/>
          <w:bCs/>
          <w:color w:val="auto"/>
          <w:sz w:val="24"/>
          <w:highlight w:val="none"/>
        </w:rPr>
        <w:t>乙方应在合同签订后7日内将鉴定计划报告甲方，</w:t>
      </w:r>
      <w:r>
        <w:rPr>
          <w:bCs/>
          <w:color w:val="auto"/>
          <w:sz w:val="24"/>
          <w:highlight w:val="none"/>
        </w:rPr>
        <w:t>经甲方审核同意后开展服务工作。</w:t>
      </w:r>
    </w:p>
    <w:p>
      <w:pPr>
        <w:spacing w:after="156" w:afterLines="50" w:line="440" w:lineRule="exact"/>
        <w:ind w:firstLine="480" w:firstLineChars="200"/>
        <w:rPr>
          <w:bCs/>
          <w:color w:val="auto"/>
          <w:sz w:val="24"/>
          <w:highlight w:val="none"/>
        </w:rPr>
      </w:pPr>
      <w:r>
        <w:rPr>
          <w:bCs/>
          <w:color w:val="auto"/>
          <w:sz w:val="24"/>
          <w:highlight w:val="none"/>
        </w:rPr>
        <w:t>4.3.</w:t>
      </w:r>
      <w:r>
        <w:rPr>
          <w:rFonts w:hint="eastAsia"/>
          <w:bCs/>
          <w:color w:val="auto"/>
          <w:sz w:val="24"/>
          <w:highlight w:val="none"/>
        </w:rPr>
        <w:t>鉴定</w:t>
      </w:r>
      <w:r>
        <w:rPr>
          <w:bCs/>
          <w:color w:val="auto"/>
          <w:sz w:val="24"/>
          <w:highlight w:val="none"/>
        </w:rPr>
        <w:t>结果必须公平公正，不受外界影响；遵守相关保密条约；</w:t>
      </w:r>
      <w:r>
        <w:rPr>
          <w:rFonts w:hint="eastAsia"/>
          <w:bCs/>
          <w:color w:val="auto"/>
          <w:sz w:val="24"/>
          <w:highlight w:val="none"/>
        </w:rPr>
        <w:t>鉴定</w:t>
      </w:r>
      <w:r>
        <w:rPr>
          <w:bCs/>
          <w:color w:val="auto"/>
          <w:sz w:val="24"/>
          <w:highlight w:val="none"/>
        </w:rPr>
        <w:t>结果提供符合相关标准的纸质版</w:t>
      </w:r>
      <w:r>
        <w:rPr>
          <w:rFonts w:hint="eastAsia"/>
          <w:bCs/>
          <w:color w:val="auto"/>
          <w:sz w:val="24"/>
          <w:highlight w:val="none"/>
        </w:rPr>
        <w:t>鉴定</w:t>
      </w:r>
      <w:r>
        <w:rPr>
          <w:bCs/>
          <w:color w:val="auto"/>
          <w:sz w:val="24"/>
          <w:highlight w:val="none"/>
        </w:rPr>
        <w:t>证书和提供纸质版</w:t>
      </w:r>
      <w:r>
        <w:rPr>
          <w:rFonts w:hint="eastAsia"/>
          <w:bCs/>
          <w:color w:val="auto"/>
          <w:sz w:val="24"/>
          <w:highlight w:val="none"/>
        </w:rPr>
        <w:t>鉴定</w:t>
      </w:r>
      <w:r>
        <w:rPr>
          <w:bCs/>
          <w:color w:val="auto"/>
          <w:sz w:val="24"/>
          <w:highlight w:val="none"/>
        </w:rPr>
        <w:t>证书扫描件。</w:t>
      </w:r>
    </w:p>
    <w:p>
      <w:pPr>
        <w:spacing w:after="156" w:afterLines="50" w:line="440" w:lineRule="exact"/>
        <w:ind w:firstLine="480" w:firstLineChars="200"/>
        <w:rPr>
          <w:bCs/>
          <w:color w:val="auto"/>
          <w:sz w:val="24"/>
          <w:highlight w:val="none"/>
        </w:rPr>
      </w:pPr>
      <w:r>
        <w:rPr>
          <w:bCs/>
          <w:color w:val="auto"/>
          <w:sz w:val="24"/>
          <w:highlight w:val="none"/>
        </w:rPr>
        <w:t>4.4.本合同工作范围应包括提供所有需要的材料、人力以及其他设备，双方完成合同文件里规定的工作和</w:t>
      </w:r>
      <w:r>
        <w:rPr>
          <w:rFonts w:hint="eastAsia"/>
          <w:bCs/>
          <w:color w:val="auto"/>
          <w:sz w:val="24"/>
          <w:highlight w:val="none"/>
        </w:rPr>
        <w:t>鉴定</w:t>
      </w:r>
      <w:r>
        <w:rPr>
          <w:bCs/>
          <w:color w:val="auto"/>
          <w:sz w:val="24"/>
          <w:highlight w:val="none"/>
        </w:rPr>
        <w:t>服务，并达到预期的目标。</w:t>
      </w:r>
    </w:p>
    <w:p>
      <w:pPr>
        <w:autoSpaceDE w:val="0"/>
        <w:autoSpaceDN w:val="0"/>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第五条</w:t>
      </w:r>
      <w:r>
        <w:rPr>
          <w:rFonts w:ascii="宋体" w:hAnsi="宋体" w:cs="宋体"/>
          <w:b/>
          <w:color w:val="auto"/>
          <w:sz w:val="24"/>
          <w:highlight w:val="none"/>
        </w:rPr>
        <w:t xml:space="preserve"> </w:t>
      </w:r>
      <w:r>
        <w:rPr>
          <w:rFonts w:hint="eastAsia" w:ascii="宋体" w:hAnsi="宋体" w:cs="宋体"/>
          <w:b/>
          <w:color w:val="auto"/>
          <w:sz w:val="24"/>
          <w:highlight w:val="none"/>
        </w:rPr>
        <w:t>支付方式</w:t>
      </w:r>
      <w:bookmarkEnd w:id="186"/>
      <w:bookmarkEnd w:id="187"/>
      <w:bookmarkEnd w:id="188"/>
    </w:p>
    <w:bookmarkEnd w:id="189"/>
    <w:bookmarkEnd w:id="190"/>
    <w:p>
      <w:pPr>
        <w:tabs>
          <w:tab w:val="left" w:pos="851"/>
        </w:tabs>
        <w:adjustRightInd w:val="0"/>
        <w:snapToGrid w:val="0"/>
        <w:spacing w:line="360" w:lineRule="auto"/>
        <w:ind w:firstLine="480" w:firstLineChars="200"/>
        <w:rPr>
          <w:rFonts w:ascii="宋体" w:hAnsi="宋体" w:cs="宋体"/>
          <w:color w:val="auto"/>
          <w:sz w:val="24"/>
          <w:highlight w:val="none"/>
        </w:rPr>
      </w:pPr>
      <w:bookmarkStart w:id="191" w:name="_Toc14703"/>
      <w:bookmarkStart w:id="192" w:name="_Toc183666516"/>
      <w:r>
        <w:rPr>
          <w:rFonts w:ascii="宋体" w:hAnsi="宋体" w:cs="宋体"/>
          <w:color w:val="auto"/>
          <w:sz w:val="24"/>
          <w:highlight w:val="none"/>
        </w:rPr>
        <w:t>5.1</w:t>
      </w:r>
      <w:r>
        <w:rPr>
          <w:rFonts w:hint="eastAsia" w:ascii="宋体" w:hAnsi="宋体" w:cs="宋体"/>
          <w:bCs/>
          <w:color w:val="auto"/>
          <w:sz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□有，</w:t>
      </w:r>
      <w:r>
        <w:rPr>
          <w:rFonts w:hint="eastAsia" w:ascii="宋体" w:hAnsi="宋体" w:cs="宋体"/>
          <w:bCs/>
          <w:color w:val="auto"/>
          <w:sz w:val="24"/>
          <w:highlight w:val="none"/>
        </w:rPr>
        <w:t>合同签订后，乙方开具等额的增值税专用发票及提交履约担保（如有）后</w:t>
      </w:r>
      <w:r>
        <w:rPr>
          <w:rFonts w:ascii="宋体" w:hAnsi="宋体" w:cs="宋体"/>
          <w:bCs/>
          <w:color w:val="auto"/>
          <w:sz w:val="24"/>
          <w:highlight w:val="none"/>
          <w:u w:val="single"/>
        </w:rPr>
        <w:t>10</w:t>
      </w:r>
      <w:r>
        <w:rPr>
          <w:rFonts w:hint="eastAsia" w:ascii="宋体" w:hAnsi="宋体" w:cs="宋体"/>
          <w:bCs/>
          <w:color w:val="auto"/>
          <w:sz w:val="24"/>
          <w:highlight w:val="none"/>
        </w:rPr>
        <w:t>个工作日内，甲方支付合同暂定总价的</w:t>
      </w:r>
      <w:r>
        <w:rPr>
          <w:rFonts w:ascii="宋体" w:hAnsi="宋体" w:cs="宋体"/>
          <w:bCs/>
          <w:color w:val="auto"/>
          <w:sz w:val="24"/>
          <w:highlight w:val="none"/>
        </w:rPr>
        <w:t xml:space="preserve"> </w:t>
      </w:r>
      <w:r>
        <w:rPr>
          <w:rFonts w:ascii="宋体" w:hAnsi="宋体" w:cs="宋体"/>
          <w:bCs/>
          <w:color w:val="auto"/>
          <w:sz w:val="24"/>
          <w:highlight w:val="none"/>
          <w:u w:val="single"/>
        </w:rPr>
        <w:t xml:space="preserve">  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sz w:val="24"/>
          <w:highlight w:val="none"/>
        </w:rPr>
        <w:t>逾期未返还，每逾期一天，乙方应按合同暂定总价的</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bCs/>
          <w:color w:val="auto"/>
          <w:sz w:val="24"/>
          <w:highlight w:val="none"/>
        </w:rPr>
        <w:t>支付违约金</w:t>
      </w:r>
      <w:r>
        <w:rPr>
          <w:rFonts w:hint="eastAsia" w:ascii="宋体" w:hAnsi="宋体" w:cs="宋体"/>
          <w:color w:val="auto"/>
          <w:sz w:val="24"/>
          <w:highlight w:val="none"/>
        </w:rPr>
        <w:t>。</w:t>
      </w:r>
    </w:p>
    <w:p>
      <w:pPr>
        <w:spacing w:line="500" w:lineRule="exact"/>
        <w:ind w:firstLine="480" w:firstLineChars="200"/>
        <w:rPr>
          <w:color w:val="auto"/>
          <w:sz w:val="24"/>
          <w:highlight w:val="none"/>
        </w:rPr>
      </w:pPr>
      <w:r>
        <w:rPr>
          <w:color w:val="auto"/>
          <w:sz w:val="24"/>
          <w:highlight w:val="none"/>
        </w:rPr>
        <w:t xml:space="preserve">5.2 </w:t>
      </w:r>
      <w:r>
        <w:rPr>
          <w:rFonts w:hint="eastAsia" w:ascii="宋体" w:hAnsi="宋体" w:cs="宋体"/>
          <w:color w:val="auto"/>
          <w:sz w:val="24"/>
          <w:highlight w:val="none"/>
        </w:rPr>
        <w:t>支付方式：</w:t>
      </w:r>
    </w:p>
    <w:p>
      <w:pPr>
        <w:spacing w:line="500" w:lineRule="exact"/>
        <w:ind w:firstLine="480" w:firstLineChars="200"/>
        <w:rPr>
          <w:color w:val="auto"/>
          <w:sz w:val="24"/>
          <w:highlight w:val="none"/>
        </w:rPr>
      </w:pPr>
      <w:r>
        <w:rPr>
          <w:color w:val="auto"/>
          <w:sz w:val="24"/>
          <w:highlight w:val="none"/>
        </w:rPr>
        <w:t>5.2.1乙方</w:t>
      </w:r>
      <w:r>
        <w:rPr>
          <w:rFonts w:hint="eastAsia"/>
          <w:color w:val="auto"/>
          <w:sz w:val="24"/>
          <w:highlight w:val="none"/>
        </w:rPr>
        <w:t>按</w:t>
      </w:r>
      <w:r>
        <w:rPr>
          <w:color w:val="auto"/>
          <w:sz w:val="24"/>
          <w:highlight w:val="none"/>
        </w:rPr>
        <w:t>合同</w:t>
      </w:r>
      <w:r>
        <w:rPr>
          <w:rFonts w:hint="eastAsia"/>
          <w:color w:val="auto"/>
          <w:sz w:val="24"/>
          <w:highlight w:val="none"/>
        </w:rPr>
        <w:t>约定的</w:t>
      </w:r>
      <w:r>
        <w:rPr>
          <w:color w:val="auto"/>
          <w:sz w:val="24"/>
          <w:highlight w:val="none"/>
        </w:rPr>
        <w:t>期限</w:t>
      </w:r>
      <w:r>
        <w:rPr>
          <w:rFonts w:hint="eastAsia"/>
          <w:color w:val="auto"/>
          <w:highlight w:val="none"/>
          <w:lang w:eastAsia="zh-CN"/>
        </w:rPr>
        <w:t>（</w:t>
      </w:r>
      <w:r>
        <w:rPr>
          <w:rFonts w:hint="eastAsia"/>
          <w:color w:val="auto"/>
          <w:highlight w:val="none"/>
          <w:lang w:val="en-US" w:eastAsia="zh-CN"/>
        </w:rPr>
        <w:t>自签合同即日起3个月内</w:t>
      </w:r>
      <w:r>
        <w:rPr>
          <w:rFonts w:hint="eastAsia"/>
          <w:color w:val="auto"/>
          <w:highlight w:val="none"/>
          <w:lang w:eastAsia="zh-CN"/>
        </w:rPr>
        <w:t>）</w:t>
      </w:r>
      <w:r>
        <w:rPr>
          <w:rFonts w:hint="eastAsia"/>
          <w:color w:val="auto"/>
          <w:sz w:val="24"/>
          <w:highlight w:val="none"/>
        </w:rPr>
        <w:t>完成</w:t>
      </w:r>
      <w:r>
        <w:rPr>
          <w:rFonts w:hint="eastAsia"/>
          <w:bCs/>
          <w:color w:val="auto"/>
          <w:sz w:val="24"/>
          <w:highlight w:val="none"/>
        </w:rPr>
        <w:t>鉴定</w:t>
      </w:r>
      <w:r>
        <w:rPr>
          <w:color w:val="auto"/>
          <w:sz w:val="24"/>
          <w:highlight w:val="none"/>
        </w:rPr>
        <w:t>和出具证书等</w:t>
      </w:r>
      <w:r>
        <w:rPr>
          <w:rFonts w:hint="eastAsia"/>
          <w:color w:val="auto"/>
          <w:sz w:val="24"/>
          <w:highlight w:val="none"/>
        </w:rPr>
        <w:t>全部</w:t>
      </w:r>
      <w:r>
        <w:rPr>
          <w:color w:val="auto"/>
          <w:sz w:val="24"/>
          <w:highlight w:val="none"/>
        </w:rPr>
        <w:t>服务工作后</w:t>
      </w:r>
      <w:r>
        <w:rPr>
          <w:rFonts w:hint="eastAsia"/>
          <w:color w:val="auto"/>
          <w:sz w:val="24"/>
          <w:highlight w:val="none"/>
        </w:rPr>
        <w:t>，甲方</w:t>
      </w:r>
      <w:r>
        <w:rPr>
          <w:color w:val="auto"/>
          <w:sz w:val="24"/>
          <w:highlight w:val="none"/>
        </w:rPr>
        <w:t>按照</w:t>
      </w:r>
      <w:r>
        <w:rPr>
          <w:rFonts w:hint="eastAsia"/>
          <w:color w:val="auto"/>
          <w:sz w:val="24"/>
          <w:highlight w:val="none"/>
        </w:rPr>
        <w:t>检测</w:t>
      </w:r>
      <w:r>
        <w:rPr>
          <w:color w:val="auto"/>
          <w:sz w:val="24"/>
          <w:highlight w:val="none"/>
        </w:rPr>
        <w:t>服务工作</w:t>
      </w:r>
      <w:r>
        <w:rPr>
          <w:rFonts w:hint="eastAsia"/>
          <w:color w:val="auto"/>
          <w:sz w:val="24"/>
          <w:highlight w:val="none"/>
        </w:rPr>
        <w:t>验收合格后</w:t>
      </w:r>
      <w:r>
        <w:rPr>
          <w:color w:val="auto"/>
          <w:sz w:val="24"/>
          <w:highlight w:val="none"/>
        </w:rPr>
        <w:t>，支付至</w:t>
      </w:r>
      <w:r>
        <w:rPr>
          <w:rFonts w:hint="eastAsia"/>
          <w:color w:val="auto"/>
          <w:sz w:val="24"/>
          <w:highlight w:val="none"/>
        </w:rPr>
        <w:t>结算</w:t>
      </w:r>
      <w:r>
        <w:rPr>
          <w:color w:val="auto"/>
          <w:sz w:val="24"/>
          <w:highlight w:val="none"/>
        </w:rPr>
        <w:t>价的100%。</w:t>
      </w:r>
    </w:p>
    <w:p>
      <w:pPr>
        <w:spacing w:line="500" w:lineRule="exact"/>
        <w:ind w:firstLine="480" w:firstLineChars="200"/>
        <w:rPr>
          <w:color w:val="auto"/>
          <w:sz w:val="24"/>
          <w:highlight w:val="none"/>
        </w:rPr>
      </w:pPr>
      <w:r>
        <w:rPr>
          <w:color w:val="auto"/>
          <w:sz w:val="24"/>
          <w:highlight w:val="none"/>
        </w:rPr>
        <w:t>5.2.2乙方收款账户：</w:t>
      </w:r>
      <w:r>
        <w:rPr>
          <w:color w:val="auto"/>
          <w:sz w:val="24"/>
          <w:highlight w:val="none"/>
          <w:u w:val="single"/>
        </w:rPr>
        <w:t xml:space="preserve">                                     </w:t>
      </w:r>
      <w:r>
        <w:rPr>
          <w:color w:val="auto"/>
          <w:sz w:val="24"/>
          <w:highlight w:val="none"/>
        </w:rPr>
        <w:t>；</w:t>
      </w:r>
    </w:p>
    <w:p>
      <w:pPr>
        <w:spacing w:line="500" w:lineRule="exact"/>
        <w:ind w:firstLine="1200" w:firstLineChars="500"/>
        <w:rPr>
          <w:color w:val="auto"/>
          <w:sz w:val="24"/>
          <w:highlight w:val="none"/>
        </w:rPr>
      </w:pPr>
      <w:r>
        <w:rPr>
          <w:color w:val="auto"/>
          <w:sz w:val="24"/>
          <w:highlight w:val="none"/>
        </w:rPr>
        <w:t>收款账号：</w:t>
      </w:r>
      <w:r>
        <w:rPr>
          <w:color w:val="auto"/>
          <w:sz w:val="24"/>
          <w:highlight w:val="none"/>
          <w:u w:val="single"/>
        </w:rPr>
        <w:t xml:space="preserve">                                             </w:t>
      </w:r>
      <w:r>
        <w:rPr>
          <w:color w:val="auto"/>
          <w:sz w:val="24"/>
          <w:highlight w:val="none"/>
        </w:rPr>
        <w:t>；</w:t>
      </w:r>
    </w:p>
    <w:p>
      <w:pPr>
        <w:spacing w:line="500" w:lineRule="exact"/>
        <w:ind w:firstLine="1200" w:firstLineChars="500"/>
        <w:rPr>
          <w:color w:val="auto"/>
          <w:sz w:val="24"/>
          <w:highlight w:val="none"/>
        </w:rPr>
      </w:pPr>
      <w:r>
        <w:rPr>
          <w:color w:val="auto"/>
          <w:sz w:val="24"/>
          <w:highlight w:val="none"/>
        </w:rPr>
        <w:t>开户行：</w:t>
      </w:r>
      <w:r>
        <w:rPr>
          <w:color w:val="auto"/>
          <w:sz w:val="24"/>
          <w:highlight w:val="none"/>
          <w:u w:val="single"/>
        </w:rPr>
        <w:t xml:space="preserve">                                                 </w:t>
      </w:r>
      <w:r>
        <w:rPr>
          <w:color w:val="auto"/>
          <w:sz w:val="24"/>
          <w:highlight w:val="none"/>
        </w:rPr>
        <w:t>；</w:t>
      </w:r>
    </w:p>
    <w:p>
      <w:pPr>
        <w:spacing w:line="500" w:lineRule="exact"/>
        <w:ind w:firstLine="480" w:firstLineChars="200"/>
        <w:rPr>
          <w:color w:val="auto"/>
          <w:sz w:val="24"/>
          <w:highlight w:val="none"/>
        </w:rPr>
      </w:pPr>
      <w:r>
        <w:rPr>
          <w:color w:val="auto"/>
          <w:sz w:val="24"/>
          <w:highlight w:val="none"/>
        </w:rPr>
        <w:t>5.2.3乙方在收款前需提交相应金额增值税专用发票给甲方。</w:t>
      </w:r>
    </w:p>
    <w:p>
      <w:pPr>
        <w:spacing w:line="500" w:lineRule="exact"/>
        <w:ind w:firstLine="480" w:firstLineChars="200"/>
        <w:rPr>
          <w:color w:val="auto"/>
          <w:sz w:val="24"/>
          <w:highlight w:val="none"/>
        </w:rPr>
      </w:pPr>
      <w:r>
        <w:rPr>
          <w:color w:val="auto"/>
          <w:sz w:val="24"/>
          <w:highlight w:val="none"/>
        </w:rPr>
        <w:t>增值税专用发票信息：</w:t>
      </w:r>
    </w:p>
    <w:p>
      <w:pPr>
        <w:spacing w:line="500" w:lineRule="exact"/>
        <w:ind w:firstLine="480" w:firstLineChars="200"/>
        <w:rPr>
          <w:color w:val="auto"/>
          <w:sz w:val="24"/>
          <w:highlight w:val="none"/>
        </w:rPr>
      </w:pPr>
      <w:r>
        <w:rPr>
          <w:color w:val="auto"/>
          <w:sz w:val="24"/>
          <w:highlight w:val="none"/>
        </w:rPr>
        <w:t>名称：广州市净水有限公司</w:t>
      </w:r>
    </w:p>
    <w:p>
      <w:pPr>
        <w:spacing w:line="500" w:lineRule="exact"/>
        <w:ind w:firstLine="480" w:firstLineChars="200"/>
        <w:rPr>
          <w:color w:val="auto"/>
          <w:sz w:val="24"/>
          <w:highlight w:val="none"/>
        </w:rPr>
      </w:pPr>
      <w:r>
        <w:rPr>
          <w:color w:val="auto"/>
          <w:sz w:val="24"/>
          <w:highlight w:val="none"/>
        </w:rPr>
        <w:t>税号：</w:t>
      </w:r>
      <w:r>
        <w:rPr>
          <w:color w:val="auto"/>
          <w:sz w:val="24"/>
          <w:highlight w:val="none"/>
          <w:u w:val="single"/>
        </w:rPr>
        <w:t xml:space="preserve"> 91440101755584729Q</w:t>
      </w:r>
      <w:r>
        <w:rPr>
          <w:color w:val="auto"/>
          <w:sz w:val="24"/>
          <w:highlight w:val="none"/>
        </w:rPr>
        <w:t xml:space="preserve"> ；  </w:t>
      </w:r>
    </w:p>
    <w:p>
      <w:pPr>
        <w:spacing w:line="500" w:lineRule="exact"/>
        <w:ind w:firstLine="480" w:firstLineChars="200"/>
        <w:rPr>
          <w:color w:val="auto"/>
          <w:sz w:val="24"/>
          <w:highlight w:val="none"/>
        </w:rPr>
      </w:pPr>
      <w:r>
        <w:rPr>
          <w:color w:val="auto"/>
          <w:sz w:val="24"/>
          <w:highlight w:val="none"/>
        </w:rPr>
        <w:t>地址：</w:t>
      </w:r>
      <w:r>
        <w:rPr>
          <w:color w:val="auto"/>
          <w:sz w:val="24"/>
          <w:highlight w:val="none"/>
          <w:u w:val="single"/>
        </w:rPr>
        <w:t xml:space="preserve"> 广州市天河区临江大道501号 </w:t>
      </w:r>
      <w:r>
        <w:rPr>
          <w:color w:val="auto"/>
          <w:sz w:val="24"/>
          <w:highlight w:val="none"/>
        </w:rPr>
        <w:t>；</w:t>
      </w:r>
    </w:p>
    <w:p>
      <w:pPr>
        <w:spacing w:line="360" w:lineRule="auto"/>
        <w:ind w:firstLine="480"/>
        <w:outlineLvl w:val="0"/>
        <w:rPr>
          <w:color w:val="auto"/>
          <w:sz w:val="24"/>
          <w:highlight w:val="none"/>
        </w:rPr>
      </w:pPr>
      <w:r>
        <w:rPr>
          <w:color w:val="auto"/>
          <w:sz w:val="24"/>
          <w:highlight w:val="none"/>
        </w:rPr>
        <w:t>5.3</w:t>
      </w:r>
      <w:r>
        <w:rPr>
          <w:rFonts w:hint="eastAsia"/>
          <w:color w:val="auto"/>
          <w:sz w:val="24"/>
          <w:highlight w:val="none"/>
        </w:rPr>
        <w:t>付款方式</w:t>
      </w:r>
      <w:r>
        <w:rPr>
          <w:rFonts w:hint="eastAsia" w:ascii="宋体" w:hAnsi="宋体" w:cs="宋体"/>
          <w:color w:val="auto"/>
          <w:sz w:val="24"/>
          <w:highlight w:val="none"/>
        </w:rPr>
        <w:t>：</w:t>
      </w:r>
      <w:r>
        <w:rPr>
          <w:rFonts w:ascii="宋体" w:hAnsi="宋体" w:cs="宋体"/>
          <w:color w:val="auto"/>
          <w:sz w:val="24"/>
          <w:highlight w:val="none"/>
        </w:rPr>
        <w:t xml:space="preserve"> </w:t>
      </w:r>
      <w:r>
        <w:rPr>
          <w:rFonts w:ascii="宋体" w:hAnsi="宋体" w:cs="宋体"/>
          <w:color w:val="auto"/>
          <w:sz w:val="24"/>
          <w:highlight w:val="none"/>
        </w:rPr>
        <w:sym w:font="Wingdings" w:char="00FE"/>
      </w:r>
      <w:r>
        <w:rPr>
          <w:rFonts w:hint="eastAsia" w:ascii="宋体" w:hAnsi="宋体" w:cs="宋体"/>
          <w:color w:val="auto"/>
          <w:sz w:val="24"/>
          <w:highlight w:val="none"/>
        </w:rPr>
        <w:t>网银支付；</w:t>
      </w:r>
      <w:r>
        <w:rPr>
          <w:rFonts w:ascii="宋体" w:hAnsi="宋体" w:cs="宋体"/>
          <w:color w:val="auto"/>
          <w:sz w:val="24"/>
          <w:highlight w:val="none"/>
        </w:rPr>
        <w:t xml:space="preserve">  </w:t>
      </w:r>
      <w:r>
        <w:rPr>
          <w:rFonts w:ascii="宋体" w:hAnsi="宋体" w:cs="宋体"/>
          <w:color w:val="auto"/>
          <w:sz w:val="24"/>
          <w:highlight w:val="none"/>
        </w:rPr>
        <w:sym w:font="Wingdings" w:char="00A8"/>
      </w:r>
      <w:r>
        <w:rPr>
          <w:rFonts w:hint="eastAsia" w:ascii="宋体" w:hAnsi="宋体" w:cs="宋体"/>
          <w:color w:val="auto"/>
          <w:sz w:val="24"/>
          <w:highlight w:val="none"/>
        </w:rPr>
        <w:t>支票；</w:t>
      </w:r>
      <w:r>
        <w:rPr>
          <w:rFonts w:ascii="宋体" w:hAnsi="宋体" w:cs="宋体"/>
          <w:color w:val="auto"/>
          <w:sz w:val="24"/>
          <w:highlight w:val="none"/>
        </w:rPr>
        <w:t xml:space="preserve">   </w:t>
      </w:r>
      <w:r>
        <w:rPr>
          <w:rFonts w:ascii="宋体" w:hAnsi="宋体" w:cs="宋体"/>
          <w:color w:val="auto"/>
          <w:sz w:val="24"/>
          <w:highlight w:val="none"/>
        </w:rPr>
        <w:sym w:font="Wingdings" w:char="00A8"/>
      </w:r>
      <w:r>
        <w:rPr>
          <w:rFonts w:hint="eastAsia" w:ascii="宋体" w:hAnsi="宋体" w:cs="宋体"/>
          <w:color w:val="auto"/>
          <w:sz w:val="24"/>
          <w:highlight w:val="none"/>
        </w:rPr>
        <w:t>其他：</w:t>
      </w:r>
      <w:r>
        <w:rPr>
          <w:rFonts w:ascii="宋体" w:hAnsi="宋体" w:cs="宋体"/>
          <w:color w:val="auto"/>
          <w:sz w:val="24"/>
          <w:highlight w:val="none"/>
        </w:rPr>
        <w:t xml:space="preserve">       </w:t>
      </w:r>
    </w:p>
    <w:p>
      <w:pPr>
        <w:tabs>
          <w:tab w:val="left" w:pos="851"/>
        </w:tabs>
        <w:adjustRightInd w:val="0"/>
        <w:snapToGrid w:val="0"/>
        <w:spacing w:line="360"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 xml:space="preserve">      </w:t>
      </w:r>
    </w:p>
    <w:bookmarkEnd w:id="179"/>
    <w:bookmarkEnd w:id="180"/>
    <w:bookmarkEnd w:id="181"/>
    <w:bookmarkEnd w:id="182"/>
    <w:bookmarkEnd w:id="183"/>
    <w:bookmarkEnd w:id="184"/>
    <w:bookmarkEnd w:id="185"/>
    <w:bookmarkEnd w:id="191"/>
    <w:bookmarkEnd w:id="192"/>
    <w:p>
      <w:pPr>
        <w:spacing w:line="440" w:lineRule="exact"/>
        <w:ind w:firstLine="482"/>
        <w:rPr>
          <w:b/>
          <w:color w:val="auto"/>
          <w:sz w:val="24"/>
          <w:highlight w:val="none"/>
        </w:rPr>
      </w:pPr>
      <w:bookmarkStart w:id="193" w:name="_Toc520190030"/>
      <w:bookmarkStart w:id="194" w:name="_Toc518992990"/>
      <w:bookmarkStart w:id="195" w:name="_Toc257"/>
      <w:bookmarkStart w:id="196" w:name="_Toc183666534"/>
      <w:bookmarkStart w:id="197" w:name="_Toc474245215"/>
      <w:r>
        <w:rPr>
          <w:b/>
          <w:color w:val="auto"/>
          <w:sz w:val="24"/>
          <w:highlight w:val="none"/>
        </w:rPr>
        <w:t>第</w:t>
      </w:r>
      <w:r>
        <w:rPr>
          <w:rFonts w:hint="eastAsia"/>
          <w:b/>
          <w:color w:val="auto"/>
          <w:sz w:val="24"/>
          <w:highlight w:val="none"/>
        </w:rPr>
        <w:t>六</w:t>
      </w:r>
      <w:r>
        <w:rPr>
          <w:b/>
          <w:color w:val="auto"/>
          <w:sz w:val="24"/>
          <w:highlight w:val="none"/>
        </w:rPr>
        <w:t>条  质量保证</w:t>
      </w:r>
    </w:p>
    <w:p>
      <w:pPr>
        <w:spacing w:line="360" w:lineRule="auto"/>
        <w:ind w:firstLine="480"/>
        <w:outlineLvl w:val="0"/>
        <w:rPr>
          <w:color w:val="auto"/>
          <w:sz w:val="24"/>
          <w:highlight w:val="none"/>
        </w:rPr>
      </w:pPr>
      <w:r>
        <w:rPr>
          <w:rFonts w:hint="eastAsia"/>
          <w:color w:val="auto"/>
          <w:sz w:val="24"/>
          <w:highlight w:val="none"/>
        </w:rPr>
        <w:t>6</w:t>
      </w:r>
      <w:r>
        <w:rPr>
          <w:color w:val="auto"/>
          <w:sz w:val="24"/>
          <w:highlight w:val="none"/>
        </w:rPr>
        <w:t>.1乙方必须严格按照所采用的</w:t>
      </w:r>
      <w:r>
        <w:rPr>
          <w:rFonts w:hint="eastAsia"/>
          <w:bCs/>
          <w:color w:val="auto"/>
          <w:sz w:val="24"/>
          <w:highlight w:val="none"/>
        </w:rPr>
        <w:t>鉴定</w:t>
      </w:r>
      <w:r>
        <w:rPr>
          <w:color w:val="auto"/>
          <w:sz w:val="24"/>
          <w:highlight w:val="none"/>
        </w:rPr>
        <w:t>、规范及本技术协议制定</w:t>
      </w:r>
      <w:r>
        <w:rPr>
          <w:rFonts w:hint="eastAsia"/>
          <w:bCs/>
          <w:color w:val="auto"/>
          <w:sz w:val="24"/>
          <w:highlight w:val="none"/>
        </w:rPr>
        <w:t>鉴定</w:t>
      </w:r>
      <w:r>
        <w:rPr>
          <w:color w:val="auto"/>
          <w:sz w:val="24"/>
          <w:highlight w:val="none"/>
        </w:rPr>
        <w:t>工作方案，</w:t>
      </w:r>
      <w:r>
        <w:rPr>
          <w:rFonts w:hint="eastAsia"/>
          <w:bCs/>
          <w:color w:val="auto"/>
          <w:sz w:val="24"/>
          <w:highlight w:val="none"/>
        </w:rPr>
        <w:t>鉴定</w:t>
      </w:r>
      <w:r>
        <w:rPr>
          <w:color w:val="auto"/>
          <w:sz w:val="24"/>
          <w:highlight w:val="none"/>
        </w:rPr>
        <w:t>人员须具有</w:t>
      </w:r>
      <w:r>
        <w:rPr>
          <w:rFonts w:hint="eastAsia"/>
          <w:bCs/>
          <w:color w:val="auto"/>
          <w:sz w:val="24"/>
          <w:highlight w:val="none"/>
        </w:rPr>
        <w:t>鉴定</w:t>
      </w:r>
      <w:r>
        <w:rPr>
          <w:color w:val="auto"/>
          <w:sz w:val="24"/>
          <w:highlight w:val="none"/>
        </w:rPr>
        <w:t>相关资格证书，</w:t>
      </w:r>
      <w:r>
        <w:rPr>
          <w:rFonts w:hint="eastAsia"/>
          <w:bCs/>
          <w:color w:val="auto"/>
          <w:sz w:val="24"/>
          <w:highlight w:val="none"/>
        </w:rPr>
        <w:t>鉴定</w:t>
      </w:r>
      <w:r>
        <w:rPr>
          <w:color w:val="auto"/>
          <w:sz w:val="24"/>
          <w:highlight w:val="none"/>
        </w:rPr>
        <w:t>所需工具、仪器、物料等符合</w:t>
      </w:r>
      <w:r>
        <w:rPr>
          <w:rFonts w:hint="eastAsia"/>
          <w:bCs/>
          <w:color w:val="auto"/>
          <w:sz w:val="24"/>
          <w:highlight w:val="none"/>
        </w:rPr>
        <w:t>鉴定</w:t>
      </w:r>
      <w:r>
        <w:rPr>
          <w:color w:val="auto"/>
          <w:sz w:val="24"/>
          <w:highlight w:val="none"/>
        </w:rPr>
        <w:t>规范要求。</w:t>
      </w:r>
    </w:p>
    <w:p>
      <w:pPr>
        <w:spacing w:line="360" w:lineRule="auto"/>
        <w:ind w:firstLine="480"/>
        <w:outlineLvl w:val="0"/>
        <w:rPr>
          <w:color w:val="auto"/>
          <w:sz w:val="24"/>
          <w:highlight w:val="none"/>
        </w:rPr>
      </w:pPr>
      <w:r>
        <w:rPr>
          <w:rFonts w:hint="eastAsia"/>
          <w:color w:val="auto"/>
          <w:sz w:val="24"/>
          <w:highlight w:val="none"/>
        </w:rPr>
        <w:t>6</w:t>
      </w:r>
      <w:r>
        <w:rPr>
          <w:color w:val="auto"/>
          <w:sz w:val="24"/>
          <w:highlight w:val="none"/>
        </w:rPr>
        <w:t>.2</w:t>
      </w:r>
      <w:r>
        <w:rPr>
          <w:rFonts w:hint="eastAsia"/>
          <w:bCs/>
          <w:color w:val="auto"/>
          <w:sz w:val="24"/>
          <w:highlight w:val="none"/>
        </w:rPr>
        <w:t>鉴定</w:t>
      </w:r>
      <w:r>
        <w:rPr>
          <w:color w:val="auto"/>
          <w:sz w:val="24"/>
          <w:highlight w:val="none"/>
        </w:rPr>
        <w:t>方法须以</w:t>
      </w:r>
      <w:r>
        <w:rPr>
          <w:rFonts w:hint="eastAsia"/>
          <w:bCs/>
          <w:color w:val="auto"/>
          <w:sz w:val="24"/>
          <w:highlight w:val="none"/>
        </w:rPr>
        <w:t>鉴定</w:t>
      </w:r>
      <w:r>
        <w:rPr>
          <w:color w:val="auto"/>
          <w:sz w:val="24"/>
          <w:highlight w:val="none"/>
        </w:rPr>
        <w:t>项目</w:t>
      </w:r>
      <w:r>
        <w:rPr>
          <w:rFonts w:hint="eastAsia"/>
          <w:color w:val="auto"/>
          <w:sz w:val="24"/>
          <w:highlight w:val="none"/>
        </w:rPr>
        <w:t>最新的</w:t>
      </w:r>
      <w:r>
        <w:rPr>
          <w:color w:val="auto"/>
          <w:sz w:val="24"/>
          <w:highlight w:val="none"/>
        </w:rPr>
        <w:t>国家标准或行业标准等为准。</w:t>
      </w:r>
    </w:p>
    <w:p>
      <w:pPr>
        <w:spacing w:line="360" w:lineRule="auto"/>
        <w:ind w:firstLine="480"/>
        <w:outlineLvl w:val="0"/>
        <w:rPr>
          <w:color w:val="auto"/>
          <w:sz w:val="24"/>
          <w:highlight w:val="none"/>
        </w:rPr>
      </w:pPr>
      <w:r>
        <w:rPr>
          <w:rFonts w:hint="eastAsia"/>
          <w:bCs/>
          <w:color w:val="auto"/>
          <w:sz w:val="24"/>
          <w:highlight w:val="none"/>
        </w:rPr>
        <w:t>6</w:t>
      </w:r>
      <w:r>
        <w:rPr>
          <w:bCs/>
          <w:color w:val="auto"/>
          <w:sz w:val="24"/>
          <w:highlight w:val="none"/>
        </w:rPr>
        <w:t>.</w:t>
      </w:r>
      <w:r>
        <w:rPr>
          <w:rFonts w:hint="eastAsia"/>
          <w:bCs/>
          <w:color w:val="auto"/>
          <w:sz w:val="24"/>
          <w:highlight w:val="none"/>
        </w:rPr>
        <w:t>3</w:t>
      </w:r>
      <w:r>
        <w:rPr>
          <w:rFonts w:hint="eastAsia" w:ascii="宋体" w:hAnsi="宋体"/>
          <w:bCs/>
          <w:color w:val="auto"/>
          <w:sz w:val="24"/>
          <w:highlight w:val="none"/>
        </w:rPr>
        <w:t>乙方须安排具有从事相应专业知识和专业技能的技术人员跟踪负责项目的检测、数据审核、报告出具等流程工作，并与甲方做好对接工作。乙方技术人员对鉴定、结果评价过程中出现的问题情况，应及时与甲方联系，并就反映的鉴定、数据审核和报告出具等环节中问题及时作出回应，及时安排重检或给出解决办法。</w:t>
      </w:r>
    </w:p>
    <w:bookmarkEnd w:id="193"/>
    <w:bookmarkEnd w:id="194"/>
    <w:bookmarkEnd w:id="195"/>
    <w:bookmarkEnd w:id="196"/>
    <w:bookmarkEnd w:id="197"/>
    <w:p>
      <w:pPr>
        <w:spacing w:line="440" w:lineRule="exact"/>
        <w:ind w:firstLine="482"/>
        <w:rPr>
          <w:bCs/>
          <w:color w:val="auto"/>
          <w:sz w:val="24"/>
          <w:highlight w:val="none"/>
        </w:rPr>
      </w:pPr>
      <w:r>
        <w:rPr>
          <w:b/>
          <w:color w:val="auto"/>
          <w:sz w:val="24"/>
          <w:highlight w:val="none"/>
        </w:rPr>
        <w:t>第</w:t>
      </w:r>
      <w:r>
        <w:rPr>
          <w:rFonts w:hint="eastAsia"/>
          <w:b/>
          <w:color w:val="auto"/>
          <w:sz w:val="24"/>
          <w:highlight w:val="none"/>
        </w:rPr>
        <w:t>七</w:t>
      </w:r>
      <w:r>
        <w:rPr>
          <w:b/>
          <w:color w:val="auto"/>
          <w:sz w:val="24"/>
          <w:highlight w:val="none"/>
        </w:rPr>
        <w:t>条 违约责任</w:t>
      </w:r>
    </w:p>
    <w:p>
      <w:pPr>
        <w:spacing w:line="440" w:lineRule="exact"/>
        <w:ind w:firstLine="482"/>
        <w:rPr>
          <w:bCs/>
          <w:color w:val="auto"/>
          <w:sz w:val="24"/>
          <w:highlight w:val="none"/>
        </w:rPr>
      </w:pPr>
      <w:r>
        <w:rPr>
          <w:rFonts w:hint="eastAsia"/>
          <w:bCs/>
          <w:color w:val="auto"/>
          <w:sz w:val="24"/>
          <w:highlight w:val="none"/>
        </w:rPr>
        <w:t>7</w:t>
      </w:r>
      <w:r>
        <w:rPr>
          <w:bCs/>
          <w:color w:val="auto"/>
          <w:sz w:val="24"/>
          <w:highlight w:val="none"/>
        </w:rPr>
        <w:t>.</w:t>
      </w:r>
      <w:r>
        <w:rPr>
          <w:rFonts w:hint="eastAsia"/>
          <w:bCs/>
          <w:color w:val="auto"/>
          <w:sz w:val="24"/>
          <w:highlight w:val="none"/>
        </w:rPr>
        <w:t>1</w:t>
      </w:r>
      <w:r>
        <w:rPr>
          <w:bCs/>
          <w:color w:val="auto"/>
          <w:sz w:val="24"/>
          <w:highlight w:val="none"/>
        </w:rPr>
        <w:t>若违反本合同的约定，违约方应当按照当时生效的《中华人民共和国</w:t>
      </w:r>
      <w:r>
        <w:rPr>
          <w:rFonts w:hint="eastAsia"/>
          <w:bCs/>
          <w:color w:val="auto"/>
          <w:sz w:val="24"/>
          <w:highlight w:val="none"/>
        </w:rPr>
        <w:t>民法典</w:t>
      </w:r>
      <w:r>
        <w:rPr>
          <w:bCs/>
          <w:color w:val="auto"/>
          <w:sz w:val="24"/>
          <w:highlight w:val="none"/>
        </w:rPr>
        <w:t>》的相关规定，承担违约责任。</w:t>
      </w:r>
    </w:p>
    <w:p>
      <w:pPr>
        <w:spacing w:line="440" w:lineRule="exact"/>
        <w:ind w:firstLine="482"/>
        <w:rPr>
          <w:bCs/>
          <w:color w:val="auto"/>
          <w:sz w:val="24"/>
          <w:highlight w:val="none"/>
        </w:rPr>
      </w:pPr>
      <w:r>
        <w:rPr>
          <w:rFonts w:hint="eastAsia"/>
          <w:bCs/>
          <w:color w:val="auto"/>
          <w:sz w:val="24"/>
          <w:highlight w:val="none"/>
        </w:rPr>
        <w:t>7</w:t>
      </w:r>
      <w:r>
        <w:rPr>
          <w:bCs/>
          <w:color w:val="auto"/>
          <w:sz w:val="24"/>
          <w:highlight w:val="none"/>
        </w:rPr>
        <w:t>.</w:t>
      </w:r>
      <w:r>
        <w:rPr>
          <w:rFonts w:hint="eastAsia"/>
          <w:bCs/>
          <w:color w:val="auto"/>
          <w:sz w:val="24"/>
          <w:highlight w:val="none"/>
        </w:rPr>
        <w:t>2若乙方未按合同要求进行鉴定且没有事先与甲方沟通，甲方有权解除合同，并要求乙方支付违约金</w:t>
      </w:r>
      <w:r>
        <w:rPr>
          <w:rFonts w:hint="eastAsia"/>
          <w:bCs/>
          <w:color w:val="auto"/>
          <w:sz w:val="24"/>
          <w:highlight w:val="none"/>
          <w:lang w:val="en-US" w:eastAsia="zh-CN"/>
        </w:rPr>
        <w:t>3000</w:t>
      </w:r>
      <w:r>
        <w:rPr>
          <w:rFonts w:hint="eastAsia"/>
          <w:bCs/>
          <w:color w:val="auto"/>
          <w:sz w:val="24"/>
          <w:highlight w:val="none"/>
        </w:rPr>
        <w:t>元，若因此造成甲方损失的，乙方还需赔偿甲方全部经济损失</w:t>
      </w:r>
      <w:r>
        <w:rPr>
          <w:bCs/>
          <w:color w:val="auto"/>
          <w:sz w:val="24"/>
          <w:highlight w:val="none"/>
        </w:rPr>
        <w:t>。</w:t>
      </w:r>
    </w:p>
    <w:p>
      <w:pPr>
        <w:spacing w:line="440" w:lineRule="exact"/>
        <w:ind w:firstLine="482"/>
        <w:rPr>
          <w:bCs/>
          <w:color w:val="auto"/>
          <w:sz w:val="24"/>
          <w:highlight w:val="none"/>
        </w:rPr>
      </w:pPr>
      <w:r>
        <w:rPr>
          <w:b/>
          <w:color w:val="auto"/>
          <w:sz w:val="24"/>
          <w:highlight w:val="none"/>
        </w:rPr>
        <w:t>第</w:t>
      </w:r>
      <w:r>
        <w:rPr>
          <w:rFonts w:hint="eastAsia"/>
          <w:b/>
          <w:color w:val="auto"/>
          <w:sz w:val="24"/>
          <w:highlight w:val="none"/>
        </w:rPr>
        <w:t>八</w:t>
      </w:r>
      <w:r>
        <w:rPr>
          <w:b/>
          <w:color w:val="auto"/>
          <w:sz w:val="24"/>
          <w:highlight w:val="none"/>
        </w:rPr>
        <w:t>条 变更或解除</w:t>
      </w:r>
    </w:p>
    <w:p>
      <w:pPr>
        <w:spacing w:line="440" w:lineRule="exact"/>
        <w:ind w:firstLine="482"/>
        <w:rPr>
          <w:bCs/>
          <w:color w:val="auto"/>
          <w:sz w:val="24"/>
          <w:highlight w:val="none"/>
        </w:rPr>
      </w:pPr>
      <w:bookmarkStart w:id="198" w:name="_Toc306350466"/>
      <w:bookmarkStart w:id="199" w:name="_Toc183666530"/>
      <w:bookmarkStart w:id="200" w:name="_Toc5786"/>
      <w:r>
        <w:rPr>
          <w:rFonts w:hint="eastAsia"/>
          <w:bCs/>
          <w:color w:val="auto"/>
          <w:sz w:val="24"/>
          <w:highlight w:val="none"/>
        </w:rPr>
        <w:t>8</w:t>
      </w:r>
      <w:r>
        <w:rPr>
          <w:bCs/>
          <w:color w:val="auto"/>
          <w:sz w:val="24"/>
          <w:highlight w:val="none"/>
        </w:rPr>
        <w:t>.1 甲方解除合同</w:t>
      </w:r>
    </w:p>
    <w:p>
      <w:pPr>
        <w:spacing w:line="440" w:lineRule="exact"/>
        <w:ind w:firstLine="482"/>
        <w:rPr>
          <w:bCs/>
          <w:color w:val="auto"/>
          <w:sz w:val="24"/>
          <w:highlight w:val="none"/>
        </w:rPr>
      </w:pPr>
      <w:r>
        <w:rPr>
          <w:bCs/>
          <w:color w:val="auto"/>
          <w:sz w:val="24"/>
          <w:highlight w:val="none"/>
        </w:rPr>
        <w:t>如乙方存在下述情况之一，甲方有权向乙方发出书面通知，全部或部分解除本合同</w:t>
      </w:r>
      <w:r>
        <w:rPr>
          <w:rFonts w:hint="eastAsia"/>
          <w:bCs/>
          <w:color w:val="auto"/>
          <w:sz w:val="24"/>
          <w:highlight w:val="none"/>
        </w:rPr>
        <w:t>且甲方不需承担任何责任</w:t>
      </w:r>
      <w:r>
        <w:rPr>
          <w:bCs/>
          <w:color w:val="auto"/>
          <w:sz w:val="24"/>
          <w:highlight w:val="none"/>
        </w:rPr>
        <w:t>：</w:t>
      </w:r>
    </w:p>
    <w:p>
      <w:pPr>
        <w:spacing w:line="440" w:lineRule="exact"/>
        <w:ind w:firstLine="482"/>
        <w:rPr>
          <w:bCs/>
          <w:color w:val="auto"/>
          <w:sz w:val="24"/>
          <w:highlight w:val="none"/>
        </w:rPr>
      </w:pPr>
      <w:r>
        <w:rPr>
          <w:rFonts w:hint="eastAsia"/>
          <w:bCs/>
          <w:color w:val="auto"/>
          <w:sz w:val="24"/>
          <w:highlight w:val="none"/>
        </w:rPr>
        <w:t>8</w:t>
      </w:r>
      <w:r>
        <w:rPr>
          <w:bCs/>
          <w:color w:val="auto"/>
          <w:sz w:val="24"/>
          <w:highlight w:val="none"/>
        </w:rPr>
        <w:t xml:space="preserve">.1.1 乙方未能在本合同约定或甲方另行指定的期限内提供部分或全部服务，并经甲方催告后在合理期限内仍未提供； </w:t>
      </w:r>
    </w:p>
    <w:p>
      <w:pPr>
        <w:spacing w:line="440" w:lineRule="exact"/>
        <w:ind w:firstLine="482"/>
        <w:rPr>
          <w:bCs/>
          <w:color w:val="auto"/>
          <w:sz w:val="24"/>
          <w:highlight w:val="none"/>
        </w:rPr>
      </w:pPr>
      <w:r>
        <w:rPr>
          <w:rFonts w:hint="eastAsia"/>
          <w:bCs/>
          <w:color w:val="auto"/>
          <w:sz w:val="24"/>
          <w:highlight w:val="none"/>
        </w:rPr>
        <w:t>8</w:t>
      </w:r>
      <w:r>
        <w:rPr>
          <w:bCs/>
          <w:color w:val="auto"/>
          <w:sz w:val="24"/>
          <w:highlight w:val="none"/>
        </w:rPr>
        <w:t>.1.2 乙方提供服务存在严重的质量问题，导致本合同目的不能实现；</w:t>
      </w:r>
    </w:p>
    <w:p>
      <w:pPr>
        <w:spacing w:line="440" w:lineRule="exact"/>
        <w:ind w:firstLine="482"/>
        <w:rPr>
          <w:bCs/>
          <w:color w:val="auto"/>
          <w:sz w:val="24"/>
          <w:highlight w:val="none"/>
        </w:rPr>
      </w:pPr>
      <w:r>
        <w:rPr>
          <w:rFonts w:hint="eastAsia"/>
          <w:bCs/>
          <w:color w:val="auto"/>
          <w:sz w:val="24"/>
          <w:highlight w:val="none"/>
        </w:rPr>
        <w:t>8</w:t>
      </w:r>
      <w:r>
        <w:rPr>
          <w:bCs/>
          <w:color w:val="auto"/>
          <w:sz w:val="24"/>
          <w:highlight w:val="none"/>
        </w:rPr>
        <w:t>.1.3 乙方存在违反合同义务的其他情形。</w:t>
      </w:r>
    </w:p>
    <w:p>
      <w:pPr>
        <w:spacing w:line="440" w:lineRule="exact"/>
        <w:ind w:firstLine="482"/>
        <w:rPr>
          <w:bCs/>
          <w:color w:val="auto"/>
          <w:sz w:val="24"/>
          <w:highlight w:val="none"/>
        </w:rPr>
      </w:pPr>
      <w:r>
        <w:rPr>
          <w:rFonts w:hint="eastAsia"/>
          <w:bCs/>
          <w:color w:val="auto"/>
          <w:sz w:val="24"/>
          <w:highlight w:val="none"/>
        </w:rPr>
        <w:t>8</w:t>
      </w:r>
      <w:r>
        <w:rPr>
          <w:bCs/>
          <w:color w:val="auto"/>
          <w:sz w:val="24"/>
          <w:highlight w:val="none"/>
        </w:rPr>
        <w:t>.2 乙方解除合同</w:t>
      </w:r>
    </w:p>
    <w:p>
      <w:pPr>
        <w:spacing w:line="440" w:lineRule="exact"/>
        <w:ind w:firstLine="482"/>
        <w:rPr>
          <w:bCs/>
          <w:color w:val="auto"/>
          <w:sz w:val="24"/>
          <w:highlight w:val="none"/>
        </w:rPr>
      </w:pPr>
      <w:r>
        <w:rPr>
          <w:bCs/>
          <w:color w:val="auto"/>
          <w:sz w:val="24"/>
          <w:highlight w:val="none"/>
        </w:rPr>
        <w:t>如甲方无正当理由未能按本合同约定期限向乙方支付合同款，并经乙方催告后超过</w:t>
      </w:r>
      <w:r>
        <w:rPr>
          <w:rFonts w:hint="eastAsia"/>
          <w:bCs/>
          <w:color w:val="auto"/>
          <w:sz w:val="24"/>
          <w:highlight w:val="none"/>
        </w:rPr>
        <w:t>10</w:t>
      </w:r>
      <w:r>
        <w:rPr>
          <w:bCs/>
          <w:color w:val="auto"/>
          <w:sz w:val="24"/>
          <w:highlight w:val="none"/>
        </w:rPr>
        <w:t>天仍未支付，乙方有权以书面通知解除本合同。</w:t>
      </w:r>
    </w:p>
    <w:p>
      <w:pPr>
        <w:spacing w:line="440" w:lineRule="exact"/>
        <w:ind w:firstLine="482"/>
        <w:rPr>
          <w:bCs/>
          <w:color w:val="auto"/>
          <w:sz w:val="24"/>
          <w:highlight w:val="none"/>
        </w:rPr>
      </w:pPr>
      <w:r>
        <w:rPr>
          <w:rFonts w:hint="eastAsia"/>
          <w:bCs/>
          <w:color w:val="auto"/>
          <w:sz w:val="24"/>
          <w:highlight w:val="none"/>
        </w:rPr>
        <w:t>8</w:t>
      </w:r>
      <w:r>
        <w:rPr>
          <w:bCs/>
          <w:color w:val="auto"/>
          <w:sz w:val="24"/>
          <w:highlight w:val="none"/>
        </w:rPr>
        <w:t xml:space="preserve">.3 </w:t>
      </w:r>
      <w:r>
        <w:rPr>
          <w:color w:val="auto"/>
          <w:sz w:val="24"/>
          <w:highlight w:val="none"/>
        </w:rPr>
        <w:t>甲乙双方经协商一致后解除合同。</w:t>
      </w:r>
    </w:p>
    <w:bookmarkEnd w:id="198"/>
    <w:bookmarkEnd w:id="199"/>
    <w:bookmarkEnd w:id="200"/>
    <w:p>
      <w:pPr>
        <w:spacing w:line="420" w:lineRule="exact"/>
        <w:ind w:firstLine="482"/>
        <w:rPr>
          <w:bCs/>
          <w:color w:val="auto"/>
          <w:sz w:val="24"/>
          <w:highlight w:val="none"/>
        </w:rPr>
      </w:pPr>
      <w:r>
        <w:rPr>
          <w:b/>
          <w:color w:val="auto"/>
          <w:sz w:val="24"/>
          <w:highlight w:val="none"/>
        </w:rPr>
        <w:t>第</w:t>
      </w:r>
      <w:r>
        <w:rPr>
          <w:rFonts w:hint="eastAsia"/>
          <w:b/>
          <w:color w:val="auto"/>
          <w:sz w:val="24"/>
          <w:highlight w:val="none"/>
        </w:rPr>
        <w:t>九</w:t>
      </w:r>
      <w:r>
        <w:rPr>
          <w:b/>
          <w:color w:val="auto"/>
          <w:sz w:val="24"/>
          <w:highlight w:val="none"/>
        </w:rPr>
        <w:t>条 不可抗力</w:t>
      </w:r>
    </w:p>
    <w:p>
      <w:pPr>
        <w:spacing w:line="480" w:lineRule="exact"/>
        <w:ind w:firstLine="480" w:firstLineChars="200"/>
        <w:rPr>
          <w:color w:val="auto"/>
          <w:sz w:val="24"/>
          <w:highlight w:val="none"/>
        </w:rPr>
      </w:pPr>
      <w:r>
        <w:rPr>
          <w:rFonts w:hint="eastAsia"/>
          <w:color w:val="auto"/>
          <w:sz w:val="24"/>
          <w:highlight w:val="none"/>
        </w:rPr>
        <w:t>9</w:t>
      </w:r>
      <w:r>
        <w:rPr>
          <w:color w:val="auto"/>
          <w:sz w:val="24"/>
          <w:highlight w:val="none"/>
        </w:rPr>
        <w:t>.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color w:val="auto"/>
          <w:sz w:val="24"/>
          <w:highlight w:val="none"/>
        </w:rPr>
      </w:pPr>
      <w:r>
        <w:rPr>
          <w:color w:val="auto"/>
          <w:sz w:val="24"/>
          <w:highlight w:val="none"/>
        </w:rPr>
        <w:t>（1）地震、火山爆发、滑坡、暴雨（橙色预警及以上）、台风（黄色预警及以上）、海啸、龙卷风、大面积流行病(如：非典型性肺炎等)或瘟疫；</w:t>
      </w:r>
    </w:p>
    <w:p>
      <w:pPr>
        <w:spacing w:line="480" w:lineRule="exact"/>
        <w:ind w:firstLine="480" w:firstLineChars="200"/>
        <w:rPr>
          <w:color w:val="auto"/>
          <w:sz w:val="24"/>
          <w:highlight w:val="none"/>
        </w:rPr>
      </w:pPr>
      <w:r>
        <w:rPr>
          <w:color w:val="auto"/>
          <w:sz w:val="24"/>
          <w:highlight w:val="none"/>
        </w:rPr>
        <w:t>（2）战争行为、入侵、武装冲突或外敌行为、封锁、暴乱、恐怖行为或军事演习；</w:t>
      </w:r>
    </w:p>
    <w:p>
      <w:pPr>
        <w:spacing w:line="480" w:lineRule="exact"/>
        <w:ind w:firstLine="480" w:firstLineChars="200"/>
        <w:rPr>
          <w:color w:val="auto"/>
          <w:sz w:val="24"/>
          <w:highlight w:val="none"/>
        </w:rPr>
      </w:pPr>
      <w:r>
        <w:rPr>
          <w:rFonts w:hint="eastAsia"/>
          <w:color w:val="auto"/>
          <w:sz w:val="24"/>
          <w:highlight w:val="none"/>
        </w:rPr>
        <w:t>9</w:t>
      </w:r>
      <w:r>
        <w:rPr>
          <w:color w:val="auto"/>
          <w:sz w:val="24"/>
          <w:highlight w:val="none"/>
        </w:rPr>
        <w:t>.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color w:val="auto"/>
          <w:sz w:val="24"/>
          <w:highlight w:val="none"/>
        </w:rPr>
      </w:pPr>
      <w:r>
        <w:rPr>
          <w:rFonts w:hint="eastAsia"/>
          <w:color w:val="auto"/>
          <w:sz w:val="24"/>
          <w:highlight w:val="none"/>
        </w:rPr>
        <w:t>9</w:t>
      </w:r>
      <w:r>
        <w:rPr>
          <w:color w:val="auto"/>
          <w:sz w:val="24"/>
          <w:highlight w:val="none"/>
        </w:rPr>
        <w:t>.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bCs/>
          <w:color w:val="auto"/>
          <w:sz w:val="24"/>
          <w:highlight w:val="none"/>
        </w:rPr>
      </w:pPr>
      <w:r>
        <w:rPr>
          <w:rFonts w:hint="eastAsia"/>
          <w:color w:val="auto"/>
          <w:sz w:val="24"/>
          <w:highlight w:val="none"/>
        </w:rPr>
        <w:t>9</w:t>
      </w:r>
      <w:r>
        <w:rPr>
          <w:color w:val="auto"/>
          <w:sz w:val="24"/>
          <w:highlight w:val="none"/>
        </w:rPr>
        <w:t>.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color w:val="auto"/>
          <w:sz w:val="24"/>
          <w:highlight w:val="none"/>
        </w:rPr>
      </w:pPr>
      <w:r>
        <w:rPr>
          <w:b/>
          <w:color w:val="auto"/>
          <w:sz w:val="24"/>
          <w:highlight w:val="none"/>
        </w:rPr>
        <w:t>第十条  争议解决</w:t>
      </w:r>
    </w:p>
    <w:p>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0</w:t>
      </w:r>
      <w:r>
        <w:rPr>
          <w:color w:val="auto"/>
          <w:sz w:val="24"/>
          <w:highlight w:val="none"/>
        </w:rPr>
        <w:t>.1 因本合同引起的或与本合同有关的任何争议，甲乙双方应友好协商解决，如协商不成，任何一方均可依法向</w:t>
      </w:r>
      <w:r>
        <w:rPr>
          <w:color w:val="auto"/>
          <w:sz w:val="24"/>
          <w:highlight w:val="none"/>
          <w:u w:val="single"/>
        </w:rPr>
        <w:t>甲方所在地人民法院</w:t>
      </w:r>
      <w:r>
        <w:rPr>
          <w:color w:val="auto"/>
          <w:sz w:val="24"/>
          <w:highlight w:val="none"/>
        </w:rPr>
        <w:t>提起诉讼。</w:t>
      </w:r>
    </w:p>
    <w:p>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0</w:t>
      </w:r>
      <w:r>
        <w:rPr>
          <w:color w:val="auto"/>
          <w:sz w:val="24"/>
          <w:highlight w:val="none"/>
        </w:rPr>
        <w:t>.2 在甲方同意的情况下，除有争端之外的合同其它部分在争端解决前应继续执行。</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w:t>
      </w:r>
      <w:r>
        <w:rPr>
          <w:rFonts w:ascii="宋体" w:hAnsi="宋体" w:cs="宋体"/>
          <w:b/>
          <w:color w:val="auto"/>
          <w:sz w:val="24"/>
          <w:highlight w:val="none"/>
        </w:rPr>
        <w:t xml:space="preserve"> </w:t>
      </w:r>
      <w:r>
        <w:rPr>
          <w:rFonts w:hint="eastAsia" w:ascii="宋体" w:hAnsi="宋体" w:cs="宋体"/>
          <w:b/>
          <w:color w:val="auto"/>
          <w:sz w:val="24"/>
          <w:highlight w:val="none"/>
        </w:rPr>
        <w:t>其他：</w:t>
      </w:r>
    </w:p>
    <w:p>
      <w:pPr>
        <w:spacing w:line="360" w:lineRule="auto"/>
        <w:ind w:firstLine="595" w:firstLineChars="248"/>
        <w:rPr>
          <w:rFonts w:ascii="宋体" w:hAnsi="宋体" w:cs="宋体"/>
          <w:b/>
          <w:color w:val="auto"/>
          <w:sz w:val="24"/>
          <w:highlight w:val="none"/>
        </w:rPr>
      </w:pPr>
      <w:r>
        <w:rPr>
          <w:rFonts w:ascii="宋体" w:hAnsi="宋体" w:cs="宋体"/>
          <w:bCs/>
          <w:color w:val="auto"/>
          <w:sz w:val="24"/>
          <w:highlight w:val="none"/>
        </w:rPr>
        <w:t>1</w:t>
      </w:r>
      <w:r>
        <w:rPr>
          <w:rFonts w:hint="eastAsia" w:ascii="宋体" w:hAnsi="宋体" w:cs="宋体"/>
          <w:bCs/>
          <w:color w:val="auto"/>
          <w:sz w:val="24"/>
          <w:highlight w:val="none"/>
        </w:rPr>
        <w:t>1</w:t>
      </w:r>
      <w:r>
        <w:rPr>
          <w:rFonts w:ascii="宋体" w:hAnsi="宋体" w:cs="宋体"/>
          <w:bCs/>
          <w:color w:val="auto"/>
          <w:sz w:val="24"/>
          <w:highlight w:val="none"/>
        </w:rPr>
        <w:t>.1</w:t>
      </w:r>
      <w:r>
        <w:rPr>
          <w:rFonts w:hint="eastAsia" w:ascii="宋体" w:hAnsi="宋体" w:cs="宋体"/>
          <w:color w:val="auto"/>
          <w:sz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1</w:t>
      </w:r>
      <w:r>
        <w:rPr>
          <w:rFonts w:ascii="宋体" w:hAnsi="宋体" w:cs="宋体"/>
          <w:color w:val="auto"/>
          <w:sz w:val="24"/>
          <w:highlight w:val="none"/>
        </w:rPr>
        <w:t>.2</w:t>
      </w:r>
      <w:r>
        <w:rPr>
          <w:rFonts w:hint="eastAsia" w:ascii="宋体" w:hAnsi="宋体" w:cs="宋体"/>
          <w:color w:val="auto"/>
          <w:sz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1</w:t>
      </w:r>
      <w:r>
        <w:rPr>
          <w:rFonts w:ascii="宋体" w:hAnsi="宋体" w:cs="宋体"/>
          <w:color w:val="auto"/>
          <w:sz w:val="24"/>
          <w:highlight w:val="none"/>
        </w:rPr>
        <w:t>.3</w:t>
      </w:r>
      <w:r>
        <w:rPr>
          <w:rFonts w:hint="eastAsia" w:ascii="宋体" w:hAnsi="宋体" w:cs="宋体"/>
          <w:color w:val="auto"/>
          <w:sz w:val="24"/>
          <w:highlight w:val="none"/>
        </w:rPr>
        <w:t>本合同一式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陆</w:t>
      </w:r>
      <w:r>
        <w:rPr>
          <w:rFonts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肆</w:t>
      </w:r>
      <w:r>
        <w:rPr>
          <w:rFonts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贰</w:t>
      </w:r>
      <w:r>
        <w:rPr>
          <w:rFonts w:ascii="宋体" w:hAnsi="宋体" w:cs="宋体"/>
          <w:color w:val="auto"/>
          <w:sz w:val="24"/>
          <w:highlight w:val="none"/>
          <w:u w:val="single"/>
        </w:rPr>
        <w:t xml:space="preserve"> </w:t>
      </w:r>
      <w:r>
        <w:rPr>
          <w:rFonts w:hint="eastAsia" w:ascii="宋体" w:hAnsi="宋体" w:cs="宋体"/>
          <w:color w:val="auto"/>
          <w:sz w:val="24"/>
          <w:highlight w:val="none"/>
        </w:rPr>
        <w:t>份。均具有同等法律效力。</w:t>
      </w:r>
    </w:p>
    <w:p>
      <w:pPr>
        <w:spacing w:line="360" w:lineRule="auto"/>
        <w:ind w:firstLine="600" w:firstLineChars="25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1</w:t>
      </w:r>
      <w:r>
        <w:rPr>
          <w:rFonts w:ascii="宋体" w:hAnsi="宋体" w:cs="宋体"/>
          <w:color w:val="auto"/>
          <w:sz w:val="24"/>
          <w:highlight w:val="none"/>
        </w:rPr>
        <w:t>.4</w:t>
      </w:r>
      <w:r>
        <w:rPr>
          <w:rFonts w:hint="eastAsia" w:ascii="宋体" w:hAnsi="宋体" w:cs="宋体"/>
          <w:color w:val="auto"/>
          <w:sz w:val="24"/>
          <w:highlight w:val="none"/>
        </w:rPr>
        <w:t>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p>
    <w:p>
      <w:pPr>
        <w:pStyle w:val="22"/>
        <w:rPr>
          <w:color w:val="auto"/>
          <w:highlight w:val="none"/>
        </w:rPr>
      </w:pPr>
    </w:p>
    <w:p>
      <w:pPr>
        <w:pStyle w:val="22"/>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3.营运场所施工安全及消防安全协议书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4.项目投入人员架构</w:t>
      </w:r>
    </w:p>
    <w:p>
      <w:pPr>
        <w:pStyle w:val="29"/>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spacing w:line="460" w:lineRule="exact"/>
        <w:ind w:left="5280" w:hanging="5280" w:hangingChars="2200"/>
        <w:rPr>
          <w:rFonts w:ascii="宋体" w:hAnsi="宋体" w:cs="宋体"/>
          <w:color w:val="auto"/>
          <w:sz w:val="24"/>
          <w:highlight w:val="none"/>
        </w:rPr>
      </w:pPr>
      <w:r>
        <w:rPr>
          <w:rFonts w:hint="eastAsia" w:ascii="宋体" w:hAnsi="宋体" w:cs="宋体"/>
          <w:color w:val="auto"/>
          <w:sz w:val="24"/>
          <w:highlight w:val="none"/>
        </w:rPr>
        <w:t>地址：广州市天河区临江大道501号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地址：         </w:t>
      </w:r>
    </w:p>
    <w:p>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经办人：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联系电话：             </w:t>
      </w:r>
      <w:r>
        <w:rPr>
          <w:rFonts w:ascii="宋体" w:hAnsi="宋体" w:cs="宋体"/>
          <w:color w:val="auto"/>
          <w:sz w:val="24"/>
          <w:highlight w:val="none"/>
        </w:rPr>
        <w:t xml:space="preserve">              </w:t>
      </w:r>
      <w:r>
        <w:rPr>
          <w:rFonts w:hint="eastAsia" w:ascii="宋体" w:hAnsi="宋体" w:cs="宋体"/>
          <w:color w:val="auto"/>
          <w:sz w:val="24"/>
          <w:highlight w:val="none"/>
        </w:rPr>
        <w:t xml:space="preserve">联系电话：     </w:t>
      </w:r>
    </w:p>
    <w:p>
      <w:pPr>
        <w:spacing w:line="500" w:lineRule="exact"/>
        <w:ind w:left="636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pStyle w:val="22"/>
        <w:rPr>
          <w:rFonts w:cs="宋体"/>
          <w:b/>
          <w:bCs/>
          <w:color w:val="auto"/>
          <w:szCs w:val="21"/>
          <w:highlight w:val="none"/>
        </w:rPr>
      </w:pPr>
    </w:p>
    <w:p>
      <w:pPr>
        <w:rPr>
          <w:rFonts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spacing w:line="52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ind w:firstLine="540" w:firstLineChars="225"/>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color w:val="auto"/>
          <w:sz w:val="24"/>
          <w:szCs w:val="24"/>
          <w:highlight w:val="none"/>
          <w:u w:val="single"/>
        </w:rPr>
        <w:t>广州市净水有限公司</w:t>
      </w:r>
      <w:r>
        <w:rPr>
          <w:rFonts w:hint="eastAsia" w:ascii="仿宋" w:hAnsi="仿宋" w:eastAsia="仿宋" w:cs="仿宋"/>
          <w:bCs/>
          <w:color w:val="auto"/>
          <w:sz w:val="24"/>
          <w:szCs w:val="24"/>
          <w:highlight w:val="none"/>
        </w:rPr>
        <w:t>(以下称甲方)与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(以下称乙方)，特此订立本协议共同遵照执行。</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第一条 甲乙双方的权利和义务</w:t>
      </w:r>
    </w:p>
    <w:p>
      <w:pPr>
        <w:ind w:firstLine="360" w:firstLineChars="15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（一）甲乙双方严格遵守国家关于市场准入、项目招标投标、市场经营活动等有关法律、法规相关政策及廉政建设的各项规定。</w:t>
      </w:r>
    </w:p>
    <w:p>
      <w:pPr>
        <w:ind w:firstLine="360" w:firstLineChars="15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（二）严格执行</w:t>
      </w:r>
      <w:r>
        <w:rPr>
          <w:rFonts w:hint="eastAsia" w:ascii="仿宋" w:hAnsi="仿宋" w:eastAsia="仿宋" w:cs="仿宋"/>
          <w:bCs/>
          <w:color w:val="auto"/>
          <w:sz w:val="24"/>
          <w:szCs w:val="24"/>
          <w:highlight w:val="none"/>
          <w:u w:val="single"/>
        </w:rPr>
        <w:t xml:space="preserve">      穗净水合[    ]     号</w:t>
      </w:r>
      <w:r>
        <w:rPr>
          <w:rFonts w:hint="eastAsia" w:ascii="仿宋" w:hAnsi="仿宋" w:eastAsia="仿宋" w:cs="仿宋"/>
          <w:bCs/>
          <w:color w:val="auto"/>
          <w:sz w:val="24"/>
          <w:szCs w:val="24"/>
          <w:highlight w:val="none"/>
        </w:rPr>
        <w:t>合同（以下简称：主合同），自觉履行合同约定的相关义务。</w:t>
      </w:r>
    </w:p>
    <w:p>
      <w:pPr>
        <w:ind w:firstLine="360" w:firstLineChars="15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（三）在业务活动中坚持公开、公正、诚信、透明的原则，不得损害国家、集体利益。</w:t>
      </w:r>
    </w:p>
    <w:p>
      <w:pPr>
        <w:ind w:firstLine="360" w:firstLineChars="15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（四）建立健全廉洁从业制度，开展廉洁教育，公布举报电话，监督并认真查处不廉洁及违法违纪行为。</w:t>
      </w:r>
    </w:p>
    <w:p>
      <w:pPr>
        <w:ind w:firstLine="360" w:firstLineChars="15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（五）发现对方在业务活动中有不廉洁行为，应及时提醒对方纠正。情节严重的，应向其有关监督部门检举。</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第二条甲方的义务</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（一）甲方及其工作人员不得索要或接受乙方的礼金、有价证券和贵重物品，不得在乙方报销任何应由甲方或个人支付的费用等。</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（三）甲方及其工作人员不得要求或者接受乙方为其住房装修、婚丧嫁娶活动、配偶子女工作安排以及出国出境、旅游等提供方便等。</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（四）甲方工作人员不得在乙方或与乙方有股权关联的企业兼职，不得向乙方介绍家属或者亲友从事与甲方业务有关的经济活动。</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（六）甲方工作人员不得利用职务之便收受乙方以回扣、手续费、加班费、咨询费、劳务费、协调费、辛苦费等各种名义给予或赠送的钱物。</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（七）甲方工作人员不得接受乙方给予或赠送的干股或红利。</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(八）不得存在其他违反廉洁规定的行为。</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第三条乙方的义务</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（一）乙方不得以任何理由向甲方及其工作人员行贿或馈赠礼金、有价证券、贵重礼品。</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（二)乙方不得以任何名义为甲方及其工作人员报销应由甲方单位或个人支付的任何费用。</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（三）乙方不得以任何理由安排甲方工作人员参加可能影响相关业务公开、公正、公平性的宴请及娱乐活动。</w:t>
      </w:r>
    </w:p>
    <w:p>
      <w:pPr>
        <w:pStyle w:val="2"/>
        <w:adjustRightInd/>
        <w:spacing w:after="0" w:line="240" w:lineRule="auto"/>
        <w:ind w:left="0" w:hanging="56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（四）乙方不得为甲方单位和个人购置或提供通讯工具和高档办公用品等物品，也不得为甲方提供与工作无关的房屋、汽车等。</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（五）乙方不得擅自与甲方工作人员就主合同中的质量、数量、价格、工程量、验收等条款进行私下商谈或者达成默契。</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（六）乙方不得以回扣、手续费、加班费、咨询费、劳务费、协调费、辛苦费等各种名义向甲方工作人员给予或赠送钱物。</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（七）乙方不得向甲方工作人员提供干股或红利。</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(八）不得存在其他违反廉洁规定的行为。</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第四条违约责任</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甲方举报投诉联系部门：广州市净水有限公司</w:t>
      </w:r>
      <w:r>
        <w:rPr>
          <w:rFonts w:hint="eastAsia" w:ascii="仿宋" w:hAnsi="仿宋" w:eastAsia="仿宋" w:cs="仿宋"/>
          <w:bCs/>
          <w:color w:val="auto"/>
          <w:sz w:val="24"/>
          <w:szCs w:val="24"/>
          <w:highlight w:val="none"/>
          <w:u w:val="single"/>
        </w:rPr>
        <w:t>纪检室</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020-38890265 </w:t>
      </w:r>
      <w:r>
        <w:rPr>
          <w:rFonts w:hint="eastAsia" w:ascii="仿宋" w:hAnsi="仿宋" w:eastAsia="仿宋" w:cs="仿宋"/>
          <w:bCs/>
          <w:color w:val="auto"/>
          <w:sz w:val="24"/>
          <w:szCs w:val="24"/>
          <w:highlight w:val="none"/>
        </w:rPr>
        <w:t>。</w:t>
      </w:r>
    </w:p>
    <w:p>
      <w:pPr>
        <w:pStyle w:val="21"/>
        <w:spacing w:line="240" w:lineRule="auto"/>
        <w:rPr>
          <w:rFonts w:ascii="仿宋" w:hAnsi="仿宋" w:eastAsia="仿宋" w:cs="仿宋"/>
          <w:color w:val="auto"/>
          <w:highlight w:val="none"/>
        </w:rPr>
      </w:pPr>
      <w:r>
        <w:rPr>
          <w:rFonts w:hint="eastAsia" w:ascii="仿宋" w:hAnsi="仿宋" w:eastAsia="仿宋" w:cs="仿宋"/>
          <w:color w:val="auto"/>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240" w:lineRule="auto"/>
        <w:rPr>
          <w:rFonts w:ascii="仿宋" w:hAnsi="仿宋" w:eastAsia="仿宋" w:cs="仿宋"/>
          <w:color w:val="auto"/>
          <w:highlight w:val="none"/>
        </w:rPr>
      </w:pPr>
      <w:r>
        <w:rPr>
          <w:rFonts w:hint="eastAsia" w:ascii="仿宋" w:hAnsi="仿宋" w:eastAsia="仿宋" w:cs="仿宋"/>
          <w:color w:val="auto"/>
          <w:highlight w:val="none"/>
        </w:rPr>
        <w:t>1、扣除主合同的全部履约保证金；</w:t>
      </w:r>
    </w:p>
    <w:p>
      <w:pPr>
        <w:pStyle w:val="21"/>
        <w:spacing w:line="240" w:lineRule="auto"/>
        <w:rPr>
          <w:rFonts w:ascii="仿宋" w:hAnsi="仿宋" w:eastAsia="仿宋" w:cs="仿宋"/>
          <w:color w:val="auto"/>
          <w:highlight w:val="none"/>
        </w:rPr>
      </w:pPr>
      <w:r>
        <w:rPr>
          <w:rFonts w:hint="eastAsia" w:ascii="仿宋" w:hAnsi="仿宋" w:eastAsia="仿宋" w:cs="仿宋"/>
          <w:color w:val="auto"/>
          <w:highlight w:val="none"/>
        </w:rPr>
        <w:t>2、解除主合同；</w:t>
      </w:r>
    </w:p>
    <w:p>
      <w:pPr>
        <w:pStyle w:val="21"/>
        <w:spacing w:line="240" w:lineRule="auto"/>
        <w:rPr>
          <w:rFonts w:ascii="仿宋" w:hAnsi="仿宋" w:eastAsia="仿宋" w:cs="仿宋"/>
          <w:color w:val="auto"/>
          <w:highlight w:val="none"/>
        </w:rPr>
      </w:pPr>
      <w:r>
        <w:rPr>
          <w:rFonts w:hint="eastAsia" w:ascii="仿宋" w:hAnsi="仿宋" w:eastAsia="仿宋" w:cs="仿宋"/>
          <w:color w:val="auto"/>
          <w:highlight w:val="none"/>
        </w:rPr>
        <w:t>3、追究乙方其他违约责任；</w:t>
      </w:r>
    </w:p>
    <w:p>
      <w:pPr>
        <w:pStyle w:val="21"/>
        <w:spacing w:line="240" w:lineRule="auto"/>
        <w:rPr>
          <w:rFonts w:ascii="仿宋" w:hAnsi="仿宋" w:eastAsia="仿宋" w:cs="仿宋"/>
          <w:color w:val="auto"/>
          <w:highlight w:val="none"/>
        </w:rPr>
      </w:pPr>
      <w:r>
        <w:rPr>
          <w:rFonts w:hint="eastAsia" w:ascii="仿宋" w:hAnsi="仿宋" w:eastAsia="仿宋" w:cs="仿宋"/>
          <w:color w:val="auto"/>
          <w:highlight w:val="none"/>
        </w:rPr>
        <w:t>4、根据甲方的有关规章制度，在一定时间内暂停乙方参与甲方及下属单位所有项目的交易资格；</w:t>
      </w:r>
    </w:p>
    <w:p>
      <w:pPr>
        <w:pStyle w:val="21"/>
        <w:spacing w:line="240" w:lineRule="auto"/>
        <w:rPr>
          <w:rFonts w:ascii="仿宋" w:hAnsi="仿宋" w:eastAsia="仿宋" w:cs="仿宋"/>
          <w:color w:val="auto"/>
          <w:highlight w:val="none"/>
        </w:rPr>
      </w:pPr>
      <w:r>
        <w:rPr>
          <w:rFonts w:hint="eastAsia" w:ascii="仿宋" w:hAnsi="仿宋" w:eastAsia="仿宋" w:cs="仿宋"/>
          <w:color w:val="auto"/>
          <w:highlight w:val="none"/>
        </w:rPr>
        <w:t>5、根据甲方的有关规章制度，将乙方清退出甲方相关企业库；</w:t>
      </w:r>
    </w:p>
    <w:p>
      <w:pPr>
        <w:pStyle w:val="21"/>
        <w:spacing w:line="240" w:lineRule="auto"/>
        <w:rPr>
          <w:rFonts w:ascii="仿宋" w:hAnsi="仿宋" w:eastAsia="仿宋" w:cs="仿宋"/>
          <w:color w:val="auto"/>
          <w:highlight w:val="none"/>
        </w:rPr>
      </w:pPr>
      <w:r>
        <w:rPr>
          <w:rFonts w:hint="eastAsia" w:ascii="仿宋" w:hAnsi="仿宋" w:eastAsia="仿宋" w:cs="仿宋"/>
          <w:color w:val="auto"/>
          <w:highlight w:val="none"/>
        </w:rPr>
        <w:t>6、根据甲方上级单位、行政主管部门的意见、决定执行；</w:t>
      </w:r>
    </w:p>
    <w:p>
      <w:pPr>
        <w:pStyle w:val="21"/>
        <w:spacing w:line="240" w:lineRule="auto"/>
        <w:rPr>
          <w:rFonts w:ascii="仿宋" w:hAnsi="仿宋" w:eastAsia="仿宋" w:cs="仿宋"/>
          <w:color w:val="auto"/>
          <w:highlight w:val="none"/>
        </w:rPr>
      </w:pPr>
      <w:r>
        <w:rPr>
          <w:rFonts w:hint="eastAsia" w:ascii="仿宋" w:hAnsi="仿宋" w:eastAsia="仿宋" w:cs="仿宋"/>
          <w:color w:val="auto"/>
          <w:highlight w:val="none"/>
        </w:rPr>
        <w:t>7、按规定向有关行政监督部门、乙方业务管理部门进行投诉、报告。</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乙方无条件接受甲方的处理决定并承担给甲方造成的损失，全额返还通过不正当手段获取的非法所得，并承担相应的法律责任。</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第五条 本协议执行情况，接受有管辖权的纪检、监察部门的监督，双方应予以配合检查调查。 </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第六条本协议作为</w:t>
      </w:r>
      <w:r>
        <w:rPr>
          <w:rFonts w:hint="eastAsia" w:ascii="仿宋" w:hAnsi="仿宋" w:eastAsia="仿宋" w:cs="仿宋"/>
          <w:bCs/>
          <w:color w:val="auto"/>
          <w:sz w:val="24"/>
          <w:szCs w:val="24"/>
          <w:highlight w:val="none"/>
          <w:u w:val="single"/>
        </w:rPr>
        <w:t xml:space="preserve">               ，穗净水合[    ]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合同的附件，并具有同等的法律效力，本协议自双方签字盖章之日起生效，与主合同同时终止。</w:t>
      </w:r>
    </w:p>
    <w:p>
      <w:pPr>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第七条本协议一式</w:t>
      </w:r>
      <w:r>
        <w:rPr>
          <w:rFonts w:hint="eastAsia" w:ascii="仿宋" w:hAnsi="仿宋" w:eastAsia="仿宋" w:cs="仿宋"/>
          <w:bCs/>
          <w:color w:val="auto"/>
          <w:sz w:val="24"/>
          <w:szCs w:val="24"/>
          <w:highlight w:val="none"/>
          <w:u w:val="single"/>
        </w:rPr>
        <w:t>柒</w:t>
      </w:r>
      <w:r>
        <w:rPr>
          <w:rFonts w:hint="eastAsia" w:ascii="仿宋" w:hAnsi="仿宋" w:eastAsia="仿宋" w:cs="仿宋"/>
          <w:bCs/>
          <w:color w:val="auto"/>
          <w:sz w:val="24"/>
          <w:szCs w:val="24"/>
          <w:highlight w:val="none"/>
        </w:rPr>
        <w:t>份，甲方</w:t>
      </w:r>
      <w:r>
        <w:rPr>
          <w:rFonts w:hint="eastAsia" w:ascii="仿宋" w:hAnsi="仿宋" w:eastAsia="仿宋" w:cs="仿宋"/>
          <w:bCs/>
          <w:color w:val="auto"/>
          <w:sz w:val="24"/>
          <w:szCs w:val="24"/>
          <w:highlight w:val="none"/>
          <w:u w:val="single"/>
        </w:rPr>
        <w:t>陆</w:t>
      </w:r>
      <w:r>
        <w:rPr>
          <w:rFonts w:hint="eastAsia" w:ascii="仿宋" w:hAnsi="仿宋" w:eastAsia="仿宋" w:cs="仿宋"/>
          <w:bCs/>
          <w:color w:val="auto"/>
          <w:sz w:val="24"/>
          <w:szCs w:val="24"/>
          <w:highlight w:val="none"/>
        </w:rPr>
        <w:t>份，乙方</w:t>
      </w:r>
      <w:r>
        <w:rPr>
          <w:rFonts w:hint="eastAsia" w:ascii="仿宋" w:hAnsi="仿宋" w:eastAsia="仿宋" w:cs="仿宋"/>
          <w:bCs/>
          <w:color w:val="auto"/>
          <w:sz w:val="24"/>
          <w:szCs w:val="24"/>
          <w:highlight w:val="none"/>
          <w:u w:val="single"/>
        </w:rPr>
        <w:t>壹</w:t>
      </w:r>
      <w:r>
        <w:rPr>
          <w:rFonts w:hint="eastAsia" w:ascii="仿宋" w:hAnsi="仿宋" w:eastAsia="仿宋" w:cs="仿宋"/>
          <w:bCs/>
          <w:color w:val="auto"/>
          <w:sz w:val="24"/>
          <w:szCs w:val="24"/>
          <w:highlight w:val="none"/>
        </w:rPr>
        <w:t>份。</w:t>
      </w:r>
    </w:p>
    <w:p>
      <w:pPr>
        <w:ind w:firstLine="480" w:firstLineChars="200"/>
        <w:rPr>
          <w:rFonts w:ascii="仿宋" w:hAnsi="仿宋" w:eastAsia="仿宋" w:cs="仿宋"/>
          <w:bCs/>
          <w:color w:val="auto"/>
          <w:sz w:val="24"/>
          <w:szCs w:val="24"/>
          <w:highlight w:val="none"/>
        </w:rPr>
      </w:pPr>
    </w:p>
    <w:p>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甲方（盖章）：                     乙方（盖章）：</w:t>
      </w:r>
    </w:p>
    <w:p>
      <w:pPr>
        <w:tabs>
          <w:tab w:val="left" w:pos="5100"/>
        </w:tabs>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签约代表：                         签约代表：</w:t>
      </w:r>
    </w:p>
    <w:p>
      <w:pPr>
        <w:tabs>
          <w:tab w:val="left" w:pos="4170"/>
        </w:tabs>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tab/>
      </w:r>
      <w:r>
        <w:rPr>
          <w:rFonts w:hint="eastAsia" w:ascii="仿宋" w:hAnsi="仿宋" w:eastAsia="仿宋" w:cs="仿宋"/>
          <w:bCs/>
          <w:color w:val="auto"/>
          <w:sz w:val="24"/>
          <w:szCs w:val="24"/>
          <w:highlight w:val="none"/>
        </w:rPr>
        <w:t xml:space="preserve">     日期：  年  月  日</w:t>
      </w:r>
    </w:p>
    <w:p>
      <w:pPr>
        <w:tabs>
          <w:tab w:val="left" w:pos="4170"/>
        </w:tabs>
        <w:rPr>
          <w:rFonts w:ascii="仿宋" w:hAnsi="仿宋" w:eastAsia="仿宋" w:cs="仿宋"/>
          <w:b/>
          <w:color w:val="auto"/>
          <w:sz w:val="24"/>
          <w:szCs w:val="24"/>
          <w:highlight w:val="none"/>
        </w:rPr>
      </w:pPr>
    </w:p>
    <w:p>
      <w:pPr>
        <w:tabs>
          <w:tab w:val="left" w:pos="4170"/>
        </w:tabs>
        <w:spacing w:line="360" w:lineRule="auto"/>
        <w:rPr>
          <w:rFonts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w:t>
      </w:r>
      <w:r>
        <w:rPr>
          <w:rFonts w:hint="eastAsia" w:ascii="方正小标宋简体" w:hAnsi="方正小标宋简体" w:eastAsia="方正小标宋简体" w:cs="方正小标宋简体"/>
          <w:bCs/>
          <w:color w:val="auto"/>
          <w:sz w:val="32"/>
          <w:szCs w:val="32"/>
          <w:highlight w:val="none"/>
          <w:lang w:bidi="ar"/>
        </w:rPr>
        <w:t>营运场所施工安全及消防安全协议书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sz w:val="44"/>
          <w:szCs w:val="44"/>
          <w:highlight w:val="none"/>
        </w:rPr>
      </w:pPr>
      <w:r>
        <w:rPr>
          <w:rFonts w:hint="eastAsia" w:ascii="方正小标宋简体" w:hAnsi="方正小标宋简体" w:eastAsia="方正小标宋简体" w:cs="方正小标宋简体"/>
          <w:bCs/>
          <w:color w:val="auto"/>
          <w:sz w:val="32"/>
          <w:szCs w:val="32"/>
          <w:highlight w:val="none"/>
          <w:lang w:bidi="ar"/>
        </w:rPr>
        <w:t>营运场所施工安全及消防安全协议书</w:t>
      </w:r>
    </w:p>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甲方：广州市净水有限公司</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 </w:t>
      </w:r>
    </w:p>
    <w:p>
      <w:pPr>
        <w:rPr>
          <w:rStyle w:val="26"/>
          <w:rFonts w:ascii="仿宋" w:hAnsi="仿宋" w:eastAsia="仿宋" w:cs="仿宋"/>
          <w:b w:val="0"/>
          <w:color w:val="auto"/>
          <w:sz w:val="24"/>
          <w:szCs w:val="24"/>
          <w:highlight w:val="none"/>
          <w:u w:val="single"/>
        </w:rPr>
      </w:pPr>
    </w:p>
    <w:p>
      <w:pPr>
        <w:spacing w:line="440" w:lineRule="exact"/>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lang w:bidi="ar"/>
        </w:rPr>
        <w:t>根据《中华人民共和国安全生产法》、《中华人民共和国消防法》、《生产安全事故报告和调查处理条例》、《建设工程安全生产管理条例》等国家及地方有关安全生产、消防安全法律法规，甲乙双方就安全及消防安全事宜，</w:t>
      </w:r>
      <w:r>
        <w:rPr>
          <w:rFonts w:hint="eastAsia" w:ascii="仿宋_GB2312" w:hAnsi="仿宋_GB2312" w:eastAsia="仿宋_GB2312" w:cs="仿宋_GB2312"/>
          <w:bCs/>
          <w:color w:val="auto"/>
          <w:sz w:val="24"/>
          <w:szCs w:val="24"/>
          <w:highlight w:val="none"/>
          <w:lang w:bidi="ar"/>
        </w:rPr>
        <w:t>经双方友好协商，达成如下协议</w:t>
      </w:r>
      <w:r>
        <w:rPr>
          <w:rFonts w:hint="eastAsia" w:ascii="仿宋_GB2312" w:hAnsi="仿宋_GB2312" w:eastAsia="仿宋_GB2312" w:cs="仿宋_GB2312"/>
          <w:bCs/>
          <w:color w:val="auto"/>
          <w:kern w:val="0"/>
          <w:sz w:val="24"/>
          <w:szCs w:val="24"/>
          <w:highlight w:val="none"/>
          <w:lang w:bidi="ar"/>
        </w:rPr>
        <w:t>。</w:t>
      </w:r>
    </w:p>
    <w:p>
      <w:pPr>
        <w:adjustRightInd w:val="0"/>
        <w:snapToGrid w:val="0"/>
        <w:spacing w:line="440" w:lineRule="exact"/>
        <w:ind w:firstLine="480" w:firstLineChars="200"/>
        <w:jc w:val="left"/>
        <w:rPr>
          <w:rFonts w:ascii="黑体" w:hAnsi="宋体" w:eastAsia="黑体" w:cs="黑体"/>
          <w:color w:val="auto"/>
          <w:sz w:val="24"/>
          <w:szCs w:val="24"/>
          <w:highlight w:val="none"/>
        </w:rPr>
      </w:pPr>
      <w:r>
        <w:rPr>
          <w:rFonts w:hint="eastAsia" w:ascii="黑体" w:hAnsi="宋体" w:eastAsia="黑体" w:cs="黑体"/>
          <w:color w:val="auto"/>
          <w:sz w:val="24"/>
          <w:szCs w:val="24"/>
          <w:highlight w:val="none"/>
          <w:lang w:bidi="ar"/>
        </w:rPr>
        <w:t>一、总则</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kern w:val="0"/>
          <w:sz w:val="24"/>
          <w:szCs w:val="24"/>
          <w:highlight w:val="none"/>
          <w:lang w:bidi="ar"/>
        </w:rPr>
        <w:t>（一）本协议是合同</w:t>
      </w:r>
      <w:r>
        <w:rPr>
          <w:rFonts w:hint="eastAsia" w:ascii="仿宋_GB2312" w:hAnsi="仿宋_GB2312" w:eastAsia="仿宋_GB2312" w:cs="仿宋_GB2312"/>
          <w:bCs/>
          <w:color w:val="auto"/>
          <w:sz w:val="24"/>
          <w:szCs w:val="24"/>
          <w:highlight w:val="none"/>
          <w:u w:val="single"/>
          <w:lang w:bidi="ar"/>
        </w:rPr>
        <w:t xml:space="preserve">                      （穗净水合〔     〕    号） </w:t>
      </w:r>
      <w:r>
        <w:rPr>
          <w:rFonts w:hint="eastAsia" w:ascii="仿宋_GB2312" w:hAnsi="仿宋_GB2312" w:eastAsia="仿宋_GB2312" w:cs="仿宋_GB2312"/>
          <w:bCs/>
          <w:color w:val="auto"/>
          <w:sz w:val="24"/>
          <w:szCs w:val="24"/>
          <w:highlight w:val="none"/>
          <w:lang w:bidi="ar"/>
        </w:rPr>
        <w:t>的组成部分。</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lang w:bidi="ar"/>
        </w:rPr>
        <w:t>（二）甲、乙双方应遵守国家、省、市有关安全生产、消防安全的法律、法规、规章，履行安全生产、消防安全职责，保障人员生命、财产安全。</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lang w:bidi="ar"/>
        </w:rPr>
        <w:t>（三）甲、乙双方应当逐级落实安全生产、消防安全责任制，明确逐级岗位人员的安全生产、消防安全职责。</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lang w:bidi="ar"/>
        </w:rPr>
        <w:t>（四）本协议是对在满足法律法规规定的双方安全及消防安全责任的基础上的补充事项。</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lang w:bidi="ar"/>
        </w:rPr>
        <w:t>（五）当同一个场所、池体内，甲方安排两个或以上的承包单位同时施工的，由甲方组织各承包单位签订《营运场所交叉作业安全及消防安全协议书》。</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lang w:bidi="ar"/>
        </w:rPr>
        <w:t>（六）乙方的单位及人员资质（</w:t>
      </w:r>
      <w:r>
        <w:rPr>
          <w:rFonts w:hint="eastAsia" w:ascii="仿宋_GB2312" w:hAnsi="仿宋_GB2312" w:eastAsia="仿宋_GB2312" w:cs="仿宋_GB2312"/>
          <w:b/>
          <w:color w:val="auto"/>
          <w:kern w:val="0"/>
          <w:sz w:val="24"/>
          <w:szCs w:val="24"/>
          <w:highlight w:val="none"/>
          <w:lang w:bidi="ar"/>
        </w:rPr>
        <w:t>单项选择并填写</w:t>
      </w:r>
      <w:r>
        <w:rPr>
          <w:rFonts w:hint="eastAsia" w:ascii="仿宋_GB2312" w:hAnsi="仿宋_GB2312" w:eastAsia="仿宋_GB2312" w:cs="仿宋_GB2312"/>
          <w:bCs/>
          <w:color w:val="auto"/>
          <w:kern w:val="0"/>
          <w:sz w:val="24"/>
          <w:szCs w:val="24"/>
          <w:highlight w:val="none"/>
          <w:lang w:bidi="ar"/>
        </w:rPr>
        <w:t>）</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ascii="仿宋_GB2312" w:hAnsi="仿宋_GB2312" w:eastAsia="仿宋_GB2312" w:cs="仿宋_GB2312"/>
          <w:bCs/>
          <w:color w:val="auto"/>
          <w:kern w:val="0"/>
          <w:sz w:val="24"/>
          <w:szCs w:val="24"/>
          <w:highlight w:val="none"/>
          <w:lang w:bidi="ar"/>
        </w:rPr>
        <w:sym w:font="Wingdings 2" w:char="00A3"/>
      </w:r>
      <w:r>
        <w:rPr>
          <w:rFonts w:hint="eastAsia" w:ascii="仿宋_GB2312" w:hAnsi="仿宋_GB2312" w:eastAsia="仿宋_GB2312" w:cs="仿宋_GB2312"/>
          <w:bCs/>
          <w:color w:val="auto"/>
          <w:kern w:val="0"/>
          <w:sz w:val="24"/>
          <w:szCs w:val="24"/>
          <w:highlight w:val="none"/>
          <w:lang w:bidi="ar"/>
        </w:rPr>
        <w:t>1.详见合同第</w:t>
      </w:r>
      <w:r>
        <w:rPr>
          <w:rFonts w:hint="eastAsia" w:ascii="仿宋_GB2312" w:hAnsi="仿宋_GB2312" w:eastAsia="仿宋_GB2312" w:cs="仿宋_GB2312"/>
          <w:bCs/>
          <w:color w:val="auto"/>
          <w:sz w:val="24"/>
          <w:szCs w:val="24"/>
          <w:highlight w:val="none"/>
          <w:u w:val="single"/>
          <w:lang w:bidi="ar"/>
        </w:rPr>
        <w:t xml:space="preserve">           </w:t>
      </w:r>
      <w:r>
        <w:rPr>
          <w:rFonts w:hint="eastAsia" w:ascii="仿宋_GB2312" w:hAnsi="仿宋_GB2312" w:eastAsia="仿宋_GB2312" w:cs="仿宋_GB2312"/>
          <w:bCs/>
          <w:color w:val="auto"/>
          <w:sz w:val="24"/>
          <w:szCs w:val="24"/>
          <w:highlight w:val="none"/>
          <w:lang w:bidi="ar"/>
        </w:rPr>
        <w:t>条。</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ascii="仿宋_GB2312" w:hAnsi="仿宋_GB2312" w:eastAsia="仿宋_GB2312" w:cs="仿宋_GB2312"/>
          <w:bCs/>
          <w:color w:val="auto"/>
          <w:kern w:val="0"/>
          <w:sz w:val="24"/>
          <w:szCs w:val="24"/>
          <w:highlight w:val="none"/>
          <w:lang w:bidi="ar"/>
        </w:rPr>
        <w:sym w:font="Wingdings 2" w:char="00A3"/>
      </w:r>
      <w:r>
        <w:rPr>
          <w:rFonts w:hint="eastAsia" w:ascii="仿宋_GB2312" w:hAnsi="仿宋_GB2312" w:eastAsia="仿宋_GB2312" w:cs="仿宋_GB2312"/>
          <w:bCs/>
          <w:color w:val="auto"/>
          <w:kern w:val="0"/>
          <w:sz w:val="24"/>
          <w:szCs w:val="24"/>
          <w:highlight w:val="none"/>
          <w:lang w:bidi="ar"/>
        </w:rPr>
        <w:t>2.详见文件《</w:t>
      </w:r>
      <w:r>
        <w:rPr>
          <w:rFonts w:hint="eastAsia" w:ascii="仿宋_GB2312" w:hAnsi="仿宋_GB2312" w:eastAsia="仿宋_GB2312" w:cs="仿宋_GB2312"/>
          <w:bCs/>
          <w:color w:val="auto"/>
          <w:kern w:val="0"/>
          <w:sz w:val="24"/>
          <w:szCs w:val="24"/>
          <w:highlight w:val="none"/>
          <w:u w:val="single"/>
          <w:lang w:bidi="ar"/>
        </w:rPr>
        <w:t xml:space="preserve">           </w:t>
      </w:r>
      <w:r>
        <w:rPr>
          <w:rFonts w:hint="eastAsia" w:ascii="仿宋_GB2312" w:hAnsi="仿宋_GB2312" w:eastAsia="仿宋_GB2312" w:cs="仿宋_GB2312"/>
          <w:bCs/>
          <w:color w:val="auto"/>
          <w:kern w:val="0"/>
          <w:sz w:val="24"/>
          <w:szCs w:val="24"/>
          <w:highlight w:val="none"/>
          <w:lang w:bidi="ar"/>
        </w:rPr>
        <w:t>》。</w:t>
      </w:r>
    </w:p>
    <w:p>
      <w:pPr>
        <w:adjustRightInd w:val="0"/>
        <w:snapToGrid w:val="0"/>
        <w:spacing w:line="440" w:lineRule="exact"/>
        <w:ind w:firstLine="480" w:firstLineChars="200"/>
        <w:jc w:val="left"/>
        <w:rPr>
          <w:rFonts w:ascii="黑体" w:hAnsi="宋体" w:eastAsia="黑体" w:cs="黑体"/>
          <w:color w:val="auto"/>
          <w:sz w:val="24"/>
          <w:szCs w:val="24"/>
          <w:highlight w:val="none"/>
        </w:rPr>
      </w:pPr>
      <w:r>
        <w:rPr>
          <w:rFonts w:hint="eastAsia" w:ascii="黑体" w:hAnsi="宋体" w:eastAsia="黑体" w:cs="黑体"/>
          <w:color w:val="auto"/>
          <w:sz w:val="24"/>
          <w:szCs w:val="24"/>
          <w:highlight w:val="none"/>
          <w:lang w:bidi="ar"/>
        </w:rPr>
        <w:t>二、甲方的安全及消防安全责任</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kern w:val="0"/>
          <w:sz w:val="24"/>
          <w:szCs w:val="24"/>
          <w:highlight w:val="none"/>
          <w:lang w:bidi="ar"/>
        </w:rPr>
        <w:t>（一）交底告知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1.项目实施前，应告知乙方地面、周边、地下已知存在的设施，特别是涉及影响生产、应急的各类地下管线及保护要求，要求乙方在施工方案明确落实相应的具体措施；甲方规定的安全生产及消防安全管理要求，允许进出及行走的路线、禁止触动甲方设备设施等；项目备案的要求。</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2.乙方进场作业前，应对乙方进行交底，再次向乙方强调的上述内容，以及施工期间的其他特殊注意事项，如生产方面的调度协调配合等。</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3.当乙方提出相关规范或乙方内部管理制度，比甲方规定的安全生产及消防安全管理要求更严格的，应当接纳乙方的建议。</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（二）落实配合措施</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1.落实生产营运等相关配合措施，提供必要的施工条件。</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（三）安全及消防安全隐患检查与督促整改</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1.在项目施工期，应每天不少于一次对乙方安全措施、消防安全措施投入、现场安全施工情况等进行安全、消防安全监督检查，并提出整改。</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（四）重大安全风险、生产安全重大事故隐患（重大火灾隐患）等情况报告及举报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1.对乙方上报的重大安全风险、生产安全重大事故隐患（重大火灾隐患），应当如实向水投集团报告。</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2.如发现乙方瞒报重大安全风险、生产安全重大事故隐患（重大火灾隐患），甲方除向水投集团报告外，有权向属地安全应急管理部门、属地行业主管部门举报。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3.甲方发现乙方在项目范围内（含工地范围内的住宿、办公等区域）开展违法、犯罪活动，向公安部门举报。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（五）事故报告及举报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1.对乙方上报的安全事故及消防安全事故，应当按水投集团有关程序，如实向集团报告。</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2.如发现乙方瞒报安全事故及消防安全事故，甲方除向水投集团报告外，有权向属地安全应急管理部门、属地行业主管部门举报。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（六）补充条款</w:t>
      </w:r>
      <w:r>
        <w:rPr>
          <w:rFonts w:hint="eastAsia" w:ascii="仿宋_GB2312" w:hAnsi="仿宋_GB2312" w:eastAsia="仿宋_GB2312" w:cs="仿宋_GB2312"/>
          <w:bCs/>
          <w:color w:val="auto"/>
          <w:sz w:val="24"/>
          <w:szCs w:val="24"/>
          <w:highlight w:val="none"/>
          <w:u w:val="single"/>
          <w:lang w:bidi="ar"/>
        </w:rPr>
        <w:t xml:space="preserve">               。</w:t>
      </w:r>
    </w:p>
    <w:p>
      <w:pPr>
        <w:adjustRightInd w:val="0"/>
        <w:snapToGrid w:val="0"/>
        <w:spacing w:line="440" w:lineRule="exact"/>
        <w:ind w:firstLine="480" w:firstLineChars="200"/>
        <w:jc w:val="left"/>
        <w:rPr>
          <w:rFonts w:ascii="黑体" w:hAnsi="宋体" w:eastAsia="黑体" w:cs="黑体"/>
          <w:color w:val="auto"/>
          <w:sz w:val="24"/>
          <w:szCs w:val="24"/>
          <w:highlight w:val="none"/>
        </w:rPr>
      </w:pPr>
      <w:r>
        <w:rPr>
          <w:rFonts w:hint="eastAsia" w:ascii="黑体" w:hAnsi="宋体" w:eastAsia="黑体" w:cs="黑体"/>
          <w:color w:val="auto"/>
          <w:sz w:val="24"/>
          <w:szCs w:val="24"/>
          <w:highlight w:val="none"/>
          <w:lang w:bidi="ar"/>
        </w:rPr>
        <w:t>三、乙方的安全及消防安全责任</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kern w:val="0"/>
          <w:sz w:val="24"/>
          <w:szCs w:val="24"/>
          <w:highlight w:val="none"/>
          <w:lang w:bidi="ar"/>
        </w:rPr>
        <w:t>（一）接受交底告知并复核确认安全风险，落实管控措施</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1.乙方接受甲方交底。</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2.编制的方案应响应甲方告知，明确相应的措施。</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3.根据甲方项目备案的要求，提交项目备案材料</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4.当甲方规定的安全生产及消防安全管理要求，比相关规范或乙方内部管理制度严格的，按甲方的执行。</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5.当相关规范或乙方内部管理制度，比甲方规定的安全生产及消防安全管理要求严格的，应明确告知甲方确认，并按相关规范或乙方内部管理制度执行。</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（二）告知甲方需要配合的事项</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1.向甲方告知在施工作业期间，需要甲方配合落实的措施</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（三）落实安全及消防安全隐患排查与整改，并接受检查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1.乙方应做好的每日安全生产、消防安全巡查及开展人员安全生产、消防安全教育，确保场所、场地、区域、施工、仓储、住宿、办公等，符合国家、行业安全生产、消防安全相关要求，无对甲方、乙方以及周边第三方生产安全、消防安全、人身安全等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2.接受甲方“四不两直”的不定期检查。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（三）重大安全风险、生产安全重大事故隐患（重大火灾隐患）报告</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1.乙方识别存在重大安全风险的，应研究并落实管控措施，降低风险等级，并向甲方、属地安全应急管理部门、属地行业主管部门上报。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2.乙方自查或被外单位检查发现生产安全重大事故隐患（重大火灾隐患）的，应当立即向甲方、属地安全应急管理部门、属地行业主管部门上报。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3.如甲方未收到乙方关于重大安全风险、生产安全重大事故隐患（重大火灾隐患）的报告，但由其他途径获知信息的，视为瞒报。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4.不得谎报信息。</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（四）事故报告</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1.项目发生安全事故及消防安全事故的，乙方应当在预案规定时间内立即向甲方上报。否则视为迟报。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2.如甲方未收到乙方关于安全事故及消防安全事故的报告，但由其他途径获知信息的，视为瞒报。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3.不得谎报信息。</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（五）补充条款</w:t>
      </w:r>
      <w:r>
        <w:rPr>
          <w:rFonts w:hint="eastAsia" w:ascii="仿宋_GB2312" w:hAnsi="仿宋_GB2312" w:eastAsia="仿宋_GB2312" w:cs="仿宋_GB2312"/>
          <w:bCs/>
          <w:color w:val="auto"/>
          <w:sz w:val="24"/>
          <w:szCs w:val="24"/>
          <w:highlight w:val="none"/>
          <w:u w:val="single"/>
          <w:lang w:bidi="ar"/>
        </w:rPr>
        <w:t xml:space="preserve">               。</w:t>
      </w:r>
    </w:p>
    <w:p>
      <w:pPr>
        <w:adjustRightInd w:val="0"/>
        <w:snapToGrid w:val="0"/>
        <w:spacing w:line="440" w:lineRule="exact"/>
        <w:ind w:firstLine="480" w:firstLineChars="200"/>
        <w:jc w:val="left"/>
        <w:rPr>
          <w:rFonts w:ascii="黑体" w:hAnsi="宋体" w:eastAsia="黑体" w:cs="黑体"/>
          <w:color w:val="auto"/>
          <w:sz w:val="24"/>
          <w:szCs w:val="24"/>
          <w:highlight w:val="none"/>
        </w:rPr>
      </w:pPr>
      <w:r>
        <w:rPr>
          <w:rFonts w:hint="eastAsia" w:ascii="黑体" w:hAnsi="宋体" w:eastAsia="黑体" w:cs="黑体"/>
          <w:color w:val="auto"/>
          <w:sz w:val="24"/>
          <w:szCs w:val="24"/>
          <w:highlight w:val="none"/>
          <w:lang w:bidi="ar"/>
        </w:rPr>
        <w:t>四、违约责任</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lang w:bidi="ar"/>
        </w:rPr>
        <w:t>（一）未发生安全事故或消防安全事故的违约责任</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lang w:bidi="ar"/>
        </w:rPr>
        <w:t>1.乙方未履行安全及消防安全责任的，甲方有权按合同相关条款处理。</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lang w:bidi="ar"/>
        </w:rPr>
        <w:t>2.因甲方未履行安全及消防安全责任，乙方有权按合同相关条款处理。</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lang w:bidi="ar"/>
        </w:rPr>
        <w:t>（二）发生安全事故或消防安全事故的违约责任</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lang w:bidi="ar"/>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Cs/>
          <w:color w:val="auto"/>
          <w:kern w:val="0"/>
          <w:sz w:val="24"/>
          <w:szCs w:val="24"/>
          <w:highlight w:val="none"/>
          <w:lang w:bidi="ar"/>
        </w:rPr>
        <w:t>2.如甲方未能提供甲方履职证明的，根据责任调查报告（意见）承担责任。</w:t>
      </w:r>
    </w:p>
    <w:p>
      <w:pPr>
        <w:adjustRightInd w:val="0"/>
        <w:snapToGrid w:val="0"/>
        <w:spacing w:line="440" w:lineRule="exact"/>
        <w:ind w:firstLine="480" w:firstLineChars="200"/>
        <w:jc w:val="left"/>
        <w:rPr>
          <w:rFonts w:ascii="黑体" w:hAnsi="宋体" w:eastAsia="黑体" w:cs="黑体"/>
          <w:color w:val="auto"/>
          <w:sz w:val="24"/>
          <w:szCs w:val="24"/>
          <w:highlight w:val="none"/>
        </w:rPr>
      </w:pPr>
      <w:r>
        <w:rPr>
          <w:rFonts w:hint="eastAsia" w:ascii="黑体" w:hAnsi="宋体" w:eastAsia="黑体" w:cs="黑体"/>
          <w:color w:val="auto"/>
          <w:sz w:val="24"/>
          <w:szCs w:val="24"/>
          <w:highlight w:val="none"/>
          <w:lang w:bidi="ar"/>
        </w:rPr>
        <w:t>五、附则</w:t>
      </w:r>
    </w:p>
    <w:p>
      <w:pPr>
        <w:adjustRightInd w:val="0"/>
        <w:snapToGrid w:val="0"/>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（一）本协议未尽事宜，依据有关法律、法规、规章处理。法律、法规、规章没有明确规定的，经双方协商处理解决。</w:t>
      </w:r>
    </w:p>
    <w:p>
      <w:pPr>
        <w:adjustRightInd w:val="0"/>
        <w:snapToGrid w:val="0"/>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（二）在合同（协议）执行期间，因国家、地方、以及广州市净水有限公司印发有关文件，加强安全管理要求的，乙方应按最新要求无条件执行。如不执行，甲方有权根据合同或有关文件进行处理。</w:t>
      </w:r>
    </w:p>
    <w:p>
      <w:pPr>
        <w:adjustRightInd w:val="0"/>
        <w:snapToGrid w:val="0"/>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（三）本协议作为合同的附件同时签字、同事盖章、同时生效、同时终止，具有同等的法律效力。甲方、乙方双方执持数量与合同一致。</w:t>
      </w:r>
    </w:p>
    <w:p>
      <w:pPr>
        <w:rPr>
          <w:rFonts w:ascii="仿宋_GB2312" w:hAnsi="仿宋_GB2312" w:eastAsia="仿宋_GB2312" w:cs="仿宋_GB2312"/>
          <w:color w:val="auto"/>
          <w:sz w:val="24"/>
          <w:szCs w:val="24"/>
          <w:highlight w:val="none"/>
        </w:rPr>
      </w:pPr>
    </w:p>
    <w:tbl>
      <w:tblPr>
        <w:tblStyle w:val="24"/>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4473"/>
        <w:gridCol w:w="4474"/>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4473" w:type="dxa"/>
            <w:shd w:val="clear" w:color="auto" w:fill="auto"/>
          </w:tcPr>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甲方（盖章）：</w:t>
            </w:r>
          </w:p>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签约代表：</w:t>
            </w:r>
          </w:p>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联系电话：</w:t>
            </w:r>
          </w:p>
          <w:p>
            <w:pPr>
              <w:adjustRightInd w:val="0"/>
              <w:snapToGrid w:val="0"/>
              <w:spacing w:line="560" w:lineRule="exact"/>
              <w:ind w:firstLine="0" w:firstLineChars="0"/>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年    月    日</w:t>
            </w:r>
          </w:p>
        </w:tc>
        <w:tc>
          <w:tcPr>
            <w:tcW w:w="4474" w:type="dxa"/>
            <w:shd w:val="clear" w:color="auto" w:fill="auto"/>
          </w:tcPr>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乙方（盖章）：</w:t>
            </w:r>
          </w:p>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签约代表：</w:t>
            </w:r>
          </w:p>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联系电话：</w:t>
            </w:r>
          </w:p>
          <w:p>
            <w:pPr>
              <w:adjustRightInd w:val="0"/>
              <w:snapToGrid w:val="0"/>
              <w:spacing w:line="560" w:lineRule="exact"/>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bidi="ar"/>
              </w:rPr>
              <w:t>年    月    日</w:t>
            </w:r>
          </w:p>
        </w:tc>
      </w:tr>
    </w:tbl>
    <w:p>
      <w:pPr>
        <w:pStyle w:val="22"/>
        <w:rPr>
          <w:color w:val="auto"/>
          <w:highlight w:val="none"/>
        </w:rPr>
      </w:pPr>
    </w:p>
    <w:p>
      <w:pPr>
        <w:rPr>
          <w:color w:val="auto"/>
          <w:highlight w:val="none"/>
        </w:rPr>
      </w:pPr>
      <w:r>
        <w:rPr>
          <w:color w:val="auto"/>
          <w:highlight w:val="none"/>
        </w:rPr>
        <w:br w:type="page"/>
      </w: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附件4：项目投入人员架构</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r>
              <w:rPr>
                <w:rFonts w:hint="eastAsia" w:ascii="宋体" w:hAnsi="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r>
              <w:rPr>
                <w:rFonts w:hint="eastAsia" w:ascii="宋体" w:hAnsi="宋体" w:cs="宋体"/>
                <w:color w:val="auto"/>
                <w:sz w:val="24"/>
                <w:szCs w:val="24"/>
                <w:highlight w:val="none"/>
              </w:rPr>
              <w:t>现场负责人</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r>
              <w:rPr>
                <w:rFonts w:hint="eastAsia" w:ascii="宋体" w:hAnsi="宋体" w:cs="宋体"/>
                <w:color w:val="auto"/>
                <w:sz w:val="24"/>
                <w:szCs w:val="24"/>
                <w:highlight w:val="none"/>
              </w:rPr>
              <w:t>技术人员</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r>
              <w:rPr>
                <w:rFonts w:hint="eastAsia" w:ascii="宋体" w:hAnsi="宋体" w:cs="宋体"/>
                <w:color w:val="auto"/>
                <w:sz w:val="24"/>
                <w:szCs w:val="24"/>
                <w:highlight w:val="none"/>
              </w:rPr>
              <w:t>技术人员</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r>
              <w:rPr>
                <w:rFonts w:hint="eastAsia" w:ascii="宋体" w:hAnsi="宋体" w:cs="宋体"/>
                <w:color w:val="auto"/>
                <w:sz w:val="24"/>
                <w:szCs w:val="24"/>
                <w:highlight w:val="none"/>
              </w:rPr>
              <w:t>技术人员</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color w:val="auto"/>
                <w:sz w:val="24"/>
                <w:szCs w:val="24"/>
                <w:highlight w:val="none"/>
              </w:rPr>
            </w:pPr>
          </w:p>
        </w:tc>
      </w:tr>
    </w:tbl>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第七章</w:t>
      </w:r>
    </w:p>
    <w:p>
      <w:pPr>
        <w:spacing w:line="360" w:lineRule="auto"/>
        <w:jc w:val="left"/>
        <w:rPr>
          <w:rFonts w:ascii="仿宋_GB2312" w:eastAsia="仿宋" w:hAnsiTheme="minorEastAsia"/>
          <w:color w:val="auto"/>
          <w:sz w:val="28"/>
          <w:szCs w:val="28"/>
          <w:highlight w:val="none"/>
        </w:rPr>
      </w:pPr>
    </w:p>
    <w:p>
      <w:pPr>
        <w:pStyle w:val="3"/>
        <w:rPr>
          <w:rFonts w:eastAsia="仿宋"/>
          <w:color w:val="auto"/>
          <w:highlight w:val="none"/>
        </w:rPr>
      </w:pPr>
      <w:r>
        <w:rPr>
          <w:rFonts w:hint="eastAsia" w:eastAsia="仿宋"/>
          <w:color w:val="auto"/>
          <w:highlight w:val="none"/>
        </w:rPr>
        <w:t>响应文件格式要求</w:t>
      </w:r>
    </w:p>
    <w:p>
      <w:pPr>
        <w:rPr>
          <w:rFonts w:ascii="仿宋_GB2312" w:eastAsia="仿宋" w:hAnsiTheme="minorEastAsia"/>
          <w:color w:val="auto"/>
          <w:sz w:val="28"/>
          <w:szCs w:val="28"/>
          <w:highlight w:val="none"/>
        </w:rPr>
      </w:pPr>
      <w:r>
        <w:rPr>
          <w:rFonts w:ascii="仿宋_GB2312" w:eastAsia="仿宋" w:hAnsiTheme="minorEastAsia"/>
          <w:color w:val="auto"/>
          <w:sz w:val="28"/>
          <w:szCs w:val="28"/>
          <w:highlight w:val="none"/>
        </w:rPr>
        <w:br w:type="page"/>
      </w: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
          <w:color w:val="auto"/>
          <w:sz w:val="30"/>
          <w:szCs w:val="30"/>
          <w:highlight w:val="none"/>
        </w:rPr>
      </w:pPr>
    </w:p>
    <w:p>
      <w:pPr>
        <w:adjustRightInd w:val="0"/>
        <w:snapToGrid w:val="0"/>
        <w:spacing w:before="156" w:beforeLines="50" w:after="156"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jc w:val="center"/>
        <w:rPr>
          <w:rFonts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156" w:beforeLines="50" w:after="156"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adjustRightInd w:val="0"/>
        <w:snapToGrid w:val="0"/>
        <w:spacing w:line="600" w:lineRule="exact"/>
        <w:jc w:val="center"/>
        <w:rPr>
          <w:rFonts w:ascii="方正小标宋简体" w:eastAsia="仿宋"/>
          <w:color w:val="auto"/>
          <w:sz w:val="28"/>
          <w:szCs w:val="28"/>
          <w:highlight w:val="none"/>
        </w:rPr>
      </w:pPr>
    </w:p>
    <w:p>
      <w:pPr>
        <w:adjustRightInd w:val="0"/>
        <w:snapToGrid w:val="0"/>
        <w:spacing w:line="600" w:lineRule="exact"/>
        <w:rPr>
          <w:rFonts w:ascii="仿宋_GB2312" w:eastAsia="仿宋"/>
          <w:color w:val="auto"/>
          <w:sz w:val="28"/>
          <w:szCs w:val="28"/>
          <w:highlight w:val="none"/>
        </w:rPr>
      </w:pPr>
      <w:bookmarkStart w:id="201" w:name="_Toc87616389"/>
      <w:bookmarkStart w:id="202" w:name="_Toc88209952"/>
      <w:r>
        <w:rPr>
          <w:rFonts w:hint="eastAsia" w:ascii="仿宋_GB2312" w:eastAsia="仿宋"/>
          <w:color w:val="auto"/>
          <w:sz w:val="28"/>
          <w:szCs w:val="28"/>
          <w:highlight w:val="none"/>
        </w:rPr>
        <w:t>1.响应函</w:t>
      </w:r>
      <w:bookmarkEnd w:id="201"/>
      <w:bookmarkEnd w:id="202"/>
    </w:p>
    <w:p>
      <w:pPr>
        <w:adjustRightInd w:val="0"/>
        <w:snapToGrid w:val="0"/>
        <w:spacing w:line="600" w:lineRule="exact"/>
        <w:rPr>
          <w:rFonts w:ascii="仿宋_GB2312" w:eastAsia="仿宋"/>
          <w:color w:val="auto"/>
          <w:sz w:val="28"/>
          <w:szCs w:val="28"/>
          <w:highlight w:val="none"/>
        </w:rPr>
      </w:pPr>
      <w:bookmarkStart w:id="203" w:name="_Toc88209953"/>
      <w:bookmarkStart w:id="204" w:name="_Toc87616390"/>
      <w:r>
        <w:rPr>
          <w:rFonts w:hint="eastAsia" w:ascii="仿宋_GB2312" w:eastAsia="仿宋"/>
          <w:color w:val="auto"/>
          <w:sz w:val="28"/>
          <w:szCs w:val="28"/>
          <w:highlight w:val="none"/>
        </w:rPr>
        <w:t>2.法定代表人/负责人证明或授权委托书</w:t>
      </w:r>
      <w:bookmarkEnd w:id="203"/>
      <w:bookmarkEnd w:id="204"/>
      <w:bookmarkStart w:id="205" w:name="_Toc87616393"/>
      <w:bookmarkStart w:id="206" w:name="_Toc88209956"/>
      <w:r>
        <w:rPr>
          <w:rFonts w:hint="eastAsia" w:ascii="仿宋_GB2312" w:eastAsia="仿宋"/>
          <w:color w:val="auto"/>
          <w:sz w:val="28"/>
          <w:szCs w:val="28"/>
          <w:highlight w:val="none"/>
        </w:rPr>
        <w:cr/>
      </w:r>
      <w:r>
        <w:rPr>
          <w:rFonts w:hint="eastAsia" w:ascii="仿宋_GB2312" w:eastAsia="仿宋"/>
          <w:color w:val="auto"/>
          <w:sz w:val="28"/>
          <w:szCs w:val="28"/>
          <w:highlight w:val="none"/>
        </w:rPr>
        <w:t>3.资格审查资料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rPr>
        <w:t>4.拟投入本项目的项目负责人情况表</w:t>
      </w:r>
    </w:p>
    <w:p>
      <w:pPr>
        <w:rPr>
          <w:rFonts w:ascii="仿宋_GB2312" w:eastAsia="仿宋"/>
          <w:color w:val="auto"/>
          <w:sz w:val="28"/>
          <w:szCs w:val="28"/>
          <w:highlight w:val="none"/>
        </w:rPr>
      </w:pPr>
      <w:r>
        <w:rPr>
          <w:rFonts w:hint="eastAsia" w:ascii="仿宋_GB2312" w:eastAsia="仿宋"/>
          <w:color w:val="auto"/>
          <w:sz w:val="28"/>
          <w:szCs w:val="28"/>
          <w:highlight w:val="none"/>
        </w:rPr>
        <w:t>5.报价表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rPr>
        <w:t>6.其他资料</w:t>
      </w:r>
      <w:bookmarkEnd w:id="205"/>
      <w:bookmarkEnd w:id="20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ascii="黑体" w:hAnsi="黑体" w:eastAsia="黑体" w:cs="黑体"/>
          <w:b/>
          <w:bCs/>
          <w:color w:val="auto"/>
          <w:sz w:val="32"/>
          <w:szCs w:val="32"/>
          <w:highlight w:val="none"/>
        </w:rPr>
      </w:pPr>
      <w:bookmarkStart w:id="207" w:name="_Toc6313"/>
      <w:bookmarkStart w:id="208" w:name="_Toc28619645"/>
      <w:bookmarkStart w:id="209" w:name="_Toc87616394"/>
      <w:bookmarkStart w:id="210" w:name="_Toc88209957"/>
      <w:bookmarkStart w:id="211" w:name="_Toc12665"/>
      <w:r>
        <w:rPr>
          <w:rFonts w:hint="eastAsia" w:ascii="黑体" w:hAnsi="黑体" w:eastAsia="黑体" w:cs="黑体"/>
          <w:b/>
          <w:bCs/>
          <w:color w:val="auto"/>
          <w:sz w:val="32"/>
          <w:szCs w:val="32"/>
          <w:highlight w:val="none"/>
        </w:rPr>
        <w:t>1.响应函</w:t>
      </w:r>
      <w:bookmarkEnd w:id="207"/>
      <w:bookmarkEnd w:id="208"/>
      <w:bookmarkEnd w:id="209"/>
      <w:bookmarkEnd w:id="210"/>
      <w:bookmarkEnd w:id="211"/>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（1）响应函</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（2）法定代表人/负责人证明或授权委托书</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（3）资格审查资料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（4）拟投入本项目的项目负责人情况表</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（5）报价表</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（6）其他资料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2"/>
        <w:ind w:firstLine="560" w:firstLineChars="200"/>
        <w:rPr>
          <w:rFonts w:eastAsia="仿宋"/>
          <w:color w:val="auto"/>
          <w:highlight w:val="none"/>
        </w:rPr>
      </w:pPr>
      <w:r>
        <w:rPr>
          <w:rFonts w:ascii="仿宋_GB2312" w:hAnsi="黑体" w:eastAsia="仿宋" w:cstheme="minorBidi"/>
          <w:color w:val="auto"/>
          <w:kern w:val="2"/>
          <w:sz w:val="28"/>
          <w:szCs w:val="28"/>
          <w:highlight w:val="none"/>
        </w:rPr>
        <w:t>（5）如放弃成交，我方依法</w:t>
      </w:r>
      <w:r>
        <w:rPr>
          <w:rFonts w:hint="eastAsia" w:ascii="仿宋_GB2312" w:hAnsi="黑体" w:eastAsia="仿宋"/>
          <w:color w:val="auto"/>
          <w:sz w:val="28"/>
          <w:szCs w:val="28"/>
          <w:highlight w:val="none"/>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法定代表人/负责人或委托代理人：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asciiTheme="minorEastAsia" w:hAnsiTheme="minorEastAsia"/>
          <w:color w:val="auto"/>
          <w:sz w:val="28"/>
          <w:szCs w:val="28"/>
          <w:highlight w:val="none"/>
        </w:rPr>
      </w:pPr>
      <w:bookmarkStart w:id="212" w:name="_Toc87616395"/>
      <w:bookmarkStart w:id="213" w:name="_Toc22527"/>
      <w:bookmarkStart w:id="214" w:name="_Toc29833"/>
      <w:bookmarkStart w:id="215" w:name="_Toc88209958"/>
      <w:r>
        <w:rPr>
          <w:rFonts w:hint="eastAsia" w:asciiTheme="minorEastAsia" w:hAnsiTheme="minorEastAsia"/>
          <w:color w:val="auto"/>
          <w:sz w:val="28"/>
          <w:szCs w:val="28"/>
          <w:highlight w:val="none"/>
        </w:rPr>
        <w:br w:type="page"/>
      </w:r>
    </w:p>
    <w:p>
      <w:pPr>
        <w:spacing w:line="360" w:lineRule="auto"/>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2.法定代表人/负责人证明或授权委托书</w:t>
      </w:r>
      <w:bookmarkEnd w:id="212"/>
      <w:bookmarkEnd w:id="213"/>
      <w:bookmarkEnd w:id="214"/>
      <w:bookmarkEnd w:id="215"/>
    </w:p>
    <w:p>
      <w:pPr>
        <w:spacing w:line="360" w:lineRule="auto"/>
        <w:rPr>
          <w:color w:val="auto"/>
          <w:highlight w:val="none"/>
        </w:rPr>
      </w:pPr>
      <w:r>
        <w:rPr>
          <w:rFonts w:hint="eastAsia" w:ascii="仿宋_GB2312" w:hAnsi="黑体" w:eastAsia="仿宋"/>
          <w:color w:val="auto"/>
          <w:sz w:val="28"/>
          <w:szCs w:val="28"/>
          <w:highlight w:val="none"/>
        </w:rPr>
        <w:t>2.1法定代表人/负责人证明格式</w:t>
      </w:r>
    </w:p>
    <w:p>
      <w:pPr>
        <w:widowControl/>
        <w:adjustRightInd w:val="0"/>
        <w:snapToGrid w:val="0"/>
        <w:spacing w:before="156" w:beforeLines="50" w:after="156"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rPr>
        <w:t>法定代表人/负责人证明书</w:t>
      </w:r>
    </w:p>
    <w:p>
      <w:pPr>
        <w:pStyle w:val="40"/>
        <w:snapToGrid w:val="0"/>
        <w:spacing w:after="0" w:line="540" w:lineRule="exact"/>
        <w:ind w:firstLine="600" w:firstLineChars="200"/>
        <w:jc w:val="both"/>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4"/>
        <w:snapToGrid w:val="0"/>
        <w:spacing w:line="540" w:lineRule="exact"/>
        <w:ind w:firstLine="600" w:firstLineChars="200"/>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9"/>
        <w:snapToGrid w:val="0"/>
        <w:spacing w:after="0" w:line="540" w:lineRule="exact"/>
        <w:ind w:firstLine="600" w:firstLineChars="200"/>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的法定代表人/负责人。</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adjustRightInd w:val="0"/>
        <w:snapToGrid w:val="0"/>
        <w:spacing w:line="540" w:lineRule="exact"/>
        <w:ind w:firstLine="600" w:firstLineChars="200"/>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附：法定代表人/负责人身份证(正反两面)复印件</w:t>
      </w:r>
    </w:p>
    <w:p>
      <w:pPr>
        <w:pStyle w:val="14"/>
        <w:snapToGrid w:val="0"/>
        <w:spacing w:line="540" w:lineRule="exact"/>
        <w:ind w:firstLine="3907" w:firstLineChars="1221"/>
        <w:rPr>
          <w:rFonts w:ascii="仿宋_GB2312" w:hAnsi="宋体" w:eastAsia="仿宋" w:cs="Times New Roman"/>
          <w:color w:val="auto"/>
          <w:sz w:val="32"/>
          <w:szCs w:val="32"/>
          <w:highlight w:val="none"/>
        </w:rPr>
      </w:pPr>
    </w:p>
    <w:p>
      <w:pPr>
        <w:pStyle w:val="14"/>
        <w:snapToGrid w:val="0"/>
        <w:spacing w:line="540" w:lineRule="exact"/>
        <w:ind w:firstLine="3663" w:firstLineChars="1221"/>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widowControl/>
        <w:adjustRightInd w:val="0"/>
        <w:snapToGrid w:val="0"/>
        <w:spacing w:line="540" w:lineRule="exact"/>
        <w:jc w:val="right"/>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spacing w:line="240" w:lineRule="auto"/>
              <w:ind w:firstLine="0"/>
              <w:jc w:val="center"/>
              <w:rPr>
                <w:rFonts w:ascii="仿宋_GB2312" w:hAnsi="仿宋_GB2312" w:eastAsia="仿宋_GB2312" w:cs="仿宋_GB2312"/>
                <w:color w:val="auto"/>
                <w:highlight w:val="none"/>
              </w:rPr>
            </w:pPr>
            <w:r>
              <w:rPr>
                <w:rFonts w:hint="eastAsia" w:ascii="仿宋_GB2312" w:hAnsi="仿宋_GB2312" w:eastAsia="仿宋" w:cs="仿宋_GB2312"/>
                <w:color w:val="auto"/>
                <w:highlight w:val="none"/>
              </w:rPr>
              <w:t>身份证复印件（人像面）</w:t>
            </w:r>
          </w:p>
        </w:tc>
        <w:tc>
          <w:tcPr>
            <w:tcW w:w="4530" w:type="dxa"/>
            <w:vAlign w:val="center"/>
          </w:tcPr>
          <w:p>
            <w:pPr>
              <w:pStyle w:val="22"/>
              <w:spacing w:line="240" w:lineRule="auto"/>
              <w:ind w:firstLine="0"/>
              <w:jc w:val="center"/>
              <w:rPr>
                <w:rFonts w:ascii="仿宋_GB2312" w:hAnsi="仿宋_GB2312" w:eastAsia="仿宋_GB2312" w:cs="仿宋_GB2312"/>
                <w:color w:val="auto"/>
                <w:highlight w:val="none"/>
              </w:rPr>
            </w:pPr>
            <w:r>
              <w:rPr>
                <w:rFonts w:hint="eastAsia" w:ascii="仿宋_GB2312" w:hAnsi="仿宋_GB2312" w:eastAsia="仿宋" w:cs="仿宋_GB2312"/>
                <w:color w:val="auto"/>
                <w:highlight w:val="none"/>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pPr>
              <w:pStyle w:val="22"/>
              <w:spacing w:line="240" w:lineRule="auto"/>
              <w:ind w:firstLine="0"/>
              <w:jc w:val="center"/>
              <w:rPr>
                <w:rFonts w:ascii="仿宋_GB2312" w:hAnsi="仿宋_GB2312" w:eastAsia="仿宋_GB2312" w:cs="仿宋_GB2312"/>
                <w:color w:val="auto"/>
                <w:sz w:val="28"/>
                <w:szCs w:val="28"/>
                <w:highlight w:val="none"/>
              </w:rPr>
            </w:pPr>
          </w:p>
        </w:tc>
        <w:tc>
          <w:tcPr>
            <w:tcW w:w="4530" w:type="dxa"/>
          </w:tcPr>
          <w:p>
            <w:pPr>
              <w:pStyle w:val="22"/>
              <w:spacing w:line="240" w:lineRule="auto"/>
              <w:ind w:firstLine="0"/>
              <w:jc w:val="center"/>
              <w:rPr>
                <w:rFonts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注：法定代表人/负责人证明书亦可采用工商行政管理局统一制订的格式。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rPr>
        <w:t>法定代表人/负责人授权委托书</w:t>
      </w:r>
    </w:p>
    <w:p>
      <w:pPr>
        <w:adjustRightInd w:val="0"/>
        <w:snapToGrid w:val="0"/>
        <w:spacing w:line="600" w:lineRule="exact"/>
        <w:ind w:firstLine="600" w:firstLineChars="200"/>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的法定代表人/负责人，现授权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adjustRightInd w:val="0"/>
        <w:snapToGrid w:val="0"/>
        <w:spacing w:line="600" w:lineRule="exact"/>
        <w:ind w:firstLine="600" w:firstLineChars="200"/>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adjustRightInd w:val="0"/>
        <w:snapToGrid w:val="0"/>
        <w:spacing w:line="600" w:lineRule="exact"/>
        <w:ind w:firstLine="600" w:firstLineChars="200"/>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8"/>
        <w:adjustRightInd w:val="0"/>
        <w:snapToGrid w:val="0"/>
        <w:spacing w:line="600" w:lineRule="exact"/>
        <w:ind w:firstLine="600" w:firstLineChars="200"/>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附：1.委托代理人身份证(正反两面)复印件，提供授权委托代理人身份证原件备查。</w:t>
      </w:r>
    </w:p>
    <w:p>
      <w:pPr>
        <w:pStyle w:val="38"/>
        <w:numPr>
          <w:ilvl w:val="255"/>
          <w:numId w:val="0"/>
        </w:numPr>
        <w:adjustRightInd w:val="0"/>
        <w:snapToGrid w:val="0"/>
        <w:spacing w:line="600" w:lineRule="exact"/>
        <w:ind w:firstLine="600" w:firstLineChars="200"/>
        <w:rPr>
          <w:rFonts w:ascii="仿宋_GB2312" w:hAnsi="宋体" w:eastAsia="仿宋"/>
          <w:color w:val="auto"/>
          <w:sz w:val="30"/>
          <w:szCs w:val="30"/>
          <w:highlight w:val="none"/>
        </w:rPr>
      </w:pPr>
      <w:r>
        <w:rPr>
          <w:rFonts w:hint="eastAsia" w:ascii="仿宋_GB2312" w:hAnsi="宋体" w:eastAsia="仿宋"/>
          <w:color w:val="auto"/>
          <w:sz w:val="30"/>
          <w:szCs w:val="30"/>
          <w:highlight w:val="none"/>
        </w:rPr>
        <w:t>2.提供授权委托人在本单位近三个月社保记录（以加盖社会保险基金管理中心印章的《缴费历史明细表》或《社会保险参保人员证明》为准），否则为无效代理人，响应文件无效。</w:t>
      </w:r>
    </w:p>
    <w:p>
      <w:pPr>
        <w:pStyle w:val="38"/>
        <w:numPr>
          <w:ilvl w:val="255"/>
          <w:numId w:val="0"/>
        </w:numPr>
        <w:adjustRightInd w:val="0"/>
        <w:snapToGrid w:val="0"/>
        <w:spacing w:line="600" w:lineRule="exact"/>
        <w:rPr>
          <w:rFonts w:ascii="仿宋_GB2312" w:hAnsi="宋体" w:eastAsia="仿宋"/>
          <w:color w:val="auto"/>
          <w:sz w:val="30"/>
          <w:szCs w:val="30"/>
          <w:highlight w:val="none"/>
        </w:rPr>
      </w:pPr>
    </w:p>
    <w:p>
      <w:pPr>
        <w:pStyle w:val="14"/>
        <w:snapToGrid w:val="0"/>
        <w:spacing w:line="600" w:lineRule="exact"/>
        <w:ind w:firstLine="3618" w:firstLineChars="1005"/>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法定代表人/负责人：</w:t>
      </w:r>
      <w:r>
        <w:rPr>
          <w:rFonts w:hint="eastAsia" w:ascii="仿宋_GB2312" w:hAnsi="宋体" w:eastAsia="仿宋"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widowControl/>
        <w:adjustRightInd w:val="0"/>
        <w:snapToGrid w:val="0"/>
        <w:spacing w:line="600" w:lineRule="exact"/>
        <w:jc w:val="right"/>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2"/>
        <w:ind w:firstLine="0"/>
        <w:rPr>
          <w:rFonts w:ascii="仿宋_GB2312" w:eastAsia="仿宋"/>
          <w:color w:val="auto"/>
          <w:sz w:val="30"/>
          <w:szCs w:val="30"/>
          <w:highlight w:val="none"/>
        </w:rPr>
      </w:pPr>
    </w:p>
    <w:p>
      <w:pPr>
        <w:pStyle w:val="22"/>
        <w:ind w:firstLine="0"/>
        <w:rPr>
          <w:rFonts w:ascii="仿宋_GB2312"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spacing w:line="240" w:lineRule="auto"/>
              <w:ind w:firstLine="0"/>
              <w:jc w:val="center"/>
              <w:rPr>
                <w:rFonts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rPr>
              <w:t>身份证复印件（人像面）</w:t>
            </w:r>
          </w:p>
        </w:tc>
        <w:tc>
          <w:tcPr>
            <w:tcW w:w="4530" w:type="dxa"/>
            <w:vAlign w:val="center"/>
          </w:tcPr>
          <w:p>
            <w:pPr>
              <w:pStyle w:val="22"/>
              <w:spacing w:line="240" w:lineRule="auto"/>
              <w:ind w:firstLine="0"/>
              <w:jc w:val="center"/>
              <w:rPr>
                <w:rFonts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tcPr>
          <w:p>
            <w:pPr>
              <w:pStyle w:val="22"/>
              <w:spacing w:line="240" w:lineRule="auto"/>
              <w:ind w:firstLine="0"/>
              <w:jc w:val="center"/>
              <w:rPr>
                <w:rFonts w:ascii="仿宋_GB2312" w:hAnsi="仿宋_GB2312" w:eastAsia="仿宋_GB2312" w:cs="仿宋_GB2312"/>
                <w:color w:val="auto"/>
                <w:sz w:val="28"/>
                <w:szCs w:val="28"/>
                <w:highlight w:val="none"/>
              </w:rPr>
            </w:pPr>
          </w:p>
        </w:tc>
        <w:tc>
          <w:tcPr>
            <w:tcW w:w="4530" w:type="dxa"/>
          </w:tcPr>
          <w:p>
            <w:pPr>
              <w:pStyle w:val="22"/>
              <w:spacing w:line="240" w:lineRule="auto"/>
              <w:ind w:firstLine="0"/>
              <w:jc w:val="center"/>
              <w:rPr>
                <w:rFonts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adjustRightInd w:val="0"/>
              <w:snapToGrid w:val="0"/>
              <w:spacing w:line="600" w:lineRule="exact"/>
              <w:ind w:firstLine="560" w:firstLineChars="200"/>
              <w:rPr>
                <w:rFonts w:ascii="宋体" w:hAnsi="宋体"/>
                <w:color w:val="auto"/>
                <w:sz w:val="24"/>
                <w:szCs w:val="24"/>
                <w:highlight w:val="none"/>
              </w:rPr>
            </w:pPr>
            <w:r>
              <w:rPr>
                <w:rFonts w:hint="eastAsia" w:ascii="仿宋_GB2312" w:hAnsi="仿宋_GB2312" w:eastAsia="仿宋" w:cs="仿宋_GB2312"/>
                <w:color w:val="auto"/>
                <w:sz w:val="28"/>
                <w:szCs w:val="28"/>
                <w:highlight w:val="none"/>
              </w:rPr>
              <w:t>授权代理人在本单位近三个月社保记录，（以加盖社会保险基金管理中心印章的《缴费历史明细表》或《社会保险参保人员证明》为准，加盖单位公章。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ascii="黑体" w:hAnsi="黑体" w:eastAsia="黑体" w:cs="黑体"/>
          <w:b/>
          <w:bCs/>
          <w:color w:val="auto"/>
          <w:sz w:val="32"/>
          <w:szCs w:val="32"/>
          <w:highlight w:val="none"/>
        </w:rPr>
      </w:pPr>
      <w:bookmarkStart w:id="216" w:name="_Toc87616400"/>
      <w:bookmarkStart w:id="217" w:name="_Toc88209963"/>
      <w:bookmarkStart w:id="218" w:name="_Toc19830"/>
      <w:bookmarkStart w:id="219" w:name="_Toc8086"/>
      <w:r>
        <w:rPr>
          <w:rFonts w:hint="eastAsia" w:ascii="黑体" w:hAnsi="黑体" w:eastAsia="黑体" w:cs="黑体"/>
          <w:b/>
          <w:bCs/>
          <w:color w:val="auto"/>
          <w:sz w:val="32"/>
          <w:szCs w:val="32"/>
          <w:highlight w:val="none"/>
        </w:rPr>
        <w:t>3.资格审查资料</w:t>
      </w:r>
      <w:bookmarkEnd w:id="216"/>
      <w:bookmarkEnd w:id="217"/>
      <w:bookmarkEnd w:id="218"/>
      <w:bookmarkEnd w:id="219"/>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adjustRightInd w:val="0"/>
              <w:snapToGrid w:val="0"/>
              <w:jc w:val="left"/>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adjustRightInd w:val="0"/>
              <w:snapToGrid w:val="0"/>
              <w:jc w:val="left"/>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adjustRightInd w:val="0"/>
              <w:snapToGrid w:val="0"/>
              <w:jc w:val="left"/>
              <w:rPr>
                <w:rFonts w:ascii="仿宋_GB2312" w:eastAsia="仿宋_GB2312" w:hAnsiTheme="minorEastAsia"/>
                <w:color w:val="auto"/>
                <w:sz w:val="28"/>
                <w:szCs w:val="28"/>
                <w:highlight w:val="none"/>
              </w:rPr>
            </w:pPr>
          </w:p>
        </w:tc>
        <w:tc>
          <w:tcPr>
            <w:tcW w:w="1134"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adjustRightInd w:val="0"/>
              <w:snapToGrid w:val="0"/>
              <w:jc w:val="left"/>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法定代表人/负责人</w:t>
            </w:r>
          </w:p>
        </w:tc>
        <w:tc>
          <w:tcPr>
            <w:tcW w:w="1134"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adjustRightInd w:val="0"/>
              <w:snapToGrid w:val="0"/>
              <w:jc w:val="left"/>
              <w:rPr>
                <w:rFonts w:ascii="仿宋_GB2312" w:eastAsia="仿宋_GB2312" w:hAnsiTheme="minorEastAsia"/>
                <w:color w:val="auto"/>
                <w:sz w:val="28"/>
                <w:szCs w:val="28"/>
                <w:highlight w:val="none"/>
              </w:rPr>
            </w:pPr>
          </w:p>
        </w:tc>
        <w:tc>
          <w:tcPr>
            <w:tcW w:w="1443"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adjustRightInd w:val="0"/>
              <w:snapToGrid w:val="0"/>
              <w:jc w:val="left"/>
              <w:rPr>
                <w:rFonts w:ascii="仿宋_GB2312" w:eastAsia="仿宋_GB2312" w:hAnsiTheme="minorEastAsia"/>
                <w:color w:val="auto"/>
                <w:sz w:val="28"/>
                <w:szCs w:val="28"/>
                <w:highlight w:val="none"/>
              </w:rPr>
            </w:pPr>
          </w:p>
        </w:tc>
        <w:tc>
          <w:tcPr>
            <w:tcW w:w="1295" w:type="dxa"/>
            <w:gridSpan w:val="2"/>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adjustRightInd w:val="0"/>
              <w:snapToGrid w:val="0"/>
              <w:jc w:val="left"/>
              <w:rPr>
                <w:rFonts w:ascii="仿宋_GB2312" w:eastAsia="仿宋_GB2312" w:hAnsiTheme="minorEastAsia"/>
                <w:color w:val="auto"/>
                <w:sz w:val="28"/>
                <w:szCs w:val="28"/>
                <w:highlight w:val="none"/>
              </w:rPr>
            </w:pPr>
          </w:p>
        </w:tc>
        <w:tc>
          <w:tcPr>
            <w:tcW w:w="1443"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adjustRightInd w:val="0"/>
              <w:snapToGrid w:val="0"/>
              <w:jc w:val="left"/>
              <w:rPr>
                <w:rFonts w:ascii="仿宋_GB2312" w:eastAsia="仿宋_GB2312" w:hAnsiTheme="minorEastAsia"/>
                <w:color w:val="auto"/>
                <w:sz w:val="28"/>
                <w:szCs w:val="28"/>
                <w:highlight w:val="none"/>
              </w:rPr>
            </w:pPr>
          </w:p>
        </w:tc>
        <w:tc>
          <w:tcPr>
            <w:tcW w:w="1295" w:type="dxa"/>
            <w:gridSpan w:val="2"/>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5178" w:type="dxa"/>
            <w:gridSpan w:val="7"/>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restart"/>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color w:val="auto"/>
                <w:sz w:val="28"/>
                <w:szCs w:val="28"/>
                <w:highlight w:val="none"/>
              </w:rPr>
            </w:pP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color w:val="auto"/>
                <w:sz w:val="28"/>
                <w:szCs w:val="28"/>
                <w:highlight w:val="none"/>
              </w:rPr>
            </w:pP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color w:val="auto"/>
                <w:sz w:val="28"/>
                <w:szCs w:val="28"/>
                <w:highlight w:val="none"/>
              </w:rPr>
            </w:pP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color w:val="auto"/>
                <w:sz w:val="28"/>
                <w:szCs w:val="28"/>
                <w:highlight w:val="none"/>
              </w:rPr>
            </w:pP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adjustRightInd w:val="0"/>
              <w:snapToGrid w:val="0"/>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ascii="宋体" w:hAnsi="宋体" w:eastAsia="宋体" w:cs="宋体"/>
          <w:color w:val="auto"/>
          <w:sz w:val="24"/>
          <w:szCs w:val="24"/>
          <w:highlight w:val="none"/>
          <w:lang w:val="en-GB"/>
        </w:rPr>
      </w:pPr>
      <w:bookmarkStart w:id="220" w:name="_Hlk59025866"/>
      <w:r>
        <w:rPr>
          <w:rFonts w:hint="eastAsia" w:ascii="宋体" w:hAnsi="宋体" w:eastAsia="宋体" w:cs="宋体"/>
          <w:color w:val="auto"/>
          <w:sz w:val="24"/>
          <w:szCs w:val="24"/>
          <w:highlight w:val="none"/>
          <w:lang w:val="en-GB"/>
        </w:rPr>
        <w:t>供应商名称（加盖公章）：</w:t>
      </w:r>
    </w:p>
    <w:p>
      <w:pPr>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br w:type="page"/>
      </w:r>
    </w:p>
    <w:p>
      <w:pPr>
        <w:adjustRightInd w:val="0"/>
        <w:snapToGrid w:val="0"/>
        <w:spacing w:line="360" w:lineRule="auto"/>
        <w:jc w:val="left"/>
        <w:rPr>
          <w:rFonts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rPr>
        <w:t>3.2不得存在情形承诺函</w:t>
      </w:r>
    </w:p>
    <w:bookmarkEnd w:id="220"/>
    <w:p>
      <w:pPr>
        <w:adjustRightInd w:val="0"/>
        <w:snapToGrid w:val="0"/>
        <w:spacing w:line="360" w:lineRule="auto"/>
        <w:jc w:val="center"/>
        <w:rPr>
          <w:rFonts w:ascii="仿宋_GB2312" w:hAnsi="仿宋_GB2312" w:eastAsia="仿宋" w:cs="仿宋_GB2312"/>
          <w:color w:val="auto"/>
          <w:sz w:val="32"/>
          <w:szCs w:val="32"/>
          <w:highlight w:val="none"/>
          <w:lang w:val="en-GB"/>
        </w:rPr>
      </w:pPr>
      <w:r>
        <w:rPr>
          <w:rFonts w:hint="eastAsia" w:ascii="仿宋_GB2312" w:hAnsi="仿宋_GB2312" w:eastAsia="仿宋" w:cs="仿宋_GB2312"/>
          <w:b/>
          <w:bCs/>
          <w:color w:val="auto"/>
          <w:sz w:val="32"/>
          <w:szCs w:val="32"/>
          <w:highlight w:val="none"/>
        </w:rPr>
        <w:t>不得存在情形承诺函</w:t>
      </w:r>
    </w:p>
    <w:p>
      <w:pPr>
        <w:adjustRightInd w:val="0"/>
        <w:snapToGrid w:val="0"/>
        <w:spacing w:line="360" w:lineRule="auto"/>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lang w:val="en-GB"/>
        </w:rPr>
        <w:t>我方郑重承诺，在参与广州市净水有限公司</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lang w:val="en-GB"/>
        </w:rPr>
        <w:t>项目</w:t>
      </w:r>
      <w:r>
        <w:rPr>
          <w:rFonts w:hint="eastAsia" w:ascii="仿宋_GB2312" w:hAnsi="仿宋_GB2312" w:eastAsia="仿宋" w:cs="仿宋_GB2312"/>
          <w:color w:val="auto"/>
          <w:sz w:val="28"/>
          <w:szCs w:val="28"/>
          <w:highlight w:val="none"/>
          <w:u w:val="single"/>
          <w:lang w:val="en-GB"/>
        </w:rPr>
        <w:t>（项目编号： ******）</w:t>
      </w:r>
      <w:r>
        <w:rPr>
          <w:rFonts w:hint="eastAsia" w:ascii="仿宋_GB2312" w:hAnsi="仿宋_GB2312" w:eastAsia="仿宋" w:cs="仿宋_GB2312"/>
          <w:color w:val="auto"/>
          <w:sz w:val="28"/>
          <w:szCs w:val="28"/>
          <w:highlight w:val="none"/>
          <w:lang w:val="en-GB"/>
        </w:rPr>
        <w:t>采购期间，未被</w:t>
      </w:r>
      <w:r>
        <w:rPr>
          <w:rFonts w:hint="eastAsia" w:ascii="仿宋_GB2312" w:hAnsi="仿宋_GB2312" w:eastAsia="仿宋" w:cs="仿宋_GB2312"/>
          <w:color w:val="auto"/>
          <w:sz w:val="28"/>
          <w:szCs w:val="28"/>
          <w:highlight w:val="none"/>
        </w:rPr>
        <w:t>列入</w:t>
      </w:r>
      <w:r>
        <w:rPr>
          <w:rFonts w:hint="eastAsia" w:ascii="仿宋_GB2312" w:hAnsi="仿宋_GB2312" w:eastAsia="仿宋" w:cs="仿宋_GB2312"/>
          <w:color w:val="auto"/>
          <w:sz w:val="28"/>
          <w:szCs w:val="28"/>
          <w:highlight w:val="none"/>
          <w:lang w:val="en-GB"/>
        </w:rPr>
        <w:t>下列情形之一</w:t>
      </w:r>
      <w:r>
        <w:rPr>
          <w:rFonts w:hint="eastAsia" w:ascii="仿宋_GB2312" w:hAnsi="仿宋_GB2312" w:eastAsia="仿宋" w:cs="仿宋_GB2312"/>
          <w:color w:val="auto"/>
          <w:sz w:val="28"/>
          <w:szCs w:val="28"/>
          <w:highlight w:val="none"/>
        </w:rPr>
        <w:t>：</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ascii="仿宋_GB2312" w:hAnsi="仿宋_GB2312" w:eastAsia="仿宋" w:cs="仿宋_GB2312"/>
          <w:b/>
          <w:color w:val="auto"/>
          <w:sz w:val="28"/>
          <w:szCs w:val="28"/>
          <w:highlight w:val="none"/>
        </w:rPr>
      </w:pPr>
    </w:p>
    <w:p>
      <w:pPr>
        <w:wordWrap w:val="0"/>
        <w:adjustRightInd w:val="0"/>
        <w:snapToGrid w:val="0"/>
        <w:spacing w:line="360" w:lineRule="auto"/>
        <w:jc w:val="righ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lang w:val="en-GB"/>
        </w:rPr>
        <w:t>供应商名称（加盖公章）：</w:t>
      </w:r>
      <w:r>
        <w:rPr>
          <w:rFonts w:hint="eastAsia" w:ascii="仿宋_GB2312" w:hAnsi="仿宋_GB2312" w:eastAsia="仿宋" w:cs="仿宋_GB2312"/>
          <w:color w:val="auto"/>
          <w:sz w:val="28"/>
          <w:szCs w:val="28"/>
          <w:highlight w:val="none"/>
        </w:rPr>
        <w:t xml:space="preserve">              </w:t>
      </w:r>
    </w:p>
    <w:p>
      <w:pPr>
        <w:wordWrap w:val="0"/>
        <w:jc w:val="right"/>
        <w:rPr>
          <w:rFonts w:eastAsia="仿宋"/>
          <w:color w:val="auto"/>
          <w:sz w:val="28"/>
          <w:szCs w:val="28"/>
          <w:highlight w:val="none"/>
        </w:rPr>
      </w:pPr>
      <w:r>
        <w:rPr>
          <w:rFonts w:hint="eastAsia" w:ascii="仿宋_GB2312" w:hAnsi="仿宋_GB2312" w:eastAsia="仿宋" w:cs="仿宋_GB2312"/>
          <w:color w:val="auto"/>
          <w:sz w:val="28"/>
          <w:szCs w:val="28"/>
          <w:highlight w:val="none"/>
        </w:rPr>
        <w:t xml:space="preserve">    </w:t>
      </w:r>
      <w:r>
        <w:rPr>
          <w:rFonts w:hint="eastAsia" w:ascii="仿宋_GB2312" w:hAnsi="仿宋_GB2312" w:eastAsia="仿宋" w:cs="仿宋_GB2312"/>
          <w:color w:val="auto"/>
          <w:sz w:val="28"/>
          <w:szCs w:val="28"/>
          <w:highlight w:val="none"/>
          <w:lang w:val="en-GB"/>
        </w:rPr>
        <w:t>年  月  日</w:t>
      </w:r>
      <w:r>
        <w:rPr>
          <w:rFonts w:hint="eastAsia" w:ascii="仿宋_GB2312" w:hAnsi="仿宋_GB2312" w:eastAsia="仿宋" w:cs="仿宋_GB2312"/>
          <w:color w:val="auto"/>
          <w:sz w:val="28"/>
          <w:szCs w:val="28"/>
          <w:highlight w:val="none"/>
        </w:rPr>
        <w:t xml:space="preserve">        </w:t>
      </w:r>
    </w:p>
    <w:p>
      <w:pPr>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br w:type="page"/>
      </w:r>
    </w:p>
    <w:p>
      <w:pPr>
        <w:spacing w:line="360" w:lineRule="auto"/>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vAlign w:val="center"/>
          </w:tcPr>
          <w:p>
            <w:pPr>
              <w:jc w:val="center"/>
              <w:rPr>
                <w:rFonts w:ascii="仿宋" w:hAnsi="仿宋" w:eastAsia="仿宋" w:cs="仿宋_GB2312"/>
                <w:b/>
                <w:color w:val="auto"/>
                <w:sz w:val="28"/>
                <w:szCs w:val="28"/>
                <w:highlight w:val="none"/>
              </w:rPr>
            </w:pPr>
          </w:p>
        </w:tc>
        <w:tc>
          <w:tcPr>
            <w:tcW w:w="161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vAlign w:val="center"/>
          </w:tcPr>
          <w:p>
            <w:pPr>
              <w:jc w:val="center"/>
              <w:rPr>
                <w:rFonts w:ascii="仿宋" w:hAnsi="仿宋" w:eastAsia="仿宋" w:cs="仿宋_GB2312"/>
                <w:b/>
                <w:color w:val="auto"/>
                <w:sz w:val="28"/>
                <w:szCs w:val="28"/>
                <w:highlight w:val="none"/>
              </w:rPr>
            </w:pPr>
          </w:p>
        </w:tc>
        <w:tc>
          <w:tcPr>
            <w:tcW w:w="2198"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vAlign w:val="center"/>
          </w:tcPr>
          <w:p>
            <w:pPr>
              <w:jc w:val="center"/>
              <w:rPr>
                <w:rFonts w:ascii="仿宋" w:hAnsi="仿宋" w:eastAsia="仿宋" w:cs="仿宋_GB2312"/>
                <w:b/>
                <w:color w:val="auto"/>
                <w:sz w:val="28"/>
                <w:szCs w:val="28"/>
                <w:highlight w:val="none"/>
              </w:rPr>
            </w:pPr>
          </w:p>
        </w:tc>
        <w:tc>
          <w:tcPr>
            <w:tcW w:w="2198"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2"/>
        <w:rPr>
          <w:rFonts w:ascii="仿宋_GB2312" w:eastAsia="仿宋" w:hAnsiTheme="minorEastAsia"/>
          <w:color w:val="auto"/>
          <w:sz w:val="28"/>
          <w:szCs w:val="28"/>
          <w:highlight w:val="none"/>
        </w:rPr>
      </w:pPr>
    </w:p>
    <w:p>
      <w:pPr>
        <w:pStyle w:val="22"/>
        <w:rPr>
          <w:rFonts w:ascii="仿宋_GB2312" w:eastAsia="仿宋"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rPr>
          <w:rFonts w:ascii="仿宋_GB2312" w:eastAsia="仿宋" w:hAnsiTheme="minorEastAsia"/>
          <w:color w:val="auto"/>
          <w:sz w:val="28"/>
          <w:szCs w:val="28"/>
          <w:highlight w:val="none"/>
        </w:rPr>
      </w:pPr>
      <w:r>
        <w:rPr>
          <w:rFonts w:ascii="仿宋_GB2312" w:eastAsia="仿宋" w:hAnsiTheme="minorEastAsia"/>
          <w:color w:val="auto"/>
          <w:sz w:val="28"/>
          <w:szCs w:val="28"/>
          <w:highlight w:val="none"/>
        </w:rPr>
        <w:br w:type="page"/>
      </w:r>
    </w:p>
    <w:p>
      <w:pPr>
        <w:pStyle w:val="22"/>
        <w:ind w:firstLine="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bookmarkStart w:id="221" w:name="_Toc19423"/>
            <w:bookmarkStart w:id="222"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spacing w:line="360" w:lineRule="auto"/>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5.报价表</w:t>
      </w:r>
      <w:bookmarkEnd w:id="221"/>
      <w:bookmarkEnd w:id="222"/>
    </w:p>
    <w:p>
      <w:pPr>
        <w:adjustRightInd/>
        <w:snapToGrid/>
        <w:spacing w:line="24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项目报价表</w:t>
      </w:r>
    </w:p>
    <w:p>
      <w:pPr>
        <w:spacing w:line="360" w:lineRule="auto"/>
        <w:rPr>
          <w:rFonts w:ascii="仿宋_GB2312" w:hAnsi="仿宋_GB2312" w:eastAsia="仿宋" w:cs="仿宋_GB2312"/>
          <w:color w:val="auto"/>
          <w:sz w:val="28"/>
          <w:szCs w:val="28"/>
          <w:highlight w:val="none"/>
        </w:rPr>
      </w:pPr>
    </w:p>
    <w:p>
      <w:pPr>
        <w:pStyle w:val="22"/>
        <w:adjustRightInd/>
        <w:jc w:val="right"/>
        <w:rPr>
          <w:rFonts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rPr>
        <w:t>[货币单位：人民币元]</w:t>
      </w:r>
    </w:p>
    <w:tbl>
      <w:tblPr>
        <w:tblStyle w:val="24"/>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720"/>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ascii="仿宋_GB2312" w:hAnsi="仿宋_GB2312" w:eastAsia="仿宋_GB2312" w:cs="仿宋_GB2312"/>
                <w:b/>
                <w:bCs/>
                <w:color w:val="auto"/>
                <w:sz w:val="24"/>
                <w:szCs w:val="24"/>
                <w:highlight w:val="none"/>
              </w:rPr>
            </w:pPr>
            <w:r>
              <w:rPr>
                <w:rFonts w:hint="eastAsia" w:ascii="仿宋_GB2312" w:hAnsi="仿宋_GB2312" w:eastAsia="仿宋" w:cs="仿宋_GB2312"/>
                <w:color w:val="auto"/>
                <w:sz w:val="24"/>
                <w:szCs w:val="24"/>
                <w:highlight w:val="none"/>
              </w:rPr>
              <w:t>序号</w:t>
            </w:r>
          </w:p>
        </w:tc>
        <w:tc>
          <w:tcPr>
            <w:tcW w:w="1580" w:type="dxa"/>
            <w:vAlign w:val="center"/>
          </w:tcPr>
          <w:p>
            <w:pPr>
              <w:jc w:val="center"/>
              <w:rPr>
                <w:rFonts w:ascii="仿宋_GB2312" w:hAnsi="仿宋_GB2312" w:eastAsia="仿宋_GB2312" w:cs="仿宋_GB2312"/>
                <w:b/>
                <w:bCs/>
                <w:color w:val="auto"/>
                <w:sz w:val="24"/>
                <w:szCs w:val="24"/>
                <w:highlight w:val="none"/>
              </w:rPr>
            </w:pPr>
            <w:r>
              <w:rPr>
                <w:rFonts w:hint="eastAsia" w:ascii="仿宋_GB2312" w:hAnsi="仿宋_GB2312" w:eastAsia="仿宋" w:cs="仿宋_GB2312"/>
                <w:color w:val="auto"/>
                <w:sz w:val="24"/>
                <w:szCs w:val="24"/>
                <w:highlight w:val="none"/>
              </w:rPr>
              <w:t>子项目名称</w:t>
            </w:r>
          </w:p>
        </w:tc>
        <w:tc>
          <w:tcPr>
            <w:tcW w:w="2720"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内容明细（如有）</w:t>
            </w:r>
          </w:p>
        </w:tc>
        <w:tc>
          <w:tcPr>
            <w:tcW w:w="710"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数量</w:t>
            </w:r>
          </w:p>
        </w:tc>
        <w:tc>
          <w:tcPr>
            <w:tcW w:w="730"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单位</w:t>
            </w:r>
          </w:p>
        </w:tc>
        <w:tc>
          <w:tcPr>
            <w:tcW w:w="1270" w:type="dxa"/>
            <w:vAlign w:val="center"/>
          </w:tcPr>
          <w:p>
            <w:pPr>
              <w:jc w:val="center"/>
              <w:rPr>
                <w:rFonts w:ascii="仿宋_GB2312" w:hAnsi="仿宋_GB2312" w:eastAsia="仿宋" w:cs="仿宋_GB2312"/>
                <w:color w:val="auto"/>
                <w:sz w:val="24"/>
                <w:szCs w:val="24"/>
                <w:highlight w:val="none"/>
              </w:rPr>
            </w:pPr>
            <w:r>
              <w:rPr>
                <w:rFonts w:hint="eastAsia" w:ascii="仿宋_GB2312" w:hAnsi="仿宋_GB2312" w:eastAsia="仿宋" w:cs="仿宋_GB2312"/>
                <w:color w:val="auto"/>
                <w:sz w:val="24"/>
                <w:szCs w:val="24"/>
                <w:highlight w:val="none"/>
              </w:rPr>
              <w:t>单价</w:t>
            </w:r>
          </w:p>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（含税）</w:t>
            </w:r>
          </w:p>
        </w:tc>
        <w:tc>
          <w:tcPr>
            <w:tcW w:w="1210" w:type="dxa"/>
            <w:vAlign w:val="center"/>
          </w:tcPr>
          <w:p>
            <w:pPr>
              <w:jc w:val="center"/>
              <w:rPr>
                <w:rFonts w:ascii="仿宋_GB2312" w:hAnsi="仿宋_GB2312" w:eastAsia="仿宋" w:cs="仿宋_GB2312"/>
                <w:color w:val="auto"/>
                <w:sz w:val="24"/>
                <w:szCs w:val="24"/>
                <w:highlight w:val="none"/>
              </w:rPr>
            </w:pPr>
            <w:r>
              <w:rPr>
                <w:rFonts w:hint="eastAsia" w:ascii="仿宋_GB2312" w:hAnsi="仿宋_GB2312" w:eastAsia="仿宋" w:cs="仿宋_GB2312"/>
                <w:color w:val="auto"/>
                <w:sz w:val="24"/>
                <w:szCs w:val="24"/>
                <w:highlight w:val="none"/>
              </w:rPr>
              <w:t>总价</w:t>
            </w:r>
          </w:p>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1</w:t>
            </w:r>
          </w:p>
        </w:tc>
        <w:tc>
          <w:tcPr>
            <w:tcW w:w="1580"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公司本部玻璃幕墙安全检测项目</w:t>
            </w:r>
          </w:p>
        </w:tc>
        <w:tc>
          <w:tcPr>
            <w:tcW w:w="2720" w:type="dxa"/>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详见采购需求现场检查内容</w:t>
            </w:r>
          </w:p>
        </w:tc>
        <w:tc>
          <w:tcPr>
            <w:tcW w:w="710"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ascii="仿宋_GB2312" w:hAnsi="仿宋_GB2312" w:eastAsia="仿宋_GB2312" w:cs="仿宋_GB2312"/>
                <w:color w:val="auto"/>
                <w:sz w:val="24"/>
                <w:szCs w:val="24"/>
                <w:highlight w:val="none"/>
              </w:rPr>
              <w:t>00</w:t>
            </w:r>
          </w:p>
        </w:tc>
        <w:tc>
          <w:tcPr>
            <w:tcW w:w="730"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平方米</w:t>
            </w:r>
          </w:p>
        </w:tc>
        <w:tc>
          <w:tcPr>
            <w:tcW w:w="1270" w:type="dxa"/>
            <w:vAlign w:val="center"/>
          </w:tcPr>
          <w:p>
            <w:pPr>
              <w:jc w:val="center"/>
              <w:rPr>
                <w:rFonts w:ascii="仿宋_GB2312" w:hAnsi="仿宋_GB2312" w:eastAsia="仿宋_GB2312" w:cs="仿宋_GB2312"/>
                <w:color w:val="auto"/>
                <w:sz w:val="24"/>
                <w:szCs w:val="24"/>
                <w:highlight w:val="none"/>
              </w:rPr>
            </w:pPr>
          </w:p>
        </w:tc>
        <w:tc>
          <w:tcPr>
            <w:tcW w:w="1210" w:type="dxa"/>
            <w:vAlign w:val="center"/>
          </w:tcPr>
          <w:p>
            <w:pPr>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税率/%</w:t>
            </w:r>
          </w:p>
        </w:tc>
        <w:tc>
          <w:tcPr>
            <w:tcW w:w="6640" w:type="dxa"/>
            <w:gridSpan w:val="5"/>
            <w:vAlign w:val="center"/>
          </w:tcPr>
          <w:p>
            <w:pPr>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含税总金额</w:t>
            </w:r>
          </w:p>
        </w:tc>
        <w:tc>
          <w:tcPr>
            <w:tcW w:w="6640" w:type="dxa"/>
            <w:gridSpan w:val="5"/>
            <w:vAlign w:val="center"/>
          </w:tcPr>
          <w:p>
            <w:pPr>
              <w:jc w:val="center"/>
              <w:rPr>
                <w:rFonts w:ascii="仿宋_GB2312" w:hAnsi="仿宋_GB2312" w:eastAsia="仿宋_GB2312" w:cs="仿宋_GB2312"/>
                <w:color w:val="auto"/>
                <w:sz w:val="24"/>
                <w:szCs w:val="24"/>
                <w:highlight w:val="none"/>
              </w:rPr>
            </w:pPr>
          </w:p>
        </w:tc>
      </w:tr>
    </w:tbl>
    <w:p>
      <w:pPr>
        <w:rPr>
          <w:rFonts w:ascii="仿宋_GB2312" w:hAnsi="仿宋_GB2312" w:eastAsia="仿宋" w:cs="仿宋_GB2312"/>
          <w:color w:val="auto"/>
          <w:sz w:val="24"/>
          <w:szCs w:val="24"/>
          <w:highlight w:val="none"/>
        </w:rPr>
      </w:pPr>
      <w:r>
        <w:rPr>
          <w:rFonts w:hint="eastAsia" w:ascii="仿宋_GB2312" w:hAnsi="仿宋_GB2312" w:eastAsia="仿宋" w:cs="仿宋_GB2312"/>
          <w:color w:val="auto"/>
          <w:sz w:val="24"/>
          <w:szCs w:val="24"/>
          <w:highlight w:val="none"/>
        </w:rPr>
        <w:t>注：以上报价包括但不限于设计费、人工费、材料费、安装费、运输费、装卸费、加班费、材料运输费用及各项税费等全部费用。</w:t>
      </w:r>
    </w:p>
    <w:p>
      <w:pPr>
        <w:pStyle w:val="6"/>
        <w:adjustRightInd/>
        <w:snapToGrid/>
        <w:spacing w:after="0"/>
        <w:rPr>
          <w:rFonts w:ascii="仿宋_GB2312" w:hAnsi="仿宋_GB2312" w:eastAsia="仿宋" w:cs="仿宋_GB2312"/>
          <w:color w:val="auto"/>
          <w:sz w:val="28"/>
          <w:szCs w:val="28"/>
          <w:highlight w:val="none"/>
        </w:rPr>
      </w:pPr>
    </w:p>
    <w:p>
      <w:pPr>
        <w:pStyle w:val="6"/>
        <w:adjustRightInd/>
        <w:snapToGrid/>
        <w:spacing w:after="0"/>
        <w:rPr>
          <w:rFonts w:ascii="仿宋_GB2312" w:hAnsi="仿宋_GB2312" w:eastAsia="仿宋" w:cs="仿宋_GB2312"/>
          <w:color w:val="auto"/>
          <w:sz w:val="28"/>
          <w:szCs w:val="28"/>
          <w:highlight w:val="none"/>
        </w:rPr>
      </w:pPr>
    </w:p>
    <w:p>
      <w:pPr>
        <w:pStyle w:val="6"/>
        <w:wordWrap w:val="0"/>
        <w:adjustRightInd/>
        <w:snapToGrid/>
        <w:spacing w:after="0"/>
        <w:ind w:firstLine="0"/>
        <w:jc w:val="righ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 xml:space="preserve">供应商名称（加盖公章）：       </w:t>
      </w:r>
    </w:p>
    <w:p>
      <w:pPr>
        <w:wordWrap w:val="0"/>
        <w:adjustRightInd w:val="0"/>
        <w:snapToGrid w:val="0"/>
        <w:spacing w:line="600" w:lineRule="exact"/>
        <w:jc w:val="right"/>
        <w:rPr>
          <w:rFonts w:ascii="仿宋_GB2312" w:eastAsia="仿宋" w:hAnsiTheme="minorEastAsia"/>
          <w:color w:val="auto"/>
          <w:sz w:val="28"/>
          <w:szCs w:val="28"/>
          <w:highlight w:val="none"/>
        </w:rPr>
      </w:pPr>
      <w:r>
        <w:rPr>
          <w:rFonts w:hint="eastAsia" w:ascii="仿宋_GB2312" w:hAnsi="仿宋_GB2312" w:eastAsia="仿宋" w:cs="仿宋_GB2312"/>
          <w:color w:val="auto"/>
          <w:sz w:val="28"/>
          <w:szCs w:val="28"/>
          <w:highlight w:val="none"/>
        </w:rPr>
        <w:t xml:space="preserve">    年  月  日        </w:t>
      </w:r>
    </w:p>
    <w:p>
      <w:pPr>
        <w:rPr>
          <w:color w:val="auto"/>
          <w:highlight w:val="none"/>
        </w:rPr>
      </w:pPr>
      <w:r>
        <w:rPr>
          <w:color w:val="auto"/>
          <w:highlight w:val="none"/>
        </w:rPr>
        <w:br w:type="page"/>
      </w:r>
    </w:p>
    <w:p>
      <w:pPr>
        <w:spacing w:line="360" w:lineRule="auto"/>
        <w:rPr>
          <w:rFonts w:ascii="黑体" w:hAnsi="黑体" w:eastAsia="黑体" w:cs="黑体"/>
          <w:b/>
          <w:bCs/>
          <w:color w:val="auto"/>
          <w:sz w:val="32"/>
          <w:szCs w:val="32"/>
          <w:highlight w:val="none"/>
        </w:rPr>
      </w:pPr>
      <w:bookmarkStart w:id="223" w:name="_Toc87616402"/>
      <w:bookmarkStart w:id="224" w:name="_Toc16386"/>
      <w:bookmarkStart w:id="225" w:name="_Toc6058"/>
      <w:bookmarkStart w:id="226" w:name="_Toc88209965"/>
      <w:r>
        <w:rPr>
          <w:rFonts w:hint="eastAsia" w:ascii="黑体" w:hAnsi="黑体" w:eastAsia="黑体" w:cs="黑体"/>
          <w:b/>
          <w:bCs/>
          <w:color w:val="auto"/>
          <w:sz w:val="32"/>
          <w:szCs w:val="32"/>
          <w:highlight w:val="none"/>
        </w:rPr>
        <w:t>6.其他资料</w:t>
      </w:r>
      <w:bookmarkEnd w:id="223"/>
      <w:bookmarkEnd w:id="224"/>
      <w:bookmarkEnd w:id="225"/>
      <w:bookmarkEnd w:id="226"/>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4101" o:spid="_x0000_s410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shape>
      </w:pict>
    </w:r>
    <w:r>
      <w:pict>
        <v:shape id="_x0000_s4102" o:spid="_x0000_s410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7"/>
                </w:pPr>
              </w:p>
              <w:p/>
            </w:txbxContent>
          </v:textbox>
        </v:shape>
      </w:pic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visionView w:markup="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NlNTNmYTg2YTk2YzBlZmY5MDJmNzVhNmU5MTU4MDEifQ=="/>
  </w:docVars>
  <w:rsids>
    <w:rsidRoot w:val="005D618A"/>
    <w:rsid w:val="000C768D"/>
    <w:rsid w:val="00263CCF"/>
    <w:rsid w:val="002644EE"/>
    <w:rsid w:val="003D60BA"/>
    <w:rsid w:val="00411689"/>
    <w:rsid w:val="005408FC"/>
    <w:rsid w:val="00560101"/>
    <w:rsid w:val="005D618A"/>
    <w:rsid w:val="006B695B"/>
    <w:rsid w:val="00826B88"/>
    <w:rsid w:val="00911ECD"/>
    <w:rsid w:val="00941D9F"/>
    <w:rsid w:val="00A042E0"/>
    <w:rsid w:val="00B26BB1"/>
    <w:rsid w:val="00B26E21"/>
    <w:rsid w:val="00B741D7"/>
    <w:rsid w:val="00CB3927"/>
    <w:rsid w:val="00D4533C"/>
    <w:rsid w:val="00E4267E"/>
    <w:rsid w:val="00F83B64"/>
    <w:rsid w:val="00FD69B9"/>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26D25"/>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0A309F"/>
    <w:rsid w:val="2A2619CB"/>
    <w:rsid w:val="2A7317D3"/>
    <w:rsid w:val="2A7C2231"/>
    <w:rsid w:val="2A920E4F"/>
    <w:rsid w:val="2AAC57B8"/>
    <w:rsid w:val="2ABB753D"/>
    <w:rsid w:val="2AFE6EC4"/>
    <w:rsid w:val="2B345DDC"/>
    <w:rsid w:val="2B7A49FA"/>
    <w:rsid w:val="2B8D3D69"/>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D52AB8"/>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206C59"/>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3F4579"/>
    <w:rsid w:val="3D5C38CD"/>
    <w:rsid w:val="3D996878"/>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1864AB"/>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2F743C4"/>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5F03DC"/>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2"/>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line="360" w:lineRule="auto"/>
      <w:ind w:firstLine="480" w:firstLineChars="200"/>
    </w:pPr>
    <w:rPr>
      <w:rFonts w:ascii="宋体" w:cs="宋体"/>
      <w:sz w:val="24"/>
      <w:szCs w:val="24"/>
    </w:rPr>
  </w:style>
  <w:style w:type="paragraph" w:styleId="22">
    <w:name w:val="Body Text First Indent 2"/>
    <w:basedOn w:val="11"/>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rPr>
  </w:style>
  <w:style w:type="character" w:styleId="28">
    <w:name w:val="annotation reference"/>
    <w:basedOn w:val="25"/>
    <w:semiHidden/>
    <w:unhideWhenUsed/>
    <w:qFormat/>
    <w:uiPriority w:val="99"/>
    <w:rPr>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字符"/>
    <w:basedOn w:val="25"/>
    <w:link w:val="18"/>
    <w:semiHidden/>
    <w:qFormat/>
    <w:uiPriority w:val="99"/>
    <w:rPr>
      <w:sz w:val="18"/>
      <w:szCs w:val="18"/>
    </w:rPr>
  </w:style>
  <w:style w:type="character" w:customStyle="1" w:styleId="31">
    <w:name w:val="页脚 字符"/>
    <w:basedOn w:val="25"/>
    <w:link w:val="17"/>
    <w:qFormat/>
    <w:uiPriority w:val="99"/>
    <w:rPr>
      <w:sz w:val="18"/>
      <w:szCs w:val="18"/>
    </w:rPr>
  </w:style>
  <w:style w:type="character" w:customStyle="1" w:styleId="32">
    <w:name w:val="标题 1 字符"/>
    <w:basedOn w:val="25"/>
    <w:link w:val="3"/>
    <w:qFormat/>
    <w:uiPriority w:val="9"/>
    <w:rPr>
      <w:rFonts w:eastAsia="方正小标宋简体"/>
      <w:bCs/>
      <w:kern w:val="44"/>
      <w:sz w:val="44"/>
      <w:szCs w:val="44"/>
    </w:rPr>
  </w:style>
  <w:style w:type="character" w:customStyle="1" w:styleId="33">
    <w:name w:val="标题 2 字符"/>
    <w:basedOn w:val="25"/>
    <w:link w:val="4"/>
    <w:qFormat/>
    <w:uiPriority w:val="9"/>
    <w:rPr>
      <w:rFonts w:eastAsia="方正小标宋简体" w:asciiTheme="majorHAnsi" w:hAnsiTheme="majorHAnsi" w:cstheme="majorBidi"/>
      <w:bCs/>
      <w:sz w:val="36"/>
      <w:szCs w:val="32"/>
    </w:rPr>
  </w:style>
  <w:style w:type="character" w:customStyle="1" w:styleId="34">
    <w:name w:val="标题 3 字符"/>
    <w:basedOn w:val="25"/>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批注框文本 字符"/>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字符"/>
    <w:basedOn w:val="25"/>
    <w:link w:val="8"/>
    <w:semiHidden/>
    <w:qFormat/>
    <w:uiPriority w:val="99"/>
    <w:rPr>
      <w:sz w:val="16"/>
      <w:szCs w:val="16"/>
    </w:rPr>
  </w:style>
  <w:style w:type="character" w:customStyle="1" w:styleId="43">
    <w:name w:val="列出段落 字符"/>
    <w:link w:val="35"/>
    <w:qFormat/>
    <w:uiPriority w:val="34"/>
  </w:style>
  <w:style w:type="paragraph" w:customStyle="1" w:styleId="44">
    <w:name w:val="1"/>
    <w:basedOn w:val="1"/>
    <w:next w:val="13"/>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100"/>
    <customShpInfo spid="_x0000_s4098"/>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732</Words>
  <Characters>773</Characters>
  <Lines>128</Lines>
  <Paragraphs>36</Paragraphs>
  <TotalTime>12</TotalTime>
  <ScaleCrop>false</ScaleCrop>
  <LinksUpToDate>false</LinksUpToDate>
  <CharactersWithSpaces>910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2025-01-16T08:01:28Z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y fmtid="{D5CDD505-2E9C-101B-9397-08002B2CF9AE}" pid="4" name="KSOTemplateDocerSaveRecord">
    <vt:lpwstr>eyJoZGlkIjoiYWNlNTNmYTg2YTk2YzBlZmY5MDJmNzVhNmU5MTU4MDEiLCJ1c2VySWQiOiI1MDk3MTA1MjAifQ==</vt:lpwstr>
  </property>
</Properties>
</file>