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广州市净水有限公司健康城分公司2024年智慧消防系统改造项目</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3"/>
        <w:rPr>
          <w:rFonts w:ascii="仿宋_GB2312" w:eastAsia="仿宋_GB2312"/>
          <w:color w:val="auto"/>
          <w:sz w:val="32"/>
          <w:szCs w:val="32"/>
          <w:highlight w:val="none"/>
        </w:rPr>
      </w:pPr>
    </w:p>
    <w:p>
      <w:pPr>
        <w:pStyle w:val="23"/>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4" w:type="first"/>
          <w:footerReference r:id="rId3" w:type="default"/>
          <w:pgSz w:w="11906" w:h="16838"/>
          <w:pgMar w:top="2098" w:right="1474" w:bottom="1985" w:left="1588" w:header="851" w:footer="992" w:gutter="0"/>
          <w:pgNumType w:fmt="decimal"/>
          <w:cols w:space="425" w:num="1"/>
          <w:docGrid w:type="lines" w:linePitch="312" w:charSpace="0"/>
        </w:sectPr>
      </w:pPr>
    </w:p>
    <w:p>
      <w:pPr>
        <w:pStyle w:val="23"/>
        <w:rPr>
          <w:color w:val="auto"/>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7"/>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7"/>
        <w:numPr>
          <w:ilvl w:val="0"/>
          <w:numId w:val="1"/>
        </w:numPr>
        <w:tabs>
          <w:tab w:val="right" w:pos="8844"/>
        </w:tabs>
        <w:rPr>
          <w:color w:val="auto"/>
          <w:highlight w:val="none"/>
        </w:rPr>
      </w:pPr>
      <w:r>
        <w:rPr>
          <w:rFonts w:hint="eastAsia"/>
          <w:color w:val="auto"/>
          <w:highlight w:val="none"/>
          <w:lang w:val="en-US" w:eastAsia="zh-CN"/>
        </w:rPr>
        <w:t>供应商须知</w:t>
      </w:r>
    </w:p>
    <w:p>
      <w:pPr>
        <w:pStyle w:val="17"/>
        <w:numPr>
          <w:ilvl w:val="0"/>
          <w:numId w:val="1"/>
        </w:numPr>
        <w:tabs>
          <w:tab w:val="right" w:pos="8844"/>
        </w:tabs>
        <w:rPr>
          <w:color w:val="auto"/>
          <w:highlight w:val="none"/>
        </w:rPr>
      </w:pPr>
      <w:r>
        <w:rPr>
          <w:rFonts w:hint="eastAsia"/>
          <w:color w:val="auto"/>
          <w:highlight w:val="none"/>
          <w:lang w:val="en-US" w:eastAsia="zh-CN"/>
        </w:rPr>
        <w:t>采购方法</w:t>
      </w:r>
    </w:p>
    <w:p>
      <w:pPr>
        <w:pStyle w:val="17"/>
        <w:numPr>
          <w:ilvl w:val="0"/>
          <w:numId w:val="1"/>
        </w:numPr>
        <w:tabs>
          <w:tab w:val="right" w:pos="8844"/>
        </w:tabs>
        <w:rPr>
          <w:color w:val="auto"/>
          <w:highlight w:val="none"/>
        </w:rPr>
      </w:pPr>
      <w:r>
        <w:rPr>
          <w:rFonts w:hint="eastAsia"/>
          <w:color w:val="auto"/>
          <w:highlight w:val="none"/>
          <w:lang w:val="en-US" w:eastAsia="zh-CN"/>
        </w:rPr>
        <w:t>评审方法</w:t>
      </w:r>
    </w:p>
    <w:p>
      <w:pPr>
        <w:pStyle w:val="17"/>
        <w:numPr>
          <w:ilvl w:val="0"/>
          <w:numId w:val="1"/>
        </w:numPr>
        <w:tabs>
          <w:tab w:val="right" w:pos="8844"/>
        </w:tabs>
        <w:rPr>
          <w:color w:val="auto"/>
          <w:highlight w:val="none"/>
        </w:rPr>
      </w:pPr>
      <w:r>
        <w:rPr>
          <w:rFonts w:hint="eastAsia"/>
          <w:color w:val="auto"/>
          <w:highlight w:val="none"/>
          <w:lang w:val="en-US" w:eastAsia="zh-CN"/>
        </w:rPr>
        <w:t>采购需求</w:t>
      </w:r>
    </w:p>
    <w:p>
      <w:pPr>
        <w:pStyle w:val="17"/>
        <w:numPr>
          <w:ilvl w:val="0"/>
          <w:numId w:val="1"/>
        </w:numPr>
        <w:tabs>
          <w:tab w:val="right" w:pos="8844"/>
        </w:tabs>
        <w:rPr>
          <w:color w:val="auto"/>
          <w:highlight w:val="none"/>
        </w:rPr>
      </w:pPr>
      <w:r>
        <w:rPr>
          <w:rFonts w:hint="eastAsia"/>
          <w:color w:val="auto"/>
          <w:highlight w:val="none"/>
        </w:rPr>
        <w:t>合同草案</w:t>
      </w:r>
    </w:p>
    <w:p>
      <w:pPr>
        <w:pStyle w:val="17"/>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hint="eastAsia"/>
          <w:color w:val="auto"/>
          <w:highlight w:val="none"/>
        </w:rPr>
      </w:pPr>
      <w:bookmarkStart w:id="0" w:name="_Toc18145"/>
      <w:bookmarkStart w:id="1" w:name="_Toc26148"/>
    </w:p>
    <w:p>
      <w:pPr>
        <w:rPr>
          <w:rFonts w:hint="eastAsia"/>
          <w:color w:val="auto"/>
          <w:highlight w:val="none"/>
        </w:rPr>
      </w:pPr>
    </w:p>
    <w:p>
      <w:pPr>
        <w:pStyle w:val="2"/>
        <w:rPr>
          <w:rFonts w:hint="eastAsia"/>
          <w:color w:val="auto"/>
          <w:highlight w:val="none"/>
        </w:rPr>
      </w:pPr>
      <w:bookmarkStart w:id="2" w:name="_Toc17696"/>
      <w:bookmarkStart w:id="3" w:name="_Toc1711"/>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
        <w:rPr>
          <w:rFonts w:hint="eastAsia"/>
          <w:color w:val="auto"/>
          <w:highlight w:val="none"/>
        </w:rPr>
      </w:pPr>
      <w:bookmarkStart w:id="4" w:name="_Toc11322"/>
      <w:bookmarkStart w:id="5" w:name="_Toc4275"/>
      <w:bookmarkStart w:id="6" w:name="_Toc1669"/>
      <w:bookmarkStart w:id="7" w:name="_Toc17801"/>
      <w:bookmarkStart w:id="8" w:name="_Toc19609"/>
      <w:bookmarkStart w:id="9" w:name="_Toc7519"/>
      <w:bookmarkStart w:id="10" w:name="_Toc31938"/>
    </w:p>
    <w:p>
      <w:pPr>
        <w:rPr>
          <w:rFonts w:hint="eastAsia" w:ascii="仿宋_GB2312" w:hAnsi="仿宋_GB2312" w:eastAsia="仿宋" w:cs="仿宋_GB2312"/>
          <w:sz w:val="28"/>
          <w:szCs w:val="28"/>
        </w:rPr>
      </w:pPr>
    </w:p>
    <w:p>
      <w:pPr>
        <w:pBdr>
          <w:bottom w:val="none" w:color="auto" w:sz="0" w:space="0"/>
        </w:pBdr>
        <w:rPr>
          <w:rFonts w:hint="eastAsia" w:ascii="仿宋_GB2312" w:hAnsi="仿宋_GB2312" w:eastAsia="仿宋" w:cs="仿宋_GB2312"/>
          <w:sz w:val="28"/>
          <w:szCs w:val="28"/>
        </w:rPr>
      </w:pPr>
    </w:p>
    <w:p>
      <w:pPr>
        <w:pBdr>
          <w:top w:val="double" w:color="auto" w:sz="4" w:space="0"/>
          <w:bottom w:val="double" w:color="auto" w:sz="4" w:space="0"/>
        </w:pBdr>
        <w:jc w:val="center"/>
        <w:rPr>
          <w:rFonts w:hint="default" w:ascii="仿宋_GB2312" w:hAnsi="仿宋_GB2312" w:eastAsia="仿宋" w:cs="仿宋_GB2312"/>
          <w:sz w:val="44"/>
          <w:szCs w:val="44"/>
          <w:lang w:val="en-US" w:eastAsia="zh-CN"/>
        </w:rPr>
      </w:pPr>
      <w:r>
        <w:rPr>
          <w:rFonts w:hint="eastAsia" w:ascii="方正小标宋简体" w:hAnsi="方正小标宋简体" w:eastAsia="仿宋" w:cs="方正小标宋简体"/>
          <w:sz w:val="44"/>
          <w:szCs w:val="44"/>
          <w:lang w:val="en-US" w:eastAsia="zh-CN"/>
        </w:rPr>
        <w:t>第一章</w:t>
      </w:r>
    </w:p>
    <w:p>
      <w:pPr>
        <w:rPr>
          <w:rFonts w:hint="eastAsia" w:ascii="仿宋_GB2312" w:hAnsi="仿宋_GB2312" w:eastAsia="仿宋" w:cs="仿宋_GB2312"/>
          <w:sz w:val="28"/>
          <w:szCs w:val="28"/>
        </w:rPr>
      </w:pP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bookmarkEnd w:id="0"/>
    <w:bookmarkEnd w:id="1"/>
    <w:bookmarkEnd w:id="2"/>
    <w:bookmarkEnd w:id="3"/>
    <w:bookmarkEnd w:id="4"/>
    <w:bookmarkEnd w:id="5"/>
    <w:bookmarkEnd w:id="6"/>
    <w:bookmarkEnd w:id="7"/>
    <w:bookmarkEnd w:id="8"/>
    <w:bookmarkEnd w:id="9"/>
    <w:bookmarkEnd w:id="10"/>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2"/>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广州市净水有限公司健康城分公司2024年智慧消防系统改造项目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pStyle w:val="31"/>
        <w:adjustRightInd w:val="0"/>
        <w:snapToGrid w:val="0"/>
        <w:spacing w:line="600" w:lineRule="exact"/>
        <w:jc w:val="left"/>
        <w:rPr>
          <w:rFonts w:hint="eastAsia" w:ascii="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color w:val="auto"/>
          <w:sz w:val="28"/>
          <w:szCs w:val="28"/>
          <w:highlight w:val="none"/>
          <w:u w:val="single"/>
          <w:lang w:val="en-US" w:eastAsia="zh-CN"/>
        </w:rPr>
        <w:t>广州市净水有限公司健康城分公司2024年智慧消防系统改造项目</w:t>
      </w:r>
    </w:p>
    <w:p>
      <w:pPr>
        <w:pStyle w:val="31"/>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1.2项目编号：</w:t>
      </w:r>
      <w:r>
        <w:rPr>
          <w:rFonts w:hint="eastAsia" w:ascii="仿宋_GB2312"/>
          <w:color w:val="auto"/>
          <w:sz w:val="28"/>
          <w:szCs w:val="28"/>
          <w:highlight w:val="none"/>
          <w:u w:val="single"/>
          <w:lang w:val="en-US" w:eastAsia="zh-CN"/>
        </w:rPr>
        <w:t>XJ-20241127-1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color w:val="FF0000"/>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hAnsi="Times New Roman" w:eastAsia="仿宋_GB2312" w:cs="宋体"/>
          <w:color w:val="auto"/>
          <w:kern w:val="0"/>
          <w:sz w:val="28"/>
          <w:szCs w:val="28"/>
          <w:highlight w:val="none"/>
          <w:u w:val="single"/>
        </w:rPr>
        <w:t>：</w:t>
      </w:r>
      <w:r>
        <w:rPr>
          <w:rFonts w:hint="eastAsia" w:ascii="仿宋_GB2312" w:hAnsi="Times New Roman" w:eastAsia="仿宋_GB2312" w:cs="宋体"/>
          <w:color w:val="auto"/>
          <w:kern w:val="0"/>
          <w:sz w:val="28"/>
          <w:szCs w:val="28"/>
          <w:highlight w:val="none"/>
          <w:u w:val="single"/>
          <w:lang w:val="en-US" w:eastAsia="zh-CN"/>
        </w:rPr>
        <w:t>181588.00元，</w:t>
      </w:r>
      <w:r>
        <w:rPr>
          <w:rFonts w:hint="eastAsia" w:ascii="仿宋_GB2312" w:eastAsia="仿宋_GB2312"/>
          <w:color w:val="auto"/>
          <w:sz w:val="28"/>
          <w:szCs w:val="28"/>
          <w:highlight w:val="none"/>
          <w:u w:val="single"/>
          <w:lang w:val="en-US" w:eastAsia="zh-CN"/>
        </w:rPr>
        <w:t>（含全额增值税专用发票）</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广州市净水有限公司健康城分公司2024年智慧消防系统改造项目主要内容为：</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hAnsiTheme="minorHAnsi" w:cstheme="minorBidi"/>
          <w:bCs w:val="0"/>
          <w:color w:val="auto"/>
          <w:sz w:val="28"/>
          <w:szCs w:val="28"/>
          <w:highlight w:val="none"/>
          <w:u w:val="none"/>
          <w:lang w:val="en-US" w:eastAsia="zh-CN"/>
        </w:rPr>
        <w:t>在各消防子系统部署数据采集卡、数据监控设备、受理主机等硬件把各子系统监控信号数据接入统一的智慧消防管理平台，该智慧消防系统平台能对各子系统的数据进行智能化统一分析处理，具备状态监视、报警响应、消防应急联动、定制报表、消防巡查任务派送等功能，实现分公司消防系统的智慧化管理</w:t>
      </w: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30个工作日。</w:t>
      </w:r>
      <w:r>
        <w:rPr>
          <w:rFonts w:hint="eastAsia" w:ascii="仿宋_GB2312" w:eastAsia="仿宋_GB2312"/>
          <w:color w:val="auto"/>
          <w:sz w:val="28"/>
          <w:szCs w:val="28"/>
          <w:highlight w:val="none"/>
          <w:u w:val="single"/>
        </w:rPr>
        <w:t>(具体施工日期及工期调整根据分公司实际计划时间而定</w:t>
      </w:r>
      <w:r>
        <w:rPr>
          <w:rFonts w:hint="eastAsia" w:ascii="仿宋_GB2312" w:eastAsia="仿宋_GB2312"/>
          <w:color w:val="auto"/>
          <w:sz w:val="28"/>
          <w:szCs w:val="28"/>
          <w:highlight w:val="none"/>
          <w:u w:val="single"/>
          <w:lang w:eastAsia="zh-CN"/>
        </w:rPr>
        <w:t>，具体开工时间以甲方通知为准）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广州市白云区钟落潭镇广陈路568号广州市净水有限公司健康城分公司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方正仿宋_GB2312" w:hAnsi="方正仿宋_GB2312" w:eastAsia="方正仿宋_GB2312" w:cs="方正仿宋_GB2312"/>
          <w:b w:val="0"/>
          <w:bCs w:val="0"/>
          <w:color w:val="auto"/>
          <w:sz w:val="28"/>
          <w:szCs w:val="28"/>
          <w:highlight w:val="none"/>
          <w:u w:val="single"/>
        </w:rPr>
        <w:t>按合同条款和有关技术标准规范进行验收。使用的各种材料必须符合</w:t>
      </w:r>
      <w:r>
        <w:rPr>
          <w:rFonts w:hint="eastAsia" w:ascii="方正仿宋_GB2312" w:hAnsi="方正仿宋_GB2312" w:eastAsia="方正仿宋_GB2312" w:cs="方正仿宋_GB2312"/>
          <w:b w:val="0"/>
          <w:bCs w:val="0"/>
          <w:color w:val="auto"/>
          <w:sz w:val="28"/>
          <w:szCs w:val="28"/>
          <w:highlight w:val="none"/>
          <w:u w:val="single"/>
          <w:lang w:val="en-US" w:eastAsia="zh-CN"/>
        </w:rPr>
        <w:t>有关技术标准</w:t>
      </w:r>
      <w:r>
        <w:rPr>
          <w:rFonts w:hint="eastAsia" w:ascii="方正仿宋_GB2312" w:hAnsi="方正仿宋_GB2312" w:eastAsia="方正仿宋_GB2312" w:cs="方正仿宋_GB2312"/>
          <w:b w:val="0"/>
          <w:bCs w:val="0"/>
          <w:color w:val="auto"/>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同时具有</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资质</w:t>
      </w:r>
      <w:r>
        <w:rPr>
          <w:rFonts w:hint="eastAsia" w:ascii="仿宋_GB2312" w:eastAsia="仿宋_GB2312" w:hAnsiTheme="minorHAnsi" w:cstheme="minorBidi"/>
          <w:color w:val="auto"/>
          <w:kern w:val="2"/>
          <w:sz w:val="28"/>
          <w:szCs w:val="28"/>
          <w:highlight w:val="none"/>
          <w:lang w:val="en-US" w:eastAsia="zh-CN" w:bidi="ar-SA"/>
        </w:rPr>
        <w:t>。</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2021</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w:t>
      </w:r>
      <w:r>
        <w:rPr>
          <w:rFonts w:hint="eastAsia" w:ascii="仿宋_GB2312" w:eastAsia="仿宋_GB2312"/>
          <w:color w:val="auto"/>
          <w:sz w:val="28"/>
          <w:szCs w:val="28"/>
          <w:highlight w:val="none"/>
          <w:u w:val="single"/>
          <w:lang w:val="en-US" w:eastAsia="zh-CN"/>
        </w:rPr>
        <w:t>消防系统智慧化平台新建</w:t>
      </w:r>
      <w:r>
        <w:rPr>
          <w:rFonts w:hint="eastAsia" w:ascii="仿宋_GB2312" w:eastAsia="仿宋_GB2312"/>
          <w:color w:val="auto"/>
          <w:sz w:val="28"/>
          <w:szCs w:val="28"/>
          <w:highlight w:val="none"/>
        </w:rPr>
        <w:t>业绩。（提供合同复印件证明，包括但不限于项目名称</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实施内容、</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合同盖章、签订日期，加盖单位公章）</w:t>
      </w:r>
      <w:r>
        <w:rPr>
          <w:rFonts w:hint="eastAsia" w:ascii="仿宋_GB2312" w:eastAsia="仿宋_GB2312"/>
          <w:color w:val="auto"/>
          <w:sz w:val="28"/>
          <w:szCs w:val="28"/>
          <w:highlight w:val="none"/>
          <w:u w:val="none"/>
        </w:rPr>
        <w:t xml:space="preserve">             </w:t>
      </w:r>
    </w:p>
    <w:p>
      <w:pPr>
        <w:numPr>
          <w:ilvl w:val="255"/>
          <w:numId w:val="0"/>
        </w:numPr>
        <w:adjustRightInd/>
        <w:snapToGrid/>
        <w:spacing w:line="520" w:lineRule="exact"/>
        <w:ind w:firstLine="0" w:firstLineChars="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）其他要求：</w:t>
      </w:r>
      <w:r>
        <w:rPr>
          <w:rFonts w:hint="eastAsia" w:ascii="仿宋_GB2312" w:eastAsia="仿宋_GB2312"/>
          <w:color w:val="auto"/>
          <w:sz w:val="28"/>
          <w:szCs w:val="28"/>
          <w:highlight w:val="none"/>
          <w:u w:val="none"/>
          <w:lang w:val="en-US" w:eastAsia="zh-CN"/>
        </w:rPr>
        <w:t>报价单位须取得</w:t>
      </w:r>
      <w:r>
        <w:rPr>
          <w:rFonts w:hint="eastAsia" w:ascii="仿宋_GB2312" w:eastAsia="仿宋_GB2312"/>
          <w:sz w:val="28"/>
          <w:szCs w:val="28"/>
          <w:u w:val="single"/>
        </w:rPr>
        <w:t>软件制造商智慧消防系统</w:t>
      </w:r>
      <w:r>
        <w:rPr>
          <w:rFonts w:hint="eastAsia" w:ascii="仿宋_GB2312" w:eastAsia="仿宋_GB2312"/>
          <w:sz w:val="28"/>
          <w:szCs w:val="28"/>
          <w:u w:val="single"/>
          <w:lang w:val="en-US" w:eastAsia="zh-CN"/>
        </w:rPr>
        <w:t>平台</w:t>
      </w:r>
      <w:r>
        <w:rPr>
          <w:rFonts w:hint="eastAsia" w:ascii="仿宋_GB2312" w:eastAsia="仿宋_GB2312"/>
          <w:sz w:val="28"/>
          <w:szCs w:val="28"/>
          <w:u w:val="single"/>
        </w:rPr>
        <w:t>的授权书。</w:t>
      </w:r>
    </w:p>
    <w:p>
      <w:pPr>
        <w:adjustRightInd w:val="0"/>
        <w:snapToGrid/>
        <w:spacing w:line="520" w:lineRule="exact"/>
        <w:jc w:val="left"/>
        <w:rPr>
          <w:rFonts w:ascii="仿宋_GB2312" w:eastAsia="仿宋_GB2312"/>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（7）在“信用中国”网站（www.creditchina.gov.cn）中被列入失信被执行人、安全生产领域严重失信惩戒名单、拖欠农民工工资失信联合惩戒对象名单。</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（8）在“信用中国”网站（www.creditchina.gov.cn）中被列入严重失信主体名单。</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（9）其他违法违纪行为，经审查认为不宜被邀请参加采购活动的。</w:t>
      </w:r>
    </w:p>
    <w:p>
      <w:pPr>
        <w:adjustRightInd w:val="0"/>
        <w:snapToGrid/>
        <w:spacing w:line="520" w:lineRule="exact"/>
        <w:ind w:firstLine="560" w:firstLineChars="200"/>
        <w:jc w:val="left"/>
        <w:rPr>
          <w:rFonts w:hint="eastAsia" w:ascii="仿宋_GB2312" w:eastAsia="仿宋"/>
          <w:color w:val="auto"/>
          <w:sz w:val="28"/>
          <w:szCs w:val="28"/>
          <w:highlight w:val="none"/>
        </w:rPr>
      </w:pPr>
      <w:r>
        <w:rPr>
          <w:rFonts w:hint="eastAsia" w:ascii="仿宋_GB2312" w:eastAsia="仿宋_GB2312"/>
          <w:color w:val="auto"/>
          <w:sz w:val="28"/>
          <w:szCs w:val="28"/>
          <w:highlight w:val="none"/>
        </w:rPr>
        <w:t>（10）其他禁止情形：                                     。</w:t>
      </w:r>
    </w:p>
    <w:p>
      <w:pPr>
        <w:adjustRightInd w:val="0"/>
        <w:snapToGrid/>
        <w:spacing w:line="520" w:lineRule="exact"/>
        <w:jc w:val="left"/>
        <w:rPr>
          <w:rFonts w:ascii="仿宋_GB2312" w:eastAsia="仿宋"/>
          <w:sz w:val="28"/>
          <w:szCs w:val="28"/>
        </w:rPr>
      </w:pPr>
      <w:r>
        <w:rPr>
          <w:rFonts w:hint="eastAsia" w:ascii="仿宋_GB2312" w:eastAsia="仿宋"/>
          <w:color w:val="auto"/>
          <w:sz w:val="28"/>
          <w:szCs w:val="28"/>
          <w:highlight w:val="none"/>
        </w:rPr>
        <w:t>3.3</w:t>
      </w:r>
      <w:r>
        <w:rPr>
          <w:rFonts w:hint="eastAsia" w:ascii="仿宋_GB2312" w:eastAsia="仿宋"/>
          <w:sz w:val="28"/>
          <w:szCs w:val="28"/>
        </w:rPr>
        <w:t xml:space="preserve">本次项目□接受  </w:t>
      </w:r>
      <w:r>
        <w:rPr>
          <w:rFonts w:hint="eastAsia" w:ascii="仿宋_GB2312" w:eastAsia="仿宋"/>
          <w:sz w:val="28"/>
          <w:szCs w:val="28"/>
          <w:lang w:eastAsia="zh-CN"/>
        </w:rPr>
        <w:t>☑</w:t>
      </w:r>
      <w:r>
        <w:rPr>
          <w:rFonts w:hint="eastAsia" w:ascii="仿宋_GB2312" w:eastAsia="仿宋"/>
          <w:sz w:val="28"/>
          <w:szCs w:val="28"/>
        </w:rPr>
        <w:t>不接受联合体参加采购活动</w:t>
      </w:r>
    </w:p>
    <w:p>
      <w:pPr>
        <w:adjustRightInd w:val="0"/>
        <w:snapToGrid/>
        <w:spacing w:line="520" w:lineRule="exact"/>
        <w:ind w:firstLine="560" w:firstLineChars="200"/>
        <w:jc w:val="left"/>
        <w:rPr>
          <w:rFonts w:ascii="仿宋_GB2312" w:eastAsia="仿宋"/>
          <w:sz w:val="28"/>
          <w:szCs w:val="28"/>
        </w:rPr>
      </w:pPr>
      <w:r>
        <w:rPr>
          <w:rFonts w:hint="eastAsia" w:ascii="仿宋_GB2312" w:eastAsia="仿宋"/>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spacing w:line="520" w:lineRule="exact"/>
        <w:ind w:firstLine="555"/>
        <w:jc w:val="left"/>
        <w:rPr>
          <w:rFonts w:ascii="仿宋_GB2312" w:eastAsia="仿宋"/>
          <w:sz w:val="28"/>
          <w:szCs w:val="28"/>
          <w:u w:val="single"/>
        </w:rPr>
      </w:pPr>
      <w:r>
        <w:rPr>
          <w:rFonts w:hint="eastAsia" w:ascii="仿宋_GB2312" w:eastAsia="仿宋"/>
          <w:sz w:val="28"/>
          <w:szCs w:val="28"/>
        </w:rPr>
        <w:t>联合体的资格认定标准如下：</w:t>
      </w:r>
      <w:r>
        <w:rPr>
          <w:rFonts w:hint="eastAsia" w:ascii="仿宋_GB2312" w:eastAsia="仿宋"/>
          <w:sz w:val="28"/>
          <w:szCs w:val="28"/>
          <w:u w:val="single"/>
          <w:lang w:val="en-US" w:eastAsia="zh-CN"/>
        </w:rPr>
        <w:t>/</w:t>
      </w:r>
      <w:r>
        <w:rPr>
          <w:rFonts w:hint="eastAsia" w:ascii="仿宋_GB2312" w:eastAsia="仿宋"/>
          <w:color w:val="auto"/>
          <w:sz w:val="28"/>
          <w:szCs w:val="28"/>
          <w:highlight w:val="none"/>
        </w:rPr>
        <w:t>。</w:t>
      </w:r>
    </w:p>
    <w:p>
      <w:pPr>
        <w:adjustRightInd w:val="0"/>
        <w:snapToGrid/>
        <w:spacing w:line="520" w:lineRule="exact"/>
        <w:jc w:val="left"/>
        <w:rPr>
          <w:rFonts w:ascii="仿宋_GB2312" w:eastAsia="仿宋"/>
          <w:color w:val="auto"/>
          <w:sz w:val="28"/>
          <w:szCs w:val="28"/>
          <w:highlight w:val="none"/>
        </w:rPr>
      </w:pPr>
      <w:r>
        <w:rPr>
          <w:rFonts w:hint="eastAsia" w:ascii="仿宋_GB2312" w:eastAsia="仿宋"/>
          <w:szCs w:val="21"/>
        </w:rPr>
        <w:t>（注：此部分应明确由同一专业或不同专业组成的联合体中各专业的资质、业绩、信誉、主要人员等的认定方法，以最终认定联合体的资格。）</w:t>
      </w:r>
    </w:p>
    <w:p>
      <w:pPr>
        <w:adjustRightInd w:val="0"/>
        <w:snapToGrid/>
        <w:spacing w:line="52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spacing w:line="52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spacing w:line="52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28</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spacing w:line="52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spacing w:line="52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spacing w:line="52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spacing w:line="520" w:lineRule="exact"/>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rPr>
        <w:t>不组织</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_GB2312" w:hAnsi="仿宋_GB2312" w:eastAsia="仿宋"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踏勘现场联系人：</w:t>
      </w:r>
    </w:p>
    <w:p>
      <w:pPr>
        <w:pStyle w:val="23"/>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kern w:val="2"/>
          <w:sz w:val="28"/>
          <w:szCs w:val="28"/>
          <w:highlight w:val="none"/>
          <w:lang w:val="en-US" w:eastAsia="zh-CN"/>
        </w:rPr>
        <w:t>踏勘现场联系人联系方式：</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w:t>
      </w:r>
      <w:r>
        <w:rPr>
          <w:rFonts w:hint="eastAsia" w:ascii="仿宋_GB2312" w:hAnsi="仿宋_GB2312" w:eastAsia="仿宋" w:cs="仿宋_GB2312"/>
          <w:color w:val="auto"/>
          <w:sz w:val="28"/>
          <w:szCs w:val="28"/>
          <w:highlight w:val="none"/>
          <w:lang w:val="en-US" w:eastAsia="zh-CN"/>
        </w:rPr>
        <w:t>集合</w:t>
      </w:r>
      <w:r>
        <w:rPr>
          <w:rFonts w:hint="eastAsia" w:ascii="仿宋_GB2312" w:hAnsi="仿宋_GB2312" w:eastAsia="仿宋" w:cs="仿宋_GB2312"/>
          <w:color w:val="auto"/>
          <w:sz w:val="28"/>
          <w:szCs w:val="28"/>
          <w:highlight w:val="none"/>
        </w:rPr>
        <w:t>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lang w:eastAsia="zh-CN"/>
        </w:rPr>
        <w:t>。</w:t>
      </w:r>
    </w:p>
    <w:p>
      <w:pPr>
        <w:adjustRightInd w:val="0"/>
        <w:snapToGrid/>
        <w:spacing w:line="520" w:lineRule="exact"/>
        <w:ind w:firstLine="560" w:firstLineChars="200"/>
        <w:jc w:val="left"/>
        <w:rPr>
          <w:rFonts w:asciiTheme="minorEastAsia" w:hAnsiTheme="minorEastAsia"/>
          <w:b/>
          <w:sz w:val="32"/>
          <w:szCs w:val="32"/>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rPr>
        <w:t xml:space="preserve">                               </w:t>
      </w:r>
      <w:r>
        <w:rPr>
          <w:rFonts w:hint="eastAsia" w:ascii="仿宋_GB2312" w:eastAsia="仿宋_GB2312"/>
          <w:sz w:val="28"/>
          <w:szCs w:val="28"/>
        </w:rPr>
        <w:t xml:space="preserve">        </w:t>
      </w:r>
    </w:p>
    <w:p>
      <w:pPr>
        <w:numPr>
          <w:ilvl w:val="0"/>
          <w:numId w:val="2"/>
        </w:numPr>
        <w:adjustRightInd w:val="0"/>
        <w:snapToGrid/>
        <w:spacing w:line="52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keepNext w:val="0"/>
        <w:keepLines w:val="0"/>
        <w:pageBreakBefore w:val="0"/>
        <w:kinsoku/>
        <w:wordWrap/>
        <w:overflowPunct/>
        <w:topLinePunct w:val="0"/>
        <w:autoSpaceDE/>
        <w:autoSpaceDN/>
        <w:bidi w:val="0"/>
        <w:adjustRightInd w:val="0"/>
        <w:snapToGrid/>
        <w:spacing w:line="52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12</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12</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spacing w:line="52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12</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3</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时</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00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分</w:t>
      </w:r>
      <w:r>
        <w:rPr>
          <w:rFonts w:hint="eastAsia" w:ascii="仿宋_GB2312" w:eastAsia="仿宋"/>
          <w:color w:val="auto"/>
          <w:sz w:val="28"/>
          <w:szCs w:val="28"/>
          <w:highlight w:val="none"/>
          <w:lang w:val="en-US" w:eastAsia="zh-CN"/>
        </w:rPr>
        <w:t>前</w:t>
      </w:r>
      <w:r>
        <w:rPr>
          <w:rFonts w:hint="eastAsia" w:ascii="仿宋_GB2312" w:eastAsia="仿宋"/>
          <w:color w:val="auto"/>
          <w:sz w:val="28"/>
          <w:szCs w:val="28"/>
          <w:highlight w:val="none"/>
        </w:rPr>
        <w:t>（北京时间）。</w:t>
      </w:r>
    </w:p>
    <w:p>
      <w:pPr>
        <w:keepNext w:val="0"/>
        <w:keepLines w:val="0"/>
        <w:pageBreakBefore w:val="0"/>
        <w:kinsoku/>
        <w:wordWrap/>
        <w:overflowPunct/>
        <w:topLinePunct w:val="0"/>
        <w:autoSpaceDE/>
        <w:autoSpaceDN/>
        <w:bidi w:val="0"/>
        <w:adjustRightInd w:val="0"/>
        <w:snapToGrid/>
        <w:spacing w:line="52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5"/>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5"/>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5"/>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5"/>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5"/>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5"/>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spacing w:line="52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spacing w:line="52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spacing w:line="52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u w:val="single"/>
        </w:rPr>
        <w:t>广州市净水有限公司</w:t>
      </w:r>
      <w:r>
        <w:rPr>
          <w:rFonts w:hint="eastAsia" w:ascii="仿宋_GB2312" w:hAnsi="Calibri" w:eastAsia="仿宋" w:cs="Times New Roman"/>
          <w:b/>
          <w:bCs/>
          <w:color w:val="auto"/>
          <w:sz w:val="28"/>
          <w:szCs w:val="28"/>
          <w:highlight w:val="none"/>
          <w:u w:val="singl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spacing w:line="52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spacing w:line="52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spacing w:line="52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spacing w:line="52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38890841</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spacing w:line="52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pStyle w:val="22"/>
        <w:rPr>
          <w:rFonts w:ascii="仿宋_GB2312" w:hAnsi="仿宋" w:eastAsia="仿宋"/>
          <w:color w:val="auto"/>
          <w:sz w:val="28"/>
          <w:szCs w:val="28"/>
          <w:highlight w:val="none"/>
        </w:rPr>
      </w:pPr>
    </w:p>
    <w:p>
      <w:pPr>
        <w:pStyle w:val="22"/>
        <w:rPr>
          <w:rFonts w:ascii="仿宋_GB2312" w:hAnsi="仿宋" w:eastAsia="仿宋"/>
          <w:color w:val="auto"/>
          <w:sz w:val="28"/>
          <w:szCs w:val="28"/>
          <w:highlight w:val="none"/>
        </w:rPr>
      </w:pPr>
    </w:p>
    <w:p>
      <w:pPr>
        <w:pStyle w:val="22"/>
        <w:rPr>
          <w:rFonts w:ascii="仿宋_GB2312" w:hAnsi="仿宋" w:eastAsia="仿宋"/>
          <w:color w:val="auto"/>
          <w:sz w:val="28"/>
          <w:szCs w:val="28"/>
          <w:highlight w:val="none"/>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27</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第二章</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rPr>
          <w:rFonts w:hint="eastAsia" w:ascii="仿宋_GB2312" w:hAnsi="仿宋_GB2312" w:eastAsia="仿宋" w:cs="仿宋_GB2312"/>
          <w:sz w:val="28"/>
          <w:szCs w:val="28"/>
        </w:rPr>
      </w:pPr>
      <w:r>
        <w:rPr>
          <w:rFonts w:hint="eastAsia" w:ascii="仿宋_GB2312" w:hAnsi="仿宋_GB2312" w:eastAsia="仿宋"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3"/>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3"/>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sz w:val="24"/>
                <w:szCs w:val="24"/>
              </w:rPr>
            </w:pPr>
            <w:r>
              <w:rPr>
                <w:rFonts w:hint="eastAsia" w:ascii="仿宋_GB2312" w:eastAsia="仿宋" w:hAnsiTheme="minorEastAsia"/>
                <w:sz w:val="24"/>
                <w:szCs w:val="24"/>
                <w:lang w:eastAsia="zh-CN"/>
              </w:rPr>
              <w:t>☑</w:t>
            </w:r>
            <w:r>
              <w:rPr>
                <w:rFonts w:hint="eastAsia" w:ascii="仿宋_GB2312" w:eastAsia="仿宋"/>
                <w:sz w:val="24"/>
                <w:szCs w:val="24"/>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sz w:val="24"/>
                <w:szCs w:val="24"/>
              </w:rPr>
              <w:t>□</w:t>
            </w:r>
            <w:r>
              <w:rPr>
                <w:rFonts w:hint="eastAsia" w:ascii="仿宋_GB2312" w:eastAsia="仿宋" w:hAnsiTheme="minorEastAsia"/>
                <w:sz w:val="24"/>
                <w:szCs w:val="24"/>
                <w:u w:val="single"/>
              </w:rPr>
              <w:t>（</w:t>
            </w:r>
            <w:r>
              <w:rPr>
                <w:rFonts w:hint="eastAsia" w:ascii="仿宋_GB2312" w:eastAsia="仿宋"/>
                <w:sz w:val="24"/>
                <w:szCs w:val="24"/>
                <w:u w:val="single"/>
              </w:rPr>
              <w:t>招标采购代理费金额、支付人、支付方式等</w:t>
            </w:r>
            <w:r>
              <w:rPr>
                <w:rFonts w:hint="eastAsia" w:ascii="仿宋_GB2312" w:eastAsia="仿宋" w:hAnsiTheme="minorEastAsia"/>
                <w:sz w:val="24"/>
                <w:szCs w:val="24"/>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40"/>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3301"/>
        <w:gridCol w:w="1001"/>
        <w:gridCol w:w="1675"/>
        <w:gridCol w:w="1384"/>
        <w:gridCol w:w="83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40"/>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40"/>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40"/>
        <w:rPr>
          <w:color w:val="auto"/>
          <w:highlight w:val="none"/>
        </w:rPr>
      </w:pPr>
    </w:p>
    <w:p>
      <w:pPr>
        <w:pStyle w:val="40"/>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w:t>
      </w:r>
      <w:r>
        <w:rPr>
          <w:rFonts w:hint="eastAsia" w:hAnsi="仿宋"/>
          <w:sz w:val="24"/>
          <w:highlight w:val="none"/>
          <w:lang w:eastAsia="zh-CN"/>
        </w:rPr>
        <w:t>法定代表人/负责人</w:t>
      </w:r>
      <w:r>
        <w:rPr>
          <w:rFonts w:hAnsi="仿宋"/>
          <w:sz w:val="24"/>
          <w:highlight w:val="none"/>
        </w:rPr>
        <w:t>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3"/>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采购方法</w:t>
      </w:r>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3"/>
        <w:jc w:val="center"/>
        <w:rPr>
          <w:rFonts w:eastAsia="仿宋"/>
          <w:color w:val="auto"/>
          <w:highlight w:val="none"/>
        </w:rPr>
      </w:pPr>
      <w:r>
        <w:rPr>
          <w:rFonts w:hint="eastAsia" w:eastAsia="仿宋"/>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5"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评审办法</w:t>
      </w:r>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3"/>
        <w:rPr>
          <w:rFonts w:eastAsia="仿宋"/>
          <w:color w:val="auto"/>
          <w:highlight w:val="none"/>
        </w:rPr>
      </w:pPr>
      <w:r>
        <w:rPr>
          <w:rFonts w:hint="eastAsia" w:eastAsia="仿宋"/>
          <w:color w:val="auto"/>
          <w:highlight w:val="none"/>
        </w:rPr>
        <w:sym w:font="Wingdings 2" w:char="0052"/>
      </w:r>
      <w:r>
        <w:rPr>
          <w:rFonts w:hint="eastAsia" w:eastAsia="仿宋"/>
          <w:color w:val="auto"/>
          <w:highlight w:val="none"/>
        </w:rPr>
        <w:t>经评审的最低价法</w:t>
      </w:r>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0"/>
        <w:gridCol w:w="534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sz w:val="24"/>
                <w:szCs w:val="24"/>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sz w:val="24"/>
                <w:szCs w:val="24"/>
              </w:rPr>
              <w:t>与营业执照</w:t>
            </w:r>
            <w:r>
              <w:rPr>
                <w:rFonts w:hint="eastAsia" w:ascii="仿宋_GB2312" w:eastAsia="仿宋"/>
                <w:sz w:val="24"/>
                <w:szCs w:val="24"/>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sz w:val="24"/>
                <w:szCs w:val="24"/>
                <w:lang w:eastAsia="zh-CN"/>
              </w:rPr>
              <w:t>法定代表人/负责人</w:t>
            </w:r>
            <w:r>
              <w:rPr>
                <w:rFonts w:hint="eastAsia" w:ascii="仿宋_GB2312" w:eastAsia="仿宋"/>
                <w:sz w:val="24"/>
                <w:szCs w:val="24"/>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sz w:val="24"/>
                <w:szCs w:val="24"/>
              </w:rPr>
              <w:t>有授权书，授权书有</w:t>
            </w:r>
            <w:r>
              <w:rPr>
                <w:rFonts w:hint="eastAsia" w:ascii="仿宋_GB2312" w:eastAsia="仿宋"/>
                <w:sz w:val="24"/>
                <w:szCs w:val="24"/>
                <w:lang w:eastAsia="zh-CN"/>
              </w:rPr>
              <w:t>法定代表人/负责人</w:t>
            </w:r>
            <w:r>
              <w:rPr>
                <w:rFonts w:hint="eastAsia" w:ascii="仿宋_GB2312" w:eastAsia="仿宋"/>
                <w:sz w:val="24"/>
                <w:szCs w:val="24"/>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rPr>
          <w:rFonts w:ascii="仿宋_GB2312" w:eastAsia="仿宋"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ind w:firstLine="0" w:firstLineChars="0"/>
        <w:rPr>
          <w:rFonts w:hint="eastAsia" w:ascii="仿宋" w:hAnsi="仿宋" w:eastAsia="仿宋" w:cs="仿宋_GB2312"/>
          <w:sz w:val="28"/>
          <w:szCs w:val="28"/>
          <w:highlight w:val="none"/>
          <w:u w:val="none"/>
          <w:lang w:val="en-US" w:eastAsia="zh-CN"/>
        </w:rPr>
      </w:pPr>
      <w:bookmarkStart w:id="13" w:name="_Toc88209947"/>
      <w:r>
        <w:rPr>
          <w:rFonts w:hint="eastAsia" w:ascii="仿宋" w:hAnsi="仿宋" w:eastAsia="仿宋" w:cs="仿宋_GB2312"/>
          <w:sz w:val="28"/>
          <w:szCs w:val="28"/>
          <w:highlight w:val="none"/>
          <w:u w:val="none"/>
          <w:lang w:val="en-US" w:eastAsia="zh-CN"/>
        </w:rPr>
        <w:t>一、主要实施内容</w:t>
      </w:r>
    </w:p>
    <w:p>
      <w:pPr>
        <w:adjustRightInd w:val="0"/>
        <w:snapToGrid w:val="0"/>
        <w:spacing w:line="600" w:lineRule="exact"/>
        <w:ind w:firstLine="555" w:firstLineChars="0"/>
        <w:jc w:val="left"/>
        <w:rPr>
          <w:rFonts w:hint="eastAsia" w:ascii="仿宋_GB2312" w:eastAsia="仿宋_GB2312" w:hAnsiTheme="minorEastAsia"/>
          <w:color w:val="auto"/>
          <w:sz w:val="28"/>
          <w:szCs w:val="28"/>
          <w:highlight w:val="none"/>
          <w:u w:val="none"/>
          <w:lang w:val="en-US" w:eastAsia="zh-CN"/>
        </w:rPr>
      </w:pPr>
      <w:r>
        <w:rPr>
          <w:rFonts w:hint="eastAsia" w:ascii="仿宋_GB2312" w:eastAsia="仿宋_GB2312" w:hAnsiTheme="minorEastAsia" w:cstheme="minorBidi"/>
          <w:color w:val="auto"/>
          <w:sz w:val="28"/>
          <w:szCs w:val="28"/>
          <w:highlight w:val="none"/>
          <w:u w:val="none"/>
          <w:lang w:val="en-US" w:eastAsia="zh-CN"/>
        </w:rPr>
        <w:t>广州市净水有限公司健康城分公司2024年智慧消防系统改造项目主要内容为：</w:t>
      </w: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bCs w:val="0"/>
          <w:color w:val="auto"/>
          <w:sz w:val="28"/>
          <w:szCs w:val="28"/>
          <w:highlight w:val="none"/>
          <w:u w:val="none"/>
          <w:lang w:val="en-US" w:eastAsia="zh-CN"/>
        </w:rPr>
        <w:t>在各消防子系统部署数据采集卡、数据监控设备、受理主机等硬件把各子系统监控信号数据接入统一的智慧消防管理平台，该智慧消防系统平台能对各子系统的数据进行智能化统一分析处理，具备状态监视、报警响应、消防应急联动、定制报表、消防巡查任务派送等功能，实现分公司消防系统的智慧化管理</w:t>
      </w:r>
      <w:r>
        <w:rPr>
          <w:rFonts w:hint="eastAsia" w:ascii="仿宋_GB2312" w:eastAsia="仿宋_GB2312" w:hAnsiTheme="minorEastAsia" w:cstheme="minorBidi"/>
          <w:color w:val="auto"/>
          <w:sz w:val="28"/>
          <w:szCs w:val="28"/>
          <w:highlight w:val="none"/>
          <w:lang w:val="en-US" w:eastAsia="zh-CN"/>
        </w:rPr>
        <w:t>。详细见下表工程量清单。</w:t>
      </w:r>
    </w:p>
    <w:tbl>
      <w:tblPr>
        <w:tblStyle w:val="24"/>
        <w:tblpPr w:leftFromText="180" w:rightFromText="180" w:vertAnchor="text" w:horzAnchor="page" w:tblpX="742" w:tblpY="674"/>
        <w:tblOverlap w:val="never"/>
        <w:tblW w:w="10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8"/>
        <w:gridCol w:w="1386"/>
        <w:gridCol w:w="2731"/>
        <w:gridCol w:w="4426"/>
        <w:gridCol w:w="895"/>
        <w:gridCol w:w="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项目名称描述</w:t>
            </w:r>
          </w:p>
        </w:tc>
        <w:tc>
          <w:tcPr>
            <w:tcW w:w="4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主要参数</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信息传输主机</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规格：JK-TX-GSTN6100型传输设备/用户信息传输装置</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安装方式：机柜挂装</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1.主要功能：无线（4G全网通）+网线；GB16806/GB26875.1认证；标配CAN/RS485数据转换卡，可连接水系统及多系统</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2.满足双国标要求：产品设计满足 GB26875.1-2011、GB16806-2006 双国标要求，并且通过双 3C 认证。</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3.通讯方式：支持</w:t>
            </w:r>
            <w:r>
              <w:rPr>
                <w:rFonts w:hint="eastAsia" w:ascii="宋体" w:hAnsi="宋体" w:cs="宋体"/>
                <w:i w:val="0"/>
                <w:iCs w:val="0"/>
                <w:color w:val="000000"/>
                <w:kern w:val="0"/>
                <w:sz w:val="18"/>
                <w:szCs w:val="18"/>
                <w:u w:val="none"/>
                <w:lang w:val="en-US" w:eastAsia="zh-CN" w:bidi="ar"/>
              </w:rPr>
              <w:t>以太网</w:t>
            </w:r>
            <w:r>
              <w:rPr>
                <w:rFonts w:hint="eastAsia" w:ascii="宋体" w:hAnsi="宋体" w:eastAsia="宋体" w:cs="宋体"/>
                <w:i w:val="0"/>
                <w:iCs w:val="0"/>
                <w:color w:val="000000"/>
                <w:kern w:val="0"/>
                <w:sz w:val="18"/>
                <w:szCs w:val="18"/>
                <w:u w:val="none"/>
                <w:lang w:val="en-US" w:eastAsia="zh-CN" w:bidi="ar"/>
              </w:rPr>
              <w:t xml:space="preserve">网线通讯方式，可单独使用也可同时使用并互为备份。      </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4.多种接口：提供 RS232、RS485、开关量等多种接口，可接收打印机信息。</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串行数据转换器</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规格：JK-TX-GSTCZH001         安装方式：加装到消防子系统内部</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1.用于采集串行通讯接口的不同种类控制器数据；   2.安装在控制器内，每台控制器配1个。             3.一个传输装置最多接7个串行数据转换器。</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JB-QG-GST5000多系统接入卡</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规格：JB-QG-GST5000多系统接入卡                          安装方式：加装到消防子系统内部</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安装于GST500/GST5000内部，与传输设备/用户信息传输装置CAN接口通讯，接多系统时选用</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GST-DH9000多系统接入卡</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规格：GST-DH9000多系统接入卡        安装方式：加装到消防子系统内部</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安装于DH9000内部，与传输设备/用户信息传输装置CAN接口通讯，接多系统时选用</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GST-NNET-02通讯板</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规格：GST-NNET-02通讯板       安装方式：加装到消防子系统内部</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适用于传输设备/用户信息传输装置与N3200T防火门监控器、GSTN3200可燃气体报警控制器、GSTN500/N900消防设备电源状态监控器主机一对一接时选用</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6"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受理机电脑主机</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安装方式：中控机柜安装</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pStyle w:val="31"/>
              <w:rPr>
                <w:rFonts w:hint="default" w:ascii="宋体" w:hAnsi="宋体" w:eastAsia="宋体" w:cs="宋体"/>
                <w:i w:val="0"/>
                <w:iCs w:val="0"/>
                <w:color w:val="000000"/>
                <w:kern w:val="0"/>
                <w:sz w:val="18"/>
                <w:szCs w:val="18"/>
                <w:u w:val="none"/>
                <w:lang w:val="en-US" w:eastAsia="zh-CN" w:bidi="ar"/>
              </w:rPr>
            </w:pPr>
            <w:r>
              <w:rPr>
                <w:rFonts w:hint="eastAsia" w:hAnsi="宋体" w:eastAsia="宋体" w:cs="宋体"/>
                <w:i w:val="0"/>
                <w:iCs w:val="0"/>
                <w:color w:val="000000"/>
                <w:kern w:val="0"/>
                <w:sz w:val="18"/>
                <w:szCs w:val="18"/>
                <w:u w:val="none"/>
                <w:lang w:val="en-US" w:eastAsia="zh-CN" w:bidi="ar"/>
              </w:rPr>
              <w:t>国产知名品牌</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输入端口：前置有多个 USB 3.2 、三合一读卡器、模拟音频接口等；后置包括多个 USB 2.0、HDMI 端口、DisplayPort、VGA、RJ45（网络接口）、音频输入接口、音频输出接口、麦克风输入接口等</w:t>
            </w:r>
            <w:r>
              <w:rPr>
                <w:rFonts w:hint="eastAsia" w:ascii="宋体" w:hAnsi="宋体" w:eastAsia="宋体" w:cs="宋体"/>
                <w:i w:val="0"/>
                <w:iCs w:val="0"/>
                <w:color w:val="000000"/>
                <w:kern w:val="0"/>
                <w:sz w:val="18"/>
                <w:szCs w:val="18"/>
                <w:u w:val="none"/>
                <w:lang w:val="en-US" w:eastAsia="zh-CN" w:bidi="ar"/>
              </w:rPr>
              <w:t>；</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主板：Intel Q670</w:t>
            </w:r>
            <w:r>
              <w:rPr>
                <w:rFonts w:hint="eastAsia" w:ascii="宋体" w:hAnsi="宋体" w:eastAsia="宋体" w:cs="宋体"/>
                <w:i w:val="0"/>
                <w:iCs w:val="0"/>
                <w:color w:val="000000"/>
                <w:kern w:val="0"/>
                <w:sz w:val="18"/>
                <w:szCs w:val="18"/>
                <w:u w:val="none"/>
                <w:lang w:val="en-US" w:eastAsia="zh-CN" w:bidi="ar"/>
              </w:rPr>
              <w:t>；</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CPU：1</w:t>
            </w:r>
            <w:r>
              <w:rPr>
                <w:rFonts w:hint="eastAsia"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 xml:space="preserve"> 代酷睿 i5-1</w:t>
            </w:r>
            <w:r>
              <w:rPr>
                <w:rFonts w:hint="eastAsia"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500 14 核 20 线程，其 CPU 主频为 2.</w:t>
            </w:r>
            <w:r>
              <w:rPr>
                <w:rFonts w:hint="eastAsia"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GHz，最高睿频可达</w:t>
            </w:r>
            <w:r>
              <w:rPr>
                <w:rFonts w:hint="eastAsia"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GHz，三级缓存为 24MB</w:t>
            </w:r>
            <w:r>
              <w:rPr>
                <w:rFonts w:hint="eastAsia" w:ascii="宋体" w:hAnsi="宋体" w:eastAsia="宋体" w:cs="宋体"/>
                <w:i w:val="0"/>
                <w:iCs w:val="0"/>
                <w:color w:val="000000"/>
                <w:kern w:val="0"/>
                <w:sz w:val="18"/>
                <w:szCs w:val="18"/>
                <w:u w:val="none"/>
                <w:lang w:val="en-US" w:eastAsia="zh-CN" w:bidi="ar"/>
              </w:rPr>
              <w:t>；</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内存：</w:t>
            </w:r>
            <w:r>
              <w:rPr>
                <w:rFonts w:hint="eastAsia" w:ascii="宋体" w:hAnsi="宋体" w:eastAsia="宋体" w:cs="宋体"/>
                <w:i w:val="0"/>
                <w:iCs w:val="0"/>
                <w:color w:val="000000"/>
                <w:kern w:val="0"/>
                <w:sz w:val="18"/>
                <w:szCs w:val="18"/>
                <w:u w:val="none"/>
                <w:lang w:val="en-US" w:eastAsia="zh-CN" w:bidi="ar"/>
              </w:rPr>
              <w:t>16</w:t>
            </w:r>
            <w:r>
              <w:rPr>
                <w:rFonts w:hint="default" w:ascii="宋体" w:hAnsi="宋体" w:eastAsia="宋体" w:cs="宋体"/>
                <w:i w:val="0"/>
                <w:iCs w:val="0"/>
                <w:color w:val="000000"/>
                <w:kern w:val="0"/>
                <w:sz w:val="18"/>
                <w:szCs w:val="18"/>
                <w:u w:val="none"/>
                <w:lang w:val="en-US" w:eastAsia="zh-CN" w:bidi="ar"/>
              </w:rPr>
              <w:t>GB DDR4</w:t>
            </w:r>
            <w:r>
              <w:rPr>
                <w:rFonts w:hint="eastAsia" w:ascii="宋体" w:hAnsi="宋体" w:eastAsia="宋体" w:cs="宋体"/>
                <w:i w:val="0"/>
                <w:iCs w:val="0"/>
                <w:color w:val="000000"/>
                <w:kern w:val="0"/>
                <w:sz w:val="18"/>
                <w:szCs w:val="18"/>
                <w:u w:val="none"/>
                <w:lang w:val="en-US" w:eastAsia="zh-CN" w:bidi="ar"/>
              </w:rPr>
              <w:t xml:space="preserve"> 单内存插槽最大可支持容量(板载内存不涉及)大于等于8GB；4个DDR4 3200MHz内存插槽，至高支持128GB；</w:t>
            </w:r>
          </w:p>
          <w:p>
            <w:pPr>
              <w:keepNext w:val="0"/>
              <w:keepLines w:val="0"/>
              <w:widowControl/>
              <w:suppressLineNumbers w:val="0"/>
              <w:jc w:val="left"/>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硬盘：</w:t>
            </w:r>
            <w:r>
              <w:rPr>
                <w:rFonts w:hint="eastAsia" w:ascii="宋体" w:hAnsi="宋体" w:eastAsia="宋体" w:cs="宋体"/>
                <w:i w:val="0"/>
                <w:iCs w:val="0"/>
                <w:color w:val="000000"/>
                <w:kern w:val="0"/>
                <w:sz w:val="18"/>
                <w:szCs w:val="18"/>
                <w:u w:val="none"/>
                <w:lang w:val="en-US" w:eastAsia="zh-CN" w:bidi="ar"/>
              </w:rPr>
              <w:t>512</w:t>
            </w:r>
            <w:r>
              <w:rPr>
                <w:rFonts w:hint="default" w:ascii="宋体" w:hAnsi="宋体" w:eastAsia="宋体" w:cs="宋体"/>
                <w:i w:val="0"/>
                <w:iCs w:val="0"/>
                <w:color w:val="000000"/>
                <w:kern w:val="0"/>
                <w:sz w:val="18"/>
                <w:szCs w:val="18"/>
                <w:u w:val="none"/>
                <w:lang w:val="en-US" w:eastAsia="zh-CN" w:bidi="ar"/>
              </w:rPr>
              <w:t>G</w:t>
            </w:r>
            <w:r>
              <w:rPr>
                <w:rFonts w:hint="eastAsia" w:ascii="宋体" w:hAnsi="宋体" w:eastAsia="宋体" w:cs="宋体"/>
                <w:i w:val="0"/>
                <w:iCs w:val="0"/>
                <w:color w:val="000000"/>
                <w:kern w:val="0"/>
                <w:sz w:val="18"/>
                <w:szCs w:val="18"/>
                <w:u w:val="none"/>
                <w:lang w:val="en-US" w:eastAsia="zh-CN" w:bidi="ar"/>
              </w:rPr>
              <w:t>固态</w:t>
            </w:r>
            <w:r>
              <w:rPr>
                <w:rFonts w:hint="default" w:ascii="宋体" w:hAnsi="宋体" w:eastAsia="宋体" w:cs="宋体"/>
                <w:i w:val="0"/>
                <w:iCs w:val="0"/>
                <w:color w:val="000000"/>
                <w:kern w:val="0"/>
                <w:sz w:val="18"/>
                <w:szCs w:val="18"/>
                <w:u w:val="none"/>
                <w:lang w:val="en-US" w:eastAsia="zh-CN" w:bidi="ar"/>
              </w:rPr>
              <w:t>硬盘</w:t>
            </w:r>
            <w:r>
              <w:rPr>
                <w:rFonts w:hint="eastAsia" w:ascii="宋体" w:hAnsi="宋体" w:eastAsia="宋体" w:cs="宋体"/>
                <w:i w:val="0"/>
                <w:iCs w:val="0"/>
                <w:color w:val="000000"/>
                <w:kern w:val="0"/>
                <w:sz w:val="18"/>
                <w:szCs w:val="18"/>
                <w:u w:val="none"/>
                <w:lang w:val="en-US" w:eastAsia="zh-CN" w:bidi="ar"/>
              </w:rPr>
              <w:t>、1T</w:t>
            </w:r>
            <w:r>
              <w:rPr>
                <w:rFonts w:hint="default" w:ascii="宋体" w:hAnsi="宋体" w:eastAsia="宋体" w:cs="宋体"/>
                <w:i w:val="0"/>
                <w:iCs w:val="0"/>
                <w:color w:val="000000"/>
                <w:kern w:val="0"/>
                <w:sz w:val="18"/>
                <w:szCs w:val="18"/>
                <w:u w:val="none"/>
                <w:lang w:val="en-US" w:eastAsia="zh-CN" w:bidi="ar"/>
              </w:rPr>
              <w:t>机械硬</w:t>
            </w:r>
            <w:r>
              <w:rPr>
                <w:rFonts w:hint="eastAsia" w:ascii="宋体" w:hAnsi="宋体" w:eastAsia="宋体" w:cs="宋体"/>
                <w:i w:val="0"/>
                <w:iCs w:val="0"/>
                <w:color w:val="000000"/>
                <w:kern w:val="0"/>
                <w:sz w:val="18"/>
                <w:szCs w:val="18"/>
                <w:u w:val="none"/>
                <w:lang w:val="en-US" w:eastAsia="zh-CN" w:bidi="ar"/>
              </w:rPr>
              <w:t>盘，机械硬盘转速大于等于5400rpm；</w:t>
            </w:r>
          </w:p>
          <w:p>
            <w:pPr>
              <w:pStyle w:val="31"/>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显卡：</w:t>
            </w:r>
            <w:r>
              <w:rPr>
                <w:rFonts w:hint="eastAsia" w:hAnsi="宋体" w:eastAsia="宋体" w:cs="宋体"/>
                <w:i w:val="0"/>
                <w:iCs w:val="0"/>
                <w:color w:val="000000"/>
                <w:kern w:val="0"/>
                <w:sz w:val="18"/>
                <w:szCs w:val="18"/>
                <w:u w:val="none"/>
                <w:lang w:val="en-US" w:eastAsia="zh-CN" w:bidi="ar"/>
              </w:rPr>
              <w:t>RX550-4G</w:t>
            </w:r>
            <w:r>
              <w:rPr>
                <w:rFonts w:hint="default" w:ascii="宋体" w:hAnsi="宋体" w:eastAsia="宋体" w:cs="宋体"/>
                <w:i w:val="0"/>
                <w:iCs w:val="0"/>
                <w:color w:val="000000"/>
                <w:kern w:val="0"/>
                <w:sz w:val="18"/>
                <w:szCs w:val="18"/>
                <w:u w:val="none"/>
                <w:lang w:val="en-US" w:eastAsia="zh-CN" w:bidi="ar"/>
              </w:rPr>
              <w:t>显卡</w:t>
            </w:r>
            <w:r>
              <w:rPr>
                <w:rFonts w:hint="eastAsia" w:ascii="宋体" w:hAnsi="宋体" w:eastAsia="宋体" w:cs="宋体"/>
                <w:i w:val="0"/>
                <w:iCs w:val="0"/>
                <w:color w:val="000000"/>
                <w:kern w:val="0"/>
                <w:sz w:val="18"/>
                <w:szCs w:val="18"/>
                <w:u w:val="none"/>
                <w:lang w:val="en-US" w:eastAsia="zh-CN" w:bidi="ar"/>
              </w:rPr>
              <w:t>、显存容量：</w:t>
            </w:r>
            <w:r>
              <w:rPr>
                <w:rFonts w:hint="eastAsia" w:hAnsi="宋体" w:eastAsia="宋体" w:cs="宋体"/>
                <w:i w:val="0"/>
                <w:iCs w:val="0"/>
                <w:color w:val="000000"/>
                <w:kern w:val="0"/>
                <w:sz w:val="18"/>
                <w:szCs w:val="18"/>
                <w:u w:val="none"/>
                <w:lang w:val="en-US" w:eastAsia="zh-CN" w:bidi="ar"/>
              </w:rPr>
              <w:t>4GB</w:t>
            </w:r>
            <w:r>
              <w:rPr>
                <w:rFonts w:hint="eastAsia" w:ascii="宋体" w:hAnsi="宋体" w:eastAsia="宋体" w:cs="宋体"/>
                <w:i w:val="0"/>
                <w:iCs w:val="0"/>
                <w:color w:val="000000"/>
                <w:kern w:val="0"/>
                <w:sz w:val="18"/>
                <w:szCs w:val="18"/>
                <w:u w:val="none"/>
                <w:lang w:val="en-US" w:eastAsia="zh-CN" w:bidi="ar"/>
              </w:rPr>
              <w:t>、</w:t>
            </w:r>
          </w:p>
          <w:p>
            <w:pPr>
              <w:pStyle w:val="31"/>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显存位宽：128bit；</w:t>
            </w:r>
          </w:p>
          <w:p>
            <w:pPr>
              <w:pStyle w:val="31"/>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操作系统：</w:t>
            </w:r>
            <w:r>
              <w:rPr>
                <w:rFonts w:hint="eastAsia" w:ascii="宋体" w:hAnsi="宋体" w:eastAsia="宋体" w:cs="宋体"/>
                <w:i w:val="0"/>
                <w:iCs w:val="0"/>
                <w:color w:val="000000"/>
                <w:kern w:val="0"/>
                <w:sz w:val="18"/>
                <w:szCs w:val="18"/>
                <w:u w:val="none"/>
                <w:lang w:val="en-US" w:eastAsia="zh-CN" w:bidi="ar"/>
              </w:rPr>
              <w:t>正版主流国产操作系统（简体中文）</w:t>
            </w:r>
          </w:p>
          <w:p>
            <w:pPr>
              <w:pStyle w:val="31"/>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软件：正版主流国产办公软件（文字、表格、演示，PDF阅读等多种功能）</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功能概述：键鼠套装</w:t>
            </w:r>
          </w:p>
          <w:p>
            <w:pPr>
              <w:pStyle w:val="31"/>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消耗功率：500/750W高功率自适应电源</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受理机显示器 （VGA/HDMI）</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安装方式：中控值班室放置安装</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pStyle w:val="31"/>
              <w:rPr>
                <w:rFonts w:hint="default" w:ascii="宋体" w:hAnsi="宋体" w:eastAsia="宋体" w:cs="宋体"/>
                <w:i w:val="0"/>
                <w:iCs w:val="0"/>
                <w:color w:val="000000"/>
                <w:kern w:val="0"/>
                <w:sz w:val="18"/>
                <w:szCs w:val="18"/>
                <w:u w:val="none"/>
                <w:lang w:val="en-US" w:eastAsia="zh-CN" w:bidi="ar"/>
              </w:rPr>
            </w:pPr>
            <w:r>
              <w:rPr>
                <w:rFonts w:hint="eastAsia" w:hAnsi="宋体" w:eastAsia="宋体" w:cs="宋体"/>
                <w:i w:val="0"/>
                <w:iCs w:val="0"/>
                <w:color w:val="000000"/>
                <w:kern w:val="0"/>
                <w:sz w:val="18"/>
                <w:szCs w:val="18"/>
                <w:u w:val="none"/>
                <w:lang w:val="en-US" w:eastAsia="zh-CN" w:bidi="ar"/>
              </w:rPr>
              <w:t>国产知名品牌</w:t>
            </w:r>
          </w:p>
          <w:p>
            <w:pPr>
              <w:pStyle w:val="31"/>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尺寸：</w:t>
            </w:r>
            <w:r>
              <w:rPr>
                <w:rFonts w:hint="eastAsia" w:ascii="宋体" w:hAnsi="宋体" w:eastAsia="宋体" w:cs="宋体"/>
                <w:i w:val="0"/>
                <w:iCs w:val="0"/>
                <w:color w:val="000000"/>
                <w:kern w:val="0"/>
                <w:sz w:val="18"/>
                <w:szCs w:val="18"/>
                <w:u w:val="none"/>
                <w:lang w:val="en-US" w:eastAsia="zh-CN" w:bidi="ar"/>
              </w:rPr>
              <w:t>31.5-32英寸</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屏幕比例：16:9</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接口类型：HDMI2.0+DP1.2+Type-C Gen1</w:t>
            </w:r>
          </w:p>
          <w:p>
            <w:pPr>
              <w:pStyle w:val="31"/>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分辨率：2560*1440分辨率</w:t>
            </w:r>
            <w:r>
              <w:rPr>
                <w:rFonts w:hint="eastAsia" w:ascii="宋体" w:hAnsi="宋体" w:eastAsia="宋体" w:cs="宋体"/>
                <w:i w:val="0"/>
                <w:iCs w:val="0"/>
                <w:color w:val="000000"/>
                <w:kern w:val="0"/>
                <w:sz w:val="18"/>
                <w:szCs w:val="18"/>
                <w:u w:val="none"/>
                <w:lang w:val="en-US" w:eastAsia="zh-CN" w:bidi="ar"/>
              </w:rPr>
              <w:t>或以上，德国莱茵TÜV低蓝光</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亮度:250 cd/m2</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响应时间：5ms</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刷新率：</w:t>
            </w:r>
            <w:r>
              <w:rPr>
                <w:rFonts w:hint="eastAsia" w:ascii="宋体" w:hAnsi="宋体" w:eastAsia="宋体" w:cs="宋体"/>
                <w:i w:val="0"/>
                <w:iCs w:val="0"/>
                <w:color w:val="000000"/>
                <w:kern w:val="0"/>
                <w:sz w:val="18"/>
                <w:szCs w:val="18"/>
                <w:u w:val="none"/>
                <w:lang w:val="en-US" w:eastAsia="zh-CN" w:bidi="ar"/>
              </w:rPr>
              <w:t>75</w:t>
            </w:r>
            <w:r>
              <w:rPr>
                <w:rFonts w:hint="default" w:ascii="宋体" w:hAnsi="宋体" w:eastAsia="宋体" w:cs="宋体"/>
                <w:i w:val="0"/>
                <w:iCs w:val="0"/>
                <w:color w:val="000000"/>
                <w:kern w:val="0"/>
                <w:sz w:val="18"/>
                <w:szCs w:val="18"/>
                <w:u w:val="none"/>
                <w:lang w:val="en-US" w:eastAsia="zh-CN" w:bidi="ar"/>
              </w:rPr>
              <w:t>Hz</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可视角度:178°/178°</w:t>
            </w:r>
          </w:p>
          <w:p>
            <w:pPr>
              <w:pStyle w:val="31"/>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支持壁挂：是，壁挂尺寸 100×100mm</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网络交换机（16口，100M）</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安装方式：中控机柜导轨挂装</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pStyle w:val="31"/>
              <w:rPr>
                <w:rFonts w:hint="eastAsia" w:ascii="宋体" w:hAnsi="宋体" w:eastAsia="宋体" w:cs="宋体"/>
                <w:i w:val="0"/>
                <w:iCs w:val="0"/>
                <w:color w:val="000000"/>
                <w:kern w:val="0"/>
                <w:sz w:val="18"/>
                <w:szCs w:val="18"/>
                <w:u w:val="none"/>
                <w:lang w:val="en-US" w:eastAsia="zh-CN" w:bidi="ar"/>
              </w:rPr>
            </w:pPr>
            <w:r>
              <w:rPr>
                <w:rFonts w:hint="eastAsia" w:hAnsi="宋体" w:eastAsia="宋体" w:cs="宋体"/>
                <w:i w:val="0"/>
                <w:iCs w:val="0"/>
                <w:color w:val="000000"/>
                <w:kern w:val="0"/>
                <w:sz w:val="18"/>
                <w:szCs w:val="18"/>
                <w:u w:val="none"/>
                <w:lang w:val="en-US" w:eastAsia="zh-CN" w:bidi="ar"/>
              </w:rPr>
              <w:t>国产知名品牌</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应用层级：二层</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传输速率：10/100Mbps</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交换方式：存储转发</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背板带宽：3.2Gbps</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包转发率：2.38Mpps</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端口结构：非模块化</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端口数量：16</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端口类型：10/100Base-TX</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网络标准：IEEE802.3、IEEE802.3u、IEEE802.3x</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电源电压：100-240V AC</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9"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GST智慧消防物联网系统（10 联网单位）</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平台软件开发及使用，不限使用年限，正版合法授权</w:t>
            </w:r>
          </w:p>
        </w:tc>
        <w:tc>
          <w:tcPr>
            <w:tcW w:w="4426"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1.系统标配功能：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1.1报警监控功能，含警情GIS显示功能（在线地图）、报警分层图显示功能、警情分类指示功能、联网单位状态指示功能、警情接警处理功能、接警电话通话管理功能、警情视频联动显示功能、警情查询统计功能。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1.2消控室值班查岗功能，含值班查岗状态指示功能、自动查岗功能、手动查岗功能、视频查岗功能、查岗结果查询统计功能。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1.3建筑消防水系统状态监测功能，含消防水系统压力、液位超限报警指示功能、消防水系统压力、液位实时数据和历史数据显示功能、 消防水泵异常状态指示功能、水泵状态图形显示功能、水系统警报查询统计功能。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1.4视频监控功能（视频接入采用RTSP拉流的方式），含视频设备状态指示功能、视频设备分级列表显示功能、视频设备分层图显示功能、视频手动查看功能、视频智能分析报警功能。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1.5用户信息传输装置状态监控功能，含传输装置状态实时指示功能、传输装置状态列表显示功能、传输装置状态警情查询统计功能。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1.6系统服务监控功能，含系统的服务、内存、硬盘状态自动监控功能，系统运行异常状态指示功能。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1.7第三方信息推送及数据查询接口功能，使用HTTP REST API方式对外提供消防系统基础数据的采集和查询等功能，使用消息队列（rabbitmq）进行实时警情推送。</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2.系统可以通过选择扩展功能获得更多的功能，监控中心系统扩展功能。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 系统可以按照客户的需求进行部分功能的定制，见三、软件定制开发。</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4.用于用户终端数量在10个以下（含10个）消防联网系统的建设。</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产品包内容：1x安装U盘、1x加密狗、1x包装盒、1x产品说明书。</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386"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GST智慧消防物联网系统-3D建模定制开发</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平台软件开发及使用，不限使用年限</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负一层平面图、负二平面图、综合楼一楼平面图、综合楼二楼平面图、综合楼三楼平面图进行3D建模优化。</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GST智慧消防物联网系统-定制报表</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平台软件开发及使用，不限使用年限</w:t>
            </w:r>
            <w:r>
              <w:rPr>
                <w:rFonts w:hint="eastAsia" w:ascii="宋体" w:hAnsi="宋体" w:cs="宋体"/>
                <w:i w:val="0"/>
                <w:iCs w:val="0"/>
                <w:color w:val="000000"/>
                <w:kern w:val="0"/>
                <w:sz w:val="18"/>
                <w:szCs w:val="18"/>
                <w:u w:val="none"/>
                <w:lang w:val="en-US" w:eastAsia="zh-CN" w:bidi="ar"/>
              </w:rPr>
              <w:t>，正版合法授权</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设备状态报表：展示消防设备的运行状态，如火灾探测器、报警器、灭火设备等的工作情况。</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报警信息报表：记录火灾报警的时间、地点、类型等详细信息。</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巡检记录报表：包括巡检人员的巡检时间、地点、发现的问题等。</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故障统计报表：统计设备故障的类型、次数、修复情况等。</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能耗分析报表：分析消防设备的能耗情况，以便优化能源管理。</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数据分析报表：对系统收集的数据进行分析，提供趋势分析、对比分析等。</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用户行为报表：记录用户对系统的操作记录，如登录、操作记录等。</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GST智慧消防物联网系统-视频监控定制开发</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平台软件开发及使用，不限使用年限</w:t>
            </w:r>
            <w:r>
              <w:rPr>
                <w:rFonts w:hint="eastAsia" w:ascii="宋体" w:hAnsi="宋体" w:cs="宋体"/>
                <w:i w:val="0"/>
                <w:iCs w:val="0"/>
                <w:color w:val="000000"/>
                <w:kern w:val="0"/>
                <w:sz w:val="18"/>
                <w:szCs w:val="18"/>
                <w:u w:val="none"/>
                <w:lang w:val="en-US" w:eastAsia="zh-CN" w:bidi="ar"/>
              </w:rPr>
              <w:t>，正版合法授权</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途及功能：与现有视频监控系统进行联动消防视频监控联动是智慧消防系统中的重要功能。消防系统中的火灾探测器、烟雾报警器等设备触发报警时，系统能够自动将相关的视频监控画面切换到主屏幕或特定显示区域，以便值班人员或相关人员可以迅速直观地查看现场情况。</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GST智慧消防物联网系统-防火巡查系统</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平台软件开发及使用，不限使用年限</w:t>
            </w:r>
            <w:r>
              <w:rPr>
                <w:rFonts w:hint="eastAsia" w:ascii="宋体" w:hAnsi="宋体" w:cs="宋体"/>
                <w:i w:val="0"/>
                <w:iCs w:val="0"/>
                <w:color w:val="000000"/>
                <w:kern w:val="0"/>
                <w:sz w:val="18"/>
                <w:szCs w:val="18"/>
                <w:u w:val="none"/>
                <w:lang w:val="en-US" w:eastAsia="zh-CN" w:bidi="ar"/>
              </w:rPr>
              <w:t>，正版合法授权</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1.防火巡查子系统协助设备使用方高效的组织开展防火巡查工作，借助单位巡查任务、单位临时用火用电管理、单位消防隐患处理等模块全面管控单位各项火灾风险，将单位火灾防控工作全面电子化。</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2.防火巡查子系统依托与条形码、NFC电子标签等工具，严格规范单位日常防火巡查工作，真正做到有据可依、有迹可寻。</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3.提供消防设施管理功能，巡查人员管理功能，巡查人员管理，巡查点建立及管理功能，巡查任务创建及管理功能，消防隐患报告及处理跟踪功能，临时用火用电管理功能，巡查结果查询统计功能。</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网络安全等级保护评定</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委托有资质的第三方进行网络安全等级保护评定，本项目新增智慧化系统采用分公司内部局域网连接，用于企业内部消防设备设施的监控，信息系统受到破坏后，不会对社会秩序和公共利益造成损害，不损害国家安全。故计划评定为第一级（自主保护级）</w:t>
            </w:r>
          </w:p>
        </w:tc>
        <w:tc>
          <w:tcPr>
            <w:tcW w:w="4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评定范围：企业局域网，本项目新增的网络设备及系统软件</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r>
    </w:tbl>
    <w:p>
      <w:pPr>
        <w:adjustRightInd w:val="0"/>
        <w:snapToGrid w:val="0"/>
        <w:spacing w:line="600" w:lineRule="exact"/>
        <w:ind w:firstLine="0" w:firstLineChars="0"/>
        <w:rPr>
          <w:rFonts w:hint="eastAsia" w:ascii="仿宋_GB2312" w:eastAsia="仿宋_GB2312" w:hAnsiTheme="minorHAnsi" w:cstheme="minorBidi"/>
          <w:color w:val="auto"/>
          <w:sz w:val="28"/>
          <w:szCs w:val="28"/>
          <w:highlight w:val="none"/>
          <w:lang w:val="en-US" w:eastAsia="zh-CN"/>
        </w:rPr>
      </w:pPr>
    </w:p>
    <w:p>
      <w:pPr>
        <w:adjustRightInd w:val="0"/>
        <w:snapToGrid w:val="0"/>
        <w:spacing w:line="600" w:lineRule="exact"/>
        <w:jc w:val="center"/>
        <w:rPr>
          <w:rFonts w:hint="eastAsia" w:ascii="仿宋_GB2312" w:eastAsia="仿宋_GB2312" w:hAnsiTheme="minorHAnsi" w:cstheme="minorBidi"/>
          <w:color w:val="auto"/>
          <w:sz w:val="24"/>
          <w:szCs w:val="24"/>
          <w:highlight w:val="none"/>
          <w:lang w:val="en-US" w:eastAsia="zh-CN"/>
        </w:rPr>
      </w:pPr>
      <w:r>
        <w:rPr>
          <w:rFonts w:hint="eastAsia" w:ascii="仿宋_GB2312" w:eastAsia="仿宋_GB2312" w:hAnsiTheme="minorHAnsi" w:cstheme="minorBidi"/>
          <w:color w:val="auto"/>
          <w:sz w:val="24"/>
          <w:szCs w:val="24"/>
          <w:highlight w:val="none"/>
          <w:lang w:val="en-US" w:eastAsia="zh-CN"/>
        </w:rPr>
        <w:t>工程量清单</w:t>
      </w:r>
    </w:p>
    <w:p>
      <w:pPr>
        <w:spacing w:line="360" w:lineRule="auto"/>
        <w:ind w:firstLine="640" w:firstLineChars="200"/>
        <w:jc w:val="both"/>
        <w:rPr>
          <w:rFonts w:hint="eastAsia" w:ascii="仿宋" w:hAnsi="仿宋" w:eastAsia="仿宋" w:cs="仿宋"/>
          <w:color w:val="auto"/>
          <w:sz w:val="32"/>
          <w:szCs w:val="32"/>
          <w:highlight w:val="none"/>
          <w:shd w:val="clear" w:color="auto" w:fill="auto"/>
          <w:lang w:val="en-US" w:eastAsia="zh-CN"/>
        </w:rPr>
      </w:pPr>
    </w:p>
    <w:p>
      <w:pPr>
        <w:spacing w:line="360" w:lineRule="auto"/>
        <w:ind w:firstLine="640" w:firstLineChars="200"/>
        <w:jc w:val="both"/>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二、技术标准和要求</w:t>
      </w: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u w:val="none"/>
          <w:shd w:val="clear" w:color="auto" w:fill="auto"/>
          <w:lang w:val="en-US" w:eastAsia="zh-CN"/>
        </w:rPr>
      </w:pPr>
      <w:r>
        <w:rPr>
          <w:rFonts w:hint="eastAsia" w:ascii="仿宋_GB2312" w:eastAsia="仿宋_GB2312" w:hAnsiTheme="minorEastAsia" w:cstheme="minorBidi"/>
          <w:color w:val="auto"/>
          <w:sz w:val="28"/>
          <w:szCs w:val="28"/>
          <w:highlight w:val="none"/>
          <w:u w:val="none"/>
          <w:shd w:val="clear" w:color="auto" w:fill="auto"/>
          <w:lang w:val="en-US" w:eastAsia="zh-CN"/>
        </w:rPr>
        <w:t>1、本项目开展期间，承包方必须整理好本项目的所有的技术资料，不限于项目安装图、设备说明书、拓扑图、端口连接情况、交换机配置文件、程序、配置、系统画面、系统备份及相关用户密码等。项目竣工后，承包方将所有关于本项目的技术资料整理好并交至项目承办单位。</w:t>
      </w: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u w:val="none"/>
          <w:shd w:val="clear"/>
          <w:lang w:val="en-US" w:eastAsia="zh-CN"/>
        </w:rPr>
      </w:pPr>
      <w:r>
        <w:rPr>
          <w:rFonts w:hint="eastAsia" w:ascii="仿宋_GB2312" w:eastAsia="仿宋_GB2312" w:hAnsiTheme="minorEastAsia" w:cstheme="minorBidi"/>
          <w:color w:val="auto"/>
          <w:sz w:val="28"/>
          <w:szCs w:val="28"/>
          <w:highlight w:val="none"/>
          <w:u w:val="none"/>
          <w:shd w:val="clear" w:color="auto" w:fill="auto"/>
          <w:lang w:val="en-US" w:eastAsia="zh-CN"/>
        </w:rPr>
        <w:t>2、项目完成后，承包方要完成系统详细使用说明并交至项目承办单位。</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3、项目系统组网架构</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本项目主要分为两部分，一是前端消防子系统数据采集硬件部署。在消防子系统</w:t>
      </w:r>
      <w:bookmarkStart w:id="14" w:name="OLE_LINK2"/>
      <w:r>
        <w:rPr>
          <w:rFonts w:hint="eastAsia" w:ascii="仿宋_GB2312" w:eastAsia="仿宋_GB2312" w:hAnsiTheme="minorEastAsia" w:cstheme="minorBidi"/>
          <w:color w:val="auto"/>
          <w:kern w:val="2"/>
          <w:sz w:val="28"/>
          <w:szCs w:val="28"/>
          <w:highlight w:val="none"/>
          <w:u w:val="none"/>
          <w:lang w:val="en-US" w:eastAsia="zh-CN" w:bidi="ar-SA"/>
        </w:rPr>
        <w:t>增加数据转换器、系统接入卡、通讯板、数据传输装置</w:t>
      </w:r>
      <w:bookmarkEnd w:id="14"/>
      <w:r>
        <w:rPr>
          <w:rFonts w:hint="eastAsia" w:ascii="仿宋_GB2312" w:eastAsia="仿宋_GB2312" w:hAnsiTheme="minorEastAsia" w:cstheme="minorBidi"/>
          <w:color w:val="auto"/>
          <w:kern w:val="2"/>
          <w:sz w:val="28"/>
          <w:szCs w:val="28"/>
          <w:highlight w:val="none"/>
          <w:u w:val="none"/>
          <w:lang w:val="en-US" w:eastAsia="zh-CN" w:bidi="ar-SA"/>
        </w:rPr>
        <w:t>、受理计算机等硬件，把消防子系统的数据统一传输到位于受理计算机的智慧化消防管理平台。</w:t>
      </w:r>
    </w:p>
    <w:p>
      <w:pPr>
        <w:numPr>
          <w:ilvl w:val="0"/>
          <w:numId w:val="0"/>
        </w:numPr>
        <w:snapToGrid w:val="0"/>
        <w:spacing w:line="600" w:lineRule="exact"/>
        <w:ind w:firstLine="555"/>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二是后端智慧消防管理平台构建。对各子系统的数据进行智能化统一分析处理，以丰富可视化图表、曲线、界面等形式对消防信号进行状态监视、报警响应、消防应急联动及具备定制报表、消防巡查任务派送等功能，实现分公司消防系统的智慧化管理。</w:t>
      </w: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u w:val="none"/>
          <w:shd w:val="clear" w:color="auto" w:fill="auto"/>
          <w:lang w:val="en-US" w:eastAsia="zh-CN"/>
        </w:rPr>
      </w:pPr>
      <w:r>
        <w:rPr>
          <w:rFonts w:hint="eastAsia" w:ascii="仿宋_GB2312" w:eastAsia="仿宋_GB2312" w:hAnsiTheme="minorEastAsia" w:cstheme="minorBidi"/>
          <w:color w:val="auto"/>
          <w:kern w:val="2"/>
          <w:sz w:val="28"/>
          <w:szCs w:val="28"/>
          <w:highlight w:val="none"/>
          <w:u w:val="none"/>
          <w:lang w:val="en-US" w:eastAsia="zh-CN" w:bidi="ar-SA"/>
        </w:rPr>
        <w:t>系统采用开放式Browser/Server架构，客户端通过浏览器访问位于受理机计算机智慧消防管理平台软件，在系统试运行阶段，采用独立于分公司工控网和视频网络的IP网段，待运行稳定后接入分公司视频监控网络。本项目新增的网络设备、系统按照公司网络安全管理要求实施。</w:t>
      </w:r>
    </w:p>
    <w:p>
      <w:pPr>
        <w:snapToGrid w:val="0"/>
        <w:spacing w:line="600" w:lineRule="exact"/>
        <w:ind w:firstLine="555"/>
        <w:rPr>
          <w:rFonts w:hint="eastAsia" w:ascii="仿宋_GB2312" w:eastAsia="仿宋_GB2312" w:hAnsiTheme="minorEastAsia" w:cstheme="minorBidi"/>
          <w:b w:val="0"/>
          <w:bCs w:val="0"/>
          <w:color w:val="auto"/>
          <w:kern w:val="2"/>
          <w:sz w:val="28"/>
          <w:szCs w:val="28"/>
          <w:highlight w:val="none"/>
          <w:u w:val="none"/>
          <w:lang w:val="en-US" w:eastAsia="zh-CN" w:bidi="ar-SA"/>
        </w:rPr>
      </w:pPr>
      <w:r>
        <w:rPr>
          <w:rFonts w:hint="eastAsia" w:ascii="仿宋_GB2312" w:eastAsia="仿宋_GB2312" w:hAnsiTheme="minorEastAsia" w:cstheme="minorBidi"/>
          <w:b w:val="0"/>
          <w:bCs w:val="0"/>
          <w:color w:val="auto"/>
          <w:kern w:val="2"/>
          <w:sz w:val="28"/>
          <w:szCs w:val="28"/>
          <w:highlight w:val="none"/>
          <w:u w:val="none"/>
          <w:lang w:val="en-US" w:eastAsia="zh-CN" w:bidi="ar-SA"/>
        </w:rPr>
        <w:t>4、应用平台主要开发功能</w:t>
      </w:r>
    </w:p>
    <w:p>
      <w:pPr>
        <w:numPr>
          <w:ilvl w:val="0"/>
          <w:numId w:val="4"/>
        </w:numPr>
        <w:snapToGrid w:val="0"/>
        <w:spacing w:line="600" w:lineRule="exact"/>
        <w:ind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1）GST智慧消防物联网系统开发</w:t>
      </w:r>
    </w:p>
    <w:p>
      <w:pPr>
        <w:numPr>
          <w:ilvl w:val="0"/>
          <w:numId w:val="0"/>
        </w:numPr>
        <w:snapToGrid w:val="0"/>
        <w:spacing w:line="600" w:lineRule="exact"/>
        <w:ind w:firstLine="555" w:firstLineChars="0"/>
        <w:rPr>
          <w:rFonts w:hint="eastAsia" w:ascii="仿宋_GB2312" w:eastAsia="仿宋_GB2312" w:hAnsiTheme="minorEastAsia" w:cstheme="minorBidi"/>
          <w:b w:val="0"/>
          <w:bCs w:val="0"/>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用途：智慧消防管理平台系统，多个消防子系统接入终端平台，数据可视化显示、报警、实时监控消防报警点，消防值班人员通过登录系统实现实时多个子系统消防监控。</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系统标配功能：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报警监控功能，含警情GIS显示功能（在线地图）、报警分层图显示功能、警情分类指示功能、联网单位状态指示功能、警情接警处理功能、接警电话通话管理功能、警情视频联动显示功能、警情查询统计功能。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消控室值班查岗功能，含值班查岗状态指示功能、自动查岗功能、手动查岗功能、视频查岗功能、查岗结果查询统计功能。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用户信息传输装置状态监控功能，含传输装置状态实时指示功能、传输装置状态列表显示功能、传输装置状态警情查询统计功能。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系统服务监控功能，含系统的服务、内存、硬盘状态自动监控功能，系统运行异常状态指示功能。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含警情推送显示、设备状态查看、工程状态查看、系统状态查看等功能。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用于用户终端数量在10个以下（含10个）消防联网系统的建设，产品包内容：1x安装U盘、1x加密狗、1x包装盒、1x产品说明书。</w:t>
      </w:r>
    </w:p>
    <w:p>
      <w:pPr>
        <w:snapToGrid w:val="0"/>
        <w:spacing w:line="600" w:lineRule="exact"/>
        <w:ind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2)GST智慧消防物联网系统-3D建模定制开发</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用途及功能：为了使众多消防子系统的报警点能直观地在统一消防平台显示，对负一层平面图、负二平面图、综合楼一楼平面图、综合楼二楼平面图、综合楼三楼平面图进行3D建模优化。</w:t>
      </w:r>
    </w:p>
    <w:p>
      <w:pPr>
        <w:numPr>
          <w:ilvl w:val="0"/>
          <w:numId w:val="0"/>
        </w:numPr>
        <w:snapToGrid w:val="0"/>
        <w:spacing w:line="600" w:lineRule="exact"/>
        <w:ind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3）GST智慧消防物联网系统-定制报表</w:t>
      </w:r>
    </w:p>
    <w:p>
      <w:pPr>
        <w:numPr>
          <w:ilvl w:val="0"/>
          <w:numId w:val="0"/>
        </w:num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用途：各消防子系统数据报表统计</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系统标配功能：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设备状态报表：展示消防设备的运行状态，如火灾探测器、报警器、灭火设备等的工作情况。</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报警信息报表：记录火灾报警的时间、地点、类型等详细信息。</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巡检记录报表：包括巡检人员的巡检时间、地点、发现的问题等。</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故障统计报表：统计设备故障的类型、次数、修复情况等。</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数据分析报表：对系统收集的数据进行分析，提供趋势分析、对比分析等。</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用户行为报表：记录用户对系统的操作记录，如登录、操作记录等。</w:t>
      </w:r>
    </w:p>
    <w:p>
      <w:pPr>
        <w:numPr>
          <w:ilvl w:val="0"/>
          <w:numId w:val="0"/>
        </w:numPr>
        <w:snapToGrid w:val="0"/>
        <w:spacing w:line="600" w:lineRule="exact"/>
        <w:ind w:leftChars="0"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4）GST智慧消防物联网系统-防火巡查系统开发</w:t>
      </w:r>
    </w:p>
    <w:p>
      <w:pPr>
        <w:numPr>
          <w:ilvl w:val="0"/>
          <w:numId w:val="0"/>
        </w:numPr>
        <w:snapToGrid w:val="0"/>
        <w:spacing w:line="600" w:lineRule="exact"/>
        <w:ind w:leftChars="0"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用途：消防值班人员对现场消防设备依托电子标签等工具进行防火巡查，并对巡查自动生成记录，可以自定义派发、接收巡查任务。</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系统标配功能：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防火巡查子系统协助设备使用方高效的组织开展防火巡查工作，借助单位巡查任务、单位临时用火用电管理、单位消防隐患处理等模块全面管控单位各项火灾风险，将单位火灾防控工作全面电子化。</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防火巡查子系统依托与条形码、NFC电子标签等工具，严格规范单位日常防火巡查工作，真正做到有据可依、有迹可寻。</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提供消防设施管理功能，巡查人员管理功能，巡查人员管理，巡查点建立及管理功能，巡查任务创建及管理功能，消防隐患报告及处理跟踪功能，临时用火用电管理功能，巡查结果查询统计功能。</w:t>
      </w:r>
    </w:p>
    <w:p>
      <w:pPr>
        <w:snapToGrid w:val="0"/>
        <w:spacing w:line="600" w:lineRule="exact"/>
        <w:ind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5）GST智慧消防物联网系统-视频监控定制开发</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及功能：与现有视频监控系统进行联动消防视频监控联动是智慧消防系统中的重要功能。消防系统中的火灾探测器、烟雾报警器等设备触发报警时，系统能够自动将相关的视频监控画面切换到主屏幕或特定显示区域，以便值班人员或相关人员可以迅速直观地查看现场情况。这样可以帮助确认火灾的具体位置、火势大小、有无人员被困等重要信息，为指挥决策和应急处置提供及时准确的依据。同时，通过联动，还可以将视频监控画面实时传输给消防指挥中心或其他相关部门，实现信息共享和协同作战。此外，视频监控资料还可用于事后的调查分析和总结评估，以不断改进消防工作和完善应急预案。</w:t>
      </w:r>
    </w:p>
    <w:p>
      <w:pPr>
        <w:numPr>
          <w:ilvl w:val="0"/>
          <w:numId w:val="0"/>
        </w:numPr>
        <w:snapToGrid w:val="0"/>
        <w:spacing w:line="600" w:lineRule="exact"/>
        <w:ind w:leftChars="0" w:firstLine="555" w:firstLineChars="0"/>
        <w:jc w:val="left"/>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5、软件、系统正版化、国产化及维护更新需求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1）正版化、国产化需求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本项目使用的软件、系统必须为经过合法授权、有软件开发商或其授权的渠道进行发布和销售的软件产品，支持主流国产化计算机操作系统、数据库、主流办公软件。</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主要软件、系统有：国产智慧消防物联网系统（包含消防监控、3D建模定制开发、定制报表防火巡查等功能）、主流国产计算机操作系统、主流国产办公软件（文字、表格、演示，PDF阅读等多种功能）。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2）维护更新需求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本项目新增的数据转换器、系统接入卡、通讯板设备、数据传输装置为数据转换传输设备不需要进行额外维护，受理电脑主机需要进行日常计算机维护即可，消防平台系统要求无限制使用年限，在2年质保期间免费提供软件、系统升级服务，提供系统数据备份、导出等维护培训。</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目前分公司有专业的第三方维保单位对分公司整个消防系统进行定期维护保养，为响应公司消防自主值班的要求，分公司亦配备了多名拥有中级消防设施操作员证的值班人员，值班人员经过培训后能满足智慧消防系统日常维护需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3）多平台扩容要求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支持多平台扩容，分公司可以作为子平台接入上一级平台，或作为母平台汇集下一级平台。</w:t>
      </w:r>
    </w:p>
    <w:p>
      <w:pPr>
        <w:numPr>
          <w:ilvl w:val="0"/>
          <w:numId w:val="0"/>
        </w:numPr>
        <w:snapToGrid w:val="0"/>
        <w:spacing w:line="600" w:lineRule="exact"/>
        <w:ind w:firstLine="555"/>
        <w:jc w:val="left"/>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6、网络安全措施及要求</w:t>
      </w:r>
    </w:p>
    <w:p>
      <w:pPr>
        <w:numPr>
          <w:ilvl w:val="0"/>
          <w:numId w:val="0"/>
        </w:numPr>
        <w:snapToGrid w:val="0"/>
        <w:spacing w:line="600" w:lineRule="exact"/>
        <w:ind w:leftChars="0"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6.1本项目构建的网络设备及网络系统需满足以下网络安全措施及要求。</w:t>
      </w:r>
    </w:p>
    <w:p>
      <w:pPr>
        <w:numPr>
          <w:ilvl w:val="0"/>
          <w:numId w:val="0"/>
        </w:numPr>
        <w:snapToGrid w:val="0"/>
        <w:spacing w:line="600" w:lineRule="exact"/>
        <w:ind w:leftChars="0"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（一）访问控制</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 实施基于角色的访问控制，根据用户的工作职责和业务需求，为其分配适当的访问权限，确保用户只能访问其工作所需的资源和数据。</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2. 采用多因素身份验证，结合密码、指纹、令牌、短信验证码等多种验证方式，增强用户身份验证的安全性。</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3. 具备审查和更新用户的访问权限，及时撤销离职员工或不再需要访问权限的用户的访问权限等功能。</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（二）数据加密</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 对敏感数据，如用户个人信息、重要数据、机密等，在存储和传输过程中进行加密处理，使用对称加密算法（如 或非对称加密算法，确保数据的保密性和完整性。</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2. 配备加密密钥，防止密钥泄露或被破解，同时建立密钥管理体系，确保密钥的安全存储、分发和使用。</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（三）网络监控与检测</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 部署网络监控系统或软件，实时监测网络流量、用户活动、系统日志等，及时发现异常活动和潜在的安全威胁。</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（四）安全培训与教育</w:t>
      </w:r>
    </w:p>
    <w:p>
      <w:pPr>
        <w:numPr>
          <w:ilvl w:val="-1"/>
          <w:numId w:val="0"/>
        </w:numPr>
        <w:autoSpaceDE w:val="0"/>
        <w:autoSpaceDN w:val="0"/>
        <w:spacing w:line="240" w:lineRule="auto"/>
        <w:ind w:firstLine="560" w:firstLineChars="200"/>
        <w:jc w:val="left"/>
        <w:rPr>
          <w:rFonts w:hint="eastAsia" w:ascii="仿宋" w:hAnsi="仿宋" w:eastAsia="仿宋" w:cs="仿宋"/>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 组织员工参加本项目相关网络设备、系统的网络安全专门培训，</w:t>
      </w:r>
      <w:r>
        <w:rPr>
          <w:rFonts w:hint="eastAsia" w:ascii="仿宋" w:hAnsi="仿宋" w:eastAsia="仿宋" w:cs="仿宋"/>
          <w:color w:val="auto"/>
          <w:kern w:val="2"/>
          <w:sz w:val="28"/>
          <w:szCs w:val="28"/>
          <w:highlight w:val="none"/>
          <w:u w:val="none"/>
          <w:lang w:val="en-US" w:eastAsia="zh-CN" w:bidi="ar-SA"/>
        </w:rPr>
        <w:t>提高员工的网络安全意识和防范技能。</w:t>
      </w:r>
    </w:p>
    <w:p>
      <w:pPr>
        <w:numPr>
          <w:ilvl w:val="-1"/>
          <w:numId w:val="0"/>
        </w:numPr>
        <w:autoSpaceDE w:val="0"/>
        <w:autoSpaceDN w:val="0"/>
        <w:spacing w:line="240" w:lineRule="auto"/>
        <w:ind w:firstLine="560" w:firstLineChars="200"/>
        <w:jc w:val="left"/>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2. 制定本项目网络安全操作指南和规范。</w:t>
      </w:r>
    </w:p>
    <w:p>
      <w:pPr>
        <w:numPr>
          <w:ilvl w:val="0"/>
          <w:numId w:val="0"/>
        </w:numPr>
        <w:snapToGrid w:val="0"/>
        <w:spacing w:line="600" w:lineRule="exact"/>
        <w:ind w:firstLine="555" w:firstLineChars="0"/>
        <w:jc w:val="left"/>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6.2网络安全等级保护评定</w:t>
      </w:r>
    </w:p>
    <w:p>
      <w:pPr>
        <w:numPr>
          <w:ilvl w:val="-1"/>
          <w:numId w:val="0"/>
        </w:numPr>
        <w:autoSpaceDE w:val="0"/>
        <w:autoSpaceDN w:val="0"/>
        <w:spacing w:line="240" w:lineRule="auto"/>
        <w:ind w:left="0" w:firstLine="560" w:firstLineChars="200"/>
        <w:jc w:val="left"/>
        <w:rPr>
          <w:rFonts w:hint="eastAsia" w:ascii="仿宋" w:hAnsi="仿宋" w:eastAsia="仿宋" w:cs="仿宋"/>
          <w:color w:val="auto"/>
          <w:sz w:val="28"/>
          <w:szCs w:val="28"/>
          <w:highlight w:val="none"/>
          <w:u w:val="none"/>
          <w:shd w:val="clear" w:color="auto" w:fill="auto"/>
          <w:lang w:val="en-US" w:eastAsia="zh-CN"/>
        </w:rPr>
      </w:pPr>
      <w:r>
        <w:rPr>
          <w:rFonts w:hint="eastAsia" w:ascii="仿宋" w:hAnsi="仿宋" w:eastAsia="仿宋" w:cs="仿宋"/>
          <w:color w:val="auto"/>
          <w:kern w:val="2"/>
          <w:sz w:val="28"/>
          <w:szCs w:val="28"/>
          <w:highlight w:val="none"/>
          <w:u w:val="none"/>
          <w:lang w:val="en-US" w:eastAsia="zh-CN" w:bidi="ar-SA"/>
        </w:rPr>
        <w:t>对本项目新增的网络设备、软件、系统请有资质的第三方进行网络安全等级保护评定，本项目新增智慧化系统采用分公司内部局域网连接，用于企业内部消防设备设施的监控，信息系统受到破坏后，不会对社会秩序和公共利益造成损害，不损害国家安全。故计划评定为第一级（自主保护级）</w:t>
      </w:r>
    </w:p>
    <w:bookmarkEnd w:id="13"/>
    <w:p>
      <w:pPr>
        <w:spacing w:line="360" w:lineRule="auto"/>
        <w:ind w:firstLine="640" w:firstLineChars="200"/>
        <w:jc w:val="both"/>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三、项目商务要求</w:t>
      </w:r>
    </w:p>
    <w:p>
      <w:pPr>
        <w:numPr>
          <w:ilvl w:val="0"/>
          <w:numId w:val="5"/>
        </w:numPr>
        <w:autoSpaceDE w:val="0"/>
        <w:autoSpaceDN w:val="0"/>
        <w:ind w:left="425" w:hanging="425"/>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lang w:val="en-US" w:eastAsia="zh-CN"/>
        </w:rPr>
        <w:t>服务期：3</w:t>
      </w:r>
      <w:r>
        <w:rPr>
          <w:rFonts w:hint="eastAsia" w:ascii="仿宋" w:hAnsi="仿宋" w:eastAsia="仿宋" w:cs="仿宋"/>
          <w:color w:val="auto"/>
          <w:sz w:val="28"/>
          <w:szCs w:val="28"/>
          <w:highlight w:val="none"/>
          <w:u w:val="none"/>
          <w:lang w:val="en-US" w:eastAsia="zh-CN"/>
        </w:rPr>
        <w:t>0个工作日。</w:t>
      </w:r>
      <w:r>
        <w:rPr>
          <w:rFonts w:hint="eastAsia" w:ascii="仿宋" w:hAnsi="仿宋" w:eastAsia="仿宋" w:cs="仿宋"/>
          <w:color w:val="auto"/>
          <w:sz w:val="28"/>
          <w:szCs w:val="28"/>
          <w:highlight w:val="none"/>
        </w:rPr>
        <w:t>(具体施工日期及工期调整根据分公司实际计划时间而定</w:t>
      </w:r>
      <w:r>
        <w:rPr>
          <w:rFonts w:hint="eastAsia" w:ascii="仿宋" w:hAnsi="仿宋" w:eastAsia="仿宋" w:cs="仿宋"/>
          <w:color w:val="auto"/>
          <w:sz w:val="28"/>
          <w:szCs w:val="28"/>
          <w:highlight w:val="none"/>
          <w:lang w:eastAsia="zh-CN"/>
        </w:rPr>
        <w:t>，具体开工时间以甲方通知为准</w:t>
      </w:r>
      <w:r>
        <w:rPr>
          <w:rFonts w:hint="eastAsia" w:ascii="仿宋" w:hAnsi="仿宋" w:eastAsia="仿宋" w:cs="仿宋"/>
          <w:color w:val="auto"/>
          <w:sz w:val="28"/>
          <w:szCs w:val="28"/>
          <w:highlight w:val="none"/>
          <w:u w:val="none"/>
          <w:lang w:eastAsia="zh-CN"/>
        </w:rPr>
        <w:t>）</w:t>
      </w:r>
    </w:p>
    <w:p>
      <w:pPr>
        <w:numPr>
          <w:ilvl w:val="0"/>
          <w:numId w:val="5"/>
        </w:numPr>
        <w:autoSpaceDE w:val="0"/>
        <w:autoSpaceDN w:val="0"/>
        <w:ind w:left="425" w:hanging="4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质量要求：质保</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年</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安全文明施工要求：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（1）在工程进行中，承包单位要注意保护场内的各种管线和设施。</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若有任何损坏，须立即通知有关部门和发包人，并由损坏单位承担损失和修复费用。</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(2)发生重大伤亡及其他安全事故，承包单位应按有关规定立即上报</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有关部门并通知发包人，同时按政府有关部门要求处理，由事故责任方承担发生的费用。发包人、承包单位对事故责任有争议时，应按政府有关部门的认定处理。</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承包单位在施工期间应严格遵守《中华人民共和国安全生产法》</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总包及分包规定：</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承包单位不许转包，不许擅自分包,</w:t>
      </w:r>
      <w:r>
        <w:rPr>
          <w:rFonts w:hint="eastAsia" w:ascii="仿宋" w:hAnsi="仿宋" w:eastAsia="仿宋" w:cs="仿宋"/>
          <w:i w:val="0"/>
          <w:caps w:val="0"/>
          <w:color w:val="auto"/>
          <w:spacing w:val="0"/>
          <w:sz w:val="21"/>
          <w:szCs w:val="21"/>
          <w:highlight w:val="none"/>
          <w:shd w:val="clear" w:color="auto" w:fill="FFFFFF"/>
        </w:rPr>
        <w:t xml:space="preserve"> </w:t>
      </w:r>
      <w:r>
        <w:rPr>
          <w:rFonts w:hint="eastAsia" w:ascii="仿宋" w:hAnsi="仿宋" w:eastAsia="仿宋" w:cs="仿宋"/>
          <w:i w:val="0"/>
          <w:caps w:val="0"/>
          <w:color w:val="auto"/>
          <w:spacing w:val="0"/>
          <w:sz w:val="28"/>
          <w:szCs w:val="28"/>
          <w:highlight w:val="none"/>
          <w:shd w:val="clear" w:color="auto" w:fill="FFFFFF"/>
        </w:rPr>
        <w:t>否则，发包人有权单方面终止合同，并令其立即退场，由此而造成的经济损失由承包单位负责赔偿。</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保修期（保养期）：</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lang w:val="en-US" w:eastAsia="zh-CN"/>
        </w:rPr>
        <w:t>系统及软件</w:t>
      </w:r>
      <w:r>
        <w:rPr>
          <w:rFonts w:hint="eastAsia" w:ascii="仿宋" w:hAnsi="仿宋" w:eastAsia="仿宋" w:cs="仿宋"/>
          <w:i w:val="0"/>
          <w:caps w:val="0"/>
          <w:color w:val="auto"/>
          <w:spacing w:val="0"/>
          <w:sz w:val="28"/>
          <w:szCs w:val="28"/>
          <w:highlight w:val="none"/>
          <w:shd w:val="clear" w:color="auto" w:fill="FFFFFF"/>
        </w:rPr>
        <w:t>质保期12个月，</w:t>
      </w:r>
      <w:r>
        <w:rPr>
          <w:rFonts w:hint="eastAsia" w:ascii="仿宋" w:hAnsi="仿宋" w:eastAsia="仿宋" w:cs="仿宋"/>
          <w:i w:val="0"/>
          <w:caps w:val="0"/>
          <w:color w:val="auto"/>
          <w:spacing w:val="0"/>
          <w:sz w:val="28"/>
          <w:szCs w:val="28"/>
          <w:highlight w:val="none"/>
          <w:shd w:val="clear" w:color="auto" w:fill="FFFFFF"/>
          <w:lang w:val="en-US" w:eastAsia="zh-CN"/>
        </w:rPr>
        <w:t>软件正版授权永久，质保期内承包方必须保证24小时故障到场响应</w:t>
      </w:r>
      <w:r>
        <w:rPr>
          <w:rFonts w:hint="eastAsia" w:ascii="仿宋" w:hAnsi="仿宋" w:eastAsia="仿宋" w:cs="仿宋"/>
          <w:i w:val="0"/>
          <w:caps w:val="0"/>
          <w:color w:val="auto"/>
          <w:spacing w:val="0"/>
          <w:sz w:val="28"/>
          <w:szCs w:val="28"/>
          <w:highlight w:val="none"/>
          <w:shd w:val="clear" w:color="auto" w:fill="FFFFFF"/>
        </w:rPr>
        <w:t>。</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发包人将自承包商履行完合同义务之日起三十个工作日内组织验收，验收要求、验收标准及方法如下：</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验收合格条件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确保能够达到</w:t>
      </w:r>
      <w:r>
        <w:rPr>
          <w:rFonts w:hint="eastAsia" w:ascii="仿宋" w:hAnsi="仿宋" w:eastAsia="仿宋" w:cs="仿宋"/>
          <w:i w:val="0"/>
          <w:caps w:val="0"/>
          <w:color w:val="auto"/>
          <w:spacing w:val="0"/>
          <w:sz w:val="28"/>
          <w:szCs w:val="28"/>
          <w:highlight w:val="none"/>
          <w:shd w:val="clear" w:color="auto" w:fill="FFFFFF"/>
          <w:lang w:val="en-US" w:eastAsia="zh-CN"/>
        </w:rPr>
        <w:t>甲方使用要求</w:t>
      </w:r>
      <w:r>
        <w:rPr>
          <w:rFonts w:hint="eastAsia" w:ascii="仿宋" w:hAnsi="仿宋" w:eastAsia="仿宋" w:cs="仿宋"/>
          <w:i w:val="0"/>
          <w:caps w:val="0"/>
          <w:color w:val="auto"/>
          <w:spacing w:val="0"/>
          <w:sz w:val="28"/>
          <w:szCs w:val="28"/>
          <w:highlight w:val="none"/>
          <w:shd w:val="clear" w:color="auto" w:fill="FFFFFF"/>
        </w:rPr>
        <w:t>的标准。</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付款方式：采用网银支付形式。</w:t>
      </w:r>
    </w:p>
    <w:p>
      <w:pPr>
        <w:pStyle w:val="23"/>
        <w:numPr>
          <w:ilvl w:val="0"/>
          <w:numId w:val="5"/>
        </w:numPr>
        <w:adjustRightInd w:val="0"/>
        <w:snapToGrid w:val="0"/>
        <w:spacing w:line="600" w:lineRule="exact"/>
        <w:ind w:left="425" w:hanging="425" w:firstLineChars="0"/>
        <w:jc w:val="left"/>
        <w:rPr>
          <w:rFonts w:hint="default" w:ascii="仿宋_GB2312" w:eastAsia="仿宋_GB2312"/>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承包方式：</w:t>
      </w:r>
      <w:r>
        <w:rPr>
          <w:rFonts w:hint="eastAsia" w:ascii="仿宋" w:hAnsi="仿宋" w:eastAsia="仿宋" w:cs="仿宋"/>
          <w:i w:val="0"/>
          <w:caps w:val="0"/>
          <w:color w:val="auto"/>
          <w:spacing w:val="0"/>
          <w:sz w:val="28"/>
          <w:szCs w:val="28"/>
          <w:highlight w:val="none"/>
          <w:shd w:val="clear" w:color="auto" w:fill="FFFFFF"/>
          <w:lang w:val="en-US" w:eastAsia="zh-CN"/>
        </w:rPr>
        <w:t>单价包干。</w:t>
      </w: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color w:val="auto"/>
          <w:highlight w:val="none"/>
        </w:rPr>
      </w:pPr>
    </w:p>
    <w:p>
      <w:pPr>
        <w:rPr>
          <w:color w:val="auto"/>
          <w:highlight w:val="none"/>
        </w:rPr>
      </w:pPr>
      <w:r>
        <w:rPr>
          <w:color w:val="auto"/>
          <w:highlight w:val="none"/>
        </w:rPr>
        <w:br w:type="page"/>
      </w:r>
    </w:p>
    <w:p>
      <w:pPr>
        <w:pStyle w:val="23"/>
        <w:ind w:firstLine="0"/>
        <w:rPr>
          <w:rFonts w:hint="eastAsia"/>
          <w:color w:val="auto"/>
          <w:highlight w:val="none"/>
        </w:rPr>
      </w:pPr>
      <w:bookmarkStart w:id="15" w:name="_Toc1284"/>
      <w:bookmarkStart w:id="16" w:name="_Toc1496"/>
      <w:bookmarkStart w:id="17" w:name="_Toc23353"/>
      <w:bookmarkStart w:id="18" w:name="_Toc15570"/>
      <w:bookmarkStart w:id="19" w:name="_Toc537"/>
      <w:bookmarkStart w:id="20" w:name="_Toc4680"/>
      <w:bookmarkStart w:id="21" w:name="_Toc25925"/>
      <w:bookmarkStart w:id="22" w:name="_Toc29835"/>
      <w:bookmarkStart w:id="23" w:name="_Toc18538"/>
      <w:bookmarkStart w:id="24" w:name="_Toc23330"/>
      <w:bookmarkStart w:id="25" w:name="_Toc12135"/>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1"/>
        <w:rPr>
          <w:rFonts w:hint="eastAsia"/>
          <w:color w:val="auto"/>
          <w:highlight w:val="none"/>
        </w:rPr>
      </w:pPr>
    </w:p>
    <w:p>
      <w:pPr>
        <w:pStyle w:val="31"/>
        <w:rPr>
          <w:rFonts w:hint="eastAsia"/>
          <w:color w:val="auto"/>
          <w:highlight w:val="none"/>
        </w:rPr>
      </w:pPr>
    </w:p>
    <w:p>
      <w:pPr>
        <w:pStyle w:val="2"/>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2371090</wp:posOffset>
                </wp:positionH>
                <wp:positionV relativeFrom="paragraph">
                  <wp:posOffset>748665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6.7pt;margin-top:58.95pt;height:0pt;width:75.5pt;z-index:251660288;mso-width-relative:page;mso-height-relative:page;" filled="f" stroked="t" coordsize="21600,21600" o:gfxdata="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5TZTdgAAAALAQAADwAAAAAAAAABACAAAAAiAAAAZHJzL2Rvd25yZXYueG1sUEsBAhQA&#10;FAAAAAgAh07iQCQdo6DyAQAA4gMAAA4AAAAAAAAAAQAgAAAAJw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2372360</wp:posOffset>
                </wp:positionH>
                <wp:positionV relativeFrom="paragraph">
                  <wp:posOffset>227330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6.8pt;margin-top:17.9pt;height:0pt;width:75.5pt;z-index:251659264;mso-width-relative:page;mso-height-relative:page;" filled="f" stroked="t" coordsize="21600,21600" o:gfxdata="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kUz8b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15"/>
      <w:bookmarkEnd w:id="16"/>
      <w:bookmarkEnd w:id="17"/>
      <w:bookmarkEnd w:id="18"/>
      <w:bookmarkEnd w:id="19"/>
      <w:bookmarkEnd w:id="20"/>
      <w:bookmarkEnd w:id="21"/>
      <w:bookmarkEnd w:id="22"/>
      <w:bookmarkEnd w:id="23"/>
      <w:bookmarkEnd w:id="24"/>
      <w:bookmarkEnd w:id="25"/>
    </w:p>
    <w:p>
      <w:pPr>
        <w:pStyle w:val="40"/>
        <w:rPr>
          <w:color w:val="auto"/>
          <w:highlight w:val="none"/>
        </w:rPr>
      </w:pPr>
    </w:p>
    <w:p>
      <w:pPr>
        <w:pStyle w:val="2"/>
        <w:rPr>
          <w:color w:val="auto"/>
          <w:highlight w:val="none"/>
        </w:rPr>
      </w:pPr>
      <w:bookmarkStart w:id="26" w:name="_Toc13309"/>
      <w:bookmarkStart w:id="27" w:name="_Toc87616386"/>
      <w:bookmarkStart w:id="28" w:name="_Toc1375"/>
      <w:bookmarkStart w:id="29" w:name="_Toc22501"/>
      <w:bookmarkStart w:id="30" w:name="_Toc323"/>
      <w:bookmarkStart w:id="31" w:name="_Toc12721"/>
      <w:bookmarkStart w:id="32" w:name="_Toc19686"/>
      <w:bookmarkStart w:id="33" w:name="_Toc12968"/>
      <w:bookmarkStart w:id="34" w:name="_Toc19088"/>
      <w:bookmarkStart w:id="35" w:name="_Toc12980"/>
      <w:bookmarkStart w:id="36" w:name="_Toc88209949"/>
      <w:bookmarkStart w:id="37" w:name="_Toc8183"/>
      <w:bookmarkStart w:id="38" w:name="_Toc22797"/>
      <w:r>
        <w:rPr>
          <w:rFonts w:hint="eastAsia"/>
          <w:color w:val="auto"/>
          <w:highlight w:val="none"/>
        </w:rPr>
        <w:t>合同</w:t>
      </w:r>
      <w:bookmarkEnd w:id="26"/>
      <w:bookmarkEnd w:id="27"/>
      <w:bookmarkEnd w:id="28"/>
      <w:bookmarkEnd w:id="29"/>
      <w:bookmarkEnd w:id="30"/>
      <w:bookmarkEnd w:id="31"/>
      <w:bookmarkEnd w:id="32"/>
      <w:bookmarkEnd w:id="33"/>
      <w:bookmarkEnd w:id="34"/>
      <w:bookmarkEnd w:id="35"/>
      <w:bookmarkEnd w:id="36"/>
      <w:bookmarkEnd w:id="37"/>
      <w:bookmarkEnd w:id="3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spacing w:line="400" w:lineRule="atLeast"/>
        <w:jc w:val="center"/>
        <w:rPr>
          <w:rFonts w:ascii="宋体" w:hAnsi="宋体" w:cs="宋体"/>
          <w:b/>
          <w:bCs/>
          <w:color w:val="000000"/>
          <w:sz w:val="48"/>
          <w:szCs w:val="48"/>
          <w:highlight w:val="none"/>
        </w:rPr>
      </w:pPr>
    </w:p>
    <w:p>
      <w:pPr>
        <w:spacing w:line="400" w:lineRule="atLeast"/>
        <w:jc w:val="center"/>
        <w:rPr>
          <w:rFonts w:ascii="宋体" w:hAnsi="宋体" w:cs="宋体"/>
          <w:b/>
          <w:bCs/>
          <w:color w:val="000000"/>
          <w:sz w:val="48"/>
          <w:szCs w:val="48"/>
          <w:highlight w:val="none"/>
        </w:rPr>
      </w:pPr>
    </w:p>
    <w:p>
      <w:pPr>
        <w:pStyle w:val="23"/>
        <w:rPr>
          <w:highlight w:val="none"/>
        </w:rPr>
      </w:pPr>
    </w:p>
    <w:p>
      <w:pPr>
        <w:spacing w:after="0" w:line="240" w:lineRule="auto"/>
        <w:jc w:val="right"/>
        <w:rPr>
          <w:b/>
          <w:color w:val="auto"/>
          <w:sz w:val="52"/>
          <w:szCs w:val="84"/>
        </w:rPr>
      </w:pP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p>
    <w:p>
      <w:pPr>
        <w:jc w:val="center"/>
        <w:rPr>
          <w:b/>
          <w:color w:val="auto"/>
          <w:sz w:val="52"/>
          <w:szCs w:val="84"/>
        </w:rPr>
      </w:pP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p>
    <w:p>
      <w:pPr>
        <w:jc w:val="center"/>
        <w:rPr>
          <w:color w:val="auto"/>
          <w:sz w:val="30"/>
        </w:rPr>
      </w:pPr>
    </w:p>
    <w:p>
      <w:pPr>
        <w:rPr>
          <w:rFonts w:hint="eastAsia"/>
          <w:color w:val="auto"/>
          <w:sz w:val="30"/>
        </w:rPr>
      </w:pPr>
      <w:r>
        <w:rPr>
          <w:rFonts w:hint="eastAsia"/>
          <w:color w:val="auto"/>
          <w:sz w:val="30"/>
        </w:rPr>
        <w:t>项目名称</w:t>
      </w:r>
      <w:r>
        <w:rPr>
          <w:rFonts w:hint="eastAsia" w:eastAsia="宋体"/>
          <w:color w:val="auto"/>
          <w:sz w:val="30"/>
        </w:rPr>
        <w:t>：</w:t>
      </w:r>
      <w:r>
        <w:rPr>
          <w:rFonts w:hint="eastAsia" w:eastAsia="宋体"/>
          <w:color w:val="auto"/>
          <w:sz w:val="30"/>
          <w:lang w:eastAsia="zh-CN"/>
        </w:rPr>
        <w:t>广州市净水有限公司健康城分公司2024年智慧消防系统改造项目</w:t>
      </w:r>
    </w:p>
    <w:p>
      <w:pPr>
        <w:pStyle w:val="31"/>
        <w:rPr>
          <w:rFonts w:hAnsi="宋体" w:eastAsia="宋体"/>
          <w:b/>
          <w:sz w:val="30"/>
          <w:szCs w:val="30"/>
        </w:rPr>
      </w:pPr>
      <w:r>
        <w:rPr>
          <w:rFonts w:hint="eastAsia"/>
          <w:color w:val="auto"/>
          <w:sz w:val="30"/>
          <w:lang w:val="en-US" w:eastAsia="zh-CN"/>
        </w:rPr>
        <w:t>项目编号：02112024000002</w:t>
      </w:r>
    </w:p>
    <w:p>
      <w:pPr>
        <w:rPr>
          <w:rFonts w:hint="eastAsia"/>
          <w:color w:val="auto"/>
          <w:sz w:val="30"/>
          <w:lang w:val="en-US" w:eastAsia="zh-CN"/>
        </w:rPr>
      </w:pPr>
    </w:p>
    <w:p>
      <w:pPr>
        <w:rPr>
          <w:color w:val="auto"/>
          <w:sz w:val="30"/>
          <w:szCs w:val="30"/>
        </w:rPr>
      </w:pPr>
      <w:r>
        <w:rPr>
          <w:rFonts w:hint="eastAsia" w:eastAsia="宋体"/>
          <w:color w:val="auto"/>
          <w:sz w:val="30"/>
          <w:u w:val="none"/>
        </w:rPr>
        <w:t>合同编号：穗净水合[</w:t>
      </w:r>
      <w:r>
        <w:rPr>
          <w:rFonts w:hint="eastAsia" w:eastAsia="宋体"/>
          <w:color w:val="auto"/>
          <w:sz w:val="30"/>
          <w:u w:val="none"/>
          <w:lang w:val="en-US" w:eastAsia="zh-CN"/>
        </w:rPr>
        <w:t>2024</w:t>
      </w:r>
      <w:r>
        <w:rPr>
          <w:rFonts w:hint="eastAsia" w:eastAsia="宋体"/>
          <w:color w:val="auto"/>
          <w:sz w:val="30"/>
          <w:u w:val="none"/>
        </w:rPr>
        <w:t>]    号</w:t>
      </w: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rPr>
          <w:color w:val="auto"/>
        </w:rPr>
        <w:sectPr>
          <w:footerReference r:id="rId6" w:type="default"/>
          <w:headerReference r:id="rId5" w:type="even"/>
          <w:footerReference r:id="rId7" w:type="even"/>
          <w:pgSz w:w="11907" w:h="16840"/>
          <w:pgMar w:top="1701" w:right="1701" w:bottom="1701" w:left="1701" w:header="851" w:footer="992" w:gutter="0"/>
          <w:pgNumType w:fmt="decimal" w:start="1"/>
          <w:cols w:space="0" w:num="1"/>
          <w:docGrid w:type="linesAndChars" w:linePitch="381" w:charSpace="0"/>
        </w:sectPr>
      </w:pP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广州市净水有限公司健康城分公司2024年智慧消防系统改造项目</w:t>
      </w:r>
      <w:r>
        <w:rPr>
          <w:rFonts w:hint="eastAsia" w:ascii="宋体" w:hAnsi="宋体" w:cs="宋体"/>
          <w:color w:val="auto"/>
          <w:sz w:val="24"/>
          <w:szCs w:val="24"/>
        </w:rPr>
        <w:t>采购和相应技术服务事宜，遵循平等、自愿、公平和诚实信用的原则，双方协商一致，订立本合同。</w:t>
      </w:r>
      <w:bookmarkStart w:id="39" w:name="_Toc183666513"/>
      <w:bookmarkStart w:id="40" w:name="_Toc474245210"/>
      <w:bookmarkStart w:id="41" w:name="_Toc1018"/>
      <w:bookmarkStart w:id="42" w:name="_Toc520190026"/>
      <w:bookmarkStart w:id="43" w:name="_Toc518992986"/>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39"/>
      <w:bookmarkEnd w:id="40"/>
      <w:bookmarkEnd w:id="41"/>
      <w:bookmarkEnd w:id="42"/>
      <w:bookmarkEnd w:id="43"/>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本合同所指设备为全新的原装产品，</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p>
      <w:pPr>
        <w:pStyle w:val="13"/>
        <w:ind w:left="0" w:leftChars="0" w:firstLine="0" w:firstLineChars="0"/>
        <w:rPr>
          <w:rFonts w:hint="eastAsia" w:ascii="宋体" w:hAnsi="宋体" w:cs="宋体"/>
          <w:color w:val="auto"/>
          <w:kern w:val="0"/>
          <w:sz w:val="24"/>
          <w:szCs w:val="24"/>
          <w:lang w:val="zh-CN"/>
        </w:rPr>
      </w:pPr>
    </w:p>
    <w:p>
      <w:pPr>
        <w:pStyle w:val="13"/>
        <w:ind w:left="0" w:leftChars="0" w:firstLine="0" w:firstLineChars="0"/>
        <w:rPr>
          <w:rFonts w:hint="eastAsia" w:ascii="宋体" w:hAnsi="宋体" w:cs="宋体"/>
          <w:color w:val="auto"/>
          <w:kern w:val="0"/>
          <w:sz w:val="24"/>
          <w:szCs w:val="24"/>
          <w:lang w:val="zh-CN"/>
        </w:rPr>
      </w:pPr>
    </w:p>
    <w:tbl>
      <w:tblPr>
        <w:tblStyle w:val="24"/>
        <w:tblpPr w:leftFromText="180" w:rightFromText="180" w:vertAnchor="text" w:horzAnchor="page" w:tblpX="742" w:tblpY="674"/>
        <w:tblOverlap w:val="never"/>
        <w:tblW w:w="108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8"/>
        <w:gridCol w:w="1386"/>
        <w:gridCol w:w="1625"/>
        <w:gridCol w:w="3941"/>
        <w:gridCol w:w="790"/>
        <w:gridCol w:w="669"/>
        <w:gridCol w:w="900"/>
        <w:gridCol w:w="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44" w:name="_Toc17140"/>
            <w:bookmarkStart w:id="45" w:name="_Toc518992987"/>
            <w:bookmarkStart w:id="46" w:name="_Toc474245211"/>
            <w:bookmarkStart w:id="47" w:name="_Toc520190027"/>
            <w:r>
              <w:rPr>
                <w:rFonts w:hint="eastAsia" w:ascii="宋体" w:hAnsi="宋体" w:eastAsia="宋体" w:cs="宋体"/>
                <w:b/>
                <w:bCs/>
                <w:i w:val="0"/>
                <w:iCs w:val="0"/>
                <w:color w:val="000000"/>
                <w:kern w:val="0"/>
                <w:sz w:val="18"/>
                <w:szCs w:val="18"/>
                <w:u w:val="none"/>
                <w:lang w:val="en-US" w:eastAsia="zh-CN" w:bidi="ar"/>
              </w:rPr>
              <w:t>序号</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名称</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项目名称描述</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主要参数</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数</w:t>
            </w:r>
            <w:r>
              <w:rPr>
                <w:rFonts w:hint="eastAsia" w:ascii="宋体" w:hAnsi="宋体" w:eastAsia="宋体" w:cs="宋体"/>
                <w:b/>
                <w:bCs/>
                <w:i w:val="0"/>
                <w:iCs w:val="0"/>
                <w:color w:val="000000"/>
                <w:kern w:val="0"/>
                <w:sz w:val="18"/>
                <w:szCs w:val="18"/>
                <w:u w:val="none"/>
                <w:lang w:val="en-US" w:eastAsia="zh-CN" w:bidi="ar"/>
              </w:rPr>
              <w:t>量</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不含税单价（元）</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w:t>
            </w:r>
            <w:r>
              <w:rPr>
                <w:rFonts w:hint="eastAsia" w:ascii="宋体" w:hAnsi="宋体" w:cs="宋体"/>
                <w:b/>
                <w:bCs/>
                <w:i w:val="0"/>
                <w:iCs w:val="0"/>
                <w:color w:val="000000"/>
                <w:kern w:val="0"/>
                <w:sz w:val="18"/>
                <w:szCs w:val="18"/>
                <w:u w:val="none"/>
                <w:lang w:val="en-US" w:eastAsia="zh-CN" w:bidi="ar"/>
              </w:rPr>
              <w:t>总价</w:t>
            </w:r>
            <w:r>
              <w:rPr>
                <w:rFonts w:hint="eastAsia" w:ascii="宋体" w:hAnsi="宋体" w:eastAsia="宋体" w:cs="宋体"/>
                <w:b/>
                <w:bCs/>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信息传输主机</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规格：JK-TX-GSTN6100型传输设备/用户信息传输装置</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安装方式：机柜挂装</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0"/>
                <w:numId w:val="6"/>
              </w:numPr>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主要功能：无线（4G全网通）+网线；GB16806/GB26875.1认证；标配CAN/RS485数据转换卡，可连接水系统及多系统</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2.满足双国标要求：产品设计满足 GB26875.1-2011、GB16806-2006 双国标要求，并且通过双 3C 认证。</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3.通讯方式：支持以太网网线通讯方式，可单独使用也可同时使用并互为备份。      </w:t>
            </w:r>
          </w:p>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4.多种接口：提供 RS232、RS485、开关量等多种接口，可接收打印机信息。</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串行数据转换器</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规格：JK-TX-GSTCZH001          安装方式：加装到消防子系统内部</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1.用于采集串行通讯接口的不同种类控制器数据；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2.安装在控制器内，每台控制器配1个。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3.一个传输装置最多接7个串行数据转换器。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JB-QG-GST5000多系统接入卡</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规格：JB-QG-GST5000多系统接入卡                          安装方式：加装到消防子系统内部</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安装于GST500/GST5000内部，与传输设备/用户信息传输装置CAN接口通讯，接多系统时选用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GST-DH9000多系统接入卡</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规格：GST-DH9000多系统接入卡        安装方式：加装到消防子系统内部</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安装于DH9000内部，与传输设备/用户信息传输装置CAN接口通讯，接多系统时选用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GST-NNET-02通讯板</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规格：GST-NNET-02通讯板 安装方式：加装到消防子系统内部</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适用于传输设备/用户信息传输装置与N3200T防火门监控器、GSTN3200可燃气体报警控制器、GSTN500/N900消防设备电源状态监控器主机一对一接时选用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6"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受理机电脑主机</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安装方式：中控机柜安装</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国产知名品牌</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输入端口：前置有多个 USB 3.2 、三合一读卡器、模拟音频接口等；后置包括多个 USB 2.0、HDMI 端口、DisplayPort、VGA、RJ45（网络接口）、音频输入接口、音频输出接口、麦克风输入接口等；</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主板：Intel Q670；</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CPU：14 代酷睿 i5-14500 14 核 20 线程，其 CPU 主频为 2.6GHz，最高睿频可达5GHz，三级缓存为 24MB；</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内存：16GB DDR4 单内存插槽最大可支持容量(板载内存不涉及)大于等于8GB；4个DDR4 3200MHz内存插槽，至高支持128GB；</w:t>
            </w:r>
          </w:p>
          <w:p>
            <w:pPr>
              <w:keepNext w:val="0"/>
              <w:keepLines w:val="0"/>
              <w:widowControl/>
              <w:suppressLineNumbers w:val="0"/>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硬盘：512G固态硬盘、1T机械硬盘，机械硬盘转速大于等于5400rpm；</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显卡：RX550-4G显卡、显存容量：4GB、</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显存位宽：128bit；</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操作系统：正版主流国产操作系统（简体中文）</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软件：正版主流国产办公软件（文字、表格、演示，PDF阅读等多种功能）</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功能概述：键鼠套装</w:t>
            </w:r>
          </w:p>
          <w:p>
            <w:pPr>
              <w:pStyle w:val="31"/>
              <w:jc w:val="left"/>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消耗功率：500/750W高功率自适应电源</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受理机显示器 （VGA/HDMI）</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安装方式：中控值班室放置安装</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国产知名品牌</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尺寸：31.5-32英寸</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屏幕比例：16:9</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接口类型：HDMI2.0+DP1.2+Type-C Gen1</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分辨率：2560*1440分辨率或以上，德国莱茵TÜV低蓝光</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亮度:250 cd/m2</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响应时间：5ms</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刷新率：75Hz</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可视角度:178°/178°</w:t>
            </w:r>
          </w:p>
          <w:p>
            <w:pPr>
              <w:pStyle w:val="31"/>
              <w:jc w:val="left"/>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支持壁挂：是，壁挂尺寸 100×100mm</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网络交换机（16口，100M）</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安装方式：中控机柜导轨挂装</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国产知名品牌</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应用层级：二层</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传输速率：10/100Mbps</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交换方式：存储转发</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背板带宽：3.2Gbps</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包转发率：2.38Mpps</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端口结构：非模块化</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端口数量：16</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端口类型：10/100Base-TX</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网络标准：IEEE802.3、IEEE802.3u、IEEE802.3x</w:t>
            </w:r>
          </w:p>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电源电压：100-240V AC</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GST智慧消防物联网系统（10 联网单位）</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平台软件开发及使用，不限使用年限，正版合法授权</w:t>
            </w:r>
          </w:p>
        </w:tc>
        <w:tc>
          <w:tcPr>
            <w:tcW w:w="3941"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1.系统标配功能：</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1.1报警监控功能，含警情GIS显示功能（在线地图）、报警分层图显示功能、警情分类指示功能、联网单位状态指示功能、警情接警处理功能、接警电话通话管理功能、警情视频联动显示功能、警情查询统计功能。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1.2消控室值班查岗功能，含值班查岗状态指示功能、自动查岗功能、手动查岗功能、视频查岗功能、查岗结果查询统计功能。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1.3建筑消防水系统状态监测功能，含消防水系统压力、液位超限报警指示功能、消防水系统压力、液位实时数据和历史数据显示功能、 消防水泵异常状态指示功能、水泵状态图形显示功能、水系统警报查询统计功能。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1.4视频监控功能（视频接入采用RTSP拉流的方式），含视频设备状态指示功能、视频设备分级列表显示功能、视频设备分层图显示功能、视频手动查看功能、视频智能分析报警功能。</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1.5用户信息传输装置状态监控功能，含传输装置状态实时指示功能、传输装置状态列表显示功能、传输装置状态警情查询统计功能。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1.6系统服务监控功能，含系统的服务、内存、硬盘状态自动监控功能，系统运行异常状态指示功能。</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1.7第三方信息推送及数据查询接口功能，使用HTTP REST API方式对外提供消防系统基础数据的采集和查询等功能，使用消息队列（rabbitmq）进行实时警情推送。</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2.系统可以通过选择扩展功能获得更多的功能，监控中心系统扩展功能。</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 系统可以按照客户的需求进行部分功能的定制，见三、软件定制开发。</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4.用于用户终端数量在10个以下（含10个）消防联网系统的建设。</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产品包内容：1x安装U盘、1x加密狗、1x包装盒、1x产品说明书。</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10</w:t>
            </w:r>
          </w:p>
        </w:tc>
        <w:tc>
          <w:tcPr>
            <w:tcW w:w="1386"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GST智慧消防物联网系统-3D建模定制开发</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平台软件开发及使用，不限使用年限</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负一层平面图、负二平面图、综合楼一楼平面图、综合楼二楼平面图、综合楼三楼平面图进行3D建模优化。</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9"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GST智慧消防物联网系统-定制报表</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平台软件开发及使用，不限使用年限，正版合法授权</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设备状态报表：展示消防设备的运行状态，如火灾探测器、报警器、灭火设备等的工作情况。</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报警信息报表：记录火灾报警的时间、地点、类型等详细信息。</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巡检记录报表：包括巡检人员的巡检时间、地点、发现的问题等。</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故障统计报表：统计设备故障的类型、次数、修复情况等。</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能耗分析报表：分析消防设备的能耗情况，以便优化能源管理。</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数据分析报表：对系统收集的数据进行分析，提供趋势分析、对比分析等。</w:t>
            </w:r>
          </w:p>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用户行为报表：记录用户对系统的操作记录，如登录、操作记录等。</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GST智慧消防物联网系统-视频监控定制开发</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平台软件开发及使用，不限使用年限，正版合法授权</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用途及功能：与现有视频监控系统进行联动消防视频监控联动是智慧消防系统中的重要功能。消防系统中的火灾探测器、烟雾报警器等设备触发报警时，系统能够自动将相关的视频监控画面切换到主屏幕或特定显示区域，以便值班人员或相关人员可以迅速直观地查看现场情况。</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GST智慧消防物联网系统-防火巡查系统</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平台软件开发及使用，不限使用年限，正版合法授权</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1.防火巡查子系统协助设备使用方高效的组织开展防火巡查工作，借助单位巡查任务、单位临时用火用电管理、单位消防隐患处理等模块全面管控单位各项火灾风险，将单位火灾防控工作全面电子化。</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2.防火巡查子系统依托与条形码、NFC电子标签等工具，严格规范单位日常防火巡查工作，真正做到有据可依、有迹可寻。</w:t>
            </w:r>
          </w:p>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3.提供消防设施管理功能，巡查人员管理功能，巡查人员管理，巡查点建立及管理功能，巡查任务创建及管理功能，消防隐患报告及处理跟踪功能，临时用火用电管理功能，巡查结果查询统计功能。</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网络安全等级保护评定</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委托有资质的第三方进行网络安全等级保护评定，本项目新增智慧化系统采用分公司内部局域网连接，用于企业内部消防设备设施的监控，信息系统受到破坏后，不会对社会秩序和公共利益造成损害，不损害国家安全。故计划评定为第一级（自主保护级）</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评定范围：企业局域网，本项目新增的网络设备及系统软件</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9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color w:val="000000"/>
                <w:kern w:val="0"/>
                <w:sz w:val="15"/>
                <w:szCs w:val="15"/>
              </w:rPr>
              <w:t>项目不含税总金额：</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1089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color w:val="000000"/>
                <w:kern w:val="0"/>
                <w:sz w:val="15"/>
                <w:szCs w:val="15"/>
                <w:lang w:val="en-US" w:eastAsia="zh-CN"/>
              </w:rPr>
              <w:t>*</w:t>
            </w:r>
            <w:r>
              <w:rPr>
                <w:rFonts w:hint="eastAsia" w:ascii="宋体" w:hAnsi="宋体" w:eastAsia="宋体" w:cs="宋体"/>
                <w:color w:val="000000"/>
                <w:kern w:val="0"/>
                <w:sz w:val="15"/>
                <w:szCs w:val="15"/>
              </w:rPr>
              <w:t>%增值税：</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89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color w:val="000000"/>
                <w:kern w:val="0"/>
                <w:sz w:val="15"/>
                <w:szCs w:val="15"/>
              </w:rPr>
              <w:t>项目含税总金额：</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(大写:</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9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包含本项目所需电气管线布置、安装调试。</w:t>
            </w:r>
          </w:p>
        </w:tc>
      </w:tr>
    </w:tbl>
    <w:p>
      <w:pPr>
        <w:spacing w:after="120" w:afterLines="50" w:line="360" w:lineRule="auto"/>
        <w:ind w:firstLine="480" w:firstLineChars="200"/>
        <w:rPr>
          <w:rFonts w:ascii="宋体" w:hAnsi="宋体" w:cs="宋体"/>
          <w:color w:val="auto"/>
          <w:kern w:val="0"/>
          <w:sz w:val="24"/>
          <w:szCs w:val="24"/>
        </w:rPr>
      </w:pPr>
    </w:p>
    <w:p>
      <w:pPr>
        <w:spacing w:after="120" w:afterLines="50"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其他技术需求见附件</w:t>
      </w:r>
      <w:r>
        <w:rPr>
          <w:rFonts w:hint="eastAsia" w:ascii="宋体" w:hAnsi="宋体" w:cs="宋体"/>
          <w:color w:val="auto"/>
          <w:kern w:val="0"/>
          <w:sz w:val="24"/>
          <w:szCs w:val="24"/>
          <w:lang w:val="en-US" w:eastAsia="zh-CN"/>
        </w:rPr>
        <w:t>4技术需求书</w:t>
      </w:r>
      <w:r>
        <w:rPr>
          <w:rFonts w:hint="eastAsia" w:ascii="宋体" w:hAnsi="宋体" w:cs="宋体"/>
          <w:color w:val="auto"/>
          <w:kern w:val="0"/>
          <w:sz w:val="24"/>
          <w:szCs w:val="24"/>
          <w:lang w:val="zh-CN"/>
        </w:rPr>
        <w:t>。</w:t>
      </w:r>
      <w:bookmarkEnd w:id="44"/>
      <w:bookmarkStart w:id="48" w:name="_Toc107447235"/>
      <w:bookmarkStart w:id="49" w:name="_Toc107446842"/>
      <w:bookmarkStart w:id="50" w:name="_Toc26357"/>
      <w:bookmarkStart w:id="51" w:name="_Toc183666514"/>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hint="eastAsia" w:ascii="宋体" w:hAnsi="宋体" w:cs="宋体"/>
          <w:color w:val="auto"/>
          <w:sz w:val="24"/>
          <w:szCs w:val="24"/>
          <w:u w:val="single"/>
          <w:lang w:val="en-US" w:eastAsia="zh-CN"/>
        </w:rPr>
        <w:t>合同签订后20天内</w:t>
      </w:r>
      <w:r>
        <w:rPr>
          <w:rFonts w:hint="eastAsia" w:ascii="宋体" w:hAnsi="宋体" w:cs="宋体"/>
          <w:color w:val="auto"/>
          <w:sz w:val="24"/>
          <w:szCs w:val="24"/>
        </w:rPr>
        <w:t>。</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广州市净水有限公司健康城分公司</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hint="eastAsia" w:ascii="宋体" w:hAnsi="宋体" w:cs="宋体"/>
          <w:color w:val="auto"/>
          <w:sz w:val="24"/>
          <w:szCs w:val="24"/>
          <w:u w:val="single"/>
          <w:lang w:val="en-US" w:eastAsia="zh-CN"/>
        </w:rPr>
      </w:pPr>
      <w:r>
        <w:rPr>
          <w:rFonts w:ascii="宋体" w:hAnsi="宋体" w:cs="宋体"/>
          <w:bCs/>
          <w:color w:val="auto"/>
          <w:sz w:val="24"/>
          <w:szCs w:val="24"/>
        </w:rPr>
        <w:t>3.4</w:t>
      </w:r>
      <w:r>
        <w:rPr>
          <w:rFonts w:hint="eastAsia" w:ascii="宋体" w:hAnsi="宋体" w:cs="宋体"/>
          <w:bCs/>
          <w:color w:val="auto"/>
          <w:sz w:val="24"/>
          <w:szCs w:val="24"/>
        </w:rPr>
        <w:t>其他：</w:t>
      </w:r>
      <w:r>
        <w:rPr>
          <w:rFonts w:hint="eastAsia" w:ascii="宋体" w:hAnsi="宋体" w:cs="宋体"/>
          <w:color w:val="auto"/>
          <w:sz w:val="24"/>
          <w:szCs w:val="24"/>
          <w:u w:val="single"/>
          <w:lang w:val="en-US" w:eastAsia="zh-CN"/>
        </w:rPr>
        <w:t>乙方需在项目货物交付并验收合格后10个工作日内完成安装调试</w:t>
      </w:r>
    </w:p>
    <w:p>
      <w:pPr>
        <w:spacing w:after="0" w:line="360" w:lineRule="auto"/>
        <w:ind w:firstLine="480" w:firstLineChars="200"/>
        <w:rPr>
          <w:rFonts w:ascii="宋体" w:hAnsi="宋体" w:cs="宋体"/>
          <w:b/>
          <w:color w:val="auto"/>
          <w:sz w:val="24"/>
          <w:szCs w:val="24"/>
        </w:rPr>
      </w:pPr>
      <w:r>
        <w:rPr>
          <w:rFonts w:hint="eastAsia" w:ascii="宋体" w:hAnsi="宋体" w:cs="宋体"/>
          <w:color w:val="auto"/>
          <w:sz w:val="24"/>
          <w:szCs w:val="24"/>
          <w:u w:val="single"/>
          <w:lang w:val="en-US" w:eastAsia="zh-CN"/>
        </w:rPr>
        <w:t>工作。</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w:t>
      </w:r>
      <w:bookmarkStart w:id="117" w:name="_GoBack"/>
      <w:bookmarkEnd w:id="117"/>
      <w:r>
        <w:rPr>
          <w:rFonts w:hint="eastAsia" w:ascii="宋体" w:hAnsi="宋体" w:cs="宋体"/>
          <w:color w:val="auto"/>
          <w:kern w:val="0"/>
          <w:sz w:val="24"/>
          <w:szCs w:val="24"/>
          <w:u w:val="single"/>
          <w:lang w:val="zh-CN"/>
        </w:rPr>
        <w:t>、验收、培训、技术服务（包括技术资料、图纸的提供）、质保期保修、税费、保险费等全部费用。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52" w:name="_Toc474245213"/>
      <w:bookmarkStart w:id="53" w:name="_Toc518992989"/>
      <w:bookmarkStart w:id="54" w:name="_Toc520190029"/>
      <w:bookmarkStart w:id="55" w:name="_Toc107447236"/>
      <w:bookmarkStart w:id="56" w:name="_Toc107446843"/>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52"/>
      <w:bookmarkEnd w:id="53"/>
      <w:bookmarkEnd w:id="54"/>
    </w:p>
    <w:bookmarkEnd w:id="55"/>
    <w:bookmarkEnd w:id="56"/>
    <w:p>
      <w:pPr>
        <w:tabs>
          <w:tab w:val="left" w:pos="851"/>
        </w:tabs>
        <w:adjustRightInd w:val="0"/>
        <w:snapToGrid w:val="0"/>
        <w:spacing w:after="0" w:line="360" w:lineRule="auto"/>
        <w:ind w:firstLine="480" w:firstLineChars="200"/>
        <w:rPr>
          <w:rFonts w:ascii="宋体" w:hAnsi="宋体" w:cs="宋体"/>
          <w:color w:val="auto"/>
          <w:sz w:val="24"/>
          <w:szCs w:val="24"/>
        </w:rPr>
      </w:pPr>
      <w:bookmarkStart w:id="57" w:name="_Toc14703"/>
      <w:bookmarkStart w:id="58" w:name="_Toc183666516"/>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lang w:eastAsia="zh-CN"/>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hint="eastAsia" w:ascii="宋体" w:hAnsi="宋体" w:cs="宋体"/>
          <w:color w:val="auto"/>
          <w:szCs w:val="21"/>
          <w:lang w:val="en-US" w:eastAsia="zh-CN"/>
        </w:rPr>
        <w:t>有，</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pStyle w:val="21"/>
        <w:spacing w:before="0" w:beforeAutospacing="0" w:after="0" w:afterAutospacing="0" w:line="360" w:lineRule="auto"/>
        <w:ind w:firstLine="480"/>
        <w:rPr>
          <w:rFonts w:hint="eastAsia" w:ascii="Times New Roman" w:hAnsi="Times New Roman" w:eastAsia="宋体" w:cs="Times New Roman"/>
          <w:lang w:val="en-US" w:eastAsia="zh-CN"/>
        </w:rPr>
      </w:pPr>
      <w:r>
        <w:rPr>
          <w:rFonts w:hint="eastAsia" w:ascii="宋体" w:hAnsi="宋体" w:eastAsia="宋体" w:cs="宋体"/>
          <w:color w:val="auto"/>
          <w:kern w:val="2"/>
          <w:sz w:val="24"/>
          <w:szCs w:val="24"/>
          <w:lang w:val="en-US" w:eastAsia="zh-CN" w:bidi="ar-SA"/>
        </w:rPr>
        <w:t>5.2.1</w:t>
      </w:r>
      <w:r>
        <w:rPr>
          <w:rFonts w:ascii="宋体" w:hAnsi="宋体" w:eastAsia="宋体" w:cs="宋体"/>
          <w:sz w:val="24"/>
          <w:szCs w:val="24"/>
        </w:rPr>
        <w:t>合同签订后，项目硬件设备(合同</w:t>
      </w:r>
      <w:r>
        <w:rPr>
          <w:rFonts w:hint="eastAsia" w:ascii="宋体" w:hAnsi="宋体" w:eastAsia="宋体" w:cs="宋体"/>
          <w:sz w:val="24"/>
          <w:szCs w:val="24"/>
          <w:lang w:val="en-US" w:eastAsia="zh-CN"/>
        </w:rPr>
        <w:t>第二条合同</w:t>
      </w:r>
      <w:r>
        <w:rPr>
          <w:rFonts w:ascii="宋体" w:hAnsi="宋体" w:eastAsia="宋体" w:cs="宋体"/>
          <w:sz w:val="24"/>
          <w:szCs w:val="24"/>
        </w:rPr>
        <w:t>标的第1至第8项)到货并经甲方核对确认后，由乙方提交完整的硬件设备报验合格到货清单及开具本次支付金额等额增值税专用发票</w:t>
      </w:r>
      <w:r>
        <w:rPr>
          <w:rFonts w:hint="eastAsia" w:cs="宋体"/>
          <w:sz w:val="24"/>
          <w:szCs w:val="24"/>
          <w:lang w:val="en-US" w:eastAsia="zh-CN"/>
        </w:rPr>
        <w:t>后</w:t>
      </w:r>
      <w:r>
        <w:rPr>
          <w:rFonts w:ascii="宋体" w:hAnsi="宋体" w:eastAsia="宋体" w:cs="宋体"/>
          <w:sz w:val="24"/>
          <w:szCs w:val="24"/>
        </w:rPr>
        <w:t>20个工作日内，甲方项目对应分公司支付至项目合同暂定总价的30%即…元给乙方</w:t>
      </w:r>
    </w:p>
    <w:p>
      <w:pPr>
        <w:pStyle w:val="21"/>
        <w:spacing w:before="0" w:beforeAutospacing="0" w:after="0" w:afterAutospacing="0" w:line="360" w:lineRule="auto"/>
        <w:ind w:firstLine="480"/>
        <w:rPr>
          <w:rFonts w:hint="eastAsia" w:ascii="Times New Roman" w:hAnsi="Times New Roman" w:eastAsia="宋体" w:cs="Times New Roman"/>
          <w:lang w:val="en-US" w:eastAsia="zh-CN"/>
        </w:rPr>
      </w:pPr>
      <w:r>
        <w:rPr>
          <w:rFonts w:hint="eastAsia" w:ascii="宋体" w:hAnsi="宋体" w:eastAsia="宋体" w:cs="宋体"/>
          <w:color w:val="auto"/>
          <w:kern w:val="2"/>
          <w:sz w:val="24"/>
          <w:szCs w:val="24"/>
          <w:lang w:val="en-US" w:eastAsia="zh-CN" w:bidi="ar-SA"/>
        </w:rPr>
        <w:t>5.2.2</w:t>
      </w:r>
      <w:r>
        <w:rPr>
          <w:rFonts w:hint="eastAsia" w:ascii="Times New Roman" w:hAnsi="Times New Roman" w:eastAsia="宋体" w:cs="Times New Roman"/>
          <w:lang w:val="en-US" w:eastAsia="zh-CN"/>
        </w:rPr>
        <w:t>乙方完成硬件的安装及数据传输和调试部署，智慧平台构建完成，并完成项目所有数据校核</w:t>
      </w:r>
      <w:r>
        <w:rPr>
          <w:rFonts w:hint="eastAsia" w:ascii="Times New Roman" w:hAnsi="Times New Roman" w:cs="Times New Roman"/>
          <w:lang w:val="en-US" w:eastAsia="zh-CN"/>
        </w:rPr>
        <w:t>后，</w:t>
      </w:r>
      <w:r>
        <w:rPr>
          <w:rFonts w:hint="eastAsia" w:ascii="Times New Roman" w:hAnsi="Times New Roman" w:eastAsia="宋体" w:cs="Times New Roman"/>
          <w:lang w:val="en-US" w:eastAsia="zh-CN"/>
        </w:rPr>
        <w:t>分公司按验收要求组织竣工验收，验收合格后，由乙方提交申请支付资料及等额增值税专用发票给对应分公司</w:t>
      </w:r>
      <w:r>
        <w:rPr>
          <w:rFonts w:hint="eastAsia" w:cs="Times New Roman"/>
          <w:lang w:val="en-US" w:eastAsia="zh-CN"/>
        </w:rPr>
        <w:t>20</w:t>
      </w:r>
      <w:r>
        <w:rPr>
          <w:rFonts w:hint="eastAsia" w:ascii="Times New Roman" w:hAnsi="Times New Roman" w:eastAsia="宋体" w:cs="Times New Roman"/>
          <w:lang w:val="en-US" w:eastAsia="zh-CN"/>
        </w:rPr>
        <w:t>个工作日内，由对应分公司支付至项目合同暂定总价的80%</w:t>
      </w:r>
      <w:r>
        <w:rPr>
          <w:rFonts w:hint="eastAsia" w:cs="Times New Roman"/>
          <w:lang w:val="en-US" w:eastAsia="zh-CN"/>
        </w:rPr>
        <w:t>即</w:t>
      </w:r>
      <w:r>
        <w:rPr>
          <w:rFonts w:hint="eastAsia" w:ascii="宋体" w:hAnsi="宋体" w:cs="宋体"/>
          <w:sz w:val="24"/>
          <w:u w:val="single"/>
        </w:rPr>
        <w:t>…</w:t>
      </w:r>
      <w:r>
        <w:rPr>
          <w:rFonts w:hint="eastAsia" w:ascii="宋体" w:hAnsi="宋体" w:cs="宋体"/>
          <w:sz w:val="24"/>
          <w:u w:val="single"/>
          <w:lang w:val="en-US" w:eastAsia="zh-CN"/>
        </w:rPr>
        <w:t>元</w:t>
      </w:r>
      <w:r>
        <w:rPr>
          <w:rFonts w:hint="eastAsia" w:ascii="Times New Roman" w:hAnsi="Times New Roman" w:eastAsia="宋体" w:cs="Times New Roman"/>
          <w:lang w:val="en-US" w:eastAsia="zh-CN"/>
        </w:rPr>
        <w:t>给乙方。</w:t>
      </w:r>
    </w:p>
    <w:p>
      <w:pPr>
        <w:pStyle w:val="21"/>
        <w:spacing w:before="0" w:beforeAutospacing="0" w:after="0" w:afterAutospacing="0" w:line="360" w:lineRule="auto"/>
        <w:ind w:firstLine="480"/>
        <w:rPr>
          <w:rFonts w:hint="eastAsia" w:ascii="Times New Roman" w:hAnsi="Times New Roman" w:eastAsia="宋体" w:cs="Times New Roman"/>
          <w:lang w:val="en-US" w:eastAsia="zh-CN"/>
        </w:rPr>
      </w:pPr>
      <w:r>
        <w:rPr>
          <w:rFonts w:hint="eastAsia" w:ascii="宋体" w:hAnsi="宋体" w:eastAsia="宋体" w:cs="宋体"/>
          <w:color w:val="auto"/>
          <w:kern w:val="2"/>
          <w:sz w:val="24"/>
          <w:szCs w:val="24"/>
          <w:lang w:val="en-US" w:eastAsia="zh-CN" w:bidi="ar-SA"/>
        </w:rPr>
        <w:t>5.2.3项</w:t>
      </w:r>
      <w:r>
        <w:rPr>
          <w:rFonts w:hint="eastAsia" w:ascii="Times New Roman" w:hAnsi="Times New Roman" w:eastAsia="宋体" w:cs="Times New Roman"/>
          <w:lang w:val="en-US" w:eastAsia="zh-CN"/>
        </w:rPr>
        <w:t>目验收合格后，经甲方或甲方委托有资质第三方机构审核后，甲方项目对应分公司收到剩余金额的增值税专用发票后</w:t>
      </w:r>
      <w:r>
        <w:rPr>
          <w:rFonts w:hint="eastAsia" w:cs="Times New Roman"/>
          <w:lang w:val="en-US" w:eastAsia="zh-CN"/>
        </w:rPr>
        <w:t>20</w:t>
      </w:r>
      <w:r>
        <w:rPr>
          <w:rFonts w:hint="eastAsia" w:ascii="Times New Roman" w:hAnsi="Times New Roman" w:eastAsia="宋体" w:cs="Times New Roman"/>
          <w:lang w:val="en-US" w:eastAsia="zh-CN"/>
        </w:rPr>
        <w:t>个工作日内，甲方项目对应分公司支付至项目合同结算价的95%。(若结算审核价低于合同暂定总价，则以结算审核价作为合同结算价，否则以合同暂定总价为合同结算价)，合同结算价的 5%作为质保金留存。</w:t>
      </w:r>
    </w:p>
    <w:p>
      <w:pPr>
        <w:pStyle w:val="12"/>
        <w:spacing w:line="360" w:lineRule="auto"/>
        <w:ind w:firstLine="420" w:firstLineChars="200"/>
        <w:outlineLvl w:val="1"/>
        <w:rPr>
          <w:rFonts w:hAnsi="宋体" w:cs="宋体"/>
          <w:szCs w:val="24"/>
        </w:rPr>
      </w:pPr>
      <w:r>
        <w:rPr>
          <w:rFonts w:hAnsi="宋体" w:cs="宋体"/>
          <w:szCs w:val="24"/>
        </w:rPr>
        <w:t>5.2.</w:t>
      </w:r>
      <w:r>
        <w:rPr>
          <w:rFonts w:hint="eastAsia" w:hAnsi="宋体" w:cs="宋体"/>
          <w:szCs w:val="24"/>
          <w:lang w:val="en-US" w:eastAsia="zh-CN"/>
        </w:rPr>
        <w:t>4</w:t>
      </w:r>
      <w:r>
        <w:rPr>
          <w:rFonts w:hint="eastAsia" w:hAnsi="宋体" w:cs="宋体"/>
          <w:szCs w:val="24"/>
        </w:rPr>
        <w:t>质保期按合同第</w:t>
      </w:r>
      <w:r>
        <w:rPr>
          <w:rFonts w:hint="eastAsia" w:hAnsi="宋体" w:cs="宋体"/>
          <w:szCs w:val="24"/>
          <w:lang w:val="en-US" w:eastAsia="zh-CN"/>
        </w:rPr>
        <w:t>十</w:t>
      </w:r>
      <w:r>
        <w:rPr>
          <w:rFonts w:hint="eastAsia" w:hAnsi="宋体" w:cs="宋体"/>
          <w:szCs w:val="24"/>
        </w:rPr>
        <w:t>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lang w:val="en-US" w:eastAsia="zh-CN"/>
        </w:rPr>
        <w:t>5</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84" w:lineRule="auto"/>
        <w:ind w:firstLine="480" w:firstLineChars="200"/>
        <w:rPr>
          <w:rFonts w:ascii="宋体" w:hAnsi="宋体" w:cs="宋体"/>
          <w:sz w:val="24"/>
        </w:rPr>
      </w:pPr>
      <w:r>
        <w:rPr>
          <w:rFonts w:ascii="宋体" w:hAnsi="宋体" w:cs="宋体"/>
          <w:color w:val="auto"/>
          <w:sz w:val="24"/>
          <w:szCs w:val="24"/>
        </w:rPr>
        <w:t>5.2.</w:t>
      </w:r>
      <w:r>
        <w:rPr>
          <w:rFonts w:hint="eastAsia" w:ascii="宋体" w:hAnsi="宋体" w:cs="宋体"/>
          <w:color w:val="auto"/>
          <w:sz w:val="24"/>
          <w:szCs w:val="24"/>
          <w:lang w:val="en-US" w:eastAsia="zh-CN"/>
        </w:rPr>
        <w:t>6</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u w:val="single"/>
        </w:rPr>
      </w:pPr>
      <w:r>
        <w:rPr>
          <w:rFonts w:hint="eastAsia" w:ascii="宋体" w:hAnsi="宋体" w:cs="宋体"/>
          <w:sz w:val="24"/>
        </w:rPr>
        <w:t>名称：</w:t>
      </w:r>
      <w:r>
        <w:rPr>
          <w:rFonts w:hint="eastAsia" w:ascii="宋体" w:hAnsi="宋体" w:cs="宋体"/>
          <w:sz w:val="24"/>
          <w:u w:val="single"/>
        </w:rPr>
        <w:t>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hint="eastAsia" w:ascii="宋体" w:hAnsi="宋体" w:cs="宋体"/>
          <w:sz w:val="24"/>
          <w:u w:val="single"/>
        </w:rPr>
        <w:t>91440101755584729Q</w:t>
      </w:r>
    </w:p>
    <w:p>
      <w:pPr>
        <w:spacing w:line="500" w:lineRule="exact"/>
        <w:ind w:firstLine="960" w:firstLineChars="400"/>
        <w:rPr>
          <w:rFonts w:ascii="宋体" w:hAnsi="宋体" w:cs="宋体"/>
          <w:sz w:val="24"/>
        </w:rPr>
      </w:pPr>
      <w:r>
        <w:rPr>
          <w:rFonts w:hint="eastAsia" w:ascii="宋体" w:hAnsi="宋体" w:cs="宋体"/>
          <w:sz w:val="24"/>
        </w:rPr>
        <w:t>地址及电话：</w:t>
      </w:r>
      <w:r>
        <w:rPr>
          <w:rFonts w:hint="eastAsia" w:ascii="宋体" w:hAnsi="宋体" w:cs="宋体"/>
          <w:sz w:val="24"/>
          <w:u w:val="single"/>
        </w:rPr>
        <w:t>广州市天河区临江大道501号 020-38890283</w:t>
      </w:r>
      <w:r>
        <w:rPr>
          <w:rFonts w:hint="eastAsia" w:ascii="宋体" w:hAnsi="宋体" w:cs="宋体"/>
          <w:sz w:val="24"/>
        </w:rPr>
        <w:t>；</w:t>
      </w:r>
    </w:p>
    <w:p>
      <w:pPr>
        <w:spacing w:line="384" w:lineRule="auto"/>
        <w:ind w:firstLine="960" w:firstLineChars="400"/>
        <w:outlineLvl w:val="0"/>
        <w:rPr>
          <w:rFonts w:ascii="宋体" w:hAnsi="宋体" w:cs="宋体"/>
          <w:sz w:val="24"/>
        </w:rPr>
      </w:pPr>
      <w:r>
        <w:rPr>
          <w:rFonts w:hint="eastAsia" w:ascii="宋体" w:hAnsi="宋体" w:cs="宋体"/>
          <w:sz w:val="24"/>
        </w:rPr>
        <w:t>开户行/账号：</w:t>
      </w:r>
      <w:r>
        <w:rPr>
          <w:rFonts w:hint="eastAsia" w:ascii="宋体" w:hAnsi="宋体" w:cs="宋体"/>
          <w:sz w:val="24"/>
          <w:u w:val="single"/>
        </w:rPr>
        <w:t>民生银行广州分行0301014140006932</w:t>
      </w:r>
      <w:r>
        <w:rPr>
          <w:rFonts w:hint="eastAsia" w:ascii="宋体" w:hAnsi="宋体" w:cs="宋体"/>
          <w:sz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lang w:eastAsia="zh-CN"/>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21"/>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1"/>
        <w:spacing w:before="0" w:beforeAutospacing="0" w:after="0" w:afterAutospacing="0" w:line="360" w:lineRule="auto"/>
        <w:ind w:firstLine="480"/>
        <w:rPr>
          <w:rFonts w:cs="宋体"/>
        </w:rPr>
      </w:pPr>
      <w:r>
        <w:rPr>
          <w:rFonts w:hint="eastAsia" w:cs="宋体"/>
        </w:rPr>
        <w:t>1、符合甲方要求的银行独立保函，</w:t>
      </w:r>
    </w:p>
    <w:p>
      <w:pPr>
        <w:pStyle w:val="21"/>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1"/>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57"/>
    <w:bookmarkEnd w:id="58"/>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50</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45"/>
    <w:bookmarkEnd w:id="46"/>
    <w:bookmarkEnd w:id="47"/>
    <w:bookmarkEnd w:id="48"/>
    <w:bookmarkEnd w:id="49"/>
    <w:bookmarkEnd w:id="50"/>
    <w:bookmarkEnd w:id="51"/>
    <w:p>
      <w:pPr>
        <w:spacing w:before="120" w:after="120" w:line="360" w:lineRule="auto"/>
        <w:ind w:firstLine="482" w:firstLineChars="200"/>
        <w:rPr>
          <w:rFonts w:ascii="宋体" w:hAnsi="宋体" w:cs="宋体"/>
          <w:b/>
          <w:color w:val="auto"/>
          <w:sz w:val="24"/>
          <w:szCs w:val="24"/>
        </w:rPr>
      </w:pPr>
      <w:bookmarkStart w:id="59" w:name="_Toc474245215"/>
      <w:bookmarkStart w:id="60" w:name="_Toc520190030"/>
      <w:bookmarkStart w:id="61" w:name="_Toc518992990"/>
      <w:bookmarkStart w:id="62" w:name="_Toc183666534"/>
      <w:bookmarkStart w:id="63" w:name="_Toc257"/>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59"/>
      <w:bookmarkEnd w:id="60"/>
      <w:bookmarkEnd w:id="61"/>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64" w:name="_Toc107446851"/>
      <w:bookmarkStart w:id="65" w:name="_Toc107447244"/>
      <w:r>
        <w:rPr>
          <w:rFonts w:hint="eastAsia" w:ascii="宋体" w:hAnsi="宋体" w:cs="宋体"/>
          <w:bCs/>
          <w:color w:val="auto"/>
          <w:sz w:val="24"/>
          <w:szCs w:val="24"/>
        </w:rPr>
        <w:t>标志</w:t>
      </w:r>
    </w:p>
    <w:bookmarkEnd w:id="64"/>
    <w:bookmarkEnd w:id="65"/>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66" w:name="_Toc306350457"/>
      <w:bookmarkStart w:id="67" w:name="_Toc474245218"/>
      <w:bookmarkStart w:id="68" w:name="_Toc520190032"/>
      <w:bookmarkStart w:id="69" w:name="_Toc518992992"/>
      <w:bookmarkStart w:id="70" w:name="_Toc183666521"/>
      <w:bookmarkStart w:id="71" w:name="_Toc9269"/>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66"/>
    <w:bookmarkEnd w:id="67"/>
    <w:bookmarkEnd w:id="68"/>
    <w:bookmarkEnd w:id="69"/>
    <w:bookmarkEnd w:id="70"/>
    <w:bookmarkEnd w:id="71"/>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72" w:name="_Toc18496"/>
      <w:bookmarkStart w:id="73" w:name="_Toc306350458"/>
      <w:bookmarkStart w:id="74" w:name="_Toc183666522"/>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72"/>
    <w:bookmarkEnd w:id="73"/>
    <w:bookmarkEnd w:id="74"/>
    <w:p>
      <w:pPr>
        <w:autoSpaceDE w:val="0"/>
        <w:autoSpaceDN w:val="0"/>
        <w:adjustRightInd w:val="0"/>
        <w:spacing w:line="360" w:lineRule="auto"/>
        <w:ind w:firstLine="482" w:firstLineChars="200"/>
        <w:rPr>
          <w:rFonts w:ascii="宋体" w:hAnsi="宋体" w:cs="宋体"/>
          <w:b/>
          <w:color w:val="auto"/>
          <w:sz w:val="24"/>
          <w:szCs w:val="24"/>
        </w:rPr>
      </w:pPr>
      <w:bookmarkStart w:id="75" w:name="_Toc518992994"/>
      <w:bookmarkStart w:id="76" w:name="_Toc474245220"/>
      <w:bookmarkStart w:id="77" w:name="_Toc520190034"/>
      <w:bookmarkStart w:id="78" w:name="_Toc4682"/>
      <w:bookmarkStart w:id="79" w:name="_Toc183666523"/>
      <w:bookmarkStart w:id="80" w:name="_Toc306350459"/>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75"/>
      <w:bookmarkEnd w:id="76"/>
      <w:bookmarkEnd w:id="77"/>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年</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且不得低于法定保修时间</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10.</w:t>
      </w:r>
      <w:r>
        <w:rPr>
          <w:rFonts w:hint="eastAsia" w:ascii="宋体" w:hAnsi="宋体" w:cs="宋体"/>
          <w:bCs/>
          <w:color w:val="auto"/>
          <w:sz w:val="24"/>
          <w:szCs w:val="24"/>
          <w:lang w:val="en-US" w:eastAsia="zh-CN"/>
        </w:rPr>
        <w:t>2</w:t>
      </w:r>
      <w:r>
        <w:rPr>
          <w:rFonts w:ascii="宋体" w:hAnsi="宋体" w:cs="宋体"/>
          <w:bCs/>
          <w:color w:val="auto"/>
          <w:sz w:val="24"/>
          <w:szCs w:val="24"/>
        </w:rPr>
        <w:t xml:space="preserve">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10.</w:t>
      </w:r>
      <w:r>
        <w:rPr>
          <w:rFonts w:hint="eastAsia" w:ascii="宋体" w:hAnsi="宋体" w:cs="宋体"/>
          <w:bCs/>
          <w:color w:val="auto"/>
          <w:sz w:val="24"/>
          <w:szCs w:val="24"/>
          <w:lang w:val="en-US" w:eastAsia="zh-CN"/>
        </w:rPr>
        <w:t>3</w:t>
      </w:r>
      <w:r>
        <w:rPr>
          <w:rFonts w:ascii="宋体" w:hAnsi="宋体" w:cs="宋体"/>
          <w:bCs/>
          <w:color w:val="auto"/>
          <w:sz w:val="24"/>
          <w:szCs w:val="24"/>
        </w:rPr>
        <w:t xml:space="preserve"> </w:t>
      </w:r>
      <w:r>
        <w:rPr>
          <w:rFonts w:hint="eastAsia" w:ascii="宋体" w:hAnsi="宋体" w:cs="宋体"/>
          <w:bCs/>
          <w:color w:val="auto"/>
          <w:sz w:val="24"/>
          <w:szCs w:val="24"/>
        </w:rPr>
        <w:t>质量保修期间，如合同设备出现故障，乙方应在接到甲方通知后</w:t>
      </w:r>
      <w:r>
        <w:rPr>
          <w:rFonts w:hint="eastAsia" w:ascii="宋体" w:hAnsi="宋体" w:cs="宋体"/>
          <w:bCs/>
          <w:color w:val="auto"/>
          <w:sz w:val="24"/>
          <w:szCs w:val="24"/>
          <w:u w:val="single"/>
          <w:lang w:val="en-US" w:eastAsia="zh-CN"/>
        </w:rPr>
        <w:t>2</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4</w:t>
      </w:r>
      <w:r>
        <w:rPr>
          <w:rFonts w:hint="eastAsia" w:ascii="宋体" w:hAnsi="宋体" w:cs="宋体"/>
          <w:bCs/>
          <w:color w:val="auto"/>
          <w:sz w:val="24"/>
          <w:szCs w:val="24"/>
        </w:rPr>
        <w:t>小时内派专业技术人员到场负责解决及维修故障。</w:t>
      </w:r>
      <w:bookmarkEnd w:id="78"/>
      <w:bookmarkEnd w:id="79"/>
      <w:bookmarkEnd w:id="80"/>
      <w:bookmarkStart w:id="81" w:name="_Toc107447250"/>
      <w:bookmarkStart w:id="82" w:name="_Toc107446857"/>
      <w:bookmarkStart w:id="83" w:name="_Toc520190037"/>
      <w:bookmarkStart w:id="84" w:name="_Toc183666528"/>
      <w:bookmarkStart w:id="85" w:name="_Toc474245223"/>
      <w:bookmarkStart w:id="86" w:name="_Toc306350464"/>
      <w:bookmarkStart w:id="87" w:name="_Toc518992997"/>
      <w:bookmarkStart w:id="88" w:name="_Toc27734"/>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81"/>
      <w:bookmarkEnd w:id="82"/>
      <w:bookmarkEnd w:id="83"/>
      <w:bookmarkEnd w:id="84"/>
      <w:bookmarkEnd w:id="85"/>
      <w:bookmarkEnd w:id="86"/>
      <w:bookmarkEnd w:id="87"/>
      <w:bookmarkEnd w:id="88"/>
    </w:p>
    <w:p>
      <w:pPr>
        <w:spacing w:line="360" w:lineRule="auto"/>
        <w:ind w:firstLine="482"/>
        <w:rPr>
          <w:rFonts w:ascii="宋体" w:hAnsi="宋体" w:cs="宋体"/>
          <w:bCs/>
          <w:color w:val="auto"/>
          <w:sz w:val="24"/>
          <w:szCs w:val="24"/>
        </w:rPr>
      </w:pPr>
      <w:bookmarkStart w:id="89" w:name="_Toc5166"/>
      <w:bookmarkStart w:id="90" w:name="_Toc183666529"/>
      <w:bookmarkStart w:id="91" w:name="_Toc306350465"/>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hint="eastAsia" w:ascii="宋体" w:hAnsi="宋体" w:cs="宋体"/>
          <w:bCs/>
          <w:color w:val="auto"/>
          <w:sz w:val="24"/>
          <w:szCs w:val="24"/>
          <w:u w:val="single"/>
          <w:lang w:val="en-US" w:eastAsia="zh-CN"/>
        </w:rPr>
        <w:t>20</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hint="eastAsia" w:ascii="宋体" w:hAnsi="宋体" w:cs="宋体"/>
          <w:bCs/>
          <w:color w:val="auto"/>
          <w:sz w:val="24"/>
          <w:szCs w:val="24"/>
          <w:u w:val="single"/>
          <w:lang w:val="en-US" w:eastAsia="zh-CN"/>
        </w:rPr>
        <w:t>4</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w:t>
      </w:r>
      <w:r>
        <w:rPr>
          <w:rFonts w:hint="eastAsia" w:ascii="宋体" w:hAnsi="宋体" w:cs="宋体"/>
          <w:bCs/>
          <w:color w:val="auto"/>
          <w:sz w:val="24"/>
          <w:szCs w:val="24"/>
          <w:lang w:val="en-US" w:eastAsia="zh-CN"/>
        </w:rPr>
        <w:t>第</w:t>
      </w:r>
      <w:r>
        <w:rPr>
          <w:rFonts w:hint="eastAsia" w:ascii="宋体" w:hAnsi="宋体" w:cs="宋体"/>
          <w:bCs/>
          <w:color w:val="auto"/>
          <w:sz w:val="24"/>
          <w:szCs w:val="24"/>
        </w:rPr>
        <w:t>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u w:val="single"/>
        </w:rPr>
        <w:t>_</w:t>
      </w:r>
      <w:r>
        <w:rPr>
          <w:rFonts w:hint="eastAsia" w:ascii="宋体" w:hAnsi="宋体" w:cs="宋体"/>
          <w:bCs/>
          <w:color w:val="auto"/>
          <w:sz w:val="24"/>
          <w:szCs w:val="24"/>
          <w:u w:val="single"/>
          <w:lang w:val="en-US" w:eastAsia="zh-CN"/>
        </w:rPr>
        <w:t>10</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firstLineChars="200"/>
        <w:rPr>
          <w:rFonts w:ascii="宋体" w:hAnsi="宋体" w:cs="宋体"/>
          <w:b/>
          <w:color w:val="auto"/>
          <w:sz w:val="24"/>
          <w:szCs w:val="24"/>
        </w:rPr>
      </w:pPr>
      <w:bookmarkStart w:id="92" w:name="_Toc107447253"/>
      <w:bookmarkStart w:id="93" w:name="_Toc520190038"/>
      <w:bookmarkStart w:id="94" w:name="_Toc518992998"/>
      <w:bookmarkStart w:id="95" w:name="_Toc107447254"/>
      <w:bookmarkStart w:id="96" w:name="_Toc474245224"/>
      <w:bookmarkStart w:id="97" w:name="_Toc107446860"/>
      <w:bookmarkStart w:id="98" w:name="_Toc118086592"/>
      <w:bookmarkStart w:id="99" w:name="_Toc107446861"/>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hint="eastAsia" w:ascii="宋体" w:hAnsi="宋体" w:cs="宋体"/>
          <w:bCs/>
          <w:color w:val="auto"/>
          <w:sz w:val="24"/>
          <w:szCs w:val="24"/>
          <w:u w:val="single"/>
          <w:lang w:eastAsia="zh-CN"/>
        </w:rPr>
        <w:t>6</w:t>
      </w:r>
      <w:r>
        <w:rPr>
          <w:rFonts w:hint="eastAsia" w:ascii="宋体" w:hAnsi="宋体" w:cs="宋体"/>
          <w:bCs/>
          <w:color w:val="auto"/>
          <w:sz w:val="24"/>
          <w:szCs w:val="24"/>
          <w:u w:val="single"/>
          <w:lang w:val="en-US" w:eastAsia="zh-CN"/>
        </w:rPr>
        <w:t>0</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hint="eastAsia" w:ascii="宋体" w:hAnsi="宋体" w:cs="宋体"/>
          <w:color w:val="auto"/>
          <w:sz w:val="24"/>
          <w:szCs w:val="24"/>
          <w:u w:val="single"/>
          <w:lang w:val="en-US" w:eastAsia="zh-CN"/>
        </w:rPr>
        <w:t>陆</w:t>
      </w:r>
      <w:r>
        <w:rPr>
          <w:rFonts w:hint="eastAsia" w:ascii="宋体" w:hAnsi="宋体" w:cs="宋体"/>
          <w:color w:val="auto"/>
          <w:sz w:val="24"/>
          <w:szCs w:val="24"/>
        </w:rPr>
        <w:t>份，甲方执</w:t>
      </w:r>
      <w:r>
        <w:rPr>
          <w:rFonts w:hint="eastAsia" w:ascii="宋体" w:hAnsi="宋体" w:cs="宋体"/>
          <w:color w:val="auto"/>
          <w:sz w:val="24"/>
          <w:szCs w:val="24"/>
          <w:u w:val="single"/>
          <w:lang w:val="en-US" w:eastAsia="zh-CN"/>
        </w:rPr>
        <w:t>伍</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壹</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w:t>
      </w:r>
      <w:r>
        <w:rPr>
          <w:rFonts w:ascii="宋体" w:hAnsi="宋体" w:cs="宋体"/>
          <w:color w:val="auto"/>
          <w:sz w:val="24"/>
          <w:szCs w:val="24"/>
        </w:rPr>
        <w:t xml:space="preserve">     </w:t>
      </w:r>
      <w:bookmarkEnd w:id="62"/>
      <w:bookmarkEnd w:id="63"/>
      <w:bookmarkEnd w:id="89"/>
      <w:bookmarkEnd w:id="90"/>
      <w:bookmarkEnd w:id="91"/>
      <w:bookmarkEnd w:id="92"/>
      <w:bookmarkEnd w:id="93"/>
      <w:bookmarkEnd w:id="94"/>
      <w:bookmarkEnd w:id="95"/>
      <w:bookmarkEnd w:id="96"/>
      <w:bookmarkEnd w:id="97"/>
      <w:bookmarkEnd w:id="98"/>
      <w:bookmarkEnd w:id="99"/>
    </w:p>
    <w:p>
      <w:pPr>
        <w:spacing w:line="360" w:lineRule="auto"/>
        <w:ind w:firstLine="480"/>
        <w:rPr>
          <w:rFonts w:hint="eastAsia" w:ascii="宋体" w:hAnsi="宋体" w:cs="宋体"/>
          <w:color w:val="auto"/>
          <w:sz w:val="24"/>
          <w:szCs w:val="24"/>
          <w:lang w:val="en-US" w:eastAsia="zh-CN"/>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成交通知书</w:t>
      </w:r>
    </w:p>
    <w:p>
      <w:pPr>
        <w:spacing w:line="360" w:lineRule="auto"/>
        <w:ind w:firstLine="1200" w:firstLineChars="5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keepNext w:val="0"/>
        <w:keepLines w:val="0"/>
        <w:pageBreakBefore w:val="0"/>
        <w:kinsoku/>
        <w:wordWrap/>
        <w:overflowPunct/>
        <w:topLinePunct w:val="0"/>
        <w:autoSpaceDE/>
        <w:autoSpaceDN/>
        <w:bidi w:val="0"/>
        <w:spacing w:line="360" w:lineRule="auto"/>
        <w:ind w:firstLine="1200" w:firstLineChars="5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eastAsia="宋体" w:cs="宋体"/>
          <w:color w:val="auto"/>
          <w:sz w:val="24"/>
          <w:szCs w:val="24"/>
          <w:lang w:val="en-US" w:eastAsia="zh-CN"/>
        </w:rPr>
        <w:t>营运单位内运输、装（卸）安全及消防安全协议书</w:t>
      </w:r>
    </w:p>
    <w:tbl>
      <w:tblPr>
        <w:tblStyle w:val="24"/>
        <w:tblpPr w:leftFromText="180" w:rightFromText="180" w:vertAnchor="text" w:horzAnchor="page" w:tblpX="1305" w:tblpY="121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ind w:firstLine="1200" w:firstLineChars="500"/>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val="zh-CN"/>
        </w:rPr>
        <w:t>.技术需求</w:t>
      </w:r>
    </w:p>
    <w:p>
      <w:pPr>
        <w:spacing w:line="360" w:lineRule="auto"/>
        <w:rPr>
          <w:rFonts w:ascii="宋体" w:hAnsi="宋体" w:cs="宋体"/>
          <w:color w:val="auto"/>
          <w:sz w:val="24"/>
          <w:szCs w:val="24"/>
        </w:rPr>
      </w:pPr>
    </w:p>
    <w:p>
      <w:pPr>
        <w:spacing w:line="360" w:lineRule="auto"/>
        <w:rPr>
          <w:rFonts w:hint="eastAsia" w:ascii="宋体" w:hAnsi="宋体" w:eastAsia="宋体" w:cs="宋体"/>
          <w:b/>
          <w:bCs/>
          <w:szCs w:val="21"/>
          <w:lang w:val="en-US" w:eastAsia="zh-CN"/>
        </w:rPr>
      </w:pPr>
    </w:p>
    <w:p>
      <w:pPr>
        <w:spacing w:line="360" w:lineRule="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附件1：</w:t>
      </w:r>
      <w:r>
        <w:rPr>
          <w:rFonts w:hint="eastAsia" w:ascii="宋体" w:hAnsi="宋体" w:cs="宋体"/>
          <w:b/>
          <w:bCs/>
          <w:szCs w:val="21"/>
          <w:lang w:val="en-US" w:eastAsia="zh-CN"/>
        </w:rPr>
        <w:t>成交</w:t>
      </w:r>
      <w:r>
        <w:rPr>
          <w:rFonts w:hint="eastAsia" w:ascii="宋体" w:hAnsi="宋体" w:eastAsia="宋体" w:cs="宋体"/>
          <w:b/>
          <w:bCs/>
          <w:szCs w:val="21"/>
          <w:lang w:val="en-US" w:eastAsia="zh-CN"/>
        </w:rPr>
        <w:t>通知书</w:t>
      </w:r>
    </w:p>
    <w:p>
      <w:pPr>
        <w:spacing w:line="360" w:lineRule="auto"/>
        <w:rPr>
          <w:rFonts w:hint="default" w:ascii="宋体" w:hAnsi="宋体" w:eastAsia="宋体" w:cs="宋体"/>
          <w:b/>
          <w:bCs/>
          <w:szCs w:val="21"/>
          <w:lang w:val="en-US" w:eastAsia="zh-CN"/>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spacing w:line="560" w:lineRule="exact"/>
        <w:ind w:firstLine="3120" w:firstLineChars="1300"/>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廉洁协议</w:t>
      </w:r>
    </w:p>
    <w:p>
      <w:pPr>
        <w:spacing w:line="560" w:lineRule="exact"/>
        <w:ind w:firstLine="540" w:firstLineChars="225"/>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4"/>
          <w:szCs w:val="24"/>
          <w:u w:val="single"/>
        </w:rPr>
        <w:t>广州市净水有限公司</w:t>
      </w:r>
      <w:r>
        <w:rPr>
          <w:rFonts w:hint="eastAsia" w:ascii="仿宋_GB2312" w:hAnsi="仿宋_GB2312" w:eastAsia="仿宋_GB2312" w:cs="仿宋_GB2312"/>
          <w:bCs/>
          <w:sz w:val="24"/>
          <w:szCs w:val="24"/>
        </w:rPr>
        <w:t>(以下称甲方)与</w:t>
      </w:r>
      <w:r>
        <w:rPr>
          <w:rFonts w:hint="eastAsia" w:ascii="仿宋_GB2312" w:hAnsi="仿宋_GB2312" w:eastAsia="仿宋_GB2312" w:cs="仿宋_GB2312"/>
          <w:bCs/>
          <w:sz w:val="24"/>
          <w:szCs w:val="24"/>
          <w:u w:val="single"/>
          <w:lang w:eastAsia="zh-CN"/>
        </w:rPr>
        <w:t xml:space="preserve">       </w:t>
      </w:r>
      <w:r>
        <w:rPr>
          <w:rFonts w:hint="eastAsia" w:ascii="仿宋_GB2312" w:hAnsi="仿宋_GB2312" w:eastAsia="仿宋_GB2312" w:cs="仿宋_GB2312"/>
          <w:bCs/>
          <w:sz w:val="24"/>
          <w:szCs w:val="24"/>
          <w:u w:val="single"/>
        </w:rPr>
        <w:t>(</w:t>
      </w:r>
      <w:r>
        <w:rPr>
          <w:rFonts w:hint="eastAsia" w:ascii="仿宋_GB2312" w:hAnsi="仿宋_GB2312" w:eastAsia="仿宋_GB2312" w:cs="仿宋_GB2312"/>
          <w:bCs/>
          <w:sz w:val="24"/>
          <w:szCs w:val="24"/>
        </w:rPr>
        <w:t>以下称乙方)，特此订立本协议共同遵照执行。</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第一条 甲乙双方的权利和义务</w:t>
      </w:r>
    </w:p>
    <w:p>
      <w:pPr>
        <w:spacing w:line="560" w:lineRule="exact"/>
        <w:ind w:firstLine="360" w:firstLineChars="15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（一）甲乙双方严格遵守国家关于市场准入、项目招标投标、市场经营活动等有关法律、法规相关政策及廉政建设的各项规定。</w:t>
      </w:r>
    </w:p>
    <w:p>
      <w:pPr>
        <w:spacing w:line="560" w:lineRule="exact"/>
        <w:ind w:firstLine="360" w:firstLineChars="15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（二）严格执行</w:t>
      </w:r>
      <w:r>
        <w:rPr>
          <w:rFonts w:hint="eastAsia" w:ascii="仿宋_GB2312" w:hAnsi="仿宋_GB2312" w:eastAsia="仿宋_GB2312" w:cs="仿宋_GB2312"/>
          <w:bCs/>
          <w:sz w:val="24"/>
          <w:szCs w:val="24"/>
          <w:u w:val="single"/>
          <w:lang w:eastAsia="zh-CN"/>
        </w:rPr>
        <w:t>广州市净水有限公司健康城分公司2024年智慧消防系统改造项目</w:t>
      </w:r>
      <w:r>
        <w:rPr>
          <w:rFonts w:hint="eastAsia" w:ascii="仿宋_GB2312" w:hAnsi="仿宋_GB2312" w:eastAsia="仿宋_GB2312" w:cs="仿宋_GB2312"/>
          <w:bCs/>
          <w:sz w:val="24"/>
          <w:szCs w:val="24"/>
          <w:u w:val="single"/>
        </w:rPr>
        <w:t>合同</w:t>
      </w:r>
      <w:r>
        <w:rPr>
          <w:rFonts w:hint="eastAsia" w:ascii="仿宋_GB2312" w:hAnsi="仿宋_GB2312" w:eastAsia="仿宋_GB2312" w:cs="仿宋_GB2312"/>
          <w:bCs/>
          <w:sz w:val="24"/>
          <w:szCs w:val="24"/>
          <w:u w:val="single"/>
          <w:lang w:val="en-US" w:eastAsia="zh-CN"/>
        </w:rPr>
        <w:t>穗净水合[2024]    号</w:t>
      </w:r>
      <w:r>
        <w:rPr>
          <w:rFonts w:hint="eastAsia" w:ascii="仿宋_GB2312" w:hAnsi="仿宋_GB2312" w:eastAsia="仿宋_GB2312" w:cs="仿宋_GB2312"/>
          <w:bCs/>
          <w:sz w:val="24"/>
          <w:szCs w:val="24"/>
        </w:rPr>
        <w:t>（以下简称：主合同），自觉履行合同约定的相关义务。</w:t>
      </w:r>
    </w:p>
    <w:p>
      <w:pPr>
        <w:spacing w:line="560" w:lineRule="exact"/>
        <w:ind w:firstLine="360" w:firstLineChars="15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（三）在业务活动中坚持公开、公正、诚信、透明的原则，不得损害国家、集体利益。</w:t>
      </w:r>
    </w:p>
    <w:p>
      <w:pPr>
        <w:spacing w:line="560" w:lineRule="exact"/>
        <w:ind w:firstLine="360" w:firstLineChars="15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（四）建立健全廉洁从业制度，开展廉洁教育，公布举报电话，监督并认真查处不廉洁及违法违纪行为。</w:t>
      </w:r>
    </w:p>
    <w:p>
      <w:pPr>
        <w:spacing w:line="560" w:lineRule="exact"/>
        <w:ind w:firstLine="360" w:firstLineChars="15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（五）发现对方在业务活动中有不廉洁行为，应及时提醒对方纠正。情节严重的，应向其有关监督部门检举。</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第二条甲方的义务</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（一）甲方及其工作人员不得索要或接受乙方的礼金、有价证券和贵重物品，不得在乙方报销任何应由甲方或个人支付的费用等。</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（三）甲方及其工作人员不得要求或者接受乙方为其住房装修、婚丧嫁娶活动、配偶子女工作安排以及出国出境、旅游等提供方便等。</w:t>
      </w:r>
    </w:p>
    <w:p>
      <w:pPr>
        <w:spacing w:line="560" w:lineRule="exact"/>
        <w:ind w:left="15" w:leftChars="7"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（四）甲方工作人员不得在乙方或与乙方有股权关联的企业兼职，不得向乙方介绍家属或者亲友从事与甲方业务有关的经济活动。</w:t>
      </w:r>
    </w:p>
    <w:p>
      <w:pPr>
        <w:spacing w:line="560" w:lineRule="exact"/>
        <w:ind w:left="15" w:leftChars="7"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（六）甲方工作人员不得利用职务之便收受乙方以回扣、手续费、加班费、咨询费、劳务费、协调费、辛苦费等各种名义给予或赠送的钱物。</w:t>
      </w:r>
    </w:p>
    <w:p>
      <w:pPr>
        <w:spacing w:line="560" w:lineRule="exact"/>
        <w:ind w:left="15" w:leftChars="7"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（七）甲方工作人员不得接受乙方给予或赠送的干股或红利。</w:t>
      </w:r>
    </w:p>
    <w:p>
      <w:pPr>
        <w:spacing w:line="560" w:lineRule="exact"/>
        <w:ind w:left="15" w:leftChars="7"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(八）不得存在其他违反廉洁规定的行为。</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第三条乙方的义务</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（一）乙方不得以任何理由向甲方及其工作人员行贿或馈赠礼金、有价证券、贵重礼品。</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（二)乙方不得以任何名义为甲方及其工作人员报销应由甲方单位或个人支付的任何费用。</w:t>
      </w:r>
    </w:p>
    <w:p>
      <w:pPr>
        <w:spacing w:line="560" w:lineRule="exact"/>
        <w:ind w:left="25" w:leftChars="12"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（三）乙方不得以任何理由安排甲方工作人员参加可能影响相关业务公开、公正、公平性的宴请及娱乐活动。</w:t>
      </w:r>
    </w:p>
    <w:p>
      <w:pPr>
        <w:pStyle w:val="13"/>
        <w:adjustRightInd/>
        <w:spacing w:line="560" w:lineRule="exact"/>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（四）乙方不得为甲方单位和个人购置或提供通讯工具和高档办公用品等物品，也不得为甲方提供与工作无关的房屋、汽车等。</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（五）乙方不得擅自与甲方工作人员就主合同中的质量、数量、价格、工程量、验收等条款进行私下商谈或者达成默契。</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（六）乙方不得以回扣、手续费、加班费、咨询费、劳务费、协调费、辛苦费等各种名义向甲方工作人员给予或赠送钱物。</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（七）乙方不得向甲方工作人员提供干股或红利。</w:t>
      </w:r>
    </w:p>
    <w:p>
      <w:pPr>
        <w:spacing w:line="560" w:lineRule="exact"/>
        <w:ind w:left="15" w:leftChars="7"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(八）不得存在其他违反廉洁规定的行为。</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第四条违约责任</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甲方举报投诉联系部门：广州市净水有限公司</w:t>
      </w:r>
      <w:r>
        <w:rPr>
          <w:rFonts w:hint="eastAsia" w:ascii="仿宋_GB2312" w:hAnsi="仿宋_GB2312" w:eastAsia="仿宋_GB2312" w:cs="仿宋_GB2312"/>
          <w:bCs/>
          <w:sz w:val="24"/>
          <w:szCs w:val="24"/>
          <w:u w:val="single"/>
        </w:rPr>
        <w:t>纪检室</w:t>
      </w:r>
      <w:r>
        <w:rPr>
          <w:rFonts w:hint="eastAsia" w:ascii="仿宋_GB2312" w:hAnsi="仿宋_GB2312" w:eastAsia="仿宋_GB2312" w:cs="仿宋_GB2312"/>
          <w:bCs/>
          <w:sz w:val="24"/>
          <w:szCs w:val="24"/>
        </w:rPr>
        <w:t>，联系电话：</w:t>
      </w:r>
      <w:r>
        <w:rPr>
          <w:rFonts w:hint="eastAsia" w:ascii="仿宋_GB2312" w:hAnsi="仿宋_GB2312" w:eastAsia="仿宋_GB2312" w:cs="仿宋_GB2312"/>
          <w:bCs/>
          <w:sz w:val="24"/>
          <w:szCs w:val="24"/>
          <w:u w:val="single"/>
        </w:rPr>
        <w:t xml:space="preserve"> 020-38890265 </w:t>
      </w:r>
      <w:r>
        <w:rPr>
          <w:rFonts w:hint="eastAsia" w:ascii="仿宋_GB2312" w:hAnsi="仿宋_GB2312" w:eastAsia="仿宋_GB2312" w:cs="仿宋_GB2312"/>
          <w:bCs/>
          <w:sz w:val="24"/>
          <w:szCs w:val="24"/>
        </w:rPr>
        <w:t>。</w:t>
      </w:r>
    </w:p>
    <w:p>
      <w:pPr>
        <w:pStyle w:val="21"/>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1、扣除主合同的全部履约保证金；</w:t>
      </w:r>
    </w:p>
    <w:p>
      <w:pPr>
        <w:pStyle w:val="21"/>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2、解除主合同；</w:t>
      </w:r>
    </w:p>
    <w:p>
      <w:pPr>
        <w:pStyle w:val="21"/>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3、追究乙方其他违约责任；</w:t>
      </w:r>
    </w:p>
    <w:p>
      <w:pPr>
        <w:pStyle w:val="21"/>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4、根据甲方的有关规章制度，在一定时间内暂停乙方参与甲方及下属单位所有项目的交易资格；</w:t>
      </w:r>
    </w:p>
    <w:p>
      <w:pPr>
        <w:pStyle w:val="21"/>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5、根据甲方的有关规章制度，将乙方清退出甲方相关企业库；</w:t>
      </w:r>
    </w:p>
    <w:p>
      <w:pPr>
        <w:pStyle w:val="21"/>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6、根据甲方上级单位、行政主管部门的意见、决定执行；</w:t>
      </w:r>
    </w:p>
    <w:p>
      <w:pPr>
        <w:pStyle w:val="21"/>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7、按规定向有关行政监督部门、乙方业务管理部门进行投诉、报告。</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乙方无条件接受甲方的处理决定并承担给甲方造成的损失，全额返还通过不正当手段获取的非法所得，并承担相应的法律责任。</w:t>
      </w:r>
    </w:p>
    <w:p>
      <w:pPr>
        <w:spacing w:line="560" w:lineRule="exact"/>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sz w:val="24"/>
          <w:szCs w:val="24"/>
        </w:rPr>
        <w:t xml:space="preserve">第五条 </w:t>
      </w:r>
      <w:r>
        <w:rPr>
          <w:rFonts w:hint="eastAsia" w:ascii="仿宋_GB2312" w:hAnsi="仿宋_GB2312" w:eastAsia="仿宋_GB2312" w:cs="仿宋_GB2312"/>
          <w:bCs/>
          <w:kern w:val="0"/>
          <w:sz w:val="24"/>
          <w:szCs w:val="24"/>
        </w:rPr>
        <w:t xml:space="preserve">本协议执行情况，接受有管辖权的纪检、监察部门的监督，双方应予以配合检查调查。 </w:t>
      </w:r>
    </w:p>
    <w:p>
      <w:pPr>
        <w:spacing w:line="560" w:lineRule="exact"/>
        <w:ind w:left="279" w:leftChars="133" w:firstLine="240" w:firstLineChars="1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第六条本协议作为</w:t>
      </w:r>
      <w:r>
        <w:rPr>
          <w:rFonts w:hint="eastAsia" w:ascii="仿宋_GB2312" w:hAnsi="仿宋_GB2312" w:eastAsia="仿宋_GB2312" w:cs="仿宋_GB2312"/>
          <w:bCs/>
          <w:sz w:val="24"/>
          <w:szCs w:val="24"/>
          <w:u w:val="single"/>
          <w:lang w:eastAsia="zh-CN"/>
        </w:rPr>
        <w:t>广州市净水有限公司健康城分公司2024年智慧消防系统改造项目</w:t>
      </w:r>
      <w:r>
        <w:rPr>
          <w:rFonts w:hint="eastAsia" w:ascii="仿宋_GB2312" w:hAnsi="仿宋_GB2312" w:eastAsia="仿宋_GB2312" w:cs="仿宋_GB2312"/>
          <w:bCs/>
          <w:sz w:val="24"/>
          <w:szCs w:val="24"/>
          <w:u w:val="single"/>
        </w:rPr>
        <w:t>穗净水合[2024]  号</w:t>
      </w:r>
      <w:r>
        <w:rPr>
          <w:rFonts w:hint="eastAsia" w:ascii="仿宋_GB2312" w:hAnsi="仿宋_GB2312" w:eastAsia="仿宋_GB2312" w:cs="仿宋_GB2312"/>
          <w:bCs/>
          <w:sz w:val="24"/>
          <w:szCs w:val="24"/>
        </w:rPr>
        <w:t>合同的附件，并具有同等的法律效力，本协议自双方签字盖章之日起生效，与主合同同时终止。</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第七条本协议一式</w:t>
      </w:r>
      <w:r>
        <w:rPr>
          <w:rFonts w:hint="eastAsia" w:ascii="仿宋_GB2312" w:hAnsi="仿宋_GB2312" w:eastAsia="仿宋_GB2312" w:cs="仿宋_GB2312"/>
          <w:bCs/>
          <w:sz w:val="24"/>
          <w:szCs w:val="24"/>
          <w:u w:val="single"/>
        </w:rPr>
        <w:t>陆</w:t>
      </w:r>
      <w:r>
        <w:rPr>
          <w:rFonts w:hint="eastAsia" w:ascii="仿宋_GB2312" w:hAnsi="仿宋_GB2312" w:eastAsia="仿宋_GB2312" w:cs="仿宋_GB2312"/>
          <w:bCs/>
          <w:sz w:val="24"/>
          <w:szCs w:val="24"/>
        </w:rPr>
        <w:t>份，甲方</w:t>
      </w:r>
      <w:r>
        <w:rPr>
          <w:rFonts w:hint="eastAsia" w:ascii="仿宋_GB2312" w:hAnsi="仿宋_GB2312" w:eastAsia="仿宋_GB2312" w:cs="仿宋_GB2312"/>
          <w:bCs/>
          <w:sz w:val="24"/>
          <w:szCs w:val="24"/>
          <w:u w:val="single"/>
        </w:rPr>
        <w:t>伍</w:t>
      </w:r>
      <w:r>
        <w:rPr>
          <w:rFonts w:hint="eastAsia" w:ascii="仿宋_GB2312" w:hAnsi="仿宋_GB2312" w:eastAsia="仿宋_GB2312" w:cs="仿宋_GB2312"/>
          <w:bCs/>
          <w:sz w:val="24"/>
          <w:szCs w:val="24"/>
        </w:rPr>
        <w:t>份，乙方</w:t>
      </w:r>
      <w:r>
        <w:rPr>
          <w:rFonts w:hint="eastAsia" w:ascii="仿宋_GB2312" w:hAnsi="仿宋_GB2312" w:eastAsia="仿宋_GB2312" w:cs="仿宋_GB2312"/>
          <w:bCs/>
          <w:sz w:val="24"/>
          <w:szCs w:val="24"/>
          <w:u w:val="single"/>
        </w:rPr>
        <w:t>壹</w:t>
      </w:r>
      <w:r>
        <w:rPr>
          <w:rFonts w:hint="eastAsia" w:ascii="仿宋_GB2312" w:hAnsi="仿宋_GB2312" w:eastAsia="仿宋_GB2312" w:cs="仿宋_GB2312"/>
          <w:bCs/>
          <w:sz w:val="24"/>
          <w:szCs w:val="24"/>
        </w:rPr>
        <w:t>份。</w:t>
      </w:r>
    </w:p>
    <w:p>
      <w:pPr>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甲方（盖章）：                     乙方（盖章）：</w:t>
      </w:r>
    </w:p>
    <w:p>
      <w:pPr>
        <w:pStyle w:val="37"/>
        <w:tabs>
          <w:tab w:val="left" w:pos="5100"/>
        </w:tabs>
        <w:spacing w:line="560" w:lineRule="exact"/>
        <w:ind w:left="7200" w:firstLine="0" w:firstLineChars="0"/>
        <w:jc w:val="left"/>
        <w:rPr>
          <w:rFonts w:ascii="仿宋_GB2312" w:hAnsi="仿宋_GB2312" w:eastAsia="仿宋_GB2312" w:cs="仿宋_GB2312"/>
          <w:bCs/>
          <w:sz w:val="24"/>
          <w:szCs w:val="24"/>
        </w:rPr>
      </w:pPr>
    </w:p>
    <w:p>
      <w:pPr>
        <w:tabs>
          <w:tab w:val="left" w:pos="5100"/>
        </w:tabs>
        <w:spacing w:line="560" w:lineRule="exact"/>
        <w:ind w:left="8400" w:hanging="7200" w:hangingChars="30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签约代表：                         签约代表：</w:t>
      </w:r>
    </w:p>
    <w:p>
      <w:pPr>
        <w:tabs>
          <w:tab w:val="left" w:pos="4170"/>
        </w:tabs>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4"/>
          <w:szCs w:val="24"/>
        </w:rPr>
        <w:t>日期:    年  月  日</w:t>
      </w:r>
      <w:r>
        <w:rPr>
          <w:rFonts w:hint="eastAsia" w:ascii="仿宋_GB2312" w:hAnsi="仿宋_GB2312" w:eastAsia="仿宋_GB2312" w:cs="仿宋_GB2312"/>
          <w:bCs/>
          <w:sz w:val="24"/>
          <w:szCs w:val="24"/>
        </w:rPr>
        <w:tab/>
      </w:r>
      <w:r>
        <w:rPr>
          <w:rFonts w:hint="eastAsia" w:ascii="仿宋_GB2312" w:hAnsi="仿宋_GB2312" w:eastAsia="仿宋_GB2312" w:cs="仿宋_GB2312"/>
          <w:bCs/>
          <w:sz w:val="24"/>
          <w:szCs w:val="24"/>
        </w:rPr>
        <w:t>日期：  年  月  日</w:t>
      </w:r>
    </w:p>
    <w:p>
      <w:pPr>
        <w:spacing w:line="360" w:lineRule="auto"/>
        <w:rPr>
          <w:rFonts w:ascii="宋体" w:hAnsi="宋体"/>
          <w:b/>
          <w:sz w:val="24"/>
        </w:rPr>
      </w:pPr>
    </w:p>
    <w:p>
      <w:pPr>
        <w:keepNext w:val="0"/>
        <w:keepLines w:val="0"/>
        <w:pageBreakBefore w:val="0"/>
        <w:kinsoku/>
        <w:wordWrap/>
        <w:overflowPunct/>
        <w:topLinePunct w:val="0"/>
        <w:autoSpaceDE/>
        <w:autoSpaceDN/>
        <w:bidi w:val="0"/>
        <w:spacing w:line="440" w:lineRule="exact"/>
        <w:jc w:val="both"/>
        <w:textAlignment w:val="auto"/>
        <w:rPr>
          <w:rFonts w:hint="eastAsia" w:ascii="宋体" w:hAnsi="宋体" w:cs="宋体"/>
          <w:b/>
          <w:color w:val="auto"/>
          <w:szCs w:val="21"/>
        </w:rPr>
      </w:pPr>
    </w:p>
    <w:p>
      <w:pPr>
        <w:keepNext w:val="0"/>
        <w:keepLines w:val="0"/>
        <w:pageBreakBefore w:val="0"/>
        <w:kinsoku/>
        <w:wordWrap/>
        <w:overflowPunct/>
        <w:topLinePunct w:val="0"/>
        <w:autoSpaceDE/>
        <w:autoSpaceDN/>
        <w:bidi w:val="0"/>
        <w:spacing w:line="440" w:lineRule="exact"/>
        <w:jc w:val="both"/>
        <w:textAlignment w:val="auto"/>
        <w:rPr>
          <w:rFonts w:hint="eastAsia" w:ascii="宋体" w:hAnsi="宋体" w:cs="宋体"/>
          <w:b/>
          <w:color w:val="auto"/>
          <w:szCs w:val="21"/>
        </w:rPr>
      </w:pPr>
    </w:p>
    <w:p>
      <w:pPr>
        <w:keepNext w:val="0"/>
        <w:keepLines w:val="0"/>
        <w:pageBreakBefore w:val="0"/>
        <w:kinsoku/>
        <w:wordWrap/>
        <w:overflowPunct/>
        <w:topLinePunct w:val="0"/>
        <w:autoSpaceDE/>
        <w:autoSpaceDN/>
        <w:bidi w:val="0"/>
        <w:spacing w:line="440" w:lineRule="exact"/>
        <w:jc w:val="both"/>
        <w:textAlignment w:val="auto"/>
        <w:rPr>
          <w:rFonts w:hint="eastAsia" w:ascii="宋体" w:hAnsi="宋体" w:cs="宋体"/>
          <w:b/>
          <w:color w:val="auto"/>
          <w:szCs w:val="21"/>
        </w:rPr>
      </w:pPr>
    </w:p>
    <w:p>
      <w:pPr>
        <w:keepNext w:val="0"/>
        <w:keepLines w:val="0"/>
        <w:pageBreakBefore w:val="0"/>
        <w:kinsoku/>
        <w:wordWrap/>
        <w:overflowPunct/>
        <w:topLinePunct w:val="0"/>
        <w:autoSpaceDE/>
        <w:autoSpaceDN/>
        <w:bidi w:val="0"/>
        <w:spacing w:line="440" w:lineRule="exact"/>
        <w:jc w:val="both"/>
        <w:textAlignment w:val="auto"/>
        <w:rPr>
          <w:rFonts w:hint="eastAsia" w:ascii="宋体" w:hAnsi="宋体" w:cs="宋体"/>
          <w:b/>
          <w:color w:val="auto"/>
          <w:szCs w:val="21"/>
        </w:rPr>
      </w:pPr>
    </w:p>
    <w:p>
      <w:pPr>
        <w:keepNext w:val="0"/>
        <w:keepLines w:val="0"/>
        <w:pageBreakBefore w:val="0"/>
        <w:kinsoku/>
        <w:wordWrap/>
        <w:overflowPunct/>
        <w:topLinePunct w:val="0"/>
        <w:autoSpaceDE/>
        <w:autoSpaceDN/>
        <w:bidi w:val="0"/>
        <w:spacing w:line="440" w:lineRule="exact"/>
        <w:jc w:val="both"/>
        <w:textAlignment w:val="auto"/>
        <w:rPr>
          <w:rFonts w:hint="eastAsia" w:ascii="宋体" w:hAnsi="宋体" w:cs="宋体"/>
          <w:b/>
          <w:color w:val="auto"/>
          <w:szCs w:val="21"/>
        </w:rPr>
      </w:pPr>
    </w:p>
    <w:p>
      <w:pPr>
        <w:keepNext w:val="0"/>
        <w:keepLines w:val="0"/>
        <w:pageBreakBefore w:val="0"/>
        <w:kinsoku/>
        <w:wordWrap/>
        <w:overflowPunct/>
        <w:topLinePunct w:val="0"/>
        <w:autoSpaceDE/>
        <w:autoSpaceDN/>
        <w:bidi w:val="0"/>
        <w:spacing w:line="440" w:lineRule="exact"/>
        <w:jc w:val="both"/>
        <w:textAlignment w:val="auto"/>
        <w:rPr>
          <w:rFonts w:hint="eastAsia" w:ascii="宋体" w:hAnsi="宋体" w:cs="宋体"/>
          <w:b/>
          <w:color w:val="auto"/>
          <w:szCs w:val="21"/>
        </w:rPr>
      </w:pPr>
    </w:p>
    <w:p>
      <w:pPr>
        <w:keepNext w:val="0"/>
        <w:keepLines w:val="0"/>
        <w:pageBreakBefore w:val="0"/>
        <w:kinsoku/>
        <w:wordWrap/>
        <w:overflowPunct/>
        <w:topLinePunct w:val="0"/>
        <w:autoSpaceDE/>
        <w:autoSpaceDN/>
        <w:bidi w:val="0"/>
        <w:spacing w:line="440" w:lineRule="exact"/>
        <w:jc w:val="both"/>
        <w:textAlignment w:val="auto"/>
        <w:rPr>
          <w:rFonts w:hint="eastAsia" w:ascii="方正小标宋简体" w:hAnsi="方正小标宋简体" w:eastAsia="方正小标宋简体" w:cs="方正小标宋简体"/>
          <w:lang w:val="en-US" w:eastAsia="zh-CN"/>
        </w:rPr>
      </w:pPr>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w:t>
      </w:r>
      <w:r>
        <w:rPr>
          <w:rFonts w:hint="eastAsia" w:ascii="方正小标宋简体" w:hAnsi="方正小标宋简体" w:eastAsia="方正小标宋简体" w:cs="方正小标宋简体"/>
          <w:lang w:val="en-US" w:eastAsia="zh-CN"/>
        </w:rPr>
        <w:t>营运单位内运输、装（卸）安全及消防安全协议书</w:t>
      </w:r>
    </w:p>
    <w:p>
      <w:pPr>
        <w:spacing w:line="360" w:lineRule="auto"/>
        <w:rPr>
          <w:rFonts w:ascii="宋体" w:hAnsi="宋体" w:cs="宋体"/>
          <w:b/>
          <w:color w:val="auto"/>
          <w:szCs w:val="21"/>
        </w:rPr>
      </w:pP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营运单位内运输、装（卸）安全及消防安全协议书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w:t>
      </w:r>
      <w:r>
        <w:rPr>
          <w:rFonts w:hint="eastAsia" w:ascii="仿宋_GB2312" w:hAnsi="仿宋_GB2312" w:eastAsia="仿宋_GB2312" w:cs="仿宋_GB2312"/>
          <w:kern w:val="0"/>
          <w:sz w:val="24"/>
          <w:szCs w:val="24"/>
          <w:lang w:eastAsia="zh-CN"/>
        </w:rPr>
        <w:t>《中华人民共和国消防法》、</w:t>
      </w:r>
      <w:r>
        <w:rPr>
          <w:rFonts w:hint="eastAsia" w:ascii="仿宋_GB2312" w:hAnsi="仿宋_GB2312" w:eastAsia="仿宋_GB2312" w:cs="仿宋_GB2312"/>
          <w:kern w:val="0"/>
          <w:sz w:val="24"/>
          <w:szCs w:val="24"/>
        </w:rPr>
        <w:t>《生产安全事故报告和调查处理条例》等国家及地方有关安全生产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消防安全</w:t>
      </w:r>
      <w:r>
        <w:rPr>
          <w:rFonts w:hint="eastAsia" w:ascii="仿宋_GB2312" w:hAnsi="仿宋_GB2312" w:eastAsia="仿宋_GB2312" w:cs="仿宋_GB2312"/>
          <w:kern w:val="0"/>
          <w:sz w:val="24"/>
          <w:szCs w:val="24"/>
        </w:rPr>
        <w:t>法律法规，甲乙双方就安全</w:t>
      </w:r>
      <w:r>
        <w:rPr>
          <w:rFonts w:hint="eastAsia" w:ascii="仿宋_GB2312" w:hAnsi="仿宋_GB2312" w:eastAsia="仿宋_GB2312" w:cs="仿宋_GB2312"/>
          <w:kern w:val="0"/>
          <w:sz w:val="24"/>
          <w:szCs w:val="24"/>
          <w:lang w:val="en-US" w:eastAsia="zh-CN"/>
        </w:rPr>
        <w:t>及消防安全</w:t>
      </w:r>
      <w:r>
        <w:rPr>
          <w:rFonts w:hint="eastAsia" w:ascii="仿宋_GB2312" w:hAnsi="仿宋_GB2312" w:eastAsia="仿宋_GB2312" w:cs="仿宋_GB2312"/>
          <w:kern w:val="0"/>
          <w:sz w:val="24"/>
          <w:szCs w:val="24"/>
        </w:rPr>
        <w:t>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本协议是合同</w:t>
      </w:r>
      <w:r>
        <w:rPr>
          <w:rFonts w:hint="eastAsia" w:ascii="仿宋_GB2312" w:hAnsi="仿宋_GB2312" w:eastAsia="仿宋_GB2312" w:cs="仿宋_GB2312"/>
          <w:bCs/>
          <w:sz w:val="24"/>
          <w:szCs w:val="24"/>
          <w:u w:val="single"/>
          <w:lang w:eastAsia="zh-CN"/>
        </w:rPr>
        <w:t>广州市净水有限公司健康城分公司2024年智慧消防系统改造项目</w:t>
      </w:r>
      <w:r>
        <w:rPr>
          <w:rFonts w:hint="eastAsia" w:ascii="仿宋_GB2312" w:hAnsi="仿宋_GB2312" w:eastAsia="仿宋_GB2312" w:cs="仿宋_GB2312"/>
          <w:bCs/>
          <w:sz w:val="24"/>
          <w:szCs w:val="24"/>
          <w:u w:val="single"/>
        </w:rPr>
        <w:t>穗净水合[2024]  号</w:t>
      </w:r>
      <w:r>
        <w:rPr>
          <w:rFonts w:hint="eastAsia" w:ascii="仿宋_GB2312" w:hAnsi="仿宋_GB2312" w:eastAsia="仿宋_GB2312" w:cs="仿宋_GB2312"/>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w:t>
      </w:r>
      <w:r>
        <w:rPr>
          <w:rFonts w:hint="eastAsia" w:ascii="仿宋_GB2312" w:hAnsi="仿宋_GB2312" w:eastAsia="仿宋_GB2312" w:cs="仿宋_GB2312"/>
          <w:kern w:val="0"/>
          <w:sz w:val="24"/>
          <w:szCs w:val="24"/>
        </w:rPr>
        <w:t>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（五）对乙方租用的第三方车辆，视同为乙方车辆，由乙方承担安全及消防安全责任。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乙方的单位、车辆、人员资质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1.详见合同第</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交底告知</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甲方应对乙方进行交底。交底内容应</w:t>
      </w:r>
      <w:r>
        <w:rPr>
          <w:rFonts w:hint="eastAsia" w:ascii="仿宋_GB2312" w:hAnsi="仿宋_GB2312" w:eastAsia="仿宋_GB2312" w:cs="仿宋_GB2312"/>
          <w:sz w:val="24"/>
          <w:szCs w:val="24"/>
          <w:lang w:val="en-US" w:eastAsia="zh-CN"/>
        </w:rPr>
        <w:t>向乙方传达</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甲方规定的</w:t>
      </w:r>
      <w:r>
        <w:rPr>
          <w:rFonts w:hint="eastAsia" w:ascii="仿宋_GB2312" w:hAnsi="仿宋_GB2312" w:eastAsia="仿宋_GB2312" w:cs="仿宋_GB2312"/>
          <w:sz w:val="24"/>
          <w:szCs w:val="24"/>
        </w:rPr>
        <w:t>安全生产及消防安全管理要求。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2.当乙方提出相关规范或乙方内部管理制度，比甲方规定的</w:t>
      </w:r>
      <w:r>
        <w:rPr>
          <w:rFonts w:hint="eastAsia" w:ascii="仿宋_GB2312" w:hAnsi="仿宋_GB2312" w:eastAsia="仿宋_GB2312" w:cs="仿宋_GB2312"/>
          <w:sz w:val="24"/>
          <w:szCs w:val="24"/>
        </w:rPr>
        <w:t>安全生产及消防安全管理要求</w:t>
      </w:r>
      <w:r>
        <w:rPr>
          <w:rFonts w:hint="eastAsia" w:ascii="仿宋_GB2312" w:hAnsi="仿宋_GB2312" w:eastAsia="仿宋_GB2312" w:cs="仿宋_GB2312"/>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3.告知乙方车辆允许行驶的区域、限速、限高、限重，允许停车装、卸作业的位置。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（二）现场监管。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1.甲方应在其管辖区域对乙方的运输、装卸等过程的安全生产实行监督，及时纠正乙方人员违章指挥、违章驾驶、违反禁令等行为。</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2.甲方应监督乙方车辆离开营运单位前做好车辆外观检查，确保车牌、反光标志等无被遮挡。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1.乙方在甲方属地范围内发生安全事故及消防安全事故，应当按水投集团有关程序，如实向集团报告。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接受交底告知并复核确认安全风险，落实管控措施</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在甲方属地范围内的作业与应急</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1.乙方车辆仅允许在甲方指定的区域，按方向行驶、停放以及装卸作业。</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2.乙方的车辆限速、限高、限重应符合甲方要求。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3.乙方在甲方属地范围作业应当配备的个人劳动防护用品，由乙方负责提供，并确保有效。</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4.乙方在甲方属地范围内发生安全事故及消防安全事故的，必须配合甲方现场人员开展应急工作。</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在甲方属地范围外的作业与应急</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1.由乙方根据交通运输、危化品、危废、固废等法律法规、行业标准等予以执行。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2.乙方车辆载有甲方货物（含废物料等），在甲方属地范围外发生安全事故及消防安全事故的，除按交通及行业有关要求上报外，应及时告知甲方。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在甲方甲方属地范围内，未发生安全事故或消防安全事故的违约责任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1.乙方未履行安全及消防安全责任的，有权按合同相关条款处理。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（二）在甲方属地范围内，发生安全事故或消防安全事故的违约责任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2.如甲方未能提供甲方履职证明的，根据责任调查报告（意见）承担责任。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（三）在甲方属地范围外，发生安全事故或消防安全事故的违约责任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1.由乙方承担责任。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2.如对甲方货物造成损失的，根据合同向甲方赔偿。</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3.如对甲方造成负面舆情等声誉损失的，乙方应当澄清对甲方的负面影响。拒不执行的，甲方有权向乙方索赔。</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val="en-US" w:eastAsia="zh-CN"/>
        </w:rPr>
        <w:t>作为合同的附件</w:t>
      </w:r>
      <w:r>
        <w:rPr>
          <w:rFonts w:hint="eastAsia" w:ascii="仿宋_GB2312" w:hAnsi="仿宋_GB2312" w:eastAsia="仿宋_GB2312" w:cs="仿宋_GB2312"/>
          <w:sz w:val="24"/>
          <w:szCs w:val="24"/>
        </w:rPr>
        <w:t>同时</w:t>
      </w:r>
      <w:r>
        <w:rPr>
          <w:rFonts w:hint="eastAsia" w:ascii="仿宋_GB2312" w:hAnsi="仿宋_GB2312" w:eastAsia="仿宋_GB2312" w:cs="仿宋_GB2312"/>
          <w:sz w:val="24"/>
          <w:szCs w:val="24"/>
          <w:lang w:val="en-US" w:eastAsia="zh-CN"/>
        </w:rPr>
        <w:t>签字、同事盖章</w:t>
      </w:r>
      <w:r>
        <w:rPr>
          <w:rFonts w:hint="eastAsia" w:ascii="仿宋_GB2312" w:hAnsi="仿宋_GB2312" w:eastAsia="仿宋_GB2312" w:cs="仿宋_GB2312"/>
          <w:sz w:val="24"/>
          <w:szCs w:val="24"/>
        </w:rPr>
        <w:t>、同时生效、同时终止，具有</w:t>
      </w:r>
      <w:r>
        <w:rPr>
          <w:rFonts w:hint="eastAsia" w:ascii="仿宋_GB2312" w:hAnsi="仿宋_GB2312" w:eastAsia="仿宋_GB2312" w:cs="仿宋_GB2312"/>
          <w:sz w:val="24"/>
          <w:szCs w:val="24"/>
          <w:lang w:val="en-US" w:eastAsia="zh-CN"/>
        </w:rPr>
        <w:t>同等</w:t>
      </w:r>
      <w:r>
        <w:rPr>
          <w:rFonts w:hint="eastAsia" w:ascii="仿宋_GB2312" w:hAnsi="仿宋_GB2312" w:eastAsia="仿宋_GB2312" w:cs="仿宋_GB2312"/>
          <w:sz w:val="24"/>
          <w:szCs w:val="24"/>
        </w:rPr>
        <w:t>的法律效力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甲方、乙方双方执持数量与合同一致。</w:t>
      </w:r>
    </w:p>
    <w:p>
      <w:pPr>
        <w:rPr>
          <w:rFonts w:hint="eastAsia" w:ascii="仿宋_GB2312" w:hAnsi="仿宋_GB2312" w:eastAsia="仿宋_GB2312" w:cs="仿宋_GB2312"/>
          <w:sz w:val="24"/>
          <w:szCs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widowControl w:val="0"/>
              <w:adjustRightInd w:val="0"/>
              <w:snapToGrid w:val="0"/>
              <w:spacing w:line="560" w:lineRule="exact"/>
              <w:ind w:firstLine="240" w:firstLineChars="100"/>
              <w:jc w:val="righ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widowControl w:val="0"/>
              <w:adjustRightInd w:val="0"/>
              <w:snapToGrid w:val="0"/>
              <w:spacing w:line="560" w:lineRule="exact"/>
              <w:jc w:val="righ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Pr>
        <w:spacing w:line="360" w:lineRule="auto"/>
        <w:rPr>
          <w:rFonts w:ascii="宋体" w:hAnsi="宋体" w:cs="宋体"/>
          <w:color w:val="auto"/>
          <w:sz w:val="24"/>
          <w:szCs w:val="24"/>
        </w:rPr>
      </w:pPr>
    </w:p>
    <w:p>
      <w:pPr>
        <w:spacing w:line="360" w:lineRule="auto"/>
        <w:rPr>
          <w:rFonts w:hint="eastAsia" w:ascii="宋体" w:hAnsi="宋体" w:eastAsia="宋体" w:cs="宋体"/>
          <w:b/>
          <w:szCs w:val="21"/>
          <w:lang w:val="en-US" w:eastAsia="zh-CN"/>
        </w:rPr>
      </w:pPr>
    </w:p>
    <w:p>
      <w:pPr>
        <w:spacing w:line="360" w:lineRule="auto"/>
        <w:rPr>
          <w:rFonts w:hint="eastAsia" w:ascii="宋体" w:hAnsi="宋体" w:eastAsia="宋体" w:cs="宋体"/>
          <w:b/>
          <w:szCs w:val="21"/>
          <w:lang w:val="en-US" w:eastAsia="zh-CN"/>
        </w:rPr>
      </w:pPr>
    </w:p>
    <w:p>
      <w:pPr>
        <w:spacing w:line="360" w:lineRule="auto"/>
        <w:rPr>
          <w:rFonts w:hint="eastAsia" w:ascii="宋体" w:hAnsi="宋体" w:eastAsia="宋体" w:cs="宋体"/>
          <w:b/>
          <w:szCs w:val="21"/>
          <w:lang w:val="en-US" w:eastAsia="zh-CN"/>
        </w:rPr>
      </w:pPr>
    </w:p>
    <w:p>
      <w:pPr>
        <w:spacing w:line="360" w:lineRule="auto"/>
        <w:rPr>
          <w:rFonts w:hint="eastAsia" w:ascii="宋体" w:hAnsi="宋体" w:eastAsia="宋体" w:cs="宋体"/>
          <w:b/>
          <w:szCs w:val="21"/>
          <w:lang w:val="en-US" w:eastAsia="zh-CN"/>
        </w:rPr>
      </w:pPr>
    </w:p>
    <w:p>
      <w:pPr>
        <w:spacing w:line="360" w:lineRule="auto"/>
        <w:rPr>
          <w:rFonts w:hint="eastAsia" w:ascii="宋体" w:hAnsi="宋体" w:eastAsia="宋体" w:cs="宋体"/>
          <w:b/>
          <w:szCs w:val="21"/>
          <w:lang w:val="en-US" w:eastAsia="zh-CN"/>
        </w:rPr>
      </w:pPr>
    </w:p>
    <w:p>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附件4：技术需求书</w:t>
      </w:r>
    </w:p>
    <w:p>
      <w:pPr>
        <w:adjustRightInd w:val="0"/>
        <w:snapToGrid w:val="0"/>
        <w:spacing w:line="600" w:lineRule="exact"/>
        <w:ind w:firstLine="422" w:firstLineChars="200"/>
        <w:jc w:val="left"/>
        <w:rPr>
          <w:rFonts w:hint="eastAsia" w:ascii="仿宋_GB2312" w:eastAsia="仿宋_GB2312" w:hAnsiTheme="minorEastAsia"/>
          <w:color w:val="auto"/>
          <w:sz w:val="28"/>
          <w:szCs w:val="28"/>
          <w:highlight w:val="none"/>
          <w:u w:val="none"/>
          <w:lang w:val="en-US" w:eastAsia="zh-CN"/>
        </w:rPr>
      </w:pPr>
      <w:r>
        <w:rPr>
          <w:rFonts w:hint="eastAsia" w:ascii="宋体" w:hAnsi="宋体" w:cs="宋体"/>
          <w:b/>
          <w:szCs w:val="21"/>
          <w:lang w:val="en-US" w:eastAsia="zh-CN"/>
        </w:rPr>
        <w:t xml:space="preserve"> </w:t>
      </w:r>
      <w:r>
        <w:rPr>
          <w:rFonts w:hint="eastAsia" w:ascii="仿宋_GB2312" w:eastAsia="仿宋_GB2312" w:hAnsiTheme="minorEastAsia" w:cstheme="minorBidi"/>
          <w:color w:val="auto"/>
          <w:sz w:val="28"/>
          <w:szCs w:val="28"/>
          <w:highlight w:val="none"/>
          <w:u w:val="none"/>
          <w:lang w:val="en-US" w:eastAsia="zh-CN"/>
        </w:rPr>
        <w:t>广州市净水有限公司健康城分公司2024年智慧消防系统改造项目主要技术需求为：</w:t>
      </w:r>
    </w:p>
    <w:p>
      <w:pPr>
        <w:adjustRightInd w:val="0"/>
        <w:snapToGrid w:val="0"/>
        <w:spacing w:line="600" w:lineRule="exact"/>
        <w:ind w:firstLine="560" w:firstLineChars="200"/>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bCs w:val="0"/>
          <w:color w:val="auto"/>
          <w:sz w:val="28"/>
          <w:szCs w:val="28"/>
          <w:highlight w:val="none"/>
          <w:u w:val="none"/>
          <w:lang w:val="en-US" w:eastAsia="zh-CN"/>
        </w:rPr>
        <w:t>在各消防子系统部署数据采集卡、数据监控设备、受理主机等硬件把各子系统监控信号数据接入统一的智慧消防管理平台，该智慧消防系统平台能对各子系统的数据进行智能化统一分析处理，具备状态监视、报警响应、消防应急联动、定制报表、消防巡查任务派送等功能，实现分公司消防系统的智慧化管理</w:t>
      </w:r>
      <w:r>
        <w:rPr>
          <w:rFonts w:hint="eastAsia" w:ascii="仿宋_GB2312" w:eastAsia="仿宋_GB2312" w:hAnsiTheme="minorEastAsia" w:cstheme="minorBidi"/>
          <w:color w:val="auto"/>
          <w:sz w:val="28"/>
          <w:szCs w:val="28"/>
          <w:highlight w:val="none"/>
          <w:lang w:val="en-US" w:eastAsia="zh-CN"/>
        </w:rPr>
        <w:t>。详细见附件7工程量清单。</w:t>
      </w:r>
    </w:p>
    <w:p>
      <w:pPr>
        <w:spacing w:line="360" w:lineRule="auto"/>
        <w:rPr>
          <w:rFonts w:hint="default" w:ascii="宋体" w:hAnsi="宋体" w:eastAsia="宋体" w:cs="宋体"/>
          <w:b/>
          <w:szCs w:val="21"/>
          <w:lang w:val="en-US" w:eastAsia="zh-CN"/>
        </w:rPr>
      </w:pP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u w:val="none"/>
          <w:shd w:val="clear"/>
          <w:lang w:val="en-US" w:eastAsia="zh-CN"/>
        </w:rPr>
      </w:pPr>
      <w:r>
        <w:rPr>
          <w:rFonts w:hint="eastAsia" w:ascii="仿宋_GB2312" w:eastAsia="仿宋_GB2312" w:hAnsiTheme="minorEastAsia" w:cstheme="minorBidi"/>
          <w:color w:val="auto"/>
          <w:sz w:val="28"/>
          <w:szCs w:val="28"/>
          <w:highlight w:val="none"/>
          <w:u w:val="none"/>
          <w:shd w:val="clear"/>
          <w:lang w:val="en-US" w:eastAsia="zh-CN"/>
        </w:rPr>
        <w:t>1、本项目开展期间，承包方必须整理好本项目的所有的技术资料，不限于项目安装图、设备说明书、拓扑图、端口连接情况、交换机配置文件、程序、配置、系统画面、系统备份及相关用户密码等。项目竣工后，承包方将所有关于本项目的技术资料整理好并交至项目承办单位。</w:t>
      </w: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u w:val="none"/>
          <w:shd w:val="clear"/>
          <w:lang w:val="en-US" w:eastAsia="zh-CN"/>
        </w:rPr>
      </w:pPr>
      <w:r>
        <w:rPr>
          <w:rFonts w:hint="eastAsia" w:ascii="仿宋_GB2312" w:eastAsia="仿宋_GB2312" w:hAnsiTheme="minorEastAsia" w:cstheme="minorBidi"/>
          <w:color w:val="auto"/>
          <w:sz w:val="28"/>
          <w:szCs w:val="28"/>
          <w:highlight w:val="none"/>
          <w:u w:val="none"/>
          <w:shd w:val="clear"/>
          <w:lang w:val="en-US" w:eastAsia="zh-CN"/>
        </w:rPr>
        <w:t>2、项目完成后，承包方要完成系统详细使用说明并交至项目承办单位。</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3、项目系统组网架构</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本项目主要分为两部分，一是前端消防子系统数据采集硬件部署。在消防子系统增加数据转换器、系统接入卡、通讯板、数据传输装置、受理计算机等硬件，把消防子系统的数据统一传输到位于受理计算机的智慧化消防管理平台。</w:t>
      </w:r>
    </w:p>
    <w:p>
      <w:pPr>
        <w:numPr>
          <w:ilvl w:val="0"/>
          <w:numId w:val="0"/>
        </w:numPr>
        <w:snapToGrid w:val="0"/>
        <w:spacing w:line="600" w:lineRule="exact"/>
        <w:ind w:firstLine="555"/>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二是后端智慧消防管理平台构建。对各子系统的数据进行智能化统一分析处理，以丰富可视化图表、曲线、界面等形式对消防信号进行状态监视、报警响应、消防应急联动及具备定制报表、消防巡查任务派送等功能，实现分公司消防系统的智慧化管理。</w:t>
      </w: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u w:val="none"/>
          <w:shd w:val="clear"/>
          <w:lang w:val="en-US" w:eastAsia="zh-CN"/>
        </w:rPr>
      </w:pPr>
      <w:r>
        <w:rPr>
          <w:rFonts w:hint="eastAsia" w:ascii="仿宋_GB2312" w:eastAsia="仿宋_GB2312" w:hAnsiTheme="minorEastAsia" w:cstheme="minorBidi"/>
          <w:color w:val="auto"/>
          <w:kern w:val="2"/>
          <w:sz w:val="28"/>
          <w:szCs w:val="28"/>
          <w:highlight w:val="none"/>
          <w:u w:val="none"/>
          <w:lang w:val="en-US" w:eastAsia="zh-CN" w:bidi="ar-SA"/>
        </w:rPr>
        <w:t>系统采用开放式Browser/Server架构，客户端通过浏览器访问位于受理机计算机智慧消防管理平台软件，在系统试运行阶段，采用独立于分公司工控网和视频网络的IP网段，待运行稳定后接入分公司视频监控网络。本项目新增的网络设备、系统按照公司网络安全管理要求实施。</w:t>
      </w:r>
    </w:p>
    <w:p>
      <w:pPr>
        <w:snapToGrid w:val="0"/>
        <w:spacing w:line="600" w:lineRule="exact"/>
        <w:ind w:firstLine="555"/>
        <w:rPr>
          <w:rFonts w:hint="eastAsia" w:ascii="仿宋_GB2312" w:eastAsia="仿宋_GB2312" w:hAnsiTheme="minorEastAsia" w:cstheme="minorBidi"/>
          <w:b w:val="0"/>
          <w:bCs w:val="0"/>
          <w:color w:val="auto"/>
          <w:kern w:val="2"/>
          <w:sz w:val="28"/>
          <w:szCs w:val="28"/>
          <w:highlight w:val="none"/>
          <w:u w:val="none"/>
          <w:lang w:val="en-US" w:eastAsia="zh-CN" w:bidi="ar-SA"/>
        </w:rPr>
      </w:pPr>
      <w:r>
        <w:rPr>
          <w:rFonts w:hint="eastAsia" w:ascii="仿宋_GB2312" w:eastAsia="仿宋_GB2312" w:hAnsiTheme="minorEastAsia" w:cstheme="minorBidi"/>
          <w:b w:val="0"/>
          <w:bCs w:val="0"/>
          <w:color w:val="auto"/>
          <w:kern w:val="2"/>
          <w:sz w:val="28"/>
          <w:szCs w:val="28"/>
          <w:highlight w:val="none"/>
          <w:u w:val="none"/>
          <w:lang w:val="en-US" w:eastAsia="zh-CN" w:bidi="ar-SA"/>
        </w:rPr>
        <w:t>4、应用平台主要开发功能</w:t>
      </w:r>
    </w:p>
    <w:p>
      <w:pPr>
        <w:numPr>
          <w:ilvl w:val="0"/>
          <w:numId w:val="4"/>
        </w:numPr>
        <w:snapToGrid w:val="0"/>
        <w:spacing w:line="600" w:lineRule="exact"/>
        <w:ind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1）GST智慧消防物联网系统开发</w:t>
      </w:r>
    </w:p>
    <w:p>
      <w:pPr>
        <w:numPr>
          <w:ilvl w:val="0"/>
          <w:numId w:val="0"/>
        </w:numPr>
        <w:snapToGrid w:val="0"/>
        <w:spacing w:line="600" w:lineRule="exact"/>
        <w:ind w:firstLine="555" w:firstLineChars="0"/>
        <w:rPr>
          <w:rFonts w:hint="eastAsia" w:ascii="仿宋_GB2312" w:eastAsia="仿宋_GB2312" w:hAnsiTheme="minorEastAsia" w:cstheme="minorBidi"/>
          <w:b w:val="0"/>
          <w:bCs w:val="0"/>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用途：智慧消防管理平台系统，多个消防子系统接入终端平台，数据可视化显示、报警、实时监控消防报警点，消防值班人员通过登录系统实现实时多个子系统消防监控。</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系统标配功能：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报警监控功能，含警情GIS显示功能（在线地图）、报警分层图显示功能、警情分类指示功能、联网单位状态指示功能、警情接警处理功能、接警电话通话管理功能、警情视频联动显示功能、警情查询统计功能。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消控室值班查岗功能，含值班查岗状态指示功能、自动查岗功能、手动查岗功能、视频查岗功能、查岗结果查询统计功能。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用户信息传输装置状态监控功能，含传输装置状态实时指示功能、传输装置状态列表显示功能、传输装置状态警情查询统计功能。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系统服务监控功能，含系统的服务、内存、硬盘状态自动监控功能，系统运行异常状态指示功能。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含警情推送显示、设备状态查看、工程状态查看、系统状态查看等功能。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用于用户终端数量在10个以下（含10个）消防联网系统的建设，产品包内容：1x安装U盘、1x加密狗、1x包装盒、1x产品说明书。</w:t>
      </w:r>
    </w:p>
    <w:p>
      <w:pPr>
        <w:snapToGrid w:val="0"/>
        <w:spacing w:line="600" w:lineRule="exact"/>
        <w:ind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2)GST智慧消防物联网系统-3D建模定制开发</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用途及功能：为了使众多消防子系统的报警点能直观地在统一消防平台显示，对负一层平面图、负二平面图、综合楼一楼平面图、综合楼二楼平面图、综合楼三楼平面图进行3D建模优化。</w:t>
      </w:r>
    </w:p>
    <w:p>
      <w:pPr>
        <w:numPr>
          <w:ilvl w:val="0"/>
          <w:numId w:val="0"/>
        </w:numPr>
        <w:snapToGrid w:val="0"/>
        <w:spacing w:line="600" w:lineRule="exact"/>
        <w:ind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3）GST智慧消防物联网系统-定制报表</w:t>
      </w:r>
    </w:p>
    <w:p>
      <w:pPr>
        <w:numPr>
          <w:ilvl w:val="0"/>
          <w:numId w:val="0"/>
        </w:num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用途：各消防子系统数据报表统计</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系统标配功能：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设备状态报表：展示消防设备的运行状态，如火灾探测器、报警器、灭火设备等的工作情况。</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报警信息报表：记录火灾报警的时间、地点、类型等详细信息。</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巡检记录报表：包括巡检人员的巡检时间、地点、发现的问题等。</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故障统计报表：统计设备故障的类型、次数、修复情况等。</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数据分析报表：对系统收集的数据进行分析，提供趋势分析、对比分析等。</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用户行为报表：记录用户对系统的操作记录，如登录、操作记录等。</w:t>
      </w:r>
    </w:p>
    <w:p>
      <w:pPr>
        <w:numPr>
          <w:ilvl w:val="0"/>
          <w:numId w:val="0"/>
        </w:numPr>
        <w:snapToGrid w:val="0"/>
        <w:spacing w:line="600" w:lineRule="exact"/>
        <w:ind w:leftChars="0"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4）GST智慧消防物联网系统-防火巡查系统开发</w:t>
      </w:r>
    </w:p>
    <w:p>
      <w:pPr>
        <w:numPr>
          <w:ilvl w:val="0"/>
          <w:numId w:val="0"/>
        </w:numPr>
        <w:snapToGrid w:val="0"/>
        <w:spacing w:line="600" w:lineRule="exact"/>
        <w:ind w:leftChars="0"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用途：消防值班人员对现场消防设备依托电子标签等工具进行防火巡查，并对巡查自动生成记录，可以自定义派发、接收巡查任务。</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系统标配功能：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防火巡查子系统协助设备使用方高效的组织开展防火巡查工作，借助单位巡查任务、单位临时用火用电管理、单位消防隐患处理等模块全面管控单位各项火灾风险，将单位火灾防控工作全面电子化。</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防火巡查子系统依托与条形码、NFC电子标签等工具，严格规范单位日常防火巡查工作，真正做到有据可依、有迹可寻。</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提供消防设施管理功能，巡查人员管理功能，巡查人员管理，巡查点建立及管理功能，巡查任务创建及管理功能，消防隐患报告及处理跟踪功能，临时用火用电管理功能，巡查结果查询统计功能。</w:t>
      </w:r>
    </w:p>
    <w:p>
      <w:pPr>
        <w:snapToGrid w:val="0"/>
        <w:spacing w:line="600" w:lineRule="exact"/>
        <w:ind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5）GST智慧消防物联网系统-视频监控定制开发</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及功能：与现有视频监控系统进行联动消防视频监控联动是智慧消防系统中的重要功能。消防系统中的火灾探测器、烟雾报警器等设备触发报警时，系统能够自动将相关的视频监控画面切换到主屏幕或特定显示区域，以便值班人员或相关人员可以迅速直观地查看现场情况。这样可以帮助确认火灾的具体位置、火势大小、有无人员被困等重要信息，为指挥决策和应急处置提供及时准确的依据。同时，通过联动，还可以将视频监控画面实时传输给消防指挥中心或其他相关部门，实现信息共享和协同作战。此外，视频监控资料还可用于事后的调查分析和总结评估，以不断改进消防工作和完善应急预案。</w:t>
      </w:r>
    </w:p>
    <w:p>
      <w:pPr>
        <w:numPr>
          <w:ilvl w:val="0"/>
          <w:numId w:val="0"/>
        </w:numPr>
        <w:snapToGrid w:val="0"/>
        <w:spacing w:line="600" w:lineRule="exact"/>
        <w:ind w:leftChars="0" w:firstLine="555" w:firstLineChars="0"/>
        <w:jc w:val="left"/>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5、软件、系统正版化、国产化及维护更新需求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1）正版化、国产化需求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本项目使用的软件、系统必须为经过合法授权、有软件开发商或其授权的渠道进行发布和销售的软件产品，支持主流国产化计算机操作系统、数据库、主流办公软件。</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主要软件、系统有：国产智慧消防物联网系统（包含消防监控、3D建模定制开发、定制报表防火巡查等功能）、主流国产计算机操作系统、主流国产办公软件（文字、表格、演示，PDF阅读等多种功能）。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2）维护更新需求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本项目新增的数据转换器、系统接入卡、通讯板设备、数据传输装置为数据转换传输设备不需要进行额外维护，受理电脑主机需要进行日常计算机维护即可，消防平台系统要求无限制使用年限，在2年质保期间免费提供软件、系统升级服务，提供系统数据备份、导出等维护培训。</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目前分公司有专业的第三方维保单位对分公司整个消防系统进行定期维护保养，为响应公司消防自主值班的要求，分公司亦配备了多名拥有中级消防设施操作员证的值班人员，值班人员经过培训后能满足智慧消防系统日常维护需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3）多平台扩容要求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支持多平台扩容，分公司可以作为子平台接入上一级平台，或作为母平台汇集下一级平台。</w:t>
      </w:r>
    </w:p>
    <w:p>
      <w:pPr>
        <w:numPr>
          <w:ilvl w:val="0"/>
          <w:numId w:val="0"/>
        </w:numPr>
        <w:snapToGrid w:val="0"/>
        <w:spacing w:line="600" w:lineRule="exact"/>
        <w:ind w:firstLine="555"/>
        <w:jc w:val="left"/>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6、网络安全措施及要求</w:t>
      </w:r>
    </w:p>
    <w:p>
      <w:pPr>
        <w:numPr>
          <w:ilvl w:val="0"/>
          <w:numId w:val="0"/>
        </w:numPr>
        <w:snapToGrid w:val="0"/>
        <w:spacing w:line="600" w:lineRule="exact"/>
        <w:ind w:leftChars="0"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6.1本项目构建的网络设备及网络系统需满足以下网络安全措施及要求。</w:t>
      </w:r>
    </w:p>
    <w:p>
      <w:pPr>
        <w:numPr>
          <w:ilvl w:val="0"/>
          <w:numId w:val="0"/>
        </w:numPr>
        <w:snapToGrid w:val="0"/>
        <w:spacing w:line="600" w:lineRule="exact"/>
        <w:ind w:leftChars="0"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（一）访问控制</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 实施基于角色的访问控制，根据用户的工作职责和业务需求，为其分配适当的访问权限，确保用户只能访问其工作所需的资源和数据。</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2. 采用多因素身份验证，结合密码、指纹、令牌、短信验证码等多种验证方式，增强用户身份验证的安全性。</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3. 具备审查和更新用户的访问权限，及时撤销离职员工或不再需要访问权限的用户的访问权限等功能。</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（二）数据加密</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 对敏感数据，如用户个人信息、重要数据、机密等，在存储和传输过程中进行加密处理，使用对称加密算法（如 或非对称加密算法，确保数据的保密性和完整性。</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2. 配备加密密钥，防止密钥泄露或被破解，同时建立密钥管理体系，确保密钥的安全存储、分发和使用。</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（三）网络监控与检测</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 部署网络监控系统或软件，实时监测网络流量、用户活动、系统日志等，及时发现异常活动和潜在的安全威胁。</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（四）安全培训与教育</w:t>
      </w:r>
    </w:p>
    <w:p>
      <w:pPr>
        <w:numPr>
          <w:ilvl w:val="-1"/>
          <w:numId w:val="0"/>
        </w:numPr>
        <w:autoSpaceDE w:val="0"/>
        <w:autoSpaceDN w:val="0"/>
        <w:spacing w:line="240" w:lineRule="auto"/>
        <w:ind w:firstLine="560" w:firstLineChars="200"/>
        <w:jc w:val="left"/>
        <w:rPr>
          <w:rFonts w:hint="eastAsia" w:ascii="仿宋" w:hAnsi="仿宋" w:eastAsia="仿宋" w:cs="仿宋"/>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 组织本项目相关网络设备、系统的网络安全专门培训，</w:t>
      </w:r>
      <w:r>
        <w:rPr>
          <w:rFonts w:hint="eastAsia" w:ascii="仿宋" w:hAnsi="仿宋" w:eastAsia="仿宋" w:cs="仿宋"/>
          <w:color w:val="auto"/>
          <w:kern w:val="2"/>
          <w:sz w:val="28"/>
          <w:szCs w:val="28"/>
          <w:highlight w:val="none"/>
          <w:u w:val="none"/>
          <w:lang w:val="en-US" w:eastAsia="zh-CN" w:bidi="ar-SA"/>
        </w:rPr>
        <w:t>提高员工的网络安全意识和防范技能。</w:t>
      </w:r>
    </w:p>
    <w:p>
      <w:pPr>
        <w:numPr>
          <w:ilvl w:val="-1"/>
          <w:numId w:val="0"/>
        </w:numPr>
        <w:autoSpaceDE w:val="0"/>
        <w:autoSpaceDN w:val="0"/>
        <w:spacing w:line="240" w:lineRule="auto"/>
        <w:ind w:firstLine="560" w:firstLineChars="200"/>
        <w:jc w:val="left"/>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2. 制定本项目网络安全操作指南和规范。</w:t>
      </w:r>
    </w:p>
    <w:p>
      <w:pPr>
        <w:numPr>
          <w:ilvl w:val="0"/>
          <w:numId w:val="0"/>
        </w:numPr>
        <w:snapToGrid w:val="0"/>
        <w:spacing w:line="600" w:lineRule="exact"/>
        <w:ind w:firstLine="555" w:firstLineChars="0"/>
        <w:jc w:val="left"/>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6.2网络安全等级保护评定</w:t>
      </w:r>
    </w:p>
    <w:p>
      <w:pPr>
        <w:numPr>
          <w:ilvl w:val="-1"/>
          <w:numId w:val="0"/>
        </w:numPr>
        <w:autoSpaceDE w:val="0"/>
        <w:autoSpaceDN w:val="0"/>
        <w:spacing w:line="240" w:lineRule="auto"/>
        <w:ind w:left="0" w:firstLine="560" w:firstLineChars="200"/>
        <w:jc w:val="left"/>
        <w:rPr>
          <w:rFonts w:hint="default"/>
          <w:lang w:val="en-US" w:eastAsia="zh-CN"/>
        </w:rPr>
      </w:pPr>
      <w:r>
        <w:rPr>
          <w:rFonts w:hint="eastAsia" w:ascii="仿宋" w:hAnsi="仿宋" w:eastAsia="仿宋" w:cs="仿宋"/>
          <w:color w:val="auto"/>
          <w:kern w:val="2"/>
          <w:sz w:val="28"/>
          <w:szCs w:val="28"/>
          <w:highlight w:val="none"/>
          <w:u w:val="none"/>
          <w:lang w:val="en-US" w:eastAsia="zh-CN" w:bidi="ar-SA"/>
        </w:rPr>
        <w:t>对本项目新增的网络设备、软件、系统请有资质的第三方进行网络安全等级保护评定，本项目新增智慧化系统采用分公司内部局域网连接，用于企业内部消防设备设施的监控，信息系统受到破坏后，不会对社会秩序和公共利益造成损害，不损害国家安全。故计划评定为第一级（自主保护级）</w:t>
      </w:r>
    </w:p>
    <w:p>
      <w:pPr>
        <w:jc w:val="center"/>
        <w:rPr>
          <w:rFonts w:ascii="宋体" w:hAnsi="宋体" w:cs="宋体"/>
          <w:color w:val="auto"/>
          <w:sz w:val="24"/>
          <w:szCs w:val="24"/>
        </w:rPr>
      </w:pPr>
    </w:p>
    <w:p>
      <w:pPr>
        <w:pStyle w:val="22"/>
        <w:rPr>
          <w:rFonts w:ascii="宋体" w:hAnsi="宋体" w:cs="宋体"/>
          <w:b/>
          <w:sz w:val="30"/>
        </w:rPr>
      </w:pPr>
    </w:p>
    <w:p>
      <w:pPr>
        <w:pStyle w:val="22"/>
        <w:rPr>
          <w:rFonts w:hint="eastAsia"/>
          <w:color w:val="auto"/>
          <w:highlight w:val="none"/>
        </w:rPr>
      </w:pPr>
      <w:bookmarkStart w:id="100" w:name="_Toc1563"/>
      <w:bookmarkStart w:id="101" w:name="_Toc5129"/>
      <w:bookmarkStart w:id="102" w:name="_Toc28358"/>
      <w:bookmarkStart w:id="103" w:name="_Toc23515"/>
      <w:bookmarkStart w:id="104" w:name="_Toc16552"/>
      <w:bookmarkStart w:id="105" w:name="_Toc21847"/>
      <w:bookmarkStart w:id="106" w:name="_Toc12169"/>
      <w:bookmarkStart w:id="107" w:name="_Toc30824"/>
      <w:bookmarkStart w:id="108" w:name="_Toc6230"/>
      <w:bookmarkStart w:id="109" w:name="_Toc3723"/>
      <w:bookmarkStart w:id="110" w:name="_Toc8147"/>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firstLine="0"/>
        <w:rPr>
          <w:rFonts w:hint="eastAsia" w:ascii="仿宋_GB2312" w:eastAsia="仿宋" w:hAnsiTheme="minorEastAsia"/>
          <w:color w:val="auto"/>
          <w:sz w:val="28"/>
          <w:szCs w:val="28"/>
          <w:highlight w:val="none"/>
        </w:rPr>
      </w:pPr>
    </w:p>
    <w:p>
      <w:pPr>
        <w:pStyle w:val="22"/>
        <w:rPr>
          <w:rFonts w:hint="eastAsia" w:ascii="仿宋_GB2312" w:eastAsia="仿宋" w:hAnsiTheme="minorEastAsia"/>
          <w:color w:val="auto"/>
          <w:sz w:val="28"/>
          <w:szCs w:val="28"/>
          <w:highlight w:val="none"/>
        </w:rPr>
      </w:pPr>
    </w:p>
    <w:p>
      <w:pPr>
        <w:pStyle w:val="22"/>
        <w:rPr>
          <w:rFonts w:hint="eastAsia" w:ascii="仿宋_GB2312" w:eastAsia="仿宋" w:hAnsiTheme="minorEastAsia"/>
          <w:color w:val="auto"/>
          <w:sz w:val="28"/>
          <w:szCs w:val="28"/>
          <w:highlight w:val="none"/>
        </w:rPr>
      </w:pPr>
    </w:p>
    <w:p>
      <w:pPr>
        <w:pStyle w:val="22"/>
        <w:rPr>
          <w:rFonts w:hint="eastAsia" w:ascii="仿宋_GB2312" w:eastAsia="仿宋" w:hAnsiTheme="minorEastAsia"/>
          <w:color w:val="auto"/>
          <w:sz w:val="28"/>
          <w:szCs w:val="28"/>
          <w:highlight w:val="none"/>
        </w:rPr>
      </w:pPr>
    </w:p>
    <w:p>
      <w:pPr>
        <w:pStyle w:val="22"/>
        <w:rPr>
          <w:rFonts w:hint="eastAsia" w:ascii="仿宋_GB2312" w:eastAsia="仿宋" w:hAnsiTheme="minorEastAsia"/>
          <w:color w:val="auto"/>
          <w:sz w:val="28"/>
          <w:szCs w:val="28"/>
          <w:highlight w:val="none"/>
        </w:rPr>
      </w:pPr>
    </w:p>
    <w:p>
      <w:pPr>
        <w:pStyle w:val="22"/>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2"/>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2"/>
        <w:ind w:firstLine="0"/>
        <w:rPr>
          <w:rFonts w:hint="eastAsia" w:ascii="方正小标宋简体" w:eastAsia="方正小标宋简体"/>
          <w:color w:val="auto"/>
          <w:sz w:val="52"/>
          <w:szCs w:val="52"/>
          <w:highlight w:val="none"/>
          <w:lang w:val="en-US" w:eastAsia="zh-CN"/>
        </w:rPr>
      </w:pPr>
    </w:p>
    <w:p>
      <w:pPr>
        <w:pStyle w:val="22"/>
        <w:ind w:firstLine="0"/>
        <w:rPr>
          <w:rFonts w:hint="eastAsia" w:ascii="方正小标宋简体" w:eastAsia="方正小标宋简体"/>
          <w:color w:val="auto"/>
          <w:sz w:val="52"/>
          <w:szCs w:val="52"/>
          <w:highlight w:val="none"/>
          <w:lang w:val="en-US" w:eastAsia="zh-CN"/>
        </w:rPr>
      </w:pPr>
    </w:p>
    <w:p>
      <w:pPr>
        <w:adjustRightInd w:val="0"/>
        <w:snapToGrid w:val="0"/>
        <w:spacing w:beforeLines="50" w:afterLines="50" w:line="600" w:lineRule="exact"/>
        <w:jc w:val="center"/>
        <w:rPr>
          <w:rFonts w:hint="eastAsia" w:ascii="方正小标宋简体" w:eastAsia="方正小标宋简体"/>
          <w:color w:val="auto"/>
          <w:sz w:val="36"/>
          <w:szCs w:val="36"/>
          <w:highlight w:val="none"/>
          <w:lang w:val="en-US" w:eastAsia="zh-CN"/>
        </w:rPr>
      </w:pPr>
    </w:p>
    <w:p>
      <w:pPr>
        <w:pStyle w:val="31"/>
        <w:jc w:val="center"/>
        <w:rPr>
          <w:rFonts w:hint="eastAsia" w:ascii="方正小标宋简体" w:eastAsia="方正小标宋简体"/>
          <w:color w:val="auto"/>
          <w:sz w:val="36"/>
          <w:szCs w:val="36"/>
          <w:highlight w:val="none"/>
          <w:lang w:val="en-US" w:eastAsia="zh-CN"/>
        </w:rPr>
      </w:pPr>
      <w:r>
        <w:rPr>
          <w:rFonts w:hint="eastAsia" w:ascii="方正小标宋简体" w:eastAsia="方正小标宋简体"/>
          <w:color w:val="auto"/>
          <w:sz w:val="36"/>
          <w:szCs w:val="36"/>
          <w:highlight w:val="none"/>
          <w:lang w:val="en-US" w:eastAsia="zh-CN"/>
        </w:rPr>
        <w:t>广州市净水有限公司健康城分公司</w:t>
      </w:r>
    </w:p>
    <w:p>
      <w:pPr>
        <w:pStyle w:val="31"/>
        <w:jc w:val="center"/>
        <w:rPr>
          <w:rFonts w:hint="eastAsia" w:ascii="方正小标宋简体" w:eastAsia="方正小标宋简体"/>
          <w:color w:val="auto"/>
          <w:sz w:val="36"/>
          <w:szCs w:val="36"/>
          <w:highlight w:val="none"/>
          <w:lang w:val="en-US" w:eastAsia="zh-CN"/>
        </w:rPr>
      </w:pPr>
      <w:r>
        <w:rPr>
          <w:rFonts w:hint="eastAsia" w:ascii="方正小标宋简体" w:eastAsia="方正小标宋简体"/>
          <w:color w:val="auto"/>
          <w:sz w:val="36"/>
          <w:szCs w:val="36"/>
          <w:highlight w:val="none"/>
          <w:lang w:val="en-US" w:eastAsia="zh-CN"/>
        </w:rPr>
        <w:t>2024年智慧消防系统改造项目</w:t>
      </w:r>
    </w:p>
    <w:p>
      <w:pPr>
        <w:pStyle w:val="31"/>
        <w:jc w:val="center"/>
        <w:rPr>
          <w:rFonts w:hint="eastAsia" w:hAnsi="宋体" w:eastAsia="宋体"/>
          <w:b/>
          <w:sz w:val="30"/>
          <w:szCs w:val="30"/>
          <w:lang w:eastAsia="zh-CN"/>
        </w:rPr>
      </w:pPr>
      <w:r>
        <w:rPr>
          <w:rFonts w:hint="eastAsia" w:ascii="仿宋_GB2312" w:eastAsia="仿宋_GB2312"/>
          <w:color w:val="auto"/>
          <w:sz w:val="30"/>
          <w:szCs w:val="30"/>
          <w:highlight w:val="none"/>
        </w:rPr>
        <w:t>（项目编</w:t>
      </w:r>
      <w:r>
        <w:rPr>
          <w:rFonts w:hint="eastAsia" w:ascii="仿宋_GB2312" w:hAnsi="Times New Roman" w:eastAsia="仿宋_GB2312" w:cs="宋体"/>
          <w:color w:val="auto"/>
          <w:sz w:val="30"/>
          <w:szCs w:val="30"/>
          <w:highlight w:val="none"/>
        </w:rPr>
        <w:t>号：</w:t>
      </w:r>
      <w:r>
        <w:rPr>
          <w:rFonts w:hint="eastAsia" w:hAnsi="宋体" w:eastAsia="宋体"/>
          <w:b/>
          <w:sz w:val="30"/>
          <w:szCs w:val="30"/>
          <w:lang w:val="en-US" w:eastAsia="zh-CN"/>
        </w:rPr>
        <w:t>XXX</w:t>
      </w:r>
      <w:r>
        <w:rPr>
          <w:rFonts w:hint="eastAsia" w:hAnsi="宋体" w:eastAsia="宋体"/>
          <w:b/>
          <w:sz w:val="30"/>
          <w:szCs w:val="30"/>
          <w:lang w:eastAsia="zh-CN"/>
        </w:rPr>
        <w:t>）</w:t>
      </w:r>
    </w:p>
    <w:p>
      <w:pPr>
        <w:pStyle w:val="31"/>
        <w:adjustRightInd w:val="0"/>
        <w:snapToGrid w:val="0"/>
        <w:spacing w:beforeLines="50" w:afterLines="50" w:line="600" w:lineRule="exact"/>
        <w:ind w:firstLine="1800" w:firstLineChars="600"/>
        <w:jc w:val="both"/>
        <w:rPr>
          <w:rFonts w:ascii="仿宋_GB2312" w:eastAsia="仿宋_GB2312"/>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5"/>
        <w:ind w:firstLine="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
        <w:ind w:firstLine="0"/>
        <w:rPr>
          <w:rFonts w:ascii="方正小标宋简体" w:eastAsia="方正小标宋简体"/>
          <w:color w:val="auto"/>
          <w:sz w:val="30"/>
          <w:szCs w:val="30"/>
          <w:highlight w:val="none"/>
        </w:rPr>
      </w:pPr>
    </w:p>
    <w:p>
      <w:pPr>
        <w:pStyle w:val="5"/>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ind w:firstLine="0"/>
        <w:rPr>
          <w:rFonts w:hint="eastAsia" w:ascii="方正小标宋简体" w:eastAsia="方正小标宋简体"/>
          <w:color w:val="auto"/>
          <w:sz w:val="44"/>
          <w:szCs w:val="44"/>
          <w:highlight w:val="none"/>
          <w:lang w:eastAsia="zh-CN"/>
        </w:rPr>
      </w:pPr>
    </w:p>
    <w:p>
      <w:pPr>
        <w:pStyle w:val="22"/>
        <w:ind w:firstLine="0"/>
        <w:rPr>
          <w:rFonts w:hint="eastAsia" w:ascii="方正小标宋简体" w:eastAsia="方正小标宋简体"/>
          <w:color w:val="auto"/>
          <w:sz w:val="44"/>
          <w:szCs w:val="44"/>
          <w:highlight w:val="none"/>
          <w:lang w:eastAsia="zh-CN"/>
        </w:rPr>
      </w:pP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1.响应函</w:t>
      </w:r>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3"/>
        <w:ind w:firstLine="560" w:firstLineChars="200"/>
        <w:rPr>
          <w:rFonts w:hint="eastAsia" w:eastAsia="仿宋"/>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42"/>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30"/>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41"/>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30"/>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30"/>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30"/>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30"/>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30"/>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30"/>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30"/>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人像</w:t>
            </w:r>
            <w:r>
              <w:rPr>
                <w:rFonts w:hint="eastAsia" w:ascii="仿宋_GB2312" w:hAnsi="仿宋_GB2312" w:eastAsia="仿宋" w:cs="仿宋_GB2312"/>
                <w:sz w:val="24"/>
                <w:szCs w:val="24"/>
              </w:rPr>
              <w:t>面）</w:t>
            </w:r>
          </w:p>
        </w:tc>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国徽</w:t>
            </w:r>
            <w:r>
              <w:rPr>
                <w:rFonts w:hint="eastAsia" w:ascii="仿宋_GB2312" w:hAnsi="仿宋_GB2312" w:eastAsia="仿宋"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40"/>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40"/>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30"/>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30"/>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30"/>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3"/>
        <w:ind w:left="0" w:leftChars="0" w:firstLine="0" w:firstLineChars="0"/>
        <w:rPr>
          <w:rFonts w:hint="eastAsia" w:ascii="仿宋_GB2312" w:hAnsi="宋体" w:eastAsia="仿宋"/>
          <w:color w:val="auto"/>
          <w:sz w:val="30"/>
          <w:szCs w:val="30"/>
          <w:highlight w:val="none"/>
        </w:rPr>
      </w:pPr>
    </w:p>
    <w:p>
      <w:pPr>
        <w:pStyle w:val="23"/>
        <w:ind w:left="0" w:leftChars="0" w:firstLine="0" w:firstLineChars="0"/>
        <w:rPr>
          <w:rFonts w:hint="eastAsia" w:ascii="仿宋_GB2312" w:hAnsi="宋体" w:eastAsia="仿宋_GB2312"/>
          <w:color w:val="auto"/>
          <w:sz w:val="30"/>
          <w:szCs w:val="30"/>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人像</w:t>
            </w:r>
            <w:r>
              <w:rPr>
                <w:rFonts w:hint="eastAsia" w:ascii="仿宋_GB2312" w:hAnsi="仿宋_GB2312" w:eastAsia="仿宋" w:cs="仿宋_GB2312"/>
                <w:sz w:val="28"/>
                <w:szCs w:val="28"/>
              </w:rPr>
              <w:t>面）</w:t>
            </w:r>
          </w:p>
        </w:tc>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国徽</w:t>
            </w:r>
            <w:r>
              <w:rPr>
                <w:rFonts w:hint="eastAsia" w:ascii="仿宋_GB2312" w:hAnsi="仿宋_GB2312" w:eastAsia="仿宋"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 w:hAnsiTheme="minorEastAsia"/>
          <w:color w:val="auto"/>
          <w:sz w:val="28"/>
          <w:szCs w:val="28"/>
          <w:highlight w:val="none"/>
          <w:lang w:val="en-US" w:eastAsia="zh-CN"/>
        </w:rPr>
      </w:pPr>
    </w:p>
    <w:p>
      <w:pPr>
        <w:pStyle w:val="23"/>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3"/>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bookmarkEnd w:id="100"/>
    <w:bookmarkEnd w:id="101"/>
    <w:bookmarkEnd w:id="102"/>
    <w:bookmarkEnd w:id="103"/>
    <w:bookmarkEnd w:id="104"/>
    <w:bookmarkEnd w:id="105"/>
    <w:bookmarkEnd w:id="106"/>
    <w:bookmarkEnd w:id="107"/>
    <w:bookmarkEnd w:id="108"/>
    <w:bookmarkEnd w:id="109"/>
    <w:bookmarkEnd w:id="110"/>
    <w:p>
      <w:pPr>
        <w:pStyle w:val="4"/>
        <w:numPr>
          <w:ilvl w:val="-1"/>
          <w:numId w:val="0"/>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b/>
          <w:bCs/>
          <w:color w:val="auto"/>
          <w:kern w:val="2"/>
          <w:sz w:val="28"/>
          <w:szCs w:val="28"/>
          <w:highlight w:val="none"/>
          <w:lang w:val="en-US" w:eastAsia="zh-CN"/>
        </w:rPr>
        <w:t>5.</w:t>
      </w:r>
      <w:bookmarkStart w:id="111" w:name="_Toc32430"/>
      <w:bookmarkStart w:id="112" w:name="_Toc19423"/>
      <w:r>
        <w:rPr>
          <w:rFonts w:hint="eastAsia" w:asciiTheme="minorEastAsia" w:hAnsiTheme="minorEastAsia" w:eastAsiaTheme="minorEastAsia"/>
          <w:color w:val="auto"/>
          <w:sz w:val="28"/>
          <w:szCs w:val="28"/>
          <w:highlight w:val="none"/>
        </w:rPr>
        <w:t>报价表</w:t>
      </w:r>
      <w:bookmarkEnd w:id="111"/>
      <w:bookmarkEnd w:id="112"/>
    </w:p>
    <w:p>
      <w:pPr>
        <w:adjustRightInd/>
        <w:snapToGrid/>
        <w:spacing w:line="360" w:lineRule="auto"/>
        <w:rPr>
          <w:rFonts w:hint="eastAsia" w:ascii="仿宋_GB2312" w:hAnsi="仿宋_GB2312" w:eastAsia="仿宋" w:cs="仿宋_GB2312"/>
          <w:b w:val="0"/>
          <w:color w:val="auto"/>
          <w:sz w:val="28"/>
          <w:szCs w:val="28"/>
          <w:highlight w:val="none"/>
          <w:u w:val="none"/>
          <w:shd w:val="clear" w:color="auto" w:fill="auto"/>
          <w:lang w:eastAsia="zh-CN"/>
        </w:rPr>
      </w:pPr>
      <w:r>
        <w:rPr>
          <w:rFonts w:hint="eastAsia" w:ascii="仿宋_GB2312" w:hAnsi="仿宋_GB2312" w:eastAsia="仿宋" w:cs="仿宋_GB2312"/>
          <w:color w:val="auto"/>
          <w:sz w:val="28"/>
          <w:szCs w:val="28"/>
          <w:highlight w:val="none"/>
          <w:shd w:val="clear" w:color="auto" w:fill="auto"/>
        </w:rPr>
        <w:t>项目名称：</w:t>
      </w:r>
      <w:r>
        <w:rPr>
          <w:rFonts w:hint="eastAsia" w:ascii="仿宋_GB2312" w:hAnsi="仿宋_GB2312" w:eastAsia="仿宋" w:cs="仿宋_GB2312"/>
          <w:b w:val="0"/>
          <w:color w:val="auto"/>
          <w:sz w:val="28"/>
          <w:szCs w:val="28"/>
          <w:highlight w:val="none"/>
          <w:u w:val="none"/>
          <w:shd w:val="clear" w:color="auto" w:fill="auto"/>
          <w:lang w:eastAsia="zh-CN"/>
        </w:rPr>
        <w:t>广州市净水有限公司健康城分公司2024年智慧消防系统改造项目</w:t>
      </w:r>
    </w:p>
    <w:p>
      <w:pPr>
        <w:adjustRightInd/>
        <w:snapToGrid/>
        <w:spacing w:line="360" w:lineRule="auto"/>
        <w:rPr>
          <w:rFonts w:hint="eastAsia" w:ascii="仿宋_GB2312" w:hAnsi="仿宋_GB2312" w:eastAsia="仿宋" w:cs="仿宋_GB2312"/>
          <w:color w:val="auto"/>
          <w:sz w:val="28"/>
          <w:szCs w:val="28"/>
          <w:highlight w:val="none"/>
          <w:shd w:val="clear" w:color="auto" w:fill="auto"/>
        </w:rPr>
      </w:pPr>
      <w:r>
        <w:rPr>
          <w:rFonts w:hint="eastAsia" w:ascii="仿宋_GB2312" w:hAnsi="仿宋_GB2312" w:eastAsia="仿宋" w:cs="仿宋_GB2312"/>
          <w:color w:val="auto"/>
          <w:sz w:val="28"/>
          <w:szCs w:val="28"/>
          <w:highlight w:val="none"/>
          <w:shd w:val="clear" w:color="auto" w:fill="auto"/>
        </w:rPr>
        <w:t>项目编号：</w:t>
      </w:r>
    </w:p>
    <w:p>
      <w:pPr>
        <w:pStyle w:val="23"/>
        <w:spacing w:after="0"/>
        <w:jc w:val="right"/>
        <w:rPr>
          <w:rFonts w:hint="default" w:asciiTheme="minorHAnsi" w:hAnsiTheme="minorHAnsi"/>
          <w:color w:val="auto"/>
          <w:sz w:val="21"/>
          <w:szCs w:val="22"/>
          <w:highlight w:val="none"/>
          <w:lang w:val="en-US" w:eastAsia="zh-CN"/>
        </w:rPr>
      </w:pPr>
      <w:r>
        <w:rPr>
          <w:rFonts w:hint="eastAsia" w:ascii="仿宋_GB2312" w:hAnsi="仿宋_GB2312" w:eastAsia="仿宋" w:cs="仿宋_GB2312"/>
          <w:color w:val="auto"/>
          <w:sz w:val="28"/>
          <w:szCs w:val="28"/>
          <w:highlight w:val="none"/>
          <w:shd w:val="clear" w:color="auto" w:fill="auto"/>
        </w:rPr>
        <w:t>[货币单位：人民币元]</w:t>
      </w:r>
    </w:p>
    <w:tbl>
      <w:tblPr>
        <w:tblStyle w:val="24"/>
        <w:tblpPr w:leftFromText="180" w:rightFromText="180" w:vertAnchor="text" w:horzAnchor="page" w:tblpX="742" w:tblpY="674"/>
        <w:tblOverlap w:val="never"/>
        <w:tblW w:w="108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8"/>
        <w:gridCol w:w="1386"/>
        <w:gridCol w:w="1625"/>
        <w:gridCol w:w="3941"/>
        <w:gridCol w:w="790"/>
        <w:gridCol w:w="669"/>
        <w:gridCol w:w="900"/>
        <w:gridCol w:w="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项目名称描述</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主要参数</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不含税单价（元）</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w:t>
            </w:r>
            <w:r>
              <w:rPr>
                <w:rFonts w:hint="eastAsia" w:ascii="宋体" w:hAnsi="宋体" w:cs="宋体"/>
                <w:b/>
                <w:bCs/>
                <w:i w:val="0"/>
                <w:iCs w:val="0"/>
                <w:color w:val="000000"/>
                <w:kern w:val="0"/>
                <w:sz w:val="18"/>
                <w:szCs w:val="18"/>
                <w:u w:val="none"/>
                <w:lang w:val="en-US" w:eastAsia="zh-CN" w:bidi="ar"/>
              </w:rPr>
              <w:t>总价</w:t>
            </w:r>
            <w:r>
              <w:rPr>
                <w:rFonts w:hint="eastAsia" w:ascii="宋体" w:hAnsi="宋体" w:eastAsia="宋体" w:cs="宋体"/>
                <w:b/>
                <w:bCs/>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信息传输主机</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规格：JK-TX-GSTN6100型传输设备/用户信息传输装置</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安装方式：机柜挂装</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1.主要功能：无线（4G全网通）+网线；GB16806/GB26875.1认证；标配CAN/RS485数据转换卡，可连接水系统及多系统</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2.满足双国标要求：产品设计满足 GB26875.1-2011、GB16806-2006 双国标要求，并且通过双 3C 认证。</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3.通讯方式：支持</w:t>
            </w:r>
            <w:r>
              <w:rPr>
                <w:rFonts w:hint="eastAsia" w:ascii="宋体" w:hAnsi="宋体" w:cs="宋体"/>
                <w:i w:val="0"/>
                <w:iCs w:val="0"/>
                <w:color w:val="000000"/>
                <w:kern w:val="0"/>
                <w:sz w:val="18"/>
                <w:szCs w:val="18"/>
                <w:u w:val="none"/>
                <w:lang w:val="en-US" w:eastAsia="zh-CN" w:bidi="ar"/>
              </w:rPr>
              <w:t>以太网</w:t>
            </w:r>
            <w:r>
              <w:rPr>
                <w:rFonts w:hint="eastAsia" w:ascii="宋体" w:hAnsi="宋体" w:eastAsia="宋体" w:cs="宋体"/>
                <w:i w:val="0"/>
                <w:iCs w:val="0"/>
                <w:color w:val="000000"/>
                <w:kern w:val="0"/>
                <w:sz w:val="18"/>
                <w:szCs w:val="18"/>
                <w:u w:val="none"/>
                <w:lang w:val="en-US" w:eastAsia="zh-CN" w:bidi="ar"/>
              </w:rPr>
              <w:t xml:space="preserve">网线通讯方式，可单独使用也可同时使用并互为备份。      </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4.多种接口：提供 RS232、RS485、开关量等多种接口，可接收打印机信息。</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串行数据转换器</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规格：JK-TX-GSTCZH001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安装方式：加装到消防子系统内部</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0"/>
                <w:numId w:val="7"/>
              </w:numPr>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用于采集串行通讯接口的不同种类控制器数据；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2.安装在控制器内，每台控制器配1个。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3.一个传输装置最多接7个串行数据转换器。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JB-QG-GST5000多系统接入卡</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规格：JB-QG-GST5000多系统接入卡                          安装方式：加装到消防子系统内部</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安装于GST500/GST5000内部，与传输设备/用户信息传输装置CAN接口通讯，接多系统时选用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GST-DH9000多系统接入卡</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规格：GST-DH9000多系统接入卡        安装方式：加装到消防子系统内部</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安装于DH9000内部，与传输设备/用户信息传输装置CAN接口通讯，接多系统时选用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GST-NNET-02通讯板</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规格：GST-NNET-02通讯板 安装方式：加装到消防子系统内部</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适用于传输设备/用户信息传输装置与N3200T防火门监控器、GSTN3200可燃气体报警控制器、GSTN500/N900消防设备电源状态监控器主机一对一接时选用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6"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受理机电脑主机</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安装方式：中控机柜安装</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pStyle w:val="31"/>
              <w:rPr>
                <w:rFonts w:hint="default" w:ascii="宋体" w:hAnsi="宋体" w:eastAsia="宋体" w:cs="宋体"/>
                <w:i w:val="0"/>
                <w:iCs w:val="0"/>
                <w:color w:val="000000"/>
                <w:kern w:val="0"/>
                <w:sz w:val="18"/>
                <w:szCs w:val="18"/>
                <w:u w:val="none"/>
                <w:lang w:val="en-US" w:eastAsia="zh-CN" w:bidi="ar"/>
              </w:rPr>
            </w:pPr>
            <w:r>
              <w:rPr>
                <w:rFonts w:hint="eastAsia" w:hAnsi="宋体" w:eastAsia="宋体" w:cs="宋体"/>
                <w:i w:val="0"/>
                <w:iCs w:val="0"/>
                <w:color w:val="000000"/>
                <w:kern w:val="0"/>
                <w:sz w:val="18"/>
                <w:szCs w:val="18"/>
                <w:u w:val="none"/>
                <w:lang w:val="en-US" w:eastAsia="zh-CN" w:bidi="ar"/>
              </w:rPr>
              <w:t>国产知名品牌</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输入端口：前置有多个 USB 3.2 、三合一读卡器、模拟音频接口等；后置包括多个 USB 2.0、HDMI 端口、DisplayPort、VGA、RJ45（网络接口）、音频输入接口、音频输出接口、麦克风输入接口等</w:t>
            </w:r>
            <w:r>
              <w:rPr>
                <w:rFonts w:hint="eastAsia" w:ascii="宋体" w:hAnsi="宋体" w:eastAsia="宋体" w:cs="宋体"/>
                <w:i w:val="0"/>
                <w:iCs w:val="0"/>
                <w:color w:val="000000"/>
                <w:kern w:val="0"/>
                <w:sz w:val="18"/>
                <w:szCs w:val="18"/>
                <w:u w:val="none"/>
                <w:lang w:val="en-US" w:eastAsia="zh-CN" w:bidi="ar"/>
              </w:rPr>
              <w:t>；</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主板：Intel Q670</w:t>
            </w:r>
            <w:r>
              <w:rPr>
                <w:rFonts w:hint="eastAsia" w:ascii="宋体" w:hAnsi="宋体" w:eastAsia="宋体" w:cs="宋体"/>
                <w:i w:val="0"/>
                <w:iCs w:val="0"/>
                <w:color w:val="000000"/>
                <w:kern w:val="0"/>
                <w:sz w:val="18"/>
                <w:szCs w:val="18"/>
                <w:u w:val="none"/>
                <w:lang w:val="en-US" w:eastAsia="zh-CN" w:bidi="ar"/>
              </w:rPr>
              <w:t>；</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CPU：1</w:t>
            </w:r>
            <w:r>
              <w:rPr>
                <w:rFonts w:hint="eastAsia"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 xml:space="preserve"> 代酷睿 i5-1</w:t>
            </w:r>
            <w:r>
              <w:rPr>
                <w:rFonts w:hint="eastAsia"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500 14 核 20 线程，其 CPU 主频为 2.</w:t>
            </w:r>
            <w:r>
              <w:rPr>
                <w:rFonts w:hint="eastAsia"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GHz，最高睿频可达</w:t>
            </w:r>
            <w:r>
              <w:rPr>
                <w:rFonts w:hint="eastAsia"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GHz，三级缓存为 24MB</w:t>
            </w:r>
            <w:r>
              <w:rPr>
                <w:rFonts w:hint="eastAsia" w:ascii="宋体" w:hAnsi="宋体" w:eastAsia="宋体" w:cs="宋体"/>
                <w:i w:val="0"/>
                <w:iCs w:val="0"/>
                <w:color w:val="000000"/>
                <w:kern w:val="0"/>
                <w:sz w:val="18"/>
                <w:szCs w:val="18"/>
                <w:u w:val="none"/>
                <w:lang w:val="en-US" w:eastAsia="zh-CN" w:bidi="ar"/>
              </w:rPr>
              <w:t>；</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内存：</w:t>
            </w:r>
            <w:r>
              <w:rPr>
                <w:rFonts w:hint="eastAsia" w:ascii="宋体" w:hAnsi="宋体" w:eastAsia="宋体" w:cs="宋体"/>
                <w:i w:val="0"/>
                <w:iCs w:val="0"/>
                <w:color w:val="000000"/>
                <w:kern w:val="0"/>
                <w:sz w:val="18"/>
                <w:szCs w:val="18"/>
                <w:u w:val="none"/>
                <w:lang w:val="en-US" w:eastAsia="zh-CN" w:bidi="ar"/>
              </w:rPr>
              <w:t>16</w:t>
            </w:r>
            <w:r>
              <w:rPr>
                <w:rFonts w:hint="default" w:ascii="宋体" w:hAnsi="宋体" w:eastAsia="宋体" w:cs="宋体"/>
                <w:i w:val="0"/>
                <w:iCs w:val="0"/>
                <w:color w:val="000000"/>
                <w:kern w:val="0"/>
                <w:sz w:val="18"/>
                <w:szCs w:val="18"/>
                <w:u w:val="none"/>
                <w:lang w:val="en-US" w:eastAsia="zh-CN" w:bidi="ar"/>
              </w:rPr>
              <w:t>GB DDR4</w:t>
            </w:r>
            <w:r>
              <w:rPr>
                <w:rFonts w:hint="eastAsia" w:ascii="宋体" w:hAnsi="宋体" w:eastAsia="宋体" w:cs="宋体"/>
                <w:i w:val="0"/>
                <w:iCs w:val="0"/>
                <w:color w:val="000000"/>
                <w:kern w:val="0"/>
                <w:sz w:val="18"/>
                <w:szCs w:val="18"/>
                <w:u w:val="none"/>
                <w:lang w:val="en-US" w:eastAsia="zh-CN" w:bidi="ar"/>
              </w:rPr>
              <w:t xml:space="preserve"> 单内存插槽最大可支持容量(板载内存不涉及)大于等于8GB；4个DDR4 3200MHz内存插槽，至高支持128GB；</w:t>
            </w:r>
          </w:p>
          <w:p>
            <w:pPr>
              <w:keepNext w:val="0"/>
              <w:keepLines w:val="0"/>
              <w:widowControl/>
              <w:suppressLineNumbers w:val="0"/>
              <w:jc w:val="left"/>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硬盘：</w:t>
            </w:r>
            <w:r>
              <w:rPr>
                <w:rFonts w:hint="eastAsia" w:ascii="宋体" w:hAnsi="宋体" w:eastAsia="宋体" w:cs="宋体"/>
                <w:i w:val="0"/>
                <w:iCs w:val="0"/>
                <w:color w:val="000000"/>
                <w:kern w:val="0"/>
                <w:sz w:val="18"/>
                <w:szCs w:val="18"/>
                <w:u w:val="none"/>
                <w:lang w:val="en-US" w:eastAsia="zh-CN" w:bidi="ar"/>
              </w:rPr>
              <w:t>512</w:t>
            </w:r>
            <w:r>
              <w:rPr>
                <w:rFonts w:hint="default" w:ascii="宋体" w:hAnsi="宋体" w:eastAsia="宋体" w:cs="宋体"/>
                <w:i w:val="0"/>
                <w:iCs w:val="0"/>
                <w:color w:val="000000"/>
                <w:kern w:val="0"/>
                <w:sz w:val="18"/>
                <w:szCs w:val="18"/>
                <w:u w:val="none"/>
                <w:lang w:val="en-US" w:eastAsia="zh-CN" w:bidi="ar"/>
              </w:rPr>
              <w:t>G</w:t>
            </w:r>
            <w:r>
              <w:rPr>
                <w:rFonts w:hint="eastAsia" w:ascii="宋体" w:hAnsi="宋体" w:eastAsia="宋体" w:cs="宋体"/>
                <w:i w:val="0"/>
                <w:iCs w:val="0"/>
                <w:color w:val="000000"/>
                <w:kern w:val="0"/>
                <w:sz w:val="18"/>
                <w:szCs w:val="18"/>
                <w:u w:val="none"/>
                <w:lang w:val="en-US" w:eastAsia="zh-CN" w:bidi="ar"/>
              </w:rPr>
              <w:t>固态</w:t>
            </w:r>
            <w:r>
              <w:rPr>
                <w:rFonts w:hint="default" w:ascii="宋体" w:hAnsi="宋体" w:eastAsia="宋体" w:cs="宋体"/>
                <w:i w:val="0"/>
                <w:iCs w:val="0"/>
                <w:color w:val="000000"/>
                <w:kern w:val="0"/>
                <w:sz w:val="18"/>
                <w:szCs w:val="18"/>
                <w:u w:val="none"/>
                <w:lang w:val="en-US" w:eastAsia="zh-CN" w:bidi="ar"/>
              </w:rPr>
              <w:t>硬盘</w:t>
            </w:r>
            <w:r>
              <w:rPr>
                <w:rFonts w:hint="eastAsia" w:ascii="宋体" w:hAnsi="宋体" w:eastAsia="宋体" w:cs="宋体"/>
                <w:i w:val="0"/>
                <w:iCs w:val="0"/>
                <w:color w:val="000000"/>
                <w:kern w:val="0"/>
                <w:sz w:val="18"/>
                <w:szCs w:val="18"/>
                <w:u w:val="none"/>
                <w:lang w:val="en-US" w:eastAsia="zh-CN" w:bidi="ar"/>
              </w:rPr>
              <w:t>、1T</w:t>
            </w:r>
            <w:r>
              <w:rPr>
                <w:rFonts w:hint="default" w:ascii="宋体" w:hAnsi="宋体" w:eastAsia="宋体" w:cs="宋体"/>
                <w:i w:val="0"/>
                <w:iCs w:val="0"/>
                <w:color w:val="000000"/>
                <w:kern w:val="0"/>
                <w:sz w:val="18"/>
                <w:szCs w:val="18"/>
                <w:u w:val="none"/>
                <w:lang w:val="en-US" w:eastAsia="zh-CN" w:bidi="ar"/>
              </w:rPr>
              <w:t>机械硬</w:t>
            </w:r>
            <w:r>
              <w:rPr>
                <w:rFonts w:hint="eastAsia" w:ascii="宋体" w:hAnsi="宋体" w:eastAsia="宋体" w:cs="宋体"/>
                <w:i w:val="0"/>
                <w:iCs w:val="0"/>
                <w:color w:val="000000"/>
                <w:kern w:val="0"/>
                <w:sz w:val="18"/>
                <w:szCs w:val="18"/>
                <w:u w:val="none"/>
                <w:lang w:val="en-US" w:eastAsia="zh-CN" w:bidi="ar"/>
              </w:rPr>
              <w:t>盘，机械硬盘转速大于等于5400rpm；</w:t>
            </w:r>
          </w:p>
          <w:p>
            <w:pPr>
              <w:pStyle w:val="31"/>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显卡：</w:t>
            </w:r>
            <w:r>
              <w:rPr>
                <w:rFonts w:hint="eastAsia" w:hAnsi="宋体" w:eastAsia="宋体" w:cs="宋体"/>
                <w:i w:val="0"/>
                <w:iCs w:val="0"/>
                <w:color w:val="000000"/>
                <w:kern w:val="0"/>
                <w:sz w:val="18"/>
                <w:szCs w:val="18"/>
                <w:u w:val="none"/>
                <w:lang w:val="en-US" w:eastAsia="zh-CN" w:bidi="ar"/>
              </w:rPr>
              <w:t>RX550-4G</w:t>
            </w:r>
            <w:r>
              <w:rPr>
                <w:rFonts w:hint="default" w:ascii="宋体" w:hAnsi="宋体" w:eastAsia="宋体" w:cs="宋体"/>
                <w:i w:val="0"/>
                <w:iCs w:val="0"/>
                <w:color w:val="000000"/>
                <w:kern w:val="0"/>
                <w:sz w:val="18"/>
                <w:szCs w:val="18"/>
                <w:u w:val="none"/>
                <w:lang w:val="en-US" w:eastAsia="zh-CN" w:bidi="ar"/>
              </w:rPr>
              <w:t>显卡</w:t>
            </w:r>
            <w:r>
              <w:rPr>
                <w:rFonts w:hint="eastAsia" w:ascii="宋体" w:hAnsi="宋体" w:eastAsia="宋体" w:cs="宋体"/>
                <w:i w:val="0"/>
                <w:iCs w:val="0"/>
                <w:color w:val="000000"/>
                <w:kern w:val="0"/>
                <w:sz w:val="18"/>
                <w:szCs w:val="18"/>
                <w:u w:val="none"/>
                <w:lang w:val="en-US" w:eastAsia="zh-CN" w:bidi="ar"/>
              </w:rPr>
              <w:t>、显存容量：</w:t>
            </w:r>
            <w:r>
              <w:rPr>
                <w:rFonts w:hint="eastAsia" w:hAnsi="宋体" w:eastAsia="宋体" w:cs="宋体"/>
                <w:i w:val="0"/>
                <w:iCs w:val="0"/>
                <w:color w:val="000000"/>
                <w:kern w:val="0"/>
                <w:sz w:val="18"/>
                <w:szCs w:val="18"/>
                <w:u w:val="none"/>
                <w:lang w:val="en-US" w:eastAsia="zh-CN" w:bidi="ar"/>
              </w:rPr>
              <w:t>4GB</w:t>
            </w:r>
            <w:r>
              <w:rPr>
                <w:rFonts w:hint="eastAsia" w:ascii="宋体" w:hAnsi="宋体" w:eastAsia="宋体" w:cs="宋体"/>
                <w:i w:val="0"/>
                <w:iCs w:val="0"/>
                <w:color w:val="000000"/>
                <w:kern w:val="0"/>
                <w:sz w:val="18"/>
                <w:szCs w:val="18"/>
                <w:u w:val="none"/>
                <w:lang w:val="en-US" w:eastAsia="zh-CN" w:bidi="ar"/>
              </w:rPr>
              <w:t>、</w:t>
            </w:r>
          </w:p>
          <w:p>
            <w:pPr>
              <w:pStyle w:val="31"/>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显存位宽：128bit；</w:t>
            </w:r>
          </w:p>
          <w:p>
            <w:pPr>
              <w:pStyle w:val="31"/>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操作系统：</w:t>
            </w:r>
            <w:r>
              <w:rPr>
                <w:rFonts w:hint="eastAsia" w:ascii="宋体" w:hAnsi="宋体" w:eastAsia="宋体" w:cs="宋体"/>
                <w:i w:val="0"/>
                <w:iCs w:val="0"/>
                <w:color w:val="000000"/>
                <w:kern w:val="0"/>
                <w:sz w:val="18"/>
                <w:szCs w:val="18"/>
                <w:u w:val="none"/>
                <w:lang w:val="en-US" w:eastAsia="zh-CN" w:bidi="ar"/>
              </w:rPr>
              <w:t>正版主流国产操作系统（简体中文）</w:t>
            </w:r>
          </w:p>
          <w:p>
            <w:pPr>
              <w:pStyle w:val="31"/>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软件：正版主流国产办公软件（文字、表格、演示，PDF阅读等多种功能）</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功能概述：键鼠套装</w:t>
            </w:r>
          </w:p>
          <w:p>
            <w:pPr>
              <w:pStyle w:val="31"/>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消耗功率：500/750W高功率自适应电源</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受理机显示器 （VGA/HDMI）</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安装方式：中控值班室放置安装</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pStyle w:val="31"/>
              <w:rPr>
                <w:rFonts w:hint="default" w:ascii="宋体" w:hAnsi="宋体" w:eastAsia="宋体" w:cs="宋体"/>
                <w:i w:val="0"/>
                <w:iCs w:val="0"/>
                <w:color w:val="000000"/>
                <w:kern w:val="0"/>
                <w:sz w:val="18"/>
                <w:szCs w:val="18"/>
                <w:u w:val="none"/>
                <w:lang w:val="en-US" w:eastAsia="zh-CN" w:bidi="ar"/>
              </w:rPr>
            </w:pPr>
            <w:r>
              <w:rPr>
                <w:rFonts w:hint="eastAsia" w:hAnsi="宋体" w:eastAsia="宋体" w:cs="宋体"/>
                <w:i w:val="0"/>
                <w:iCs w:val="0"/>
                <w:color w:val="000000"/>
                <w:kern w:val="0"/>
                <w:sz w:val="18"/>
                <w:szCs w:val="18"/>
                <w:u w:val="none"/>
                <w:lang w:val="en-US" w:eastAsia="zh-CN" w:bidi="ar"/>
              </w:rPr>
              <w:t>国产知名品牌</w:t>
            </w:r>
          </w:p>
          <w:p>
            <w:pPr>
              <w:pStyle w:val="31"/>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尺寸：</w:t>
            </w:r>
            <w:r>
              <w:rPr>
                <w:rFonts w:hint="eastAsia" w:ascii="宋体" w:hAnsi="宋体" w:eastAsia="宋体" w:cs="宋体"/>
                <w:i w:val="0"/>
                <w:iCs w:val="0"/>
                <w:color w:val="000000"/>
                <w:kern w:val="0"/>
                <w:sz w:val="18"/>
                <w:szCs w:val="18"/>
                <w:u w:val="none"/>
                <w:lang w:val="en-US" w:eastAsia="zh-CN" w:bidi="ar"/>
              </w:rPr>
              <w:t>31.5-32英寸</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屏幕比例：16:9</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接口类型：HDMI2.0+DP1.2+Type-C Gen1</w:t>
            </w:r>
          </w:p>
          <w:p>
            <w:pPr>
              <w:pStyle w:val="31"/>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分辨率：2560*1440分辨率</w:t>
            </w:r>
            <w:r>
              <w:rPr>
                <w:rFonts w:hint="eastAsia" w:ascii="宋体" w:hAnsi="宋体" w:eastAsia="宋体" w:cs="宋体"/>
                <w:i w:val="0"/>
                <w:iCs w:val="0"/>
                <w:color w:val="000000"/>
                <w:kern w:val="0"/>
                <w:sz w:val="18"/>
                <w:szCs w:val="18"/>
                <w:u w:val="none"/>
                <w:lang w:val="en-US" w:eastAsia="zh-CN" w:bidi="ar"/>
              </w:rPr>
              <w:t>或以上，德国莱茵TÜV低蓝光</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亮度:250 cd/m2</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响应时间：5ms</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刷新率：</w:t>
            </w:r>
            <w:r>
              <w:rPr>
                <w:rFonts w:hint="eastAsia" w:ascii="宋体" w:hAnsi="宋体" w:eastAsia="宋体" w:cs="宋体"/>
                <w:i w:val="0"/>
                <w:iCs w:val="0"/>
                <w:color w:val="000000"/>
                <w:kern w:val="0"/>
                <w:sz w:val="18"/>
                <w:szCs w:val="18"/>
                <w:u w:val="none"/>
                <w:lang w:val="en-US" w:eastAsia="zh-CN" w:bidi="ar"/>
              </w:rPr>
              <w:t>75</w:t>
            </w:r>
            <w:r>
              <w:rPr>
                <w:rFonts w:hint="default" w:ascii="宋体" w:hAnsi="宋体" w:eastAsia="宋体" w:cs="宋体"/>
                <w:i w:val="0"/>
                <w:iCs w:val="0"/>
                <w:color w:val="000000"/>
                <w:kern w:val="0"/>
                <w:sz w:val="18"/>
                <w:szCs w:val="18"/>
                <w:u w:val="none"/>
                <w:lang w:val="en-US" w:eastAsia="zh-CN" w:bidi="ar"/>
              </w:rPr>
              <w:t>Hz</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可视角度:178°/178°</w:t>
            </w:r>
          </w:p>
          <w:p>
            <w:pPr>
              <w:pStyle w:val="31"/>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支持壁挂：是，壁挂尺寸 100×100mm</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网络交换机（16口，100M）</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安装方式：中控机柜导轨挂装</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pStyle w:val="31"/>
              <w:rPr>
                <w:rFonts w:hint="eastAsia" w:ascii="宋体" w:hAnsi="宋体" w:eastAsia="宋体" w:cs="宋体"/>
                <w:i w:val="0"/>
                <w:iCs w:val="0"/>
                <w:color w:val="000000"/>
                <w:kern w:val="0"/>
                <w:sz w:val="18"/>
                <w:szCs w:val="18"/>
                <w:u w:val="none"/>
                <w:lang w:val="en-US" w:eastAsia="zh-CN" w:bidi="ar"/>
              </w:rPr>
            </w:pPr>
            <w:r>
              <w:rPr>
                <w:rFonts w:hint="eastAsia" w:hAnsi="宋体" w:eastAsia="宋体" w:cs="宋体"/>
                <w:i w:val="0"/>
                <w:iCs w:val="0"/>
                <w:color w:val="000000"/>
                <w:kern w:val="0"/>
                <w:sz w:val="18"/>
                <w:szCs w:val="18"/>
                <w:u w:val="none"/>
                <w:lang w:val="en-US" w:eastAsia="zh-CN" w:bidi="ar"/>
              </w:rPr>
              <w:t>国产知名品牌</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应用层级：二层</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传输速率：10/100Mbps</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交换方式：存储转发</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背板带宽：3.2Gbps</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包转发率：2.38Mpps</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端口结构：非模块化</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端口数量：16</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端口类型：10/100Base-TX</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网络标准：IEEE802.3、IEEE802.3u、IEEE802.3x</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电源电压：100-240V AC</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9"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GST智慧消防物联网系统（10 联网单位）</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平台软件开发及使用，不限使用年限，正版合法授权</w:t>
            </w:r>
          </w:p>
        </w:tc>
        <w:tc>
          <w:tcPr>
            <w:tcW w:w="3941"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1.系统标配功能：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1.1报警监控功能，含警情GIS显示功能（在线地图）、报警分层图显示功能、警情分类指示功能、联网单位状态指示功能、警情接警处理功能、接警电话通话管理功能、警情视频联动显示功能、警情查询统计功能。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1.2消控室值班查岗功能，含值班查岗状态指示功能、自动查岗功能、手动查岗功能、视频查岗功能、查岗结果查询统计功能。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1.3建筑消防水系统状态监测功能，含消防水系统压力、液位超限报警指示功能、消防水系统压力、液位实时数据和历史数据显示功能、 消防水泵异常状态指示功能、水泵状态图形显示功能、水系统警报查询统计功能。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1.4视频监控功能（视频接入采用RTSP拉流的方式），含视频设备状态指示功能、视频设备分级列表显示功能、视频设备分层图显示功能、视频手动查看功能、视频智能分析报警功能。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1.5用户信息传输装置状态监控功能，含传输装置状态实时指示功能、传输装置状态列表显示功能、传输装置状态警情查询统计功能。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1.6系统服务监控功能，含系统的服务、内存、硬盘状态自动监控功能，系统运行异常状态指示功能。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1.7第三方信息推送及数据查询接口功能，使用HTTP REST API方式对外提供消防系统基础数据的采集和查询等功能，使用消息队列（rabbitmq）进行实时警情推送。</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2.系统可以通过选择扩展功能获得更多的功能，监控中心系统扩展功能。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 系统可以按照客户的需求进行部分功能的定制，见三、软件定制开发。</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4.用于用户终端数量在10个以下（含10个）消防联网系统的建设。</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产品包内容：1x安装U盘、1x加密狗、1x包装盒、1x产品说明书。</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386"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GST智慧消防物联网系统-3D建模定制开发</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平台软件开发及使用，不限使用年限</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负一层平面图、负二平面图、综合楼一楼平面图、综合楼二楼平面图、综合楼三楼平面图进行3D建模优化。</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GST智慧消防物联网系统-定制报表</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平台软件开发及使用，不限使用年限</w:t>
            </w:r>
            <w:r>
              <w:rPr>
                <w:rFonts w:hint="eastAsia" w:ascii="宋体" w:hAnsi="宋体" w:cs="宋体"/>
                <w:i w:val="0"/>
                <w:iCs w:val="0"/>
                <w:color w:val="000000"/>
                <w:kern w:val="0"/>
                <w:sz w:val="18"/>
                <w:szCs w:val="18"/>
                <w:u w:val="none"/>
                <w:lang w:val="en-US" w:eastAsia="zh-CN" w:bidi="ar"/>
              </w:rPr>
              <w:t>，正版合法授权</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设备状态报表：展示消防设备的运行状态，如火灾探测器、报警器、灭火设备等的工作情况。</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报警信息报表：记录火灾报警的时间、地点、类型等详细信息。</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巡检记录报表：包括巡检人员的巡检时间、地点、发现的问题等。</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故障统计报表：统计设备故障的类型、次数、修复情况等。</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能耗分析报表：分析消防设备的能耗情况，以便优化能源管理。</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数据分析报表：对系统收集的数据进行分析，提供趋势分析、对比分析等。</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用户行为报表：记录用户对系统的操作记录，如登录、操作记录等。</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GST智慧消防物联网系统-视频监控定制开发</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平台软件开发及使用，不限使用年限</w:t>
            </w:r>
            <w:r>
              <w:rPr>
                <w:rFonts w:hint="eastAsia" w:ascii="宋体" w:hAnsi="宋体" w:cs="宋体"/>
                <w:i w:val="0"/>
                <w:iCs w:val="0"/>
                <w:color w:val="000000"/>
                <w:kern w:val="0"/>
                <w:sz w:val="18"/>
                <w:szCs w:val="18"/>
                <w:u w:val="none"/>
                <w:lang w:val="en-US" w:eastAsia="zh-CN" w:bidi="ar"/>
              </w:rPr>
              <w:t>，正版合法授权</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途及功能：与现有视频监控系统进行联动消防视频监控联动是智慧消防系统中的重要功能。消防系统中的火灾探测器、烟雾报警器等设备触发报警时，系统能够自动将相关的视频监控画面切换到主屏幕或特定显示区域，以便值班人员或相关人员可以迅速直观地查看现场情况。</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GST智慧消防物联网系统-防火巡查系统</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平台软件开发及使用，不限使用年限</w:t>
            </w:r>
            <w:r>
              <w:rPr>
                <w:rFonts w:hint="eastAsia" w:ascii="宋体" w:hAnsi="宋体" w:cs="宋体"/>
                <w:i w:val="0"/>
                <w:iCs w:val="0"/>
                <w:color w:val="000000"/>
                <w:kern w:val="0"/>
                <w:sz w:val="18"/>
                <w:szCs w:val="18"/>
                <w:u w:val="none"/>
                <w:lang w:val="en-US" w:eastAsia="zh-CN" w:bidi="ar"/>
              </w:rPr>
              <w:t>，正版合法授权</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1.防火巡查子系统协助设备使用方高效的组织开展防火巡查工作，借助单位巡查任务、单位临时用火用电管理、单位消防隐患处理等模块全面管控单位各项火灾风险，将单位火灾防控工作全面电子化。</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2.防火巡查子系统依托与条形码、NFC电子标签等工具，严格规范单位日常防火巡查工作，真正做到有据可依、有迹可寻。</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3.提供消防设施管理功能，巡查人员管理功能，巡查人员管理，巡查点建立及管理功能，巡查任务创建及管理功能，消防隐患报告及处理跟踪功能，临时用火用电管理功能，巡查结果查询统计功能。</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网络安全等级保护评定</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委托有资质的第三方进行网络安全等级保护评定，本项目新增智慧化系统采用分公司内部局域网连接，用于企业内部消防设备设施的监控，信息系统受到破坏后，不会对社会秩序和公共利益造成损害，不损害国家安全。故计划评定为第一级（自主保护级）</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评定范围：企业局域网，本项目新增的网络设备及系统软件</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9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 w:val="18"/>
                <w:szCs w:val="18"/>
              </w:rPr>
              <w:t>项目不含税总金额：</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9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 w:val="18"/>
                <w:szCs w:val="18"/>
                <w:lang w:val="en-US" w:eastAsia="zh-CN"/>
              </w:rPr>
              <w:t>一般纳税人为13</w:t>
            </w:r>
            <w:r>
              <w:rPr>
                <w:rFonts w:hint="eastAsia" w:ascii="宋体" w:hAnsi="宋体" w:cs="宋体"/>
                <w:color w:val="000000"/>
                <w:kern w:val="0"/>
                <w:sz w:val="18"/>
                <w:szCs w:val="18"/>
              </w:rPr>
              <w:t>%增值税：</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089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 w:val="18"/>
                <w:szCs w:val="18"/>
              </w:rPr>
              <w:t>项目含税总金额：</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(大写:</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9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以上报价包含本项目所需电气管线布置、安装调试</w:t>
            </w:r>
          </w:p>
        </w:tc>
      </w:tr>
    </w:tbl>
    <w:p>
      <w:pPr>
        <w:numPr>
          <w:ilvl w:val="-1"/>
          <w:numId w:val="0"/>
        </w:numPr>
      </w:pPr>
    </w:p>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bookmarkStart w:id="113" w:name="_Toc88209965"/>
      <w:bookmarkStart w:id="114" w:name="_Toc87616402"/>
      <w:bookmarkStart w:id="115" w:name="_Toc16386"/>
      <w:bookmarkStart w:id="116" w:name="_Toc6058"/>
      <w:r>
        <w:rPr>
          <w:rFonts w:hint="eastAsia" w:ascii="仿宋_GB2312" w:hAnsi="仿宋_GB2312" w:eastAsia="仿宋" w:cs="仿宋_GB2312"/>
          <w:color w:val="auto"/>
          <w:sz w:val="24"/>
          <w:szCs w:val="24"/>
          <w:highlight w:val="none"/>
          <w:shd w:val="clear" w:color="auto" w:fill="auto"/>
          <w:lang w:val="en-US" w:eastAsia="zh-CN"/>
        </w:rPr>
        <w:t>注：以上报价包括但不限于人工费、材料费、安装费、运输费、装卸费、加班费、材料运输费用及各项税费等全部费用。</w:t>
      </w:r>
    </w:p>
    <w:p>
      <w:pPr>
        <w:pStyle w:val="5"/>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5"/>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5"/>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adjustRightInd w:val="0"/>
        <w:snapToGrid w:val="0"/>
        <w:spacing w:line="300" w:lineRule="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w:t>
      </w:r>
    </w:p>
    <w:p>
      <w:pPr>
        <w:pStyle w:val="20"/>
        <w:ind w:firstLine="7000" w:firstLineChars="2500"/>
        <w:rPr>
          <w:rFonts w:hint="eastAsia" w:ascii="仿宋" w:hAnsi="仿宋" w:eastAsia="仿宋" w:cs="仿宋_GB2312"/>
          <w:color w:val="auto"/>
          <w:kern w:val="2"/>
          <w:szCs w:val="28"/>
          <w:highlight w:val="none"/>
        </w:rPr>
      </w:pPr>
      <w:r>
        <w:rPr>
          <w:rFonts w:hint="eastAsia" w:ascii="仿宋_GB2312" w:hAnsi="仿宋_GB2312" w:eastAsia="仿宋" w:cs="仿宋_GB2312"/>
          <w:color w:val="auto"/>
          <w:sz w:val="28"/>
          <w:szCs w:val="28"/>
          <w:highlight w:val="none"/>
          <w:shd w:val="clear" w:color="auto" w:fill="auto"/>
          <w:lang w:val="en-US" w:eastAsia="zh-CN"/>
        </w:rPr>
        <w:t xml:space="preserve">  年  月  日 </w:t>
      </w:r>
    </w:p>
    <w:p>
      <w:pPr>
        <w:pStyle w:val="20"/>
        <w:rPr>
          <w:rFonts w:hint="eastAsia" w:ascii="仿宋" w:hAnsi="仿宋" w:eastAsia="仿宋" w:cs="仿宋_GB2312"/>
          <w:color w:val="auto"/>
          <w:kern w:val="2"/>
          <w:szCs w:val="28"/>
          <w:highlight w:val="none"/>
        </w:rPr>
      </w:pPr>
    </w:p>
    <w:p>
      <w:pPr>
        <w:pStyle w:val="20"/>
        <w:rPr>
          <w:rFonts w:hint="eastAsia" w:ascii="仿宋" w:hAnsi="仿宋" w:eastAsia="仿宋" w:cs="仿宋_GB2312"/>
          <w:color w:val="auto"/>
          <w:kern w:val="2"/>
          <w:szCs w:val="28"/>
          <w:highlight w:val="none"/>
        </w:rPr>
      </w:pP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6.其他资料</w:t>
      </w:r>
    </w:p>
    <w:p>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bookmarkEnd w:id="113"/>
    <w:bookmarkEnd w:id="114"/>
    <w:bookmarkEnd w:id="115"/>
    <w:bookmarkEnd w:id="116"/>
    <w:p>
      <w:pPr>
        <w:rPr>
          <w:color w:val="auto"/>
          <w:highlight w:val="none"/>
        </w:rPr>
      </w:pPr>
    </w:p>
    <w:sectPr>
      <w:footerReference r:id="rId8"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_GB2312">
    <w:altName w:val="仿宋"/>
    <w:panose1 w:val="02000000000000000000"/>
    <w:charset w:val="86"/>
    <w:family w:val="auto"/>
    <w:pitch w:val="default"/>
    <w:sig w:usb0="00000000" w:usb1="00000000" w:usb2="00000012"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BZC8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rShy3OPHzzx/nX3/Ov7+T&#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YFkLyQEAAJoDAAAOAAAAAAAAAAEAIAAAAB4BAABkcnMvZTJvRG9j&#10;LnhtbFBLBQYAAAAABgAGAFkBAABZBQ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oEPsgBAACb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5eUOG5x4pfv3y4/fl1+fiXL&#10;IlAfoMa8h4CZaXjjB1ybLFz2Azoz70FFm7/IiGAc5T1f5ZVDIiI/Wq/W6wpDAmPzBXHY7XmIkN5K&#10;b0k2GhpxfkVWfnoPaUydU3I15++1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9aBD7IAQAAmwMAAA4AAAAAAAAAAQAgAAAAHgEAAGRycy9lMm9Eb2Mu&#10;eG1sUEsFBgAAAAAGAAYAWQEAAFgFA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98923801"/>
                          </w:sdtPr>
                          <w:sdtContent>
                            <w:p>
                              <w:pPr>
                                <w:pStyle w:val="15"/>
                                <w:ind w:left="2250" w:hanging="1200"/>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298923801"/>
                    </w:sdtPr>
                    <w:sdtContent>
                      <w:p>
                        <w:pPr>
                          <w:pStyle w:val="15"/>
                          <w:ind w:left="2250" w:hanging="1200"/>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dRJ8c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8dRJ8cBAACaAwAADgAAAAAAAAABACAAAAAeAQAAZHJzL2Uyb0RvYy54&#10;bWxQSwUGAAAAAAYABgBZAQAAVwU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DuR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bBxC1PuubFGuB+HN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w7kbIAQAAmgMAAA4AAAAAAAAAAQAgAAAAHgEAAGRycy9lMm9Eb2Mu&#10;eG1sUEsFBgAAAAAGAAYAWQEAAFgFA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33AE0"/>
    <w:multiLevelType w:val="singleLevel"/>
    <w:tmpl w:val="8DA33AE0"/>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D6DB4D3"/>
    <w:multiLevelType w:val="singleLevel"/>
    <w:tmpl w:val="DD6DB4D3"/>
    <w:lvl w:ilvl="0" w:tentative="0">
      <w:start w:val="1"/>
      <w:numFmt w:val="decimal"/>
      <w:lvlText w:val="%1)"/>
      <w:lvlJc w:val="left"/>
      <w:pPr>
        <w:ind w:left="425" w:hanging="425"/>
      </w:pPr>
      <w:rPr>
        <w:rFonts w:hint="default" w:ascii="仿宋" w:hAnsi="仿宋" w:eastAsia="仿宋" w:cs="仿宋"/>
        <w:sz w:val="28"/>
        <w:szCs w:val="28"/>
      </w:rPr>
    </w:lvl>
  </w:abstractNum>
  <w:abstractNum w:abstractNumId="3">
    <w:nsid w:val="159451C0"/>
    <w:multiLevelType w:val="singleLevel"/>
    <w:tmpl w:val="159451C0"/>
    <w:lvl w:ilvl="0" w:tentative="0">
      <w:start w:val="1"/>
      <w:numFmt w:val="decimal"/>
      <w:lvlText w:val="%1."/>
      <w:lvlJc w:val="left"/>
      <w:pPr>
        <w:tabs>
          <w:tab w:val="left" w:pos="312"/>
        </w:tabs>
      </w:pPr>
    </w:lvl>
  </w:abstractNum>
  <w:abstractNum w:abstractNumId="4">
    <w:nsid w:val="1812A9D0"/>
    <w:multiLevelType w:val="singleLevel"/>
    <w:tmpl w:val="1812A9D0"/>
    <w:lvl w:ilvl="0" w:tentative="0">
      <w:start w:val="1"/>
      <w:numFmt w:val="decimal"/>
      <w:lvlText w:val="%1."/>
      <w:lvlJc w:val="left"/>
      <w:pPr>
        <w:tabs>
          <w:tab w:val="left" w:pos="312"/>
        </w:tabs>
      </w:p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 w:name="KSO_WPS_MARK_KEY" w:val="2957899f-05d1-4f8f-946c-d44e8c688c40"/>
  </w:docVars>
  <w:rsids>
    <w:rsidRoot w:val="005D618A"/>
    <w:rsid w:val="003D60BA"/>
    <w:rsid w:val="00411689"/>
    <w:rsid w:val="005D618A"/>
    <w:rsid w:val="00911ECD"/>
    <w:rsid w:val="00A042E0"/>
    <w:rsid w:val="00B26BB1"/>
    <w:rsid w:val="00B26E21"/>
    <w:rsid w:val="00D5767A"/>
    <w:rsid w:val="00F83B64"/>
    <w:rsid w:val="013E3461"/>
    <w:rsid w:val="01A51B86"/>
    <w:rsid w:val="01BF3FE0"/>
    <w:rsid w:val="01D043FF"/>
    <w:rsid w:val="01D95EFA"/>
    <w:rsid w:val="02090C75"/>
    <w:rsid w:val="02A23A3C"/>
    <w:rsid w:val="02CE606D"/>
    <w:rsid w:val="034747AF"/>
    <w:rsid w:val="035A0C6F"/>
    <w:rsid w:val="03822D3F"/>
    <w:rsid w:val="038447F3"/>
    <w:rsid w:val="039110A9"/>
    <w:rsid w:val="03AC246A"/>
    <w:rsid w:val="03B23056"/>
    <w:rsid w:val="03DC3EBA"/>
    <w:rsid w:val="03F9794D"/>
    <w:rsid w:val="046A2461"/>
    <w:rsid w:val="051A4589"/>
    <w:rsid w:val="051C2970"/>
    <w:rsid w:val="055406CA"/>
    <w:rsid w:val="06C64829"/>
    <w:rsid w:val="06D77967"/>
    <w:rsid w:val="076F25CB"/>
    <w:rsid w:val="077D16D2"/>
    <w:rsid w:val="07945DC6"/>
    <w:rsid w:val="08113F12"/>
    <w:rsid w:val="082A69F3"/>
    <w:rsid w:val="08561AC2"/>
    <w:rsid w:val="08675FC8"/>
    <w:rsid w:val="086E5E0A"/>
    <w:rsid w:val="091870A2"/>
    <w:rsid w:val="0956230E"/>
    <w:rsid w:val="09B713FD"/>
    <w:rsid w:val="09EF6ACC"/>
    <w:rsid w:val="0A315056"/>
    <w:rsid w:val="0AC10AB1"/>
    <w:rsid w:val="0ACA0DDE"/>
    <w:rsid w:val="0AF10769"/>
    <w:rsid w:val="0AFB45AD"/>
    <w:rsid w:val="0B351E9B"/>
    <w:rsid w:val="0B4C50D3"/>
    <w:rsid w:val="0B806B92"/>
    <w:rsid w:val="0B827E94"/>
    <w:rsid w:val="0BD070E1"/>
    <w:rsid w:val="0C247926"/>
    <w:rsid w:val="0C6D41C8"/>
    <w:rsid w:val="0D794204"/>
    <w:rsid w:val="0E2125D1"/>
    <w:rsid w:val="0E214211"/>
    <w:rsid w:val="0E5F2769"/>
    <w:rsid w:val="0EDE51A1"/>
    <w:rsid w:val="0F4D75A3"/>
    <w:rsid w:val="0F5B2DCA"/>
    <w:rsid w:val="0FED051E"/>
    <w:rsid w:val="0FEE4C29"/>
    <w:rsid w:val="10046082"/>
    <w:rsid w:val="100C654D"/>
    <w:rsid w:val="108B4A83"/>
    <w:rsid w:val="111703D2"/>
    <w:rsid w:val="112B101A"/>
    <w:rsid w:val="1194515E"/>
    <w:rsid w:val="119B53FC"/>
    <w:rsid w:val="12424CDC"/>
    <w:rsid w:val="126E7188"/>
    <w:rsid w:val="128A572B"/>
    <w:rsid w:val="129A2738"/>
    <w:rsid w:val="12B56BF1"/>
    <w:rsid w:val="12CB1A89"/>
    <w:rsid w:val="131751EF"/>
    <w:rsid w:val="131840FB"/>
    <w:rsid w:val="13467417"/>
    <w:rsid w:val="136E76CF"/>
    <w:rsid w:val="136F05BC"/>
    <w:rsid w:val="13A6508C"/>
    <w:rsid w:val="14E03833"/>
    <w:rsid w:val="15776308"/>
    <w:rsid w:val="15BC6B3C"/>
    <w:rsid w:val="15D05B4B"/>
    <w:rsid w:val="15E753AD"/>
    <w:rsid w:val="163558D0"/>
    <w:rsid w:val="164D40B0"/>
    <w:rsid w:val="1694429A"/>
    <w:rsid w:val="16B51304"/>
    <w:rsid w:val="17635326"/>
    <w:rsid w:val="177426D3"/>
    <w:rsid w:val="18236EFD"/>
    <w:rsid w:val="189B4138"/>
    <w:rsid w:val="189D5B1F"/>
    <w:rsid w:val="18A34CD0"/>
    <w:rsid w:val="19800729"/>
    <w:rsid w:val="19A53EA8"/>
    <w:rsid w:val="19B64DBC"/>
    <w:rsid w:val="1A373ACF"/>
    <w:rsid w:val="1A37418B"/>
    <w:rsid w:val="1A7E0D17"/>
    <w:rsid w:val="1A895341"/>
    <w:rsid w:val="1A99487A"/>
    <w:rsid w:val="1A9A3595"/>
    <w:rsid w:val="1B0D071F"/>
    <w:rsid w:val="1B4568CE"/>
    <w:rsid w:val="1B6573DB"/>
    <w:rsid w:val="1B9015B7"/>
    <w:rsid w:val="1BB137ED"/>
    <w:rsid w:val="1BF54245"/>
    <w:rsid w:val="1C041A94"/>
    <w:rsid w:val="1D0E6976"/>
    <w:rsid w:val="1D5A79EE"/>
    <w:rsid w:val="1D712256"/>
    <w:rsid w:val="1DFE521F"/>
    <w:rsid w:val="1E0E2CD0"/>
    <w:rsid w:val="1E7531C0"/>
    <w:rsid w:val="1E7B6870"/>
    <w:rsid w:val="1E831280"/>
    <w:rsid w:val="1EBC4704"/>
    <w:rsid w:val="1ECB3353"/>
    <w:rsid w:val="1ED91B59"/>
    <w:rsid w:val="1F172EB5"/>
    <w:rsid w:val="1F917B02"/>
    <w:rsid w:val="1F94592D"/>
    <w:rsid w:val="1FB860DE"/>
    <w:rsid w:val="203C5A02"/>
    <w:rsid w:val="209D4C94"/>
    <w:rsid w:val="20A23F56"/>
    <w:rsid w:val="20E84705"/>
    <w:rsid w:val="218400BA"/>
    <w:rsid w:val="219F5EBD"/>
    <w:rsid w:val="21AB1E2F"/>
    <w:rsid w:val="21D40498"/>
    <w:rsid w:val="22767047"/>
    <w:rsid w:val="227E1CD5"/>
    <w:rsid w:val="22A31EF1"/>
    <w:rsid w:val="23087F7D"/>
    <w:rsid w:val="23A05588"/>
    <w:rsid w:val="240476A1"/>
    <w:rsid w:val="241677BD"/>
    <w:rsid w:val="245E5DAF"/>
    <w:rsid w:val="25431AEB"/>
    <w:rsid w:val="259352D5"/>
    <w:rsid w:val="25BF43FD"/>
    <w:rsid w:val="25F86BCD"/>
    <w:rsid w:val="2605748B"/>
    <w:rsid w:val="269E416A"/>
    <w:rsid w:val="26D60AE7"/>
    <w:rsid w:val="272100D3"/>
    <w:rsid w:val="272C72FC"/>
    <w:rsid w:val="275131CB"/>
    <w:rsid w:val="27EB149D"/>
    <w:rsid w:val="27FD3E52"/>
    <w:rsid w:val="28B30B78"/>
    <w:rsid w:val="28E11370"/>
    <w:rsid w:val="294A756A"/>
    <w:rsid w:val="29781BF8"/>
    <w:rsid w:val="29C33ED0"/>
    <w:rsid w:val="29D5322D"/>
    <w:rsid w:val="2A025DD9"/>
    <w:rsid w:val="2A2619CB"/>
    <w:rsid w:val="2A715316"/>
    <w:rsid w:val="2A7C2231"/>
    <w:rsid w:val="2ABB753D"/>
    <w:rsid w:val="2B575A48"/>
    <w:rsid w:val="2B7A49FA"/>
    <w:rsid w:val="2BD21300"/>
    <w:rsid w:val="2C292579"/>
    <w:rsid w:val="2C615D26"/>
    <w:rsid w:val="2CAE5AB2"/>
    <w:rsid w:val="2CB679ED"/>
    <w:rsid w:val="2CE40A03"/>
    <w:rsid w:val="2D173C07"/>
    <w:rsid w:val="2D1A32EB"/>
    <w:rsid w:val="2D424A86"/>
    <w:rsid w:val="2D890DCD"/>
    <w:rsid w:val="2E3305CD"/>
    <w:rsid w:val="2E3B3D00"/>
    <w:rsid w:val="2E7B52DB"/>
    <w:rsid w:val="2EF004E6"/>
    <w:rsid w:val="2F324CFE"/>
    <w:rsid w:val="2FA20164"/>
    <w:rsid w:val="2FBA09F1"/>
    <w:rsid w:val="2FEF2ACF"/>
    <w:rsid w:val="3026243D"/>
    <w:rsid w:val="30540211"/>
    <w:rsid w:val="30653073"/>
    <w:rsid w:val="309A31F9"/>
    <w:rsid w:val="30A87547"/>
    <w:rsid w:val="30F57440"/>
    <w:rsid w:val="31005A45"/>
    <w:rsid w:val="31112A0D"/>
    <w:rsid w:val="311F4B20"/>
    <w:rsid w:val="312D7741"/>
    <w:rsid w:val="316F137F"/>
    <w:rsid w:val="31DF525F"/>
    <w:rsid w:val="32324C2E"/>
    <w:rsid w:val="327171DF"/>
    <w:rsid w:val="333A7C40"/>
    <w:rsid w:val="341E3434"/>
    <w:rsid w:val="34BB4442"/>
    <w:rsid w:val="35E07FA2"/>
    <w:rsid w:val="36010FB1"/>
    <w:rsid w:val="36074F8A"/>
    <w:rsid w:val="360B7EBA"/>
    <w:rsid w:val="361C7B4E"/>
    <w:rsid w:val="366E6B49"/>
    <w:rsid w:val="369C32FD"/>
    <w:rsid w:val="37666E72"/>
    <w:rsid w:val="38167A04"/>
    <w:rsid w:val="38F117B0"/>
    <w:rsid w:val="394B167A"/>
    <w:rsid w:val="39B10FA1"/>
    <w:rsid w:val="3A4E4336"/>
    <w:rsid w:val="3A6007FE"/>
    <w:rsid w:val="3B1F36BA"/>
    <w:rsid w:val="3B58123B"/>
    <w:rsid w:val="3B5C4450"/>
    <w:rsid w:val="3B7C2CE4"/>
    <w:rsid w:val="3B9D3C2D"/>
    <w:rsid w:val="3C0B5355"/>
    <w:rsid w:val="3CD4176B"/>
    <w:rsid w:val="3D1F44D9"/>
    <w:rsid w:val="3D5C38CD"/>
    <w:rsid w:val="3D707ECA"/>
    <w:rsid w:val="3DFC754A"/>
    <w:rsid w:val="3E5070F1"/>
    <w:rsid w:val="3F1062AF"/>
    <w:rsid w:val="3F6C3589"/>
    <w:rsid w:val="3F850180"/>
    <w:rsid w:val="3F9004D6"/>
    <w:rsid w:val="400E4D5E"/>
    <w:rsid w:val="40E1138C"/>
    <w:rsid w:val="413814BA"/>
    <w:rsid w:val="41847A25"/>
    <w:rsid w:val="41872511"/>
    <w:rsid w:val="41D946A5"/>
    <w:rsid w:val="41E00475"/>
    <w:rsid w:val="41FB5951"/>
    <w:rsid w:val="422B35B4"/>
    <w:rsid w:val="42466655"/>
    <w:rsid w:val="42C82F57"/>
    <w:rsid w:val="43C76AF7"/>
    <w:rsid w:val="441F13F8"/>
    <w:rsid w:val="446828F0"/>
    <w:rsid w:val="45093E85"/>
    <w:rsid w:val="45C13B4D"/>
    <w:rsid w:val="45EB2FC3"/>
    <w:rsid w:val="46054BCA"/>
    <w:rsid w:val="46393E5F"/>
    <w:rsid w:val="464C6AFC"/>
    <w:rsid w:val="465E7D59"/>
    <w:rsid w:val="468B0091"/>
    <w:rsid w:val="46A107C3"/>
    <w:rsid w:val="46B15CE2"/>
    <w:rsid w:val="46BE113D"/>
    <w:rsid w:val="46E44B13"/>
    <w:rsid w:val="4703508A"/>
    <w:rsid w:val="475023F8"/>
    <w:rsid w:val="479D361E"/>
    <w:rsid w:val="47B74789"/>
    <w:rsid w:val="47D87096"/>
    <w:rsid w:val="480F2B9D"/>
    <w:rsid w:val="48282920"/>
    <w:rsid w:val="485321E0"/>
    <w:rsid w:val="48546AD3"/>
    <w:rsid w:val="48CA4868"/>
    <w:rsid w:val="48E75FAF"/>
    <w:rsid w:val="48EA5238"/>
    <w:rsid w:val="48F005D3"/>
    <w:rsid w:val="493A3899"/>
    <w:rsid w:val="494E6AD6"/>
    <w:rsid w:val="498F4AF1"/>
    <w:rsid w:val="49C05787"/>
    <w:rsid w:val="49C50F63"/>
    <w:rsid w:val="49CF518D"/>
    <w:rsid w:val="4A814F24"/>
    <w:rsid w:val="4ADA1F63"/>
    <w:rsid w:val="4AE23D89"/>
    <w:rsid w:val="4AF869CF"/>
    <w:rsid w:val="4B2038D0"/>
    <w:rsid w:val="4B296E7D"/>
    <w:rsid w:val="4B877F28"/>
    <w:rsid w:val="4BE12B49"/>
    <w:rsid w:val="4C481290"/>
    <w:rsid w:val="4CAC43AA"/>
    <w:rsid w:val="4D916BA6"/>
    <w:rsid w:val="4DC44169"/>
    <w:rsid w:val="4DDC4386"/>
    <w:rsid w:val="4E5466E1"/>
    <w:rsid w:val="4E9A48CE"/>
    <w:rsid w:val="4EA85250"/>
    <w:rsid w:val="4EF0709E"/>
    <w:rsid w:val="4F0469A4"/>
    <w:rsid w:val="4FD4131D"/>
    <w:rsid w:val="4FDC7D82"/>
    <w:rsid w:val="4FE62EC1"/>
    <w:rsid w:val="50D604DF"/>
    <w:rsid w:val="512F1489"/>
    <w:rsid w:val="513C6A7B"/>
    <w:rsid w:val="51FA1437"/>
    <w:rsid w:val="520743E2"/>
    <w:rsid w:val="520F4F36"/>
    <w:rsid w:val="52B36AD0"/>
    <w:rsid w:val="532D486F"/>
    <w:rsid w:val="5333545B"/>
    <w:rsid w:val="538D0E89"/>
    <w:rsid w:val="5450213C"/>
    <w:rsid w:val="54AE6F5B"/>
    <w:rsid w:val="54D24048"/>
    <w:rsid w:val="54D64CD5"/>
    <w:rsid w:val="54F22127"/>
    <w:rsid w:val="55322ADD"/>
    <w:rsid w:val="55887D69"/>
    <w:rsid w:val="55DF4274"/>
    <w:rsid w:val="561A0928"/>
    <w:rsid w:val="56423872"/>
    <w:rsid w:val="56B279F0"/>
    <w:rsid w:val="56EE0C86"/>
    <w:rsid w:val="5711330F"/>
    <w:rsid w:val="57124BAE"/>
    <w:rsid w:val="57137699"/>
    <w:rsid w:val="579D710E"/>
    <w:rsid w:val="57BB540A"/>
    <w:rsid w:val="581F22F6"/>
    <w:rsid w:val="585D2BE3"/>
    <w:rsid w:val="586E1E17"/>
    <w:rsid w:val="58862C35"/>
    <w:rsid w:val="58C0353E"/>
    <w:rsid w:val="58C14957"/>
    <w:rsid w:val="58E4174E"/>
    <w:rsid w:val="59225823"/>
    <w:rsid w:val="592F7A5F"/>
    <w:rsid w:val="59655DB9"/>
    <w:rsid w:val="5A32187C"/>
    <w:rsid w:val="5A5322F0"/>
    <w:rsid w:val="5AA20B3D"/>
    <w:rsid w:val="5AE83A50"/>
    <w:rsid w:val="5B291AC6"/>
    <w:rsid w:val="5BAB2917"/>
    <w:rsid w:val="5BB70152"/>
    <w:rsid w:val="5BFC33FA"/>
    <w:rsid w:val="5C3107A4"/>
    <w:rsid w:val="5C3B1B93"/>
    <w:rsid w:val="5C9220DF"/>
    <w:rsid w:val="5D4A15F3"/>
    <w:rsid w:val="5D69542A"/>
    <w:rsid w:val="5D783B72"/>
    <w:rsid w:val="5E0930EF"/>
    <w:rsid w:val="5E3D4D53"/>
    <w:rsid w:val="5E4717E6"/>
    <w:rsid w:val="5E55774C"/>
    <w:rsid w:val="5E974981"/>
    <w:rsid w:val="5F582A91"/>
    <w:rsid w:val="5F5875E4"/>
    <w:rsid w:val="600122DD"/>
    <w:rsid w:val="60104DDC"/>
    <w:rsid w:val="605C0804"/>
    <w:rsid w:val="610B0DB2"/>
    <w:rsid w:val="6169596C"/>
    <w:rsid w:val="6189617B"/>
    <w:rsid w:val="61A134C4"/>
    <w:rsid w:val="61B52BB6"/>
    <w:rsid w:val="61B749C2"/>
    <w:rsid w:val="6221095A"/>
    <w:rsid w:val="62280D20"/>
    <w:rsid w:val="62CA2457"/>
    <w:rsid w:val="631562F7"/>
    <w:rsid w:val="638240A1"/>
    <w:rsid w:val="63833423"/>
    <w:rsid w:val="639136A8"/>
    <w:rsid w:val="63A5257B"/>
    <w:rsid w:val="63BD3DCC"/>
    <w:rsid w:val="63C61741"/>
    <w:rsid w:val="64505489"/>
    <w:rsid w:val="64560967"/>
    <w:rsid w:val="648F5856"/>
    <w:rsid w:val="64986E00"/>
    <w:rsid w:val="64A769B7"/>
    <w:rsid w:val="64EB28C8"/>
    <w:rsid w:val="6516356E"/>
    <w:rsid w:val="656B1D10"/>
    <w:rsid w:val="65B841F9"/>
    <w:rsid w:val="65F57347"/>
    <w:rsid w:val="66022B28"/>
    <w:rsid w:val="664A38E2"/>
    <w:rsid w:val="66581E87"/>
    <w:rsid w:val="66B872BB"/>
    <w:rsid w:val="66FA11D5"/>
    <w:rsid w:val="67084900"/>
    <w:rsid w:val="674302C7"/>
    <w:rsid w:val="67E96CF8"/>
    <w:rsid w:val="680A5986"/>
    <w:rsid w:val="680D5F4B"/>
    <w:rsid w:val="68113F51"/>
    <w:rsid w:val="68820A62"/>
    <w:rsid w:val="68E83C1F"/>
    <w:rsid w:val="68E94770"/>
    <w:rsid w:val="68F949C9"/>
    <w:rsid w:val="695A4290"/>
    <w:rsid w:val="69FB6FA4"/>
    <w:rsid w:val="6A334932"/>
    <w:rsid w:val="6A3353FF"/>
    <w:rsid w:val="6A340173"/>
    <w:rsid w:val="6A5D63E6"/>
    <w:rsid w:val="6A5F24D1"/>
    <w:rsid w:val="6AE347EB"/>
    <w:rsid w:val="6AE812B3"/>
    <w:rsid w:val="6B112C05"/>
    <w:rsid w:val="6B434AF0"/>
    <w:rsid w:val="6B57675A"/>
    <w:rsid w:val="6B7427A3"/>
    <w:rsid w:val="6BDD7B4D"/>
    <w:rsid w:val="6C47492A"/>
    <w:rsid w:val="6D992A1C"/>
    <w:rsid w:val="6E4E3785"/>
    <w:rsid w:val="6EBC0B3A"/>
    <w:rsid w:val="6EF51C7D"/>
    <w:rsid w:val="6F2D45E9"/>
    <w:rsid w:val="6F8363E5"/>
    <w:rsid w:val="6FC746F5"/>
    <w:rsid w:val="70317AC6"/>
    <w:rsid w:val="7060040D"/>
    <w:rsid w:val="70863262"/>
    <w:rsid w:val="70A76ED3"/>
    <w:rsid w:val="71860B17"/>
    <w:rsid w:val="71B238FB"/>
    <w:rsid w:val="71D40D4C"/>
    <w:rsid w:val="720860A3"/>
    <w:rsid w:val="723902DA"/>
    <w:rsid w:val="723B27CC"/>
    <w:rsid w:val="72687227"/>
    <w:rsid w:val="72A03FD9"/>
    <w:rsid w:val="73406CFF"/>
    <w:rsid w:val="7383028C"/>
    <w:rsid w:val="73965482"/>
    <w:rsid w:val="73A25E44"/>
    <w:rsid w:val="73A3131E"/>
    <w:rsid w:val="741F68CF"/>
    <w:rsid w:val="75252DF3"/>
    <w:rsid w:val="75621536"/>
    <w:rsid w:val="75BE41ED"/>
    <w:rsid w:val="75BF3154"/>
    <w:rsid w:val="7621652A"/>
    <w:rsid w:val="764A07CF"/>
    <w:rsid w:val="764F6B3D"/>
    <w:rsid w:val="76CD2B7B"/>
    <w:rsid w:val="76D80645"/>
    <w:rsid w:val="76E03371"/>
    <w:rsid w:val="77091498"/>
    <w:rsid w:val="7735228D"/>
    <w:rsid w:val="775652A2"/>
    <w:rsid w:val="780E5898"/>
    <w:rsid w:val="782642CC"/>
    <w:rsid w:val="7894095E"/>
    <w:rsid w:val="78964555"/>
    <w:rsid w:val="78CF4963"/>
    <w:rsid w:val="79000679"/>
    <w:rsid w:val="794C511F"/>
    <w:rsid w:val="79A416F0"/>
    <w:rsid w:val="79B03EB6"/>
    <w:rsid w:val="79C06055"/>
    <w:rsid w:val="79DA3E10"/>
    <w:rsid w:val="79FF08DC"/>
    <w:rsid w:val="7A1828C7"/>
    <w:rsid w:val="7AE15A5C"/>
    <w:rsid w:val="7AF057AD"/>
    <w:rsid w:val="7AF37579"/>
    <w:rsid w:val="7AF87F64"/>
    <w:rsid w:val="7B1C0C84"/>
    <w:rsid w:val="7B444D3F"/>
    <w:rsid w:val="7B5A62DF"/>
    <w:rsid w:val="7B7A04A8"/>
    <w:rsid w:val="7C0C3F6D"/>
    <w:rsid w:val="7C22163C"/>
    <w:rsid w:val="7C457B4B"/>
    <w:rsid w:val="7C595075"/>
    <w:rsid w:val="7C6B07B2"/>
    <w:rsid w:val="7D133243"/>
    <w:rsid w:val="7D515947"/>
    <w:rsid w:val="7D945420"/>
    <w:rsid w:val="7DF06F0E"/>
    <w:rsid w:val="7E394207"/>
    <w:rsid w:val="7E4007A2"/>
    <w:rsid w:val="7E791CAD"/>
    <w:rsid w:val="7EA34263"/>
    <w:rsid w:val="7EA50DFB"/>
    <w:rsid w:val="7EC86878"/>
    <w:rsid w:val="7F16390D"/>
    <w:rsid w:val="7F752917"/>
    <w:rsid w:val="7F8454EA"/>
    <w:rsid w:val="7FDB3003"/>
    <w:rsid w:val="7FE37961"/>
    <w:rsid w:val="7FE52A52"/>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qFormat/>
    <w:uiPriority w:val="0"/>
    <w:pPr>
      <w:widowControl w:val="0"/>
      <w:adjustRightInd w:val="0"/>
      <w:spacing w:after="0" w:line="312" w:lineRule="atLeast"/>
      <w:textAlignment w:val="baseline"/>
    </w:pPr>
    <w:rPr>
      <w:rFonts w:ascii="Times New Roman" w:hAnsi="Times New Roman" w:cs="Times New Roman"/>
      <w:color w:val="auto"/>
      <w:kern w:val="0"/>
      <w:szCs w:val="20"/>
    </w:rPr>
  </w:style>
  <w:style w:type="paragraph" w:styleId="7">
    <w:name w:val="Body Text 3"/>
    <w:basedOn w:val="1"/>
    <w:link w:val="44"/>
    <w:unhideWhenUsed/>
    <w:qFormat/>
    <w:uiPriority w:val="99"/>
    <w:pPr>
      <w:spacing w:after="120"/>
    </w:pPr>
    <w:rPr>
      <w:sz w:val="16"/>
      <w:szCs w:val="16"/>
    </w:rPr>
  </w:style>
  <w:style w:type="paragraph" w:styleId="8">
    <w:name w:val="Body Text"/>
    <w:basedOn w:val="1"/>
    <w:qFormat/>
    <w:uiPriority w:val="99"/>
    <w:pPr>
      <w:spacing w:after="120"/>
    </w:pPr>
  </w:style>
  <w:style w:type="paragraph" w:styleId="9">
    <w:name w:val="Body Text Indent"/>
    <w:basedOn w:val="1"/>
    <w:next w:val="10"/>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envelope return"/>
    <w:basedOn w:val="1"/>
    <w:qFormat/>
    <w:uiPriority w:val="0"/>
    <w:pPr>
      <w:snapToGrid w:val="0"/>
    </w:pPr>
    <w:rPr>
      <w:rFonts w:ascii="Arial" w:hAnsi="Arial"/>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qFormat/>
    <w:uiPriority w:val="0"/>
    <w:rPr>
      <w:rFonts w:ascii="宋体" w:hAnsi="Courier New"/>
      <w:szCs w:val="21"/>
    </w:rPr>
  </w:style>
  <w:style w:type="paragraph" w:styleId="13">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4">
    <w:name w:val="Balloon Text"/>
    <w:basedOn w:val="1"/>
    <w:link w:val="39"/>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2"/>
    <w:basedOn w:val="1"/>
    <w:qFormat/>
    <w:uiPriority w:val="0"/>
    <w:pPr>
      <w:spacing w:after="120" w:line="480" w:lineRule="auto"/>
    </w:p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w:basedOn w:val="8"/>
    <w:unhideWhenUsed/>
    <w:qFormat/>
    <w:uiPriority w:val="99"/>
    <w:pPr>
      <w:spacing w:after="120"/>
      <w:ind w:firstLine="420"/>
    </w:pPr>
  </w:style>
  <w:style w:type="paragraph" w:styleId="23">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Default"/>
    <w:next w:val="18"/>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2">
    <w:name w:val="页眉 Char"/>
    <w:basedOn w:val="26"/>
    <w:link w:val="16"/>
    <w:semiHidden/>
    <w:qFormat/>
    <w:uiPriority w:val="99"/>
    <w:rPr>
      <w:sz w:val="18"/>
      <w:szCs w:val="18"/>
    </w:rPr>
  </w:style>
  <w:style w:type="character" w:customStyle="1" w:styleId="33">
    <w:name w:val="页脚 Char"/>
    <w:basedOn w:val="26"/>
    <w:link w:val="15"/>
    <w:qFormat/>
    <w:uiPriority w:val="99"/>
    <w:rPr>
      <w:sz w:val="18"/>
      <w:szCs w:val="18"/>
    </w:rPr>
  </w:style>
  <w:style w:type="character" w:customStyle="1" w:styleId="34">
    <w:name w:val="标题 1 Char"/>
    <w:basedOn w:val="26"/>
    <w:link w:val="2"/>
    <w:qFormat/>
    <w:uiPriority w:val="9"/>
    <w:rPr>
      <w:rFonts w:eastAsia="方正小标宋简体"/>
      <w:bCs/>
      <w:kern w:val="44"/>
      <w:sz w:val="44"/>
      <w:szCs w:val="44"/>
    </w:rPr>
  </w:style>
  <w:style w:type="character" w:customStyle="1" w:styleId="35">
    <w:name w:val="标题 2 Char"/>
    <w:basedOn w:val="26"/>
    <w:link w:val="3"/>
    <w:qFormat/>
    <w:uiPriority w:val="9"/>
    <w:rPr>
      <w:rFonts w:eastAsia="方正小标宋简体" w:asciiTheme="majorHAnsi" w:hAnsiTheme="majorHAnsi" w:cstheme="majorBidi"/>
      <w:bCs/>
      <w:sz w:val="36"/>
      <w:szCs w:val="32"/>
    </w:rPr>
  </w:style>
  <w:style w:type="character" w:customStyle="1" w:styleId="36">
    <w:name w:val="标题 3 Char"/>
    <w:basedOn w:val="26"/>
    <w:link w:val="4"/>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4"/>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0"/>
    <w:next w:val="30"/>
    <w:qFormat/>
    <w:uiPriority w:val="0"/>
    <w:pPr>
      <w:spacing w:after="373"/>
    </w:pPr>
    <w:rPr>
      <w:color w:val="auto"/>
    </w:rPr>
  </w:style>
  <w:style w:type="paragraph" w:customStyle="1" w:styleId="42">
    <w:name w:val="CM91"/>
    <w:basedOn w:val="30"/>
    <w:next w:val="30"/>
    <w:qFormat/>
    <w:uiPriority w:val="0"/>
    <w:pPr>
      <w:spacing w:after="160"/>
    </w:pPr>
    <w:rPr>
      <w:color w:val="auto"/>
    </w:rPr>
  </w:style>
  <w:style w:type="character" w:customStyle="1" w:styleId="43">
    <w:name w:val="正文文本 3 Char"/>
    <w:link w:val="7"/>
    <w:qFormat/>
    <w:uiPriority w:val="99"/>
    <w:rPr>
      <w:sz w:val="16"/>
      <w:szCs w:val="16"/>
    </w:rPr>
  </w:style>
  <w:style w:type="character" w:customStyle="1" w:styleId="44">
    <w:name w:val="正文文本 3 Char1"/>
    <w:basedOn w:val="26"/>
    <w:link w:val="7"/>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2"/>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BodyText"/>
    <w:basedOn w:val="1"/>
    <w:next w:val="51"/>
    <w:qFormat/>
    <w:uiPriority w:val="0"/>
    <w:pPr>
      <w:jc w:val="both"/>
      <w:textAlignment w:val="baseline"/>
    </w:pPr>
    <w:rPr>
      <w:rFonts w:ascii="Times New Roman" w:hAnsi="Times New Roman" w:eastAsia="宋体"/>
      <w:kern w:val="2"/>
      <w:sz w:val="28"/>
      <w:lang w:val="en-US" w:eastAsia="zh-CN" w:bidi="ar-SA"/>
    </w:rPr>
  </w:style>
  <w:style w:type="paragraph" w:customStyle="1" w:styleId="51">
    <w:name w:val="BodyText2"/>
    <w:basedOn w:val="1"/>
    <w:qFormat/>
    <w:uiPriority w:val="0"/>
    <w:pPr>
      <w:spacing w:after="120" w:line="480" w:lineRule="auto"/>
      <w:jc w:val="both"/>
      <w:textAlignment w:val="baseline"/>
    </w:pPr>
  </w:style>
  <w:style w:type="paragraph" w:customStyle="1" w:styleId="52">
    <w:name w:val="列出段落3"/>
    <w:basedOn w:val="1"/>
    <w:qFormat/>
    <w:uiPriority w:val="0"/>
    <w:pPr>
      <w:ind w:firstLine="420" w:firstLineChars="200"/>
    </w:pPr>
    <w:rPr>
      <w:rFonts w:ascii="Calibri" w:hAnsi="Calibri"/>
      <w:szCs w:val="22"/>
    </w:rPr>
  </w:style>
  <w:style w:type="paragraph" w:customStyle="1" w:styleId="53">
    <w:name w:val="无间隔1"/>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35356</Words>
  <Characters>37735</Characters>
  <Lines>300</Lines>
  <Paragraphs>84</Paragraphs>
  <TotalTime>29</TotalTime>
  <ScaleCrop>false</ScaleCrop>
  <LinksUpToDate>false</LinksUpToDate>
  <CharactersWithSpaces>40283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2024-10-30T06:08:00Z</cp:lastPrinted>
  <dcterms:modified xsi:type="dcterms:W3CDTF">2024-11-27T07:43:03Z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DFADB8D73AE8417699FA10906D799B43_13</vt:lpwstr>
  </property>
</Properties>
</file>