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广州市净水有限公司2025年度</w:t>
      </w: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综合安防管理平台软件系统</w:t>
      </w: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运维服务项目</w:t>
      </w:r>
    </w:p>
    <w:p>
      <w:pPr>
        <w:pStyle w:val="2"/>
        <w:rPr>
          <w:rFonts w:hint="eastAsia"/>
          <w:color w:val="auto"/>
          <w:highlight w:val="none"/>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bookmarkStart w:id="111" w:name="_GoBack"/>
      <w:bookmarkEnd w:id="111"/>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方正小标宋简体" w:hAnsi="方正小标宋简体" w:eastAsia="仿宋" w:cs="方正小标宋简体"/>
          <w:color w:val="auto"/>
          <w:sz w:val="44"/>
          <w:szCs w:val="44"/>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目   录</w:t>
      </w:r>
    </w:p>
    <w:p>
      <w:pPr>
        <w:spacing w:line="360" w:lineRule="auto"/>
        <w:rPr>
          <w:rFonts w:ascii="仿宋_GB2312" w:hAnsi="仿宋_GB2312" w:eastAsia="仿宋" w:cs="仿宋_GB2312"/>
          <w:color w:val="auto"/>
          <w:sz w:val="32"/>
          <w:szCs w:val="32"/>
          <w:highlight w:val="none"/>
        </w:rPr>
      </w:pP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采购公告（采购邀请书）</w:t>
      </w: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供应商须知</w:t>
      </w: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采购方法</w:t>
      </w: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评审方法</w:t>
      </w: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采购需求</w:t>
      </w: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numPr>
          <w:ilvl w:val="0"/>
          <w:numId w:val="2"/>
        </w:numPr>
        <w:tabs>
          <w:tab w:val="right" w:pos="8844"/>
        </w:tabs>
        <w:spacing w:after="0" w:line="360" w:lineRule="auto"/>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rPr>
          <w:rFonts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adjustRightInd/>
        <w:snapToGrid/>
        <w:ind w:firstLine="0"/>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8145"/>
      <w:bookmarkStart w:id="2" w:name="_Toc17696"/>
      <w:bookmarkStart w:id="3" w:name="_Toc1711"/>
    </w:p>
    <w:p>
      <w:pPr>
        <w:pStyle w:val="22"/>
        <w:adjustRightInd/>
        <w:snapToGrid/>
        <w:ind w:firstLine="0"/>
        <w:rPr>
          <w:rFonts w:ascii="仿宋_GB2312" w:hAnsi="仿宋_GB2312" w:eastAsia="仿宋" w:cs="仿宋_GB2312"/>
          <w:color w:val="auto"/>
          <w:sz w:val="32"/>
          <w:szCs w:val="32"/>
          <w:highlight w:val="none"/>
        </w:rPr>
      </w:pPr>
    </w:p>
    <w:p>
      <w:pPr>
        <w:rPr>
          <w:rFonts w:ascii="仿宋_GB2312" w:hAnsi="仿宋_GB2312" w:eastAsia="仿宋" w:cs="仿宋_GB2312"/>
          <w:color w:val="auto"/>
          <w:sz w:val="28"/>
          <w:szCs w:val="28"/>
          <w:highlight w:val="none"/>
        </w:rPr>
      </w:pPr>
      <w:bookmarkStart w:id="4" w:name="_Toc11322"/>
      <w:bookmarkStart w:id="5" w:name="_Toc31938"/>
      <w:bookmarkStart w:id="6" w:name="_Toc4275"/>
      <w:bookmarkStart w:id="7" w:name="_Toc1669"/>
      <w:bookmarkStart w:id="8" w:name="_Toc7519"/>
      <w:bookmarkStart w:id="9" w:name="_Toc17801"/>
      <w:bookmarkStart w:id="10" w:name="_Toc19609"/>
    </w:p>
    <w:p>
      <w:pPr>
        <w:rPr>
          <w:rFonts w:ascii="仿宋_GB2312" w:hAnsi="仿宋_GB2312" w:eastAsia="仿宋" w:cs="仿宋_GB2312"/>
          <w:color w:val="auto"/>
          <w:sz w:val="28"/>
          <w:szCs w:val="28"/>
          <w:highlight w:val="none"/>
        </w:rPr>
      </w:pPr>
    </w:p>
    <w:p>
      <w:pPr>
        <w:rPr>
          <w:rFonts w:ascii="仿宋_GB2312" w:hAnsi="仿宋_GB2312" w:eastAsia="仿宋" w:cs="仿宋_GB2312"/>
          <w:color w:val="auto"/>
          <w:sz w:val="28"/>
          <w:szCs w:val="28"/>
          <w:highlight w:val="none"/>
        </w:rPr>
      </w:pPr>
    </w:p>
    <w:p>
      <w:pPr>
        <w:pBdr>
          <w:top w:val="double" w:color="auto" w:sz="4" w:space="0"/>
          <w:bottom w:val="double" w:color="auto" w:sz="4" w:space="0"/>
        </w:pBdr>
        <w:jc w:val="center"/>
        <w:rPr>
          <w:rFonts w:ascii="仿宋_GB2312" w:hAnsi="仿宋_GB2312" w:eastAsia="仿宋" w:cs="仿宋_GB2312"/>
          <w:color w:val="auto"/>
          <w:sz w:val="44"/>
          <w:szCs w:val="44"/>
          <w:highlight w:val="none"/>
        </w:rPr>
      </w:pPr>
      <w:r>
        <w:rPr>
          <w:rFonts w:hint="eastAsia" w:ascii="方正小标宋简体" w:hAnsi="方正小标宋简体" w:eastAsia="仿宋" w:cs="方正小标宋简体"/>
          <w:color w:val="auto"/>
          <w:sz w:val="44"/>
          <w:szCs w:val="44"/>
          <w:highlight w:val="none"/>
        </w:rPr>
        <w:t>第一章</w:t>
      </w:r>
    </w:p>
    <w:bookmarkEnd w:id="0"/>
    <w:bookmarkEnd w:id="1"/>
    <w:bookmarkEnd w:id="2"/>
    <w:bookmarkEnd w:id="3"/>
    <w:bookmarkEnd w:id="4"/>
    <w:bookmarkEnd w:id="5"/>
    <w:bookmarkEnd w:id="6"/>
    <w:bookmarkEnd w:id="7"/>
    <w:bookmarkEnd w:id="8"/>
    <w:bookmarkEnd w:id="9"/>
    <w:bookmarkEnd w:id="10"/>
    <w:p>
      <w:pPr>
        <w:rPr>
          <w:rFonts w:ascii="仿宋_GB2312" w:hAnsi="仿宋_GB2312" w:eastAsia="仿宋" w:cs="仿宋_GB2312"/>
          <w:color w:val="auto"/>
          <w:sz w:val="28"/>
          <w:szCs w:val="28"/>
          <w:highlight w:val="none"/>
        </w:rPr>
      </w:pPr>
    </w:p>
    <w:p>
      <w:pPr>
        <w:pStyle w:val="3"/>
        <w:spacing w:before="0" w:after="0" w:line="360" w:lineRule="auto"/>
        <w:rPr>
          <w:rFonts w:eastAsia="仿宋"/>
          <w:color w:val="auto"/>
          <w:highlight w:val="none"/>
        </w:rPr>
      </w:pPr>
      <w:r>
        <w:rPr>
          <w:rFonts w:hint="eastAsia" w:eastAsia="仿宋"/>
          <w:color w:val="auto"/>
          <w:highlight w:val="none"/>
        </w:rPr>
        <w:t>采购公告（采购邀请书）</w:t>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156" w:beforeLines="50" w:after="156" w:afterLines="50" w:line="600" w:lineRule="exact"/>
        <w:jc w:val="left"/>
        <w:rPr>
          <w:color w:val="auto"/>
          <w:highlight w:val="none"/>
        </w:rPr>
      </w:pPr>
    </w:p>
    <w:p>
      <w:pPr>
        <w:pStyle w:val="3"/>
        <w:rPr>
          <w:rFonts w:eastAsia="仿宋"/>
          <w:color w:val="auto"/>
          <w:highlight w:val="none"/>
        </w:rPr>
      </w:pPr>
      <w:bookmarkStart w:id="11" w:name="_Toc21373"/>
      <w:bookmarkStart w:id="12" w:name="_Toc9680"/>
      <w:r>
        <w:rPr>
          <w:rFonts w:hint="eastAsia" w:eastAsia="仿宋"/>
          <w:color w:val="auto"/>
          <w:highlight w:val="none"/>
        </w:rPr>
        <w:t>采购公告（采购邀请书）</w:t>
      </w:r>
    </w:p>
    <w:bookmarkEnd w:id="11"/>
    <w:bookmarkEnd w:id="12"/>
    <w:p>
      <w:pPr>
        <w:adjustRightInd w:val="0"/>
        <w:snapToGrid w:val="0"/>
        <w:spacing w:line="600" w:lineRule="exact"/>
        <w:ind w:firstLine="560" w:firstLineChars="200"/>
        <w:rPr>
          <w:rFonts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广州市净水有限公司2025年度综合安防管理平台软件系统运维服务项目</w:t>
      </w:r>
      <w:r>
        <w:rPr>
          <w:rFonts w:hint="eastAsia" w:ascii="仿宋_GB2312" w:hAnsi="仿宋_GB2312" w:eastAsia="仿宋" w:cs="仿宋_GB2312"/>
          <w:color w:val="auto"/>
          <w:sz w:val="28"/>
          <w:szCs w:val="28"/>
          <w:highlight w:val="none"/>
        </w:rPr>
        <w:t>已具备采购条件，现邀请合格单位参加本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eastAsia="仿宋_GB2312"/>
          <w:color w:val="auto"/>
          <w:sz w:val="28"/>
          <w:szCs w:val="28"/>
          <w:highlight w:val="none"/>
          <w:u w:val="single"/>
        </w:rPr>
        <w:sym w:font="Wingdings 2" w:char="0052"/>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rPr>
        <w:t xml:space="preserve">邀请采购 </w:t>
      </w:r>
      <w:r>
        <w:rPr>
          <w:rFonts w:hint="eastAsia" w:ascii="仿宋_GB2312" w:eastAsia="仿宋_GB2312"/>
          <w:color w:val="auto"/>
          <w:sz w:val="28"/>
          <w:szCs w:val="28"/>
          <w:highlight w:val="none"/>
          <w:u w:val="single"/>
        </w:rPr>
        <w:sym w:font="Wingdings 2" w:char="0052"/>
      </w:r>
      <w:r>
        <w:rPr>
          <w:rFonts w:hint="eastAsia" w:ascii="仿宋_GB2312" w:hAnsi="仿宋_GB2312" w:eastAsia="仿宋" w:cs="仿宋_GB2312"/>
          <w:color w:val="auto"/>
          <w:sz w:val="28"/>
          <w:szCs w:val="28"/>
          <w:highlight w:val="none"/>
          <w:u w:val="single"/>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ind w:left="280" w:hanging="280" w:hangingChars="100"/>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广州市净水有限公司2025年度综合安防管理平台软件系统运维服务项目</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XJ-20241122-2</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1.3资金来源：</w:t>
      </w:r>
      <w:r>
        <w:rPr>
          <w:rFonts w:hint="eastAsia" w:ascii="仿宋_GB2312" w:eastAsia="仿宋"/>
          <w:color w:val="auto"/>
          <w:sz w:val="28"/>
          <w:szCs w:val="28"/>
          <w:highlight w:val="none"/>
          <w:u w:val="single"/>
        </w:rPr>
        <w:t xml:space="preserve">自有资金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1.4最高限价：</w:t>
      </w:r>
      <w:r>
        <w:rPr>
          <w:rFonts w:hint="eastAsia" w:ascii="仿宋_GB2312" w:eastAsia="仿宋"/>
          <w:color w:val="auto"/>
          <w:sz w:val="28"/>
          <w:szCs w:val="28"/>
          <w:highlight w:val="none"/>
          <w:u w:val="single"/>
          <w:lang w:val="en-US" w:eastAsia="zh-CN"/>
        </w:rPr>
        <w:t>298,586.00元，限价含全额增值税专用发票</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1.5标段划分：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_GB2312"/>
          <w:color w:val="auto"/>
          <w:sz w:val="28"/>
          <w:szCs w:val="28"/>
          <w:highlight w:val="none"/>
          <w:u w:val="single"/>
        </w:rPr>
        <w:t>净水公司综合安防管理平台软件系统运维工作</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服务期为自合同签订之日起</w:t>
      </w:r>
      <w:r>
        <w:rPr>
          <w:rFonts w:hint="eastAsia" w:ascii="仿宋_GB2312" w:eastAsia="仿宋_GB2312"/>
          <w:color w:val="auto"/>
          <w:sz w:val="28"/>
          <w:szCs w:val="28"/>
          <w:highlight w:val="none"/>
          <w:u w:val="single"/>
        </w:rPr>
        <w:t>1</w:t>
      </w:r>
      <w:r>
        <w:rPr>
          <w:rFonts w:ascii="仿宋_GB2312" w:eastAsia="仿宋_GB2312"/>
          <w:color w:val="auto"/>
          <w:sz w:val="28"/>
          <w:szCs w:val="28"/>
          <w:highlight w:val="none"/>
          <w:u w:val="single"/>
        </w:rPr>
        <w:t>2</w:t>
      </w:r>
      <w:r>
        <w:rPr>
          <w:rFonts w:hint="eastAsia" w:ascii="仿宋_GB2312" w:eastAsia="仿宋_GB2312"/>
          <w:color w:val="auto"/>
          <w:sz w:val="28"/>
          <w:szCs w:val="28"/>
          <w:highlight w:val="none"/>
          <w:u w:val="single"/>
        </w:rPr>
        <w:t>个月（暂定2</w:t>
      </w:r>
      <w:r>
        <w:rPr>
          <w:rFonts w:ascii="仿宋_GB2312" w:eastAsia="仿宋_GB2312"/>
          <w:color w:val="auto"/>
          <w:sz w:val="28"/>
          <w:szCs w:val="28"/>
          <w:highlight w:val="none"/>
          <w:u w:val="single"/>
        </w:rPr>
        <w:t>02</w:t>
      </w:r>
      <w:r>
        <w:rPr>
          <w:rFonts w:hint="eastAsia" w:ascii="仿宋_GB2312" w:eastAsia="仿宋_GB2312"/>
          <w:color w:val="auto"/>
          <w:sz w:val="28"/>
          <w:szCs w:val="28"/>
          <w:highlight w:val="none"/>
          <w:u w:val="single"/>
        </w:rPr>
        <w:t>5年1月1日至2</w:t>
      </w:r>
      <w:r>
        <w:rPr>
          <w:rFonts w:ascii="仿宋_GB2312" w:eastAsia="仿宋_GB2312"/>
          <w:color w:val="auto"/>
          <w:sz w:val="28"/>
          <w:szCs w:val="28"/>
          <w:highlight w:val="none"/>
          <w:u w:val="single"/>
        </w:rPr>
        <w:t>025</w:t>
      </w:r>
      <w:r>
        <w:rPr>
          <w:rFonts w:hint="eastAsia" w:ascii="仿宋_GB2312" w:eastAsia="仿宋_GB2312"/>
          <w:color w:val="auto"/>
          <w:sz w:val="28"/>
          <w:szCs w:val="28"/>
          <w:highlight w:val="none"/>
          <w:u w:val="single"/>
        </w:rPr>
        <w:t>年1</w:t>
      </w:r>
      <w:r>
        <w:rPr>
          <w:rFonts w:ascii="仿宋_GB2312" w:eastAsia="仿宋_GB2312"/>
          <w:color w:val="auto"/>
          <w:sz w:val="28"/>
          <w:szCs w:val="28"/>
          <w:highlight w:val="none"/>
          <w:u w:val="single"/>
        </w:rPr>
        <w:t>2</w:t>
      </w:r>
      <w:r>
        <w:rPr>
          <w:rFonts w:hint="eastAsia" w:ascii="仿宋_GB2312" w:eastAsia="仿宋_GB2312"/>
          <w:color w:val="auto"/>
          <w:sz w:val="28"/>
          <w:szCs w:val="28"/>
          <w:highlight w:val="none"/>
          <w:u w:val="single"/>
        </w:rPr>
        <w:t>月3</w:t>
      </w:r>
      <w:r>
        <w:rPr>
          <w:rFonts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rPr>
        <w:t>日止。）</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详见第五章采购需求的技术要求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rPr>
        <w:t xml:space="preserve">零事故 </w:t>
      </w:r>
      <w:r>
        <w:rPr>
          <w:rFonts w:ascii="仿宋_GB2312" w:eastAsia="仿宋_GB2312"/>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（2）供应商应当具备</w:t>
      </w:r>
      <w:r>
        <w:rPr>
          <w:rFonts w:hint="eastAsia" w:ascii="仿宋_GB2312" w:eastAsia="仿宋_GB2312"/>
          <w:color w:val="auto"/>
          <w:sz w:val="28"/>
          <w:szCs w:val="28"/>
          <w:highlight w:val="none"/>
          <w:u w:val="single"/>
        </w:rPr>
        <w:t>公安部门颁发的《安全技术防范系统设计、施工、维修资格证》</w:t>
      </w:r>
      <w:r>
        <w:rPr>
          <w:rFonts w:hint="eastAsia" w:ascii="仿宋_GB2312" w:eastAsia="仿宋"/>
          <w:color w:val="auto"/>
          <w:sz w:val="28"/>
          <w:szCs w:val="28"/>
          <w:highlight w:val="none"/>
        </w:rPr>
        <w:t>资质</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且在有效期内</w:t>
      </w:r>
      <w:r>
        <w:rPr>
          <w:rFonts w:hint="eastAsia" w:ascii="仿宋_GB2312" w:eastAsia="仿宋"/>
          <w:color w:val="auto"/>
          <w:sz w:val="28"/>
          <w:szCs w:val="28"/>
          <w:highlight w:val="none"/>
        </w:rPr>
        <w:t>。</w:t>
      </w:r>
    </w:p>
    <w:p>
      <w:pPr>
        <w:adjustRightInd w:val="0"/>
        <w:snapToGrid w:val="0"/>
        <w:spacing w:line="600" w:lineRule="exact"/>
        <w:ind w:firstLine="560" w:firstLineChars="200"/>
        <w:jc w:val="left"/>
        <w:rPr>
          <w:rFonts w:hint="eastAsia" w:ascii="仿宋_GB2312" w:eastAsia="仿宋"/>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（3）</w:t>
      </w:r>
      <w:r>
        <w:rPr>
          <w:rFonts w:ascii="仿宋_GB2312" w:eastAsia="仿宋"/>
          <w:color w:val="auto"/>
          <w:sz w:val="28"/>
          <w:szCs w:val="28"/>
          <w:highlight w:val="none"/>
          <w:u w:val="single"/>
        </w:rPr>
        <w:t>202</w:t>
      </w:r>
      <w:r>
        <w:rPr>
          <w:rFonts w:hint="eastAsia" w:ascii="仿宋_GB2312" w:eastAsia="仿宋"/>
          <w:color w:val="auto"/>
          <w:sz w:val="28"/>
          <w:szCs w:val="28"/>
          <w:highlight w:val="none"/>
          <w:u w:val="single"/>
          <w:lang w:val="en-US" w:eastAsia="zh-CN"/>
        </w:rPr>
        <w:t>1</w:t>
      </w:r>
      <w:r>
        <w:rPr>
          <w:rFonts w:hint="eastAsia" w:ascii="仿宋_GB2312" w:eastAsia="仿宋"/>
          <w:color w:val="auto"/>
          <w:sz w:val="28"/>
          <w:szCs w:val="28"/>
          <w:highlight w:val="none"/>
        </w:rPr>
        <w:t>年1月1日至今，供应商最少具有一项</w:t>
      </w:r>
      <w:r>
        <w:rPr>
          <w:rFonts w:hint="eastAsia" w:ascii="仿宋_GB2312" w:eastAsia="仿宋"/>
          <w:color w:val="auto"/>
          <w:sz w:val="28"/>
          <w:szCs w:val="28"/>
          <w:highlight w:val="none"/>
          <w:lang w:val="en-US" w:eastAsia="zh-CN"/>
        </w:rPr>
        <w:t>单项合同金额</w:t>
      </w:r>
      <w:r>
        <w:rPr>
          <w:rFonts w:hint="eastAsia" w:ascii="仿宋_GB2312" w:eastAsia="仿宋_GB2312"/>
          <w:color w:val="auto"/>
          <w:sz w:val="28"/>
          <w:szCs w:val="28"/>
          <w:highlight w:val="none"/>
          <w:u w:val="single"/>
        </w:rPr>
        <w:t>不低于</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万</w:t>
      </w:r>
      <w:r>
        <w:rPr>
          <w:rFonts w:hint="eastAsia" w:ascii="仿宋_GB2312" w:eastAsia="仿宋_GB2312"/>
          <w:color w:val="auto"/>
          <w:sz w:val="28"/>
          <w:szCs w:val="28"/>
          <w:highlight w:val="none"/>
          <w:u w:val="single"/>
          <w:lang w:val="en-US" w:eastAsia="zh-CN"/>
        </w:rPr>
        <w:t>的</w:t>
      </w:r>
      <w:r>
        <w:rPr>
          <w:rFonts w:hint="eastAsia" w:ascii="仿宋_GB2312" w:eastAsia="仿宋_GB2312"/>
          <w:color w:val="auto"/>
          <w:sz w:val="28"/>
          <w:szCs w:val="28"/>
          <w:highlight w:val="none"/>
          <w:u w:val="single"/>
        </w:rPr>
        <w:t>类似视频监控平台系统运维</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业绩时间以合同时间为准，业绩金额以合同金额为准，</w:t>
      </w:r>
      <w:r>
        <w:rPr>
          <w:rFonts w:hint="eastAsia" w:ascii="仿宋_GB2312" w:eastAsia="仿宋"/>
          <w:color w:val="auto"/>
          <w:sz w:val="28"/>
          <w:szCs w:val="28"/>
          <w:highlight w:val="none"/>
        </w:rPr>
        <w:t>提供合同复印件</w:t>
      </w:r>
      <w:r>
        <w:rPr>
          <w:rFonts w:hint="eastAsia" w:ascii="仿宋_GB2312" w:eastAsia="仿宋"/>
          <w:color w:val="auto"/>
          <w:sz w:val="28"/>
          <w:szCs w:val="28"/>
          <w:highlight w:val="none"/>
          <w:lang w:val="en-US" w:eastAsia="zh-CN"/>
        </w:rPr>
        <w:t>及发票复印件</w:t>
      </w:r>
      <w:r>
        <w:rPr>
          <w:rFonts w:hint="eastAsia" w:ascii="仿宋_GB2312" w:eastAsia="仿宋"/>
          <w:color w:val="auto"/>
          <w:sz w:val="28"/>
          <w:szCs w:val="28"/>
          <w:highlight w:val="none"/>
        </w:rPr>
        <w:t>证明，包括但不限于项目名称、金额及实施内容、合同盖章、签订日期，加盖单位公章</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同一合同存在多张发票的，提供其一即可</w:t>
      </w:r>
    </w:p>
    <w:p>
      <w:pPr>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（4）项目负责人应当具备</w:t>
      </w:r>
      <w:r>
        <w:rPr>
          <w:rFonts w:hint="eastAsia" w:ascii="仿宋_GB2312" w:eastAsia="仿宋_GB2312"/>
          <w:color w:val="auto"/>
          <w:sz w:val="28"/>
          <w:szCs w:val="28"/>
          <w:highlight w:val="none"/>
          <w:u w:val="single"/>
        </w:rPr>
        <w:t>广东省安防从业人员继续教育培训合格证资格条件</w:t>
      </w:r>
      <w:r>
        <w:rPr>
          <w:rFonts w:hint="eastAsia" w:ascii="仿宋_GB2312" w:eastAsia="仿宋"/>
          <w:color w:val="auto"/>
          <w:sz w:val="28"/>
          <w:szCs w:val="28"/>
          <w:highlight w:val="none"/>
        </w:rPr>
        <w:t>。</w:t>
      </w:r>
    </w:p>
    <w:p>
      <w:pPr>
        <w:pStyle w:val="22"/>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（5）其他要求：</w:t>
      </w:r>
      <w:r>
        <w:rPr>
          <w:rFonts w:hint="eastAsia" w:ascii="仿宋_GB2312" w:eastAsia="仿宋"/>
          <w:color w:val="auto"/>
          <w:sz w:val="28"/>
          <w:szCs w:val="28"/>
          <w:highlight w:val="none"/>
          <w:u w:val="single"/>
        </w:rPr>
        <w:t>提供响应承诺书，报价单位承诺中选后于5天内，提供有效的I</w:t>
      </w:r>
      <w:r>
        <w:rPr>
          <w:rFonts w:ascii="仿宋_GB2312" w:eastAsia="仿宋"/>
          <w:color w:val="auto"/>
          <w:sz w:val="28"/>
          <w:szCs w:val="28"/>
          <w:highlight w:val="none"/>
          <w:u w:val="single"/>
        </w:rPr>
        <w:t>SC</w:t>
      </w:r>
      <w:r>
        <w:rPr>
          <w:rFonts w:hint="eastAsia" w:ascii="仿宋_GB2312" w:eastAsia="仿宋"/>
          <w:color w:val="auto"/>
          <w:sz w:val="28"/>
          <w:szCs w:val="28"/>
          <w:highlight w:val="none"/>
          <w:u w:val="single"/>
        </w:rPr>
        <w:t>软件海康威视原厂针对本项目服务承诺函（</w:t>
      </w:r>
      <w:r>
        <w:rPr>
          <w:rFonts w:hint="eastAsia" w:ascii="仿宋_GB2312" w:eastAsia="仿宋"/>
          <w:color w:val="auto"/>
          <w:sz w:val="28"/>
          <w:szCs w:val="28"/>
          <w:highlight w:val="none"/>
          <w:u w:val="single"/>
          <w:lang w:val="en-US" w:eastAsia="zh-CN"/>
        </w:rPr>
        <w:t>格式自拟，</w:t>
      </w:r>
      <w:r>
        <w:rPr>
          <w:rFonts w:hint="eastAsia" w:ascii="仿宋_GB2312" w:eastAsia="仿宋"/>
          <w:color w:val="auto"/>
          <w:sz w:val="28"/>
          <w:szCs w:val="28"/>
          <w:highlight w:val="none"/>
          <w:u w:val="single"/>
        </w:rPr>
        <w:t>需加盖原厂公章）</w:t>
      </w:r>
      <w:r>
        <w:rPr>
          <w:rFonts w:hint="eastAsia" w:ascii="仿宋_GB2312" w:eastAsia="仿宋"/>
          <w:color w:val="auto"/>
          <w:sz w:val="28"/>
          <w:szCs w:val="28"/>
          <w:highlight w:val="none"/>
          <w:u w:val="single"/>
          <w:lang w:val="en-US" w:eastAsia="zh-CN"/>
        </w:rPr>
        <w:t>或</w:t>
      </w:r>
      <w:r>
        <w:rPr>
          <w:rFonts w:hint="eastAsia" w:ascii="仿宋_GB2312" w:eastAsia="仿宋"/>
          <w:color w:val="auto"/>
          <w:sz w:val="28"/>
          <w:szCs w:val="28"/>
          <w:highlight w:val="none"/>
          <w:u w:val="single"/>
        </w:rPr>
        <w:t>I</w:t>
      </w:r>
      <w:r>
        <w:rPr>
          <w:rFonts w:ascii="仿宋_GB2312" w:eastAsia="仿宋"/>
          <w:color w:val="auto"/>
          <w:sz w:val="28"/>
          <w:szCs w:val="28"/>
          <w:highlight w:val="none"/>
          <w:u w:val="single"/>
        </w:rPr>
        <w:t>SC</w:t>
      </w:r>
      <w:r>
        <w:rPr>
          <w:rFonts w:hint="eastAsia" w:ascii="仿宋_GB2312" w:eastAsia="仿宋"/>
          <w:color w:val="auto"/>
          <w:sz w:val="28"/>
          <w:szCs w:val="28"/>
          <w:highlight w:val="none"/>
          <w:u w:val="single"/>
        </w:rPr>
        <w:t>软件海康威视原厂</w:t>
      </w:r>
      <w:r>
        <w:rPr>
          <w:rFonts w:hint="eastAsia" w:ascii="仿宋_GB2312" w:eastAsia="仿宋"/>
          <w:color w:val="auto"/>
          <w:sz w:val="28"/>
          <w:szCs w:val="28"/>
          <w:highlight w:val="none"/>
          <w:u w:val="single"/>
          <w:lang w:val="en-US" w:eastAsia="zh-CN"/>
        </w:rPr>
        <w:t>授权服务函</w:t>
      </w:r>
      <w:r>
        <w:rPr>
          <w:rFonts w:hint="eastAsia" w:ascii="仿宋_GB2312" w:eastAsia="仿宋"/>
          <w:color w:val="auto"/>
          <w:sz w:val="28"/>
          <w:szCs w:val="28"/>
          <w:highlight w:val="none"/>
          <w:u w:val="single"/>
        </w:rPr>
        <w:t>（</w:t>
      </w:r>
      <w:r>
        <w:rPr>
          <w:rFonts w:hint="eastAsia" w:ascii="仿宋_GB2312" w:eastAsia="仿宋"/>
          <w:color w:val="auto"/>
          <w:sz w:val="28"/>
          <w:szCs w:val="28"/>
          <w:highlight w:val="none"/>
          <w:u w:val="single"/>
          <w:lang w:val="en-US" w:eastAsia="zh-CN"/>
        </w:rPr>
        <w:t>格式自拟，</w:t>
      </w:r>
      <w:r>
        <w:rPr>
          <w:rFonts w:hint="eastAsia" w:ascii="仿宋_GB2312" w:eastAsia="仿宋"/>
          <w:color w:val="auto"/>
          <w:sz w:val="28"/>
          <w:szCs w:val="28"/>
          <w:highlight w:val="none"/>
          <w:u w:val="single"/>
        </w:rPr>
        <w:t>需加盖原厂公章）</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（8）在“信用中国”网站（www.creditchina.gov.cn）中被列入严重失信主体名单。</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（9）其他违法违纪行为，经审查认为不宜被邀请参加采购活动的。</w:t>
      </w:r>
    </w:p>
    <w:p>
      <w:pPr>
        <w:adjustRightInd w:val="0"/>
        <w:snapToGrid w:val="0"/>
        <w:spacing w:line="600" w:lineRule="exact"/>
        <w:ind w:firstLine="420" w:firstLineChars="150"/>
        <w:rPr>
          <w:rFonts w:ascii="仿宋_GB2312" w:eastAsia="仿宋"/>
          <w:color w:val="auto"/>
          <w:sz w:val="28"/>
          <w:szCs w:val="28"/>
          <w:highlight w:val="none"/>
        </w:rPr>
      </w:pPr>
      <w:r>
        <w:rPr>
          <w:rFonts w:hint="eastAsia" w:ascii="仿宋_GB2312" w:eastAsia="仿宋"/>
          <w:color w:val="auto"/>
          <w:sz w:val="28"/>
          <w:szCs w:val="28"/>
          <w:highlight w:val="none"/>
        </w:rPr>
        <w:t>（10）其他禁止情形：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_GB2312"/>
          <w:color w:val="auto"/>
          <w:sz w:val="28"/>
          <w:szCs w:val="28"/>
          <w:highlight w:val="none"/>
        </w:rPr>
        <w:sym w:font="Wingdings 2" w:char="0052"/>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rPr>
        <w:t>广州市净水有限公司门户网站</w:t>
      </w:r>
      <w:r>
        <w:rPr>
          <w:rFonts w:hint="eastAsia" w:ascii="仿宋_GB2312" w:eastAsia="仿宋"/>
          <w:color w:val="auto"/>
          <w:sz w:val="28"/>
          <w:szCs w:val="28"/>
          <w:highlight w:val="none"/>
        </w:rPr>
        <w:t>下载采购文件，无需报名。</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ascii="仿宋_GB2312" w:hAnsi="仿宋_GB2312" w:eastAsia="仿宋" w:cs="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adjustRightInd w:val="0"/>
        <w:snapToGrid w:val="0"/>
        <w:spacing w:line="600" w:lineRule="exact"/>
        <w:ind w:firstLine="560" w:firstLineChars="200"/>
        <w:rPr>
          <w:rFonts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2"/>
        <w:spacing w:line="600" w:lineRule="exact"/>
        <w:ind w:firstLine="560" w:firstLineChars="200"/>
        <w:rPr>
          <w:rFonts w:ascii="仿宋_GB2312" w:hAnsi="仿宋_GB2312" w:eastAsia="仿宋" w:cs="仿宋_GB2312"/>
          <w:color w:val="auto"/>
          <w:kern w:val="2"/>
          <w:sz w:val="28"/>
          <w:szCs w:val="28"/>
          <w:highlight w:val="none"/>
        </w:rPr>
      </w:pPr>
      <w:r>
        <w:rPr>
          <w:rFonts w:hint="eastAsia" w:ascii="仿宋_GB2312" w:hAnsi="仿宋_GB2312" w:eastAsia="仿宋" w:cs="仿宋_GB2312"/>
          <w:color w:val="auto"/>
          <w:kern w:val="2"/>
          <w:sz w:val="28"/>
          <w:szCs w:val="28"/>
          <w:highlight w:val="none"/>
        </w:rPr>
        <w:t>踏勘现场联系人：</w:t>
      </w:r>
    </w:p>
    <w:p>
      <w:pPr>
        <w:pStyle w:val="22"/>
        <w:spacing w:line="600" w:lineRule="exact"/>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kern w:val="2"/>
          <w:sz w:val="28"/>
          <w:szCs w:val="28"/>
          <w:highlight w:val="none"/>
        </w:rPr>
        <w:t>踏勘现场联系人联系方式：</w:t>
      </w:r>
    </w:p>
    <w:p>
      <w:pPr>
        <w:adjustRightInd w:val="0"/>
        <w:snapToGrid w:val="0"/>
        <w:spacing w:line="600" w:lineRule="exact"/>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rPr>
        <w:t>。</w:t>
      </w:r>
    </w:p>
    <w:p>
      <w:pPr>
        <w:adjustRightInd w:val="0"/>
        <w:snapToGrid w:val="0"/>
        <w:spacing w:line="600" w:lineRule="exact"/>
        <w:ind w:firstLine="560" w:firstLineChars="200"/>
        <w:jc w:val="left"/>
        <w:rPr>
          <w:rFonts w:ascii="仿宋_GB2312" w:hAnsi="仿宋_GB2312" w:eastAsia="仿宋" w:cs="仿宋_GB2312"/>
          <w:b/>
          <w:color w:val="auto"/>
          <w:sz w:val="28"/>
          <w:szCs w:val="28"/>
          <w:highlight w:val="none"/>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lang w:val="en-US" w:eastAsia="zh-CN"/>
        </w:rPr>
        <w:t>/</w:t>
      </w:r>
      <w:r>
        <w:rPr>
          <w:rFonts w:hint="eastAsia" w:ascii="仿宋_GB2312" w:eastAsia="仿宋"/>
          <w:color w:val="auto"/>
          <w:sz w:val="28"/>
          <w:szCs w:val="28"/>
          <w:highlight w:val="none"/>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6.1递交响应文件集合时间：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6.2递交响应文件截止时间：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6.3递交地址：</w:t>
      </w:r>
      <w:r>
        <w:rPr>
          <w:rFonts w:hint="eastAsia" w:ascii="仿宋_GB2312" w:eastAsia="仿宋"/>
          <w:color w:val="auto"/>
          <w:sz w:val="28"/>
          <w:szCs w:val="28"/>
          <w:highlight w:val="none"/>
          <w:u w:val="single"/>
        </w:rPr>
        <w:t>广州市天河区临江大道501号广州市净水有限公司6楼招标部</w:t>
      </w:r>
      <w:r>
        <w:rPr>
          <w:rFonts w:hint="eastAsia" w:ascii="仿宋_GB2312" w:eastAsia="仿宋"/>
          <w:color w:val="auto"/>
          <w:sz w:val="28"/>
          <w:szCs w:val="28"/>
          <w:highlight w:val="none"/>
        </w:rPr>
        <w:t>。</w:t>
      </w:r>
    </w:p>
    <w:p>
      <w:pPr>
        <w:pStyle w:val="7"/>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7"/>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7"/>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7"/>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7"/>
        <w:spacing w:after="0" w:line="600" w:lineRule="exact"/>
        <w:ind w:firstLine="560" w:firstLineChars="200"/>
        <w:rPr>
          <w:rFonts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7.1发布公告的其他媒介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本项目采购公告（采购邀请书）、公告补充及修改同步在广州市净水有限公司门户网站及广州国企阳光采购服务平台上发布。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7.2响应文件递交注意事项</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adjustRightInd w:val="0"/>
        <w:snapToGrid w:val="0"/>
        <w:spacing w:line="600" w:lineRule="exact"/>
        <w:ind w:firstLine="560" w:firstLineChars="200"/>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widowControl/>
        <w:adjustRightInd w:val="0"/>
        <w:snapToGrid w:val="0"/>
        <w:spacing w:line="600" w:lineRule="exact"/>
        <w:ind w:firstLine="560" w:firstLineChars="200"/>
        <w:rPr>
          <w:rFonts w:ascii="仿宋_GB2312" w:hAnsi="仿宋" w:eastAsia="仿宋"/>
          <w:color w:val="auto"/>
          <w:sz w:val="28"/>
          <w:szCs w:val="28"/>
          <w:highlight w:val="none"/>
          <w:u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rPr>
        <w:t>38890</w:t>
      </w:r>
      <w:r>
        <w:rPr>
          <w:rFonts w:hint="eastAsia" w:ascii="仿宋_GB2312" w:hAnsi="仿宋" w:eastAsia="仿宋"/>
          <w:color w:val="auto"/>
          <w:sz w:val="28"/>
          <w:szCs w:val="28"/>
          <w:highlight w:val="none"/>
          <w:u w:val="single"/>
          <w:lang w:val="en-US" w:eastAsia="zh-CN"/>
        </w:rPr>
        <w:t>467</w:t>
      </w:r>
      <w:r>
        <w:rPr>
          <w:rFonts w:ascii="仿宋_GB2312" w:hAnsi="仿宋" w:eastAsia="仿宋"/>
          <w:color w:val="auto"/>
          <w:sz w:val="28"/>
          <w:szCs w:val="28"/>
          <w:highlight w:val="none"/>
          <w:u w:val="none"/>
        </w:rPr>
        <w:t>。</w:t>
      </w:r>
    </w:p>
    <w:p>
      <w:pPr>
        <w:widowControl/>
        <w:adjustRightInd w:val="0"/>
        <w:snapToGrid w:val="0"/>
        <w:spacing w:line="600" w:lineRule="exact"/>
        <w:ind w:firstLine="560" w:firstLineChars="200"/>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spacing w:line="360" w:lineRule="auto"/>
        <w:rPr>
          <w:rFonts w:ascii="仿宋_GB2312" w:hAnsi="仿宋_GB2312" w:eastAsia="仿宋" w:cs="仿宋_GB2312"/>
          <w:color w:val="auto"/>
          <w:sz w:val="28"/>
          <w:szCs w:val="28"/>
          <w:highlight w:val="none"/>
        </w:rPr>
      </w:pPr>
      <w:bookmarkStart w:id="13" w:name="_Toc10891"/>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bookmarkStart w:id="14" w:name="_Toc19295"/>
      <w:bookmarkStart w:id="15" w:name="_Toc2331"/>
      <w:bookmarkStart w:id="16" w:name="_Toc32588"/>
      <w:bookmarkStart w:id="17" w:name="_Toc16557"/>
      <w:bookmarkStart w:id="18" w:name="_Toc25603"/>
      <w:bookmarkStart w:id="19" w:name="_Toc23749"/>
      <w:bookmarkStart w:id="20" w:name="_Toc16705"/>
      <w:bookmarkStart w:id="21" w:name="_Toc9448"/>
      <w:bookmarkStart w:id="22" w:name="_Toc2324"/>
      <w:bookmarkStart w:id="23" w:name="_Toc7340"/>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ascii="仿宋_GB2312" w:hAnsi="仿宋_GB2312" w:eastAsia="仿宋" w:cs="仿宋_GB2312"/>
          <w:color w:val="auto"/>
          <w:sz w:val="28"/>
          <w:szCs w:val="28"/>
          <w:highlight w:val="none"/>
        </w:rPr>
      </w:pPr>
      <w:bookmarkStart w:id="24" w:name="_Toc3416"/>
      <w:bookmarkStart w:id="25" w:name="_Toc2339"/>
    </w:p>
    <w:p>
      <w:pPr>
        <w:pStyle w:val="4"/>
        <w:jc w:val="center"/>
        <w:rPr>
          <w:color w:val="auto"/>
          <w:highlight w:val="none"/>
        </w:rPr>
      </w:pPr>
      <w:r>
        <w:rPr>
          <w:rFonts w:hint="eastAsia"/>
          <w:color w:val="auto"/>
          <w:highlight w:val="none"/>
        </w:rPr>
        <w:t>供应商须知</w:t>
      </w:r>
      <w:bookmarkEnd w:id="24"/>
      <w:bookmarkEnd w:id="25"/>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spacing w:line="360" w:lineRule="auto"/>
        <w:rPr>
          <w:rFonts w:ascii="仿宋_GB2312" w:hAnsi="仿宋_GB2312" w:eastAsia="仿宋" w:cs="仿宋_GB2312"/>
          <w:color w:val="auto"/>
          <w:sz w:val="28"/>
          <w:szCs w:val="28"/>
          <w:highlight w:val="none"/>
        </w:rPr>
      </w:pPr>
    </w:p>
    <w:p>
      <w:pPr>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numPr>
          <w:ilvl w:val="255"/>
          <w:numId w:val="0"/>
        </w:numPr>
        <w:adjustRightInd/>
        <w:snapToGrid/>
        <w:spacing w:line="600" w:lineRule="exact"/>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详见第一章采购公告（采购邀请书）3.供应商资格要求</w:t>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numPr>
          <w:ilvl w:val="255"/>
          <w:numId w:val="0"/>
        </w:numPr>
        <w:spacing w:line="6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rPr>
              <w:t>（1）采购公告（采购邀请书）</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adjustRightInd w:val="0"/>
              <w:snapToGrid w:val="0"/>
              <w:rPr>
                <w:rFonts w:ascii="仿宋_GB2312" w:eastAsia="仿宋"/>
                <w:color w:val="auto"/>
                <w:sz w:val="24"/>
                <w:szCs w:val="24"/>
                <w:highlight w:val="none"/>
              </w:rPr>
            </w:pPr>
            <w:r>
              <w:rPr>
                <w:rFonts w:hint="eastAsia" w:ascii="仿宋_GB2312" w:eastAsia="仿宋"/>
                <w:color w:val="auto"/>
                <w:sz w:val="24"/>
                <w:szCs w:val="24"/>
                <w:highlight w:val="none"/>
              </w:rPr>
              <w:t>1.2.1供应商对采购文件有疑问的，应当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rPr>
              <w:t>2.3</w:t>
            </w:r>
          </w:p>
        </w:tc>
        <w:tc>
          <w:tcPr>
            <w:tcW w:w="1680" w:type="dxa"/>
            <w:vAlign w:val="center"/>
          </w:tcPr>
          <w:p>
            <w:pPr>
              <w:adjustRightInd w:val="0"/>
              <w:snapToGrid w:val="0"/>
              <w:jc w:val="center"/>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本项目</w:t>
            </w:r>
            <w:r>
              <w:rPr>
                <w:rFonts w:hint="eastAsia" w:ascii="仿宋_GB2312" w:eastAsia="仿宋"/>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最高限价及低价说明</w:t>
            </w:r>
          </w:p>
        </w:tc>
        <w:tc>
          <w:tcPr>
            <w:tcW w:w="5750"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rPr>
              <w:t>3</w:t>
            </w:r>
            <w:r>
              <w:rPr>
                <w:rFonts w:hint="eastAsia" w:ascii="仿宋_GB2312" w:eastAsia="仿宋"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color w:val="auto"/>
                <w:sz w:val="24"/>
                <w:szCs w:val="24"/>
                <w:highlight w:val="none"/>
              </w:rPr>
              <w:t>推荐</w:t>
            </w:r>
            <w:r>
              <w:rPr>
                <w:rFonts w:hint="eastAsia" w:ascii="仿宋_GB2312" w:hAnsi="仿宋_GB2312" w:eastAsia="仿宋" w:cs="仿宋_GB2312"/>
                <w:color w:val="auto"/>
                <w:sz w:val="24"/>
                <w:szCs w:val="24"/>
                <w:highlight w:val="none"/>
                <w:u w:val="single"/>
              </w:rPr>
              <w:t>2</w:t>
            </w:r>
            <w:r>
              <w:rPr>
                <w:rFonts w:hint="eastAsia" w:ascii="仿宋_GB2312" w:hAnsi="仿宋_GB2312" w:eastAsia="仿宋" w:cs="仿宋_GB2312"/>
                <w:color w:val="auto"/>
                <w:sz w:val="24"/>
                <w:szCs w:val="24"/>
                <w:highlight w:val="none"/>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ascii="仿宋_GB2312" w:eastAsia="仿宋_GB2312"/>
                <w:color w:val="auto"/>
                <w:sz w:val="24"/>
                <w:szCs w:val="24"/>
                <w:highlight w:val="none"/>
              </w:rPr>
            </w:pPr>
          </w:p>
        </w:tc>
        <w:tc>
          <w:tcPr>
            <w:tcW w:w="1680" w:type="dxa"/>
            <w:vMerge w:val="continue"/>
            <w:vAlign w:val="center"/>
          </w:tcPr>
          <w:p>
            <w:pPr>
              <w:adjustRightInd w:val="0"/>
              <w:snapToGrid w:val="0"/>
              <w:jc w:val="center"/>
              <w:rPr>
                <w:rFonts w:ascii="仿宋_GB2312" w:eastAsia="仿宋_GB2312"/>
                <w:color w:val="auto"/>
                <w:sz w:val="24"/>
                <w:szCs w:val="24"/>
                <w:highlight w:val="none"/>
              </w:rPr>
            </w:pPr>
          </w:p>
        </w:tc>
        <w:tc>
          <w:tcPr>
            <w:tcW w:w="5750" w:type="dxa"/>
            <w:tcBorders>
              <w:right w:val="nil"/>
            </w:tcBorders>
            <w:vAlign w:val="center"/>
          </w:tcPr>
          <w:p>
            <w:pPr>
              <w:jc w:val="left"/>
              <w:rPr>
                <w:rFonts w:ascii="仿宋_GB2312" w:hAnsi="仿宋_GB2312" w:eastAsia="仿宋" w:cs="仿宋_GB2312"/>
                <w:color w:val="auto"/>
                <w:sz w:val="24"/>
                <w:szCs w:val="24"/>
                <w:highlight w:val="none"/>
              </w:rPr>
            </w:pPr>
            <w:r>
              <w:rPr>
                <w:rFonts w:ascii="仿宋_GB2312" w:hAnsi="仿宋_GB2312" w:eastAsia="仿宋" w:cs="仿宋_GB2312"/>
                <w:color w:val="auto"/>
                <w:sz w:val="24"/>
                <w:szCs w:val="24"/>
                <w:highlight w:val="none"/>
              </w:rPr>
              <w:t>采购人</w:t>
            </w:r>
            <w:r>
              <w:rPr>
                <w:rFonts w:hint="eastAsia" w:ascii="仿宋_GB2312" w:hAnsi="仿宋_GB2312" w:eastAsia="仿宋" w:cs="仿宋_GB2312"/>
                <w:color w:val="auto"/>
                <w:sz w:val="24"/>
                <w:szCs w:val="24"/>
                <w:highlight w:val="none"/>
              </w:rPr>
              <w:t>和成交供应商应当在成交-通知书发出之日起</w:t>
            </w:r>
            <w:r>
              <w:rPr>
                <w:rFonts w:hint="eastAsia" w:ascii="仿宋_GB2312" w:hAnsi="仿宋_GB2312" w:eastAsia="仿宋" w:cs="仿宋_GB2312"/>
                <w:color w:val="auto"/>
                <w:sz w:val="24"/>
                <w:szCs w:val="24"/>
                <w:highlight w:val="none"/>
                <w:u w:val="single"/>
              </w:rPr>
              <w:t>30</w:t>
            </w:r>
            <w:r>
              <w:rPr>
                <w:rFonts w:hint="eastAsia" w:ascii="仿宋_GB2312" w:hAnsi="仿宋_GB2312" w:eastAsia="仿宋" w:cs="仿宋_GB2312"/>
                <w:color w:val="auto"/>
                <w:sz w:val="24"/>
                <w:szCs w:val="24"/>
                <w:highlight w:val="none"/>
              </w:rPr>
              <w:t>日内，根据采购文件和成交供应商的响应文件订立书面合同。</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color w:val="auto"/>
                <w:sz w:val="24"/>
                <w:szCs w:val="24"/>
                <w:highlight w:val="none"/>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ascii="仿宋_GB2312" w:eastAsia="仿宋_GB2312"/>
                <w:color w:val="auto"/>
                <w:sz w:val="24"/>
                <w:szCs w:val="24"/>
                <w:highlight w:val="none"/>
              </w:rPr>
            </w:pPr>
          </w:p>
        </w:tc>
        <w:tc>
          <w:tcPr>
            <w:tcW w:w="1680" w:type="dxa"/>
            <w:vMerge w:val="continue"/>
            <w:vAlign w:val="center"/>
          </w:tcPr>
          <w:p>
            <w:pPr>
              <w:adjustRightInd w:val="0"/>
              <w:snapToGrid w:val="0"/>
              <w:jc w:val="center"/>
              <w:rPr>
                <w:rFonts w:ascii="仿宋_GB2312" w:eastAsia="仿宋_GB2312"/>
                <w:color w:val="auto"/>
                <w:sz w:val="24"/>
                <w:szCs w:val="24"/>
                <w:highlight w:val="none"/>
              </w:rPr>
            </w:pPr>
          </w:p>
        </w:tc>
        <w:tc>
          <w:tcPr>
            <w:tcW w:w="5750" w:type="dxa"/>
            <w:tcBorders>
              <w:right w:val="nil"/>
            </w:tcBorders>
            <w:vAlign w:val="center"/>
          </w:tcPr>
          <w:p>
            <w:pPr>
              <w:numPr>
                <w:ilvl w:val="255"/>
                <w:numId w:val="0"/>
              </w:numPr>
              <w:jc w:val="left"/>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color w:val="auto"/>
                <w:sz w:val="24"/>
                <w:szCs w:val="24"/>
                <w:highlight w:val="none"/>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2.20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响应性</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rPr>
              <w:t>□</w:t>
            </w:r>
            <w:r>
              <w:rPr>
                <w:rFonts w:hint="eastAsia" w:ascii="仿宋_GB2312" w:eastAsia="仿宋"/>
                <w:color w:val="auto"/>
                <w:sz w:val="24"/>
                <w:szCs w:val="24"/>
                <w:highlight w:val="none"/>
              </w:rPr>
              <w:t>无</w:t>
            </w:r>
          </w:p>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（2）响应文件未按规定格式填写，或内容与采购文件严重背离的。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（3）响应文件有两个以上报价的（采购文件允许提交备选方案的除外）。</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（4）质量标准不符合采购文件要求的。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（5）服务期不符合采购文件要求的。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（6）报价超过最高限价的。</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（7）供应商不符合国家或采购文件规定的资格条件。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（8）响应文件没有对采购文件的实质性要求和条件作出响应。</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（9）非法定代表人/负责人或授权委托代理人递交响应文件。</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（10）其他不符合采购文件要求的情形。</w:t>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本项目无须递交响应保证金。</w:t>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响应文件包括下列内容:</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1.响应函</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2.法定代表人/负责人证明或授权委托书</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3.资格审查资料</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5.报价表</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6.其他资料</w:t>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异议函应由异议人的法定代表人/负责人（单位负责人）或其授权的代理人签字并加盖单位章。</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
          <w:color w:val="auto"/>
          <w:sz w:val="28"/>
          <w:szCs w:val="28"/>
          <w:highlight w:val="none"/>
        </w:rPr>
      </w:pPr>
      <w:r>
        <w:rPr>
          <w:rFonts w:hint="eastAsia" w:ascii="仿宋_GB2312" w:eastAsia="仿宋"/>
          <w:color w:val="auto"/>
          <w:sz w:val="28"/>
          <w:szCs w:val="28"/>
          <w:highlight w:val="none"/>
        </w:rPr>
        <w:t>7.3异议人与采购人对异议事项无法达成一致的，异议人可向采购人的监管部门进行反映。</w:t>
      </w:r>
    </w:p>
    <w:p>
      <w:pPr>
        <w:numPr>
          <w:ilvl w:val="0"/>
          <w:numId w:val="4"/>
        </w:numPr>
        <w:spacing w:after="156" w:afterLines="50" w:line="600" w:lineRule="exact"/>
        <w:jc w:val="left"/>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spacing w:line="600" w:lineRule="exact"/>
        <w:ind w:firstLine="560" w:firstLineChars="200"/>
        <w:jc w:val="left"/>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spacing w:line="600" w:lineRule="exact"/>
        <w:ind w:firstLine="560" w:firstLineChars="200"/>
        <w:jc w:val="left"/>
        <w:rPr>
          <w:rFonts w:asciiTheme="majorEastAsia" w:hAnsiTheme="majorEastAsia" w:eastAsiaTheme="majorEastAsia"/>
          <w:b/>
          <w:color w:val="auto"/>
          <w:sz w:val="28"/>
          <w:szCs w:val="28"/>
          <w:highlight w:val="none"/>
        </w:rPr>
      </w:pPr>
      <w:r>
        <w:rPr>
          <w:rFonts w:hint="eastAsia" w:ascii="仿宋_GB2312" w:eastAsia="仿宋"/>
          <w:color w:val="auto"/>
          <w:sz w:val="28"/>
          <w:szCs w:val="28"/>
          <w:highlight w:val="none"/>
        </w:rPr>
        <w:t>附件5：关于**项目异议书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6"/>
        <w:rPr>
          <w:rFonts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附件2</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6"/>
        <w:rPr>
          <w:rFonts w:ascii="仿宋_GB2312" w:hAnsi="仿宋_GB2312" w:eastAsia="仿宋" w:cs="仿宋_GB2312"/>
          <w:color w:val="auto"/>
          <w:highlight w:val="none"/>
        </w:rPr>
      </w:pPr>
    </w:p>
    <w:p>
      <w:pPr>
        <w:adjustRightInd w:val="0"/>
        <w:snapToGrid w:val="0"/>
        <w:spacing w:line="600" w:lineRule="exact"/>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rPr>
        <w:t>：</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adjustRightInd w:val="0"/>
        <w:snapToGrid w:val="0"/>
        <w:spacing w:line="600" w:lineRule="exact"/>
        <w:ind w:firstLine="560" w:firstLineChars="2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 xml:space="preserve">日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附件3</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法定代表人/负责人或委托代理人：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附件4</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rPr>
        <w:t xml:space="preserve">      项目</w:t>
      </w:r>
      <w:r>
        <w:rPr>
          <w:rFonts w:hint="eastAsia" w:ascii="仿宋_GB2312" w:eastAsia="仿宋" w:hAnsiTheme="majorEastAsia"/>
          <w:color w:val="auto"/>
          <w:sz w:val="28"/>
          <w:szCs w:val="28"/>
          <w:highlight w:val="none"/>
        </w:rPr>
        <w:t>的成交供应商。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rPr>
        <w:t>30</w:t>
      </w:r>
      <w:r>
        <w:rPr>
          <w:rFonts w:hint="eastAsia" w:ascii="仿宋_GB2312" w:eastAsia="仿宋"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附件5</w:t>
      </w:r>
    </w:p>
    <w:p>
      <w:pPr>
        <w:adjustRightInd w:val="0"/>
        <w:snapToGrid w:val="0"/>
        <w:jc w:val="center"/>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法定代表人/负责人：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法定代表人/负责人或授权代表（签字）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spacing w:line="360" w:lineRule="auto"/>
        <w:jc w:val="left"/>
        <w:rPr>
          <w:rFonts w:ascii="仿宋_GB2312" w:eastAsia="仿宋"/>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第三章</w:t>
      </w:r>
    </w:p>
    <w:p>
      <w:pPr>
        <w:spacing w:line="360" w:lineRule="auto"/>
        <w:jc w:val="left"/>
        <w:rPr>
          <w:rFonts w:ascii="仿宋_GB2312" w:eastAsia="仿宋"/>
          <w:color w:val="auto"/>
          <w:sz w:val="28"/>
          <w:szCs w:val="28"/>
          <w:highlight w:val="none"/>
        </w:rPr>
      </w:pPr>
    </w:p>
    <w:p>
      <w:pPr>
        <w:pStyle w:val="4"/>
        <w:jc w:val="center"/>
        <w:rPr>
          <w:color w:val="auto"/>
          <w:highlight w:val="none"/>
        </w:rPr>
      </w:pPr>
      <w:bookmarkStart w:id="26" w:name="_Toc7303"/>
      <w:bookmarkStart w:id="27" w:name="_Toc88209934"/>
      <w:bookmarkStart w:id="28" w:name="_Toc7040"/>
      <w:bookmarkStart w:id="29" w:name="_Toc87616371"/>
      <w:r>
        <w:rPr>
          <w:rFonts w:hint="eastAsia"/>
          <w:color w:val="auto"/>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rPr>
              <w:t>本项目所有采购内容和范围</w:t>
            </w:r>
            <w:r>
              <w:rPr>
                <w:rFonts w:hint="eastAsia" w:ascii="仿宋_GB2312" w:eastAsia="仿宋" w:hAnsiTheme="minorEastAsia"/>
                <w:color w:val="auto"/>
                <w:sz w:val="24"/>
                <w:szCs w:val="24"/>
                <w:highlight w:val="none"/>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p>
          <w:p>
            <w:pPr>
              <w:adjustRightInd w:val="0"/>
              <w:snapToGrid w:val="0"/>
              <w:ind w:firstLine="480" w:firstLineChars="200"/>
              <w:rPr>
                <w:rFonts w:ascii="仿宋_GB2312" w:eastAsia="仿宋_GB2312" w:hAnsiTheme="minorEastAsia"/>
                <w:color w:val="auto"/>
                <w:sz w:val="24"/>
                <w:szCs w:val="24"/>
                <w:highlight w:val="none"/>
              </w:rPr>
            </w:pPr>
            <w:r>
              <w:rPr>
                <w:rFonts w:ascii="仿宋_GB2312" w:eastAsia="仿宋" w:hAnsiTheme="minorEastAsia"/>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spacing w:line="360" w:lineRule="auto"/>
        <w:ind w:firstLine="560" w:firstLineChars="200"/>
        <w:jc w:val="left"/>
        <w:rPr>
          <w:rFonts w:ascii="仿宋_GB2312" w:eastAsia="仿宋"/>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第四章</w:t>
      </w:r>
    </w:p>
    <w:p>
      <w:pPr>
        <w:spacing w:line="360" w:lineRule="auto"/>
        <w:ind w:firstLine="560" w:firstLineChars="200"/>
        <w:jc w:val="left"/>
        <w:rPr>
          <w:rFonts w:hint="eastAsia" w:ascii="方正小标宋简体" w:hAnsi="方正小标宋简体" w:eastAsia="方正小标宋简体" w:cs="方正小标宋简体"/>
          <w:color w:val="auto"/>
          <w:sz w:val="28"/>
          <w:szCs w:val="28"/>
          <w:highlight w:val="none"/>
        </w:rPr>
      </w:pPr>
    </w:p>
    <w:p>
      <w:pPr>
        <w:spacing w:line="360" w:lineRule="auto"/>
        <w:jc w:val="center"/>
        <w:rPr>
          <w:rFonts w:hint="eastAsia" w:ascii="方正小标宋简体" w:hAnsi="方正小标宋简体" w:eastAsia="方正小标宋简体" w:cs="方正小标宋简体"/>
          <w:color w:val="auto"/>
          <w:sz w:val="36"/>
          <w:szCs w:val="36"/>
          <w:highlight w:val="none"/>
        </w:rPr>
      </w:pPr>
      <w:bookmarkStart w:id="32" w:name="_Toc21840"/>
      <w:bookmarkStart w:id="33" w:name="_Toc29345"/>
      <w:bookmarkStart w:id="34" w:name="_Toc22212"/>
      <w:bookmarkStart w:id="35" w:name="_Toc32607"/>
      <w:bookmarkStart w:id="36" w:name="_Toc29484"/>
      <w:bookmarkStart w:id="37" w:name="_Toc21079"/>
      <w:bookmarkStart w:id="38" w:name="_Toc88209941"/>
      <w:bookmarkStart w:id="39" w:name="_Toc12177"/>
      <w:bookmarkStart w:id="40" w:name="_Toc30530"/>
      <w:bookmarkStart w:id="41" w:name="_Toc7831"/>
      <w:bookmarkStart w:id="42" w:name="_Toc13898"/>
      <w:bookmarkStart w:id="43" w:name="_Toc87616378"/>
      <w:bookmarkStart w:id="44" w:name="_Toc6308"/>
      <w:r>
        <w:rPr>
          <w:rFonts w:hint="eastAsia" w:ascii="方正小标宋简体" w:hAnsi="方正小标宋简体" w:eastAsia="方正小标宋简体" w:cs="方正小标宋简体"/>
          <w:color w:val="auto"/>
          <w:sz w:val="36"/>
          <w:szCs w:val="36"/>
          <w:highlight w:val="none"/>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经评审的最低价法</w:t>
      </w:r>
      <w:bookmarkEnd w:id="45"/>
      <w:bookmarkEnd w:id="46"/>
    </w:p>
    <w:p>
      <w:pPr>
        <w:adjustRightInd w:val="0"/>
        <w:snapToGrid w:val="0"/>
        <w:spacing w:line="600" w:lineRule="exact"/>
        <w:jc w:val="left"/>
        <w:rPr>
          <w:rFonts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（1）运输费用及保险费（如有）。</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法定代表人/负责人授权委托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有授权书，授权书有法定代表人/负责人及其委托代理人签字并加盖单位公章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第五章</w:t>
      </w:r>
    </w:p>
    <w:p>
      <w:pPr>
        <w:spacing w:line="360" w:lineRule="auto"/>
        <w:jc w:val="left"/>
        <w:rPr>
          <w:rFonts w:ascii="仿宋_GB2312" w:eastAsia="仿宋" w:hAnsiTheme="minorEastAsia"/>
          <w:color w:val="auto"/>
          <w:sz w:val="28"/>
          <w:szCs w:val="28"/>
          <w:highlight w:val="none"/>
        </w:rPr>
      </w:pPr>
    </w:p>
    <w:p>
      <w:pPr>
        <w:pStyle w:val="4"/>
        <w:jc w:val="center"/>
        <w:rPr>
          <w:color w:val="auto"/>
          <w:highlight w:val="none"/>
        </w:rPr>
      </w:pPr>
      <w:r>
        <w:rPr>
          <w:rFonts w:hint="eastAsia"/>
          <w:color w:val="auto"/>
          <w:highlight w:val="none"/>
        </w:rPr>
        <w:t>采购需求</w:t>
      </w:r>
    </w:p>
    <w:p>
      <w:pPr>
        <w:spacing w:line="360" w:lineRule="auto"/>
        <w:jc w:val="left"/>
        <w:rPr>
          <w:rFonts w:ascii="仿宋_GB2312" w:eastAsia="仿宋" w:hAnsiTheme="minorEastAsia"/>
          <w:color w:val="auto"/>
          <w:sz w:val="28"/>
          <w:szCs w:val="28"/>
          <w:highlight w:val="none"/>
        </w:rPr>
      </w:pPr>
      <w:bookmarkStart w:id="47" w:name="_Toc88209947"/>
    </w:p>
    <w:p>
      <w:pPr>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2、全文所有要求均为实质性响应条款，供应商如有任何一条负偏离则导致</w:t>
      </w:r>
      <w:r>
        <w:rPr>
          <w:rFonts w:hint="eastAsia" w:ascii="宋体" w:hAnsi="宋体" w:cs="宋体"/>
          <w:color w:val="auto"/>
          <w:sz w:val="24"/>
          <w:szCs w:val="24"/>
          <w:highlight w:val="none"/>
        </w:rPr>
        <w:t>响应</w:t>
      </w:r>
      <w:r>
        <w:rPr>
          <w:rFonts w:hint="eastAsia" w:ascii="宋体" w:hAnsi="宋体" w:eastAsia="宋体" w:cs="宋体"/>
          <w:color w:val="auto"/>
          <w:sz w:val="24"/>
          <w:szCs w:val="24"/>
          <w:highlight w:val="none"/>
        </w:rPr>
        <w:t>（报价）文件无效。</w:t>
      </w:r>
    </w:p>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bookmarkEnd w:id="47"/>
    <w:p>
      <w:pPr>
        <w:jc w:val="center"/>
        <w:rPr>
          <w:rFonts w:ascii="仿宋" w:hAnsi="仿宋" w:eastAsia="仿宋"/>
          <w:color w:val="auto"/>
          <w:w w:val="80"/>
          <w:sz w:val="30"/>
          <w:szCs w:val="30"/>
          <w:highlight w:val="none"/>
        </w:rPr>
      </w:pPr>
      <w:r>
        <w:rPr>
          <w:rFonts w:hint="eastAsia" w:ascii="仿宋" w:hAnsi="仿宋" w:eastAsia="仿宋"/>
          <w:color w:val="auto"/>
          <w:w w:val="80"/>
          <w:sz w:val="30"/>
          <w:szCs w:val="30"/>
          <w:highlight w:val="none"/>
        </w:rPr>
        <w:t>2</w:t>
      </w:r>
      <w:r>
        <w:rPr>
          <w:rFonts w:ascii="仿宋" w:hAnsi="仿宋" w:eastAsia="仿宋"/>
          <w:color w:val="auto"/>
          <w:w w:val="80"/>
          <w:sz w:val="30"/>
          <w:szCs w:val="30"/>
          <w:highlight w:val="none"/>
        </w:rPr>
        <w:t>025</w:t>
      </w:r>
      <w:r>
        <w:rPr>
          <w:rFonts w:hint="eastAsia" w:ascii="仿宋" w:hAnsi="仿宋" w:eastAsia="仿宋"/>
          <w:color w:val="auto"/>
          <w:w w:val="80"/>
          <w:sz w:val="30"/>
          <w:szCs w:val="30"/>
          <w:highlight w:val="none"/>
        </w:rPr>
        <w:t>年度综合安防管理平台软件系统运维服务项目技术要求</w:t>
      </w:r>
    </w:p>
    <w:p>
      <w:pPr>
        <w:pStyle w:val="4"/>
        <w:spacing w:after="0"/>
        <w:rPr>
          <w:rFonts w:ascii="仿宋" w:hAnsi="仿宋" w:eastAsia="仿宋" w:cstheme="minorBidi"/>
          <w:bCs w:val="0"/>
          <w:color w:val="auto"/>
          <w:w w:val="80"/>
          <w:sz w:val="30"/>
          <w:szCs w:val="30"/>
          <w:highlight w:val="none"/>
        </w:rPr>
      </w:pPr>
      <w:r>
        <w:rPr>
          <w:rFonts w:hint="eastAsia" w:ascii="仿宋" w:hAnsi="仿宋" w:eastAsia="仿宋" w:cstheme="minorBidi"/>
          <w:bCs w:val="0"/>
          <w:color w:val="auto"/>
          <w:w w:val="80"/>
          <w:sz w:val="30"/>
          <w:szCs w:val="30"/>
          <w:highlight w:val="none"/>
        </w:rPr>
        <w:t>一、现状描述</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目前净水公司综合安防管理平台是海康威视</w:t>
      </w:r>
      <w:r>
        <w:rPr>
          <w:rFonts w:ascii="仿宋" w:hAnsi="仿宋" w:eastAsia="仿宋" w:cs="Times New Roman"/>
          <w:color w:val="auto"/>
          <w:sz w:val="24"/>
          <w:szCs w:val="24"/>
          <w:highlight w:val="none"/>
        </w:rPr>
        <w:t>ISC</w:t>
      </w:r>
      <w:r>
        <w:rPr>
          <w:rFonts w:hint="eastAsia" w:ascii="仿宋" w:hAnsi="仿宋" w:eastAsia="仿宋" w:cs="Times New Roman"/>
          <w:color w:val="auto"/>
          <w:sz w:val="24"/>
          <w:szCs w:val="24"/>
          <w:highlight w:val="none"/>
        </w:rPr>
        <w:t>版本，覆盖公司所属13座净水厂生产和办公区域。截止目前，接入的视频数据数量从2</w:t>
      </w:r>
      <w:r>
        <w:rPr>
          <w:rFonts w:ascii="仿宋" w:hAnsi="仿宋" w:eastAsia="仿宋" w:cs="Times New Roman"/>
          <w:color w:val="auto"/>
          <w:sz w:val="24"/>
          <w:szCs w:val="24"/>
          <w:highlight w:val="none"/>
        </w:rPr>
        <w:t>023</w:t>
      </w:r>
      <w:r>
        <w:rPr>
          <w:rFonts w:hint="eastAsia" w:ascii="仿宋" w:hAnsi="仿宋" w:eastAsia="仿宋" w:cs="Times New Roman"/>
          <w:color w:val="auto"/>
          <w:sz w:val="24"/>
          <w:szCs w:val="24"/>
          <w:highlight w:val="none"/>
        </w:rPr>
        <w:t>年的1</w:t>
      </w:r>
      <w:r>
        <w:rPr>
          <w:rFonts w:ascii="仿宋" w:hAnsi="仿宋" w:eastAsia="仿宋" w:cs="Times New Roman"/>
          <w:color w:val="auto"/>
          <w:sz w:val="24"/>
          <w:szCs w:val="24"/>
          <w:highlight w:val="none"/>
        </w:rPr>
        <w:t>600</w:t>
      </w:r>
      <w:r>
        <w:rPr>
          <w:rFonts w:hint="eastAsia" w:ascii="仿宋" w:hAnsi="仿宋" w:eastAsia="仿宋" w:cs="Times New Roman"/>
          <w:color w:val="auto"/>
          <w:sz w:val="24"/>
          <w:szCs w:val="24"/>
          <w:highlight w:val="none"/>
        </w:rPr>
        <w:t>路增加至1</w:t>
      </w:r>
      <w:r>
        <w:rPr>
          <w:rFonts w:ascii="仿宋" w:hAnsi="仿宋" w:eastAsia="仿宋" w:cs="Times New Roman"/>
          <w:color w:val="auto"/>
          <w:sz w:val="24"/>
          <w:szCs w:val="24"/>
          <w:highlight w:val="none"/>
        </w:rPr>
        <w:t>937</w:t>
      </w:r>
      <w:r>
        <w:rPr>
          <w:rFonts w:hint="eastAsia" w:ascii="仿宋" w:hAnsi="仿宋" w:eastAsia="仿宋" w:cs="Times New Roman"/>
          <w:color w:val="auto"/>
          <w:sz w:val="24"/>
          <w:szCs w:val="24"/>
          <w:highlight w:val="none"/>
        </w:rPr>
        <w:t>路，并增加危化品专题分类。平台已实现视频的实时浏览、录像回放、云台控制、快速抓图、轮训分组、灵活建立视频专题等多项功能，可通过平台实时掌握各厂的生产和办公等各项工作的实时状况，为生产安全监控、应急指挥调度提供有力的信息化技术支撑。</w:t>
      </w:r>
    </w:p>
    <w:p>
      <w:pPr>
        <w:pStyle w:val="4"/>
        <w:spacing w:after="0"/>
        <w:rPr>
          <w:rFonts w:ascii="仿宋" w:hAnsi="仿宋" w:eastAsia="仿宋" w:cstheme="minorBidi"/>
          <w:bCs w:val="0"/>
          <w:color w:val="auto"/>
          <w:w w:val="80"/>
          <w:sz w:val="30"/>
          <w:szCs w:val="30"/>
          <w:highlight w:val="none"/>
        </w:rPr>
      </w:pPr>
      <w:r>
        <w:rPr>
          <w:rFonts w:hint="eastAsia" w:ascii="仿宋" w:hAnsi="仿宋" w:eastAsia="仿宋" w:cstheme="minorBidi"/>
          <w:bCs w:val="0"/>
          <w:color w:val="auto"/>
          <w:w w:val="80"/>
          <w:sz w:val="30"/>
          <w:szCs w:val="30"/>
          <w:highlight w:val="none"/>
        </w:rPr>
        <w:t>二、运维方案</w:t>
      </w:r>
    </w:p>
    <w:p>
      <w:pPr>
        <w:pStyle w:val="4"/>
        <w:spacing w:after="0"/>
        <w:rPr>
          <w:rFonts w:ascii="仿宋" w:hAnsi="仿宋" w:eastAsia="仿宋" w:cstheme="minorBidi"/>
          <w:bCs w:val="0"/>
          <w:color w:val="auto"/>
          <w:w w:val="80"/>
          <w:sz w:val="30"/>
          <w:szCs w:val="30"/>
          <w:highlight w:val="none"/>
        </w:rPr>
      </w:pPr>
      <w:r>
        <w:rPr>
          <w:rFonts w:hint="eastAsia" w:ascii="仿宋" w:hAnsi="仿宋" w:eastAsia="仿宋" w:cstheme="minorBidi"/>
          <w:bCs w:val="0"/>
          <w:color w:val="auto"/>
          <w:w w:val="80"/>
          <w:sz w:val="30"/>
          <w:szCs w:val="30"/>
          <w:highlight w:val="none"/>
        </w:rPr>
        <w:t>（一）运维范围</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202</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年综合安防管理平台软件系统运维服务项目，维护范围包括</w:t>
      </w:r>
      <w:r>
        <w:rPr>
          <w:rFonts w:hint="eastAsia" w:ascii="仿宋" w:hAnsi="仿宋" w:eastAsia="仿宋" w:cs="Times New Roman"/>
          <w:color w:val="auto"/>
          <w:sz w:val="24"/>
          <w:szCs w:val="24"/>
          <w:highlight w:val="none"/>
        </w:rPr>
        <w:t>公司视频监控系统平台日常运维和接入公司视频监控系统平台的各厂视频监控网络配置管理、各厂视频接入交换机延保、提供ISC平台专用服务器的服务、配合第三方平台的视频图像取流接入工作，以及集团水博园应急指挥调度系统中展示净水公司视频综合安防管理平台软件的技术支持、沥滘三期指挥调度中心展示净水公司视频综合安防管理平台软件的技术支持等相关应急工作。具体内容如下：</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（1）平台的</w:t>
      </w:r>
      <w:r>
        <w:rPr>
          <w:rFonts w:ascii="仿宋" w:hAnsi="仿宋" w:eastAsia="仿宋" w:cs="Times New Roman"/>
          <w:color w:val="auto"/>
          <w:sz w:val="24"/>
          <w:szCs w:val="24"/>
          <w:highlight w:val="none"/>
        </w:rPr>
        <w:t>日常运维</w:t>
      </w:r>
      <w:r>
        <w:rPr>
          <w:rFonts w:hint="eastAsia" w:ascii="仿宋" w:hAnsi="仿宋" w:eastAsia="仿宋" w:cs="Times New Roman"/>
          <w:color w:val="auto"/>
          <w:sz w:val="24"/>
          <w:szCs w:val="24"/>
          <w:highlight w:val="none"/>
        </w:rPr>
        <w:t>及故障记录和备案提醒；</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（2）现场巡检各厂视频接入交换机及视频网络配置管理；</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（3）软件平台的原厂升级服务和技术指导；</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配合第三方平台</w:t>
      </w:r>
      <w:r>
        <w:rPr>
          <w:rFonts w:hint="eastAsia" w:ascii="仿宋" w:hAnsi="仿宋" w:eastAsia="仿宋" w:cs="Times New Roman"/>
          <w:color w:val="auto"/>
          <w:sz w:val="24"/>
          <w:szCs w:val="24"/>
          <w:highlight w:val="none"/>
        </w:rPr>
        <w:t>或上级单位的</w:t>
      </w:r>
      <w:r>
        <w:rPr>
          <w:rFonts w:ascii="仿宋" w:hAnsi="仿宋" w:eastAsia="仿宋" w:cs="Times New Roman"/>
          <w:color w:val="auto"/>
          <w:sz w:val="24"/>
          <w:szCs w:val="24"/>
          <w:highlight w:val="none"/>
        </w:rPr>
        <w:t>视频图像接入工作，</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5</w:t>
      </w:r>
      <w:r>
        <w:rPr>
          <w:rFonts w:hint="eastAsia" w:ascii="仿宋" w:hAnsi="仿宋" w:eastAsia="仿宋" w:cs="Times New Roman"/>
          <w:color w:val="auto"/>
          <w:sz w:val="24"/>
          <w:szCs w:val="24"/>
          <w:highlight w:val="none"/>
        </w:rPr>
        <w:t>）视频相关技术支持及临时系统保障服务等</w:t>
      </w:r>
      <w:r>
        <w:rPr>
          <w:rFonts w:ascii="仿宋" w:hAnsi="仿宋" w:eastAsia="仿宋" w:cs="Times New Roman"/>
          <w:color w:val="auto"/>
          <w:sz w:val="24"/>
          <w:szCs w:val="24"/>
          <w:highlight w:val="none"/>
        </w:rPr>
        <w:t>工作</w:t>
      </w:r>
      <w:r>
        <w:rPr>
          <w:rFonts w:hint="eastAsia" w:ascii="仿宋" w:hAnsi="仿宋" w:eastAsia="仿宋" w:cs="Times New Roman"/>
          <w:color w:val="auto"/>
          <w:sz w:val="24"/>
          <w:szCs w:val="24"/>
          <w:highlight w:val="none"/>
        </w:rPr>
        <w:t>；</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6</w:t>
      </w:r>
      <w:r>
        <w:rPr>
          <w:rFonts w:hint="eastAsia" w:ascii="仿宋" w:hAnsi="仿宋" w:eastAsia="仿宋" w:cs="Times New Roman"/>
          <w:color w:val="auto"/>
          <w:sz w:val="24"/>
          <w:szCs w:val="24"/>
          <w:highlight w:val="none"/>
        </w:rPr>
        <w:t>）新增工作量说明：</w:t>
      </w:r>
    </w:p>
    <w:p>
      <w:pPr>
        <w:spacing w:after="156" w:afterLines="50" w:line="360" w:lineRule="auto"/>
        <w:ind w:left="630" w:leftChars="3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①</w:t>
      </w:r>
      <w:r>
        <w:rPr>
          <w:rFonts w:ascii="仿宋" w:hAnsi="仿宋" w:eastAsia="仿宋" w:cs="Times New Roman"/>
          <w:color w:val="auto"/>
          <w:sz w:val="24"/>
          <w:szCs w:val="24"/>
          <w:highlight w:val="none"/>
        </w:rPr>
        <w:t>监控点接入数量从1600路增加到1937路，增长率达到21.2%</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编码设备数量（</w:t>
      </w:r>
      <w:r>
        <w:rPr>
          <w:rFonts w:hint="eastAsia" w:ascii="仿宋" w:hAnsi="仿宋" w:eastAsia="仿宋" w:cs="Times New Roman"/>
          <w:color w:val="auto"/>
          <w:sz w:val="24"/>
          <w:szCs w:val="24"/>
          <w:highlight w:val="none"/>
        </w:rPr>
        <w:t>原</w:t>
      </w:r>
      <w:r>
        <w:rPr>
          <w:rFonts w:ascii="仿宋" w:hAnsi="仿宋" w:eastAsia="仿宋" w:cs="Times New Roman"/>
          <w:color w:val="auto"/>
          <w:sz w:val="24"/>
          <w:szCs w:val="24"/>
          <w:highlight w:val="none"/>
        </w:rPr>
        <w:t>64台，现74台）增加15.6%，对系统性能、数量处理能力、对保障业务系统良好运行提出更高的要求</w:t>
      </w:r>
      <w:r>
        <w:rPr>
          <w:rFonts w:hint="eastAsia" w:ascii="仿宋" w:hAnsi="仿宋" w:eastAsia="仿宋" w:cs="Times New Roman"/>
          <w:color w:val="auto"/>
          <w:sz w:val="24"/>
          <w:szCs w:val="24"/>
          <w:highlight w:val="none"/>
        </w:rPr>
        <w:t>；</w:t>
      </w:r>
    </w:p>
    <w:p>
      <w:pPr>
        <w:spacing w:after="156" w:afterLines="50" w:line="360" w:lineRule="auto"/>
        <w:ind w:left="630" w:leftChars="3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②</w:t>
      </w:r>
      <w:r>
        <w:rPr>
          <w:rFonts w:ascii="仿宋" w:hAnsi="仿宋" w:eastAsia="仿宋" w:cs="Times New Roman"/>
          <w:color w:val="auto"/>
          <w:sz w:val="24"/>
          <w:szCs w:val="24"/>
          <w:highlight w:val="none"/>
        </w:rPr>
        <w:t>新增</w:t>
      </w:r>
      <w:r>
        <w:rPr>
          <w:rFonts w:hint="eastAsia" w:ascii="仿宋" w:hAnsi="仿宋" w:eastAsia="仿宋" w:cs="Times New Roman"/>
          <w:color w:val="auto"/>
          <w:sz w:val="24"/>
          <w:szCs w:val="24"/>
          <w:highlight w:val="none"/>
        </w:rPr>
        <w:t>公司与分公司视频</w:t>
      </w:r>
      <w:r>
        <w:rPr>
          <w:rFonts w:ascii="仿宋" w:hAnsi="仿宋" w:eastAsia="仿宋" w:cs="Times New Roman"/>
          <w:color w:val="auto"/>
          <w:sz w:val="24"/>
          <w:szCs w:val="24"/>
          <w:highlight w:val="none"/>
        </w:rPr>
        <w:t>平台</w:t>
      </w:r>
      <w:r>
        <w:rPr>
          <w:rFonts w:hint="eastAsia" w:ascii="仿宋" w:hAnsi="仿宋" w:eastAsia="仿宋" w:cs="Times New Roman"/>
          <w:color w:val="auto"/>
          <w:sz w:val="24"/>
          <w:szCs w:val="24"/>
          <w:highlight w:val="none"/>
        </w:rPr>
        <w:t>数据</w:t>
      </w:r>
      <w:r>
        <w:rPr>
          <w:rFonts w:ascii="仿宋" w:hAnsi="仿宋" w:eastAsia="仿宋" w:cs="Times New Roman"/>
          <w:color w:val="auto"/>
          <w:sz w:val="24"/>
          <w:szCs w:val="24"/>
          <w:highlight w:val="none"/>
        </w:rPr>
        <w:t>对接与级联</w:t>
      </w:r>
      <w:r>
        <w:rPr>
          <w:rFonts w:hint="eastAsia" w:ascii="仿宋" w:hAnsi="仿宋" w:eastAsia="仿宋" w:cs="Times New Roman"/>
          <w:color w:val="auto"/>
          <w:sz w:val="24"/>
          <w:szCs w:val="24"/>
          <w:highlight w:val="none"/>
        </w:rPr>
        <w:t>服务，需对公司的视频平台进行二次开发，开放授权限制，并对平台各级配置、账户权限进行维护管理；</w:t>
      </w:r>
    </w:p>
    <w:p>
      <w:pPr>
        <w:spacing w:after="156" w:afterLines="50" w:line="360" w:lineRule="auto"/>
        <w:ind w:left="210" w:leftChars="100"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③</w:t>
      </w:r>
      <w:r>
        <w:rPr>
          <w:rFonts w:ascii="仿宋" w:hAnsi="仿宋" w:eastAsia="仿宋" w:cs="Times New Roman"/>
          <w:color w:val="auto"/>
          <w:sz w:val="24"/>
          <w:szCs w:val="24"/>
          <w:highlight w:val="none"/>
        </w:rPr>
        <w:t>维护范围扩大</w:t>
      </w:r>
      <w:r>
        <w:rPr>
          <w:rFonts w:hint="eastAsia" w:ascii="仿宋" w:hAnsi="仿宋" w:eastAsia="仿宋" w:cs="Times New Roman"/>
          <w:color w:val="auto"/>
          <w:sz w:val="24"/>
          <w:szCs w:val="24"/>
          <w:highlight w:val="none"/>
        </w:rPr>
        <w:t>（原1</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座分厂，现1</w:t>
      </w: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个），</w:t>
      </w:r>
      <w:r>
        <w:rPr>
          <w:rFonts w:ascii="仿宋" w:hAnsi="仿宋" w:eastAsia="仿宋" w:cs="Times New Roman"/>
          <w:color w:val="auto"/>
          <w:sz w:val="24"/>
          <w:szCs w:val="24"/>
          <w:highlight w:val="none"/>
        </w:rPr>
        <w:t>新增水质中心</w:t>
      </w:r>
      <w:r>
        <w:rPr>
          <w:rFonts w:hint="eastAsia" w:ascii="仿宋" w:hAnsi="仿宋" w:eastAsia="仿宋" w:cs="Times New Roman"/>
          <w:color w:val="auto"/>
          <w:sz w:val="24"/>
          <w:szCs w:val="24"/>
          <w:highlight w:val="none"/>
        </w:rPr>
        <w:t>视频接入的运维工作；</w:t>
      </w:r>
    </w:p>
    <w:p>
      <w:pPr>
        <w:spacing w:after="156" w:afterLines="50" w:line="360" w:lineRule="auto"/>
        <w:ind w:firstLine="720" w:firstLineChars="3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④新增智慧运营管理平台视频数据对接和视频取流服务。</w:t>
      </w:r>
    </w:p>
    <w:p>
      <w:pPr>
        <w:ind w:firstLine="480" w:firstLineChars="200"/>
        <w:rPr>
          <w:rFonts w:ascii="仿宋" w:hAnsi="仿宋" w:eastAsia="仿宋" w:cs="仿宋_GB2312"/>
          <w:color w:val="auto"/>
          <w:sz w:val="24"/>
          <w:szCs w:val="24"/>
          <w:highlight w:val="none"/>
          <w:lang w:val="zh-CN"/>
        </w:rPr>
      </w:pPr>
      <w:r>
        <w:rPr>
          <w:rFonts w:hint="eastAsia" w:ascii="仿宋" w:hAnsi="仿宋" w:eastAsia="仿宋" w:cs="仿宋_GB2312"/>
          <w:color w:val="auto"/>
          <w:sz w:val="24"/>
          <w:szCs w:val="24"/>
          <w:highlight w:val="none"/>
          <w:lang w:val="zh-CN"/>
        </w:rPr>
        <w:t>运维范围如下：</w:t>
      </w:r>
    </w:p>
    <w:tbl>
      <w:tblPr>
        <w:tblStyle w:val="23"/>
        <w:tblW w:w="8316" w:type="dxa"/>
        <w:jc w:val="center"/>
        <w:tblLayout w:type="autofit"/>
        <w:tblCellMar>
          <w:top w:w="0" w:type="dxa"/>
          <w:left w:w="0" w:type="dxa"/>
          <w:bottom w:w="0" w:type="dxa"/>
          <w:right w:w="0" w:type="dxa"/>
        </w:tblCellMar>
      </w:tblPr>
      <w:tblGrid>
        <w:gridCol w:w="1046"/>
        <w:gridCol w:w="1955"/>
        <w:gridCol w:w="2834"/>
        <w:gridCol w:w="2481"/>
      </w:tblGrid>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b/>
                <w:bCs/>
                <w:color w:val="auto"/>
                <w:kern w:val="24"/>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b/>
                <w:bCs/>
                <w:color w:val="auto"/>
                <w:kern w:val="24"/>
                <w:sz w:val="24"/>
                <w:szCs w:val="24"/>
                <w:highlight w:val="none"/>
              </w:rPr>
              <w:t>名称</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b/>
                <w:bCs/>
                <w:color w:val="auto"/>
                <w:kern w:val="24"/>
                <w:sz w:val="24"/>
                <w:szCs w:val="24"/>
                <w:highlight w:val="none"/>
              </w:rPr>
              <w:t>维护内容</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Arial"/>
                <w:b/>
                <w:bCs/>
                <w:color w:val="auto"/>
                <w:kern w:val="24"/>
                <w:sz w:val="24"/>
                <w:szCs w:val="24"/>
                <w:highlight w:val="none"/>
              </w:rPr>
            </w:pPr>
            <w:r>
              <w:rPr>
                <w:rFonts w:hint="eastAsia" w:ascii="仿宋" w:hAnsi="仿宋" w:eastAsia="仿宋" w:cs="Arial"/>
                <w:b/>
                <w:bCs/>
                <w:color w:val="auto"/>
                <w:kern w:val="24"/>
                <w:sz w:val="24"/>
                <w:szCs w:val="24"/>
                <w:highlight w:val="none"/>
              </w:rPr>
              <w:t>品牌</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1</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公司数据中心</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视频综合管理平台</w:t>
            </w: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海康威视</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2</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猎德分公司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3</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沥滘分公司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4</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大观分公司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5</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江高分公司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6</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健康城分公司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7</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大沙地分公司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8</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ascii="仿宋" w:hAnsi="仿宋" w:eastAsia="仿宋" w:cs="Arial"/>
                <w:color w:val="auto"/>
                <w:kern w:val="0"/>
                <w:sz w:val="24"/>
                <w:szCs w:val="24"/>
                <w:highlight w:val="none"/>
              </w:rPr>
              <w:t>均禾</w:t>
            </w:r>
            <w:r>
              <w:rPr>
                <w:rFonts w:hint="eastAsia" w:ascii="仿宋" w:hAnsi="仿宋" w:eastAsia="仿宋" w:cs="Arial"/>
                <w:color w:val="auto"/>
                <w:kern w:val="0"/>
                <w:sz w:val="24"/>
                <w:szCs w:val="24"/>
                <w:highlight w:val="none"/>
              </w:rPr>
              <w:t>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9</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龙归分公司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10</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石井净分公司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11</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西朗二期分公司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12</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京溪分公司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视频软件配置</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13</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大坦沙分公司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14</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竹料分公司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视频软件配置</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w:t>
            </w:r>
            <w:r>
              <w:rPr>
                <w:rFonts w:ascii="仿宋" w:hAnsi="仿宋" w:eastAsia="仿宋" w:cs="Arial"/>
                <w:color w:val="auto"/>
                <w:kern w:val="24"/>
                <w:sz w:val="24"/>
                <w:szCs w:val="24"/>
                <w:highlight w:val="none"/>
              </w:rPr>
              <w:t>5</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水质检测中心</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视频软件配置</w:t>
            </w:r>
          </w:p>
        </w:tc>
      </w:tr>
    </w:tbl>
    <w:p>
      <w:pPr>
        <w:pStyle w:val="47"/>
        <w:numPr>
          <w:ilvl w:val="0"/>
          <w:numId w:val="0"/>
        </w:numPr>
        <w:ind w:left="420"/>
        <w:rPr>
          <w:rFonts w:ascii="仿宋" w:hAnsi="仿宋"/>
          <w:color w:val="auto"/>
          <w:sz w:val="24"/>
          <w:szCs w:val="24"/>
          <w:highlight w:val="none"/>
        </w:rPr>
      </w:pPr>
      <w:r>
        <w:rPr>
          <w:rFonts w:hint="eastAsia" w:ascii="仿宋" w:hAnsi="仿宋"/>
          <w:color w:val="auto"/>
          <w:sz w:val="24"/>
          <w:szCs w:val="24"/>
          <w:highlight w:val="none"/>
        </w:rPr>
        <w:t>（二）维护工作要求</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系统日常运行维护</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（1）每日完成系统巡查,掉线情况须做好记录备查,并并反馈给厂区视频管理员。</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（2）针对掉线故障无法2</w:t>
      </w: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小时修复的情况，须要求厂里按净水公司相关要求在智慧运营管理系统中的事件报送中进行备案说明，故障解除后须更新事件处理状态。</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.负责软件平台的软件升级</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负责向海康威视厂商支付平台系统的延保费用以及远程</w:t>
      </w:r>
      <w:r>
        <w:rPr>
          <w:rFonts w:hint="eastAsia" w:ascii="仿宋" w:hAnsi="仿宋" w:eastAsia="仿宋" w:cs="Times New Roman"/>
          <w:color w:val="auto"/>
          <w:sz w:val="24"/>
          <w:szCs w:val="24"/>
          <w:highlight w:val="none"/>
        </w:rPr>
        <w:t>服务</w:t>
      </w:r>
      <w:r>
        <w:rPr>
          <w:rFonts w:ascii="仿宋" w:hAnsi="仿宋" w:eastAsia="仿宋" w:cs="Times New Roman"/>
          <w:color w:val="auto"/>
          <w:sz w:val="24"/>
          <w:szCs w:val="24"/>
          <w:highlight w:val="none"/>
        </w:rPr>
        <w:t>、必要的</w:t>
      </w:r>
      <w:r>
        <w:rPr>
          <w:rFonts w:hint="eastAsia" w:ascii="仿宋" w:hAnsi="仿宋" w:eastAsia="仿宋" w:cs="Times New Roman"/>
          <w:color w:val="auto"/>
          <w:sz w:val="24"/>
          <w:szCs w:val="24"/>
          <w:highlight w:val="none"/>
        </w:rPr>
        <w:t>原厂家</w:t>
      </w:r>
      <w:r>
        <w:rPr>
          <w:rFonts w:ascii="仿宋" w:hAnsi="仿宋" w:eastAsia="仿宋" w:cs="Times New Roman"/>
          <w:color w:val="auto"/>
          <w:sz w:val="24"/>
          <w:szCs w:val="24"/>
          <w:highlight w:val="none"/>
        </w:rPr>
        <w:t>上门</w:t>
      </w:r>
      <w:r>
        <w:rPr>
          <w:rFonts w:hint="eastAsia" w:ascii="仿宋" w:hAnsi="仿宋" w:eastAsia="仿宋" w:cs="Times New Roman"/>
          <w:color w:val="auto"/>
          <w:sz w:val="24"/>
          <w:szCs w:val="24"/>
          <w:highlight w:val="none"/>
        </w:rPr>
        <w:t>原厂技术</w:t>
      </w:r>
      <w:r>
        <w:rPr>
          <w:rFonts w:ascii="仿宋" w:hAnsi="仿宋" w:eastAsia="仿宋" w:cs="Times New Roman"/>
          <w:color w:val="auto"/>
          <w:sz w:val="24"/>
          <w:szCs w:val="24"/>
          <w:highlight w:val="none"/>
        </w:rPr>
        <w:t>服务费用</w:t>
      </w:r>
      <w:r>
        <w:rPr>
          <w:rFonts w:hint="eastAsia" w:ascii="仿宋" w:hAnsi="仿宋" w:eastAsia="仿宋" w:cs="Times New Roman"/>
          <w:color w:val="auto"/>
          <w:sz w:val="24"/>
          <w:szCs w:val="24"/>
          <w:highlight w:val="none"/>
        </w:rPr>
        <w:t>（包含现场技术支持</w:t>
      </w:r>
      <w:r>
        <w:rPr>
          <w:rFonts w:ascii="仿宋" w:hAnsi="仿宋" w:eastAsia="仿宋" w:cs="Times New Roman"/>
          <w:color w:val="auto"/>
          <w:sz w:val="24"/>
          <w:szCs w:val="24"/>
          <w:highlight w:val="none"/>
        </w:rPr>
        <w:t>+研发技术支持+测试技术支持+运维专业支持+后勤保障）。</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新增视频设备网络部署</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因业务发展需要或需求变动，新增接入平台的硬盘录像机网络部署以及完善平台功能，现场服务工作量小于（含）</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人日以及平台对应功能的调整工作，年累计不能超过</w:t>
      </w:r>
      <w:r>
        <w:rPr>
          <w:rFonts w:ascii="仿宋" w:hAnsi="仿宋" w:eastAsia="仿宋" w:cs="Times New Roman"/>
          <w:color w:val="auto"/>
          <w:sz w:val="24"/>
          <w:szCs w:val="24"/>
          <w:highlight w:val="none"/>
        </w:rPr>
        <w:t>15</w:t>
      </w:r>
      <w:r>
        <w:rPr>
          <w:rFonts w:hint="eastAsia" w:ascii="仿宋" w:hAnsi="仿宋" w:eastAsia="仿宋" w:cs="Times New Roman"/>
          <w:color w:val="auto"/>
          <w:sz w:val="24"/>
          <w:szCs w:val="24"/>
          <w:highlight w:val="none"/>
        </w:rPr>
        <w:t>个工作日；</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平台突发事件的诊断、排除和咨询服务</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及时解决平台运行过程中发生的突发事件，尽最大努力排除平台自身故障恢复正常运行。帮助解答甲方提出的平台相关的各种业务和技术问题，包括技术咨询、指导和信息提供等。</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现场巡检</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每两个月对公司本部及各厂远程或现场进行管理软件及相关硬件设备可用性检测，平台管理、设备状态管理、安全管理等功能有效性确认。对各厂监控设施台账检查更新，并对各厂监控设施情况进行梳理及提出优化建议。</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6.</w:t>
      </w:r>
      <w:r>
        <w:rPr>
          <w:rFonts w:hint="eastAsia" w:ascii="仿宋" w:hAnsi="仿宋" w:eastAsia="仿宋" w:cs="Times New Roman"/>
          <w:color w:val="auto"/>
          <w:sz w:val="24"/>
          <w:szCs w:val="24"/>
          <w:highlight w:val="none"/>
        </w:rPr>
        <w:t>运维数据管理</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定期整理运维过程中所生成的报表，从应用平台角度来优化数据库，如建立并优化树目录、优化存储，提高应用平台运行速度。辅助平台厂商进行数据库性能优化。</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7.</w:t>
      </w:r>
      <w:r>
        <w:rPr>
          <w:rFonts w:hint="eastAsia" w:ascii="仿宋" w:hAnsi="仿宋" w:eastAsia="仿宋" w:cs="Times New Roman"/>
          <w:color w:val="auto"/>
          <w:sz w:val="24"/>
          <w:szCs w:val="24"/>
          <w:highlight w:val="none"/>
        </w:rPr>
        <w:t>运维总结</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定期撰写运维总结报告，总结回顾本期各项运维工作开展情况，重点描述和分析出现的技术问题和服务质量问题，并给出整改方案。</w:t>
      </w:r>
    </w:p>
    <w:p>
      <w:pPr>
        <w:spacing w:after="156" w:afterLines="50"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Times New Roman"/>
          <w:color w:val="auto"/>
          <w:sz w:val="24"/>
          <w:szCs w:val="24"/>
          <w:highlight w:val="none"/>
        </w:rPr>
        <w:t>8</w:t>
      </w:r>
      <w:r>
        <w:rPr>
          <w:rFonts w:ascii="仿宋" w:hAnsi="仿宋" w:eastAsia="仿宋" w:cs="Times New Roman"/>
          <w:color w:val="auto"/>
          <w:sz w:val="24"/>
          <w:szCs w:val="24"/>
          <w:highlight w:val="none"/>
        </w:rPr>
        <w:t>.</w:t>
      </w:r>
      <w:r>
        <w:rPr>
          <w:rFonts w:hint="eastAsia" w:ascii="仿宋" w:hAnsi="仿宋" w:eastAsia="仿宋" w:cs="宋体"/>
          <w:color w:val="auto"/>
          <w:kern w:val="0"/>
          <w:sz w:val="24"/>
          <w:szCs w:val="24"/>
          <w:highlight w:val="none"/>
        </w:rPr>
        <w:t>配套硬件服务</w:t>
      </w:r>
    </w:p>
    <w:p>
      <w:pPr>
        <w:spacing w:after="156" w:afterLines="50"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本次服务保证提供满足ISC运行的专用服务器正常稳定运行，包括对服务器的系统软件、应用软件的维护，以及对服务器的硬件系统的维护，保证I</w:t>
      </w:r>
      <w:r>
        <w:rPr>
          <w:rFonts w:ascii="仿宋" w:hAnsi="仿宋" w:eastAsia="仿宋" w:cs="宋体"/>
          <w:color w:val="auto"/>
          <w:kern w:val="0"/>
          <w:sz w:val="24"/>
          <w:szCs w:val="24"/>
          <w:highlight w:val="none"/>
        </w:rPr>
        <w:t>SC</w:t>
      </w:r>
      <w:r>
        <w:rPr>
          <w:rFonts w:hint="eastAsia" w:ascii="仿宋" w:hAnsi="仿宋" w:eastAsia="仿宋" w:cs="宋体"/>
          <w:color w:val="auto"/>
          <w:kern w:val="0"/>
          <w:sz w:val="24"/>
          <w:szCs w:val="24"/>
          <w:highlight w:val="none"/>
        </w:rPr>
        <w:t>服务器正常运行。</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9</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临时保障服务</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当遇到重大活动需要提供临时保障服务时，维护人员须在需要保障服务的前一天进驻现场，并对软件平台、网络配置等进行临时性安全检查，排除安全隐患，保证视频平台正常运行。</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（三）维护形式</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维护分为被动式和主动式两种形式：</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被动式服务包括：</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）现场技术服务方式，指因平台出现重大故障导致业务中止时，维护单位须派技术人员并联络厂商技术人员协助业主方技术人员一起对故障进行分析，提出解决方案，在征得业主方同意后对故障进行处理和排除；</w:t>
      </w:r>
    </w:p>
    <w:p>
      <w:pPr>
        <w:spacing w:after="156" w:afterLines="50" w:line="360" w:lineRule="auto"/>
        <w:ind w:firstLine="480" w:firstLineChars="200"/>
        <w:rPr>
          <w:rFonts w:ascii="仿宋" w:hAnsi="仿宋" w:eastAsia="仿宋" w:cs="仿宋_GB2312"/>
          <w:color w:val="auto"/>
          <w:sz w:val="24"/>
          <w:szCs w:val="24"/>
          <w:highlight w:val="none"/>
          <w:lang w:val="zh-CN"/>
        </w:rPr>
      </w:pP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）远程维护方式，通过电话、微信、远程访问等方式进行平台故障的处理</w:t>
      </w:r>
      <w:r>
        <w:rPr>
          <w:rFonts w:hint="eastAsia" w:ascii="仿宋" w:hAnsi="仿宋" w:eastAsia="仿宋" w:cs="仿宋_GB2312"/>
          <w:color w:val="auto"/>
          <w:sz w:val="24"/>
          <w:szCs w:val="24"/>
          <w:highlight w:val="none"/>
          <w:lang w:val="zh-CN"/>
        </w:rPr>
        <w:t>、技术支持、咨询服务等工作。</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主动式服务包括：</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）远程巡检：每日对平台软件、数据库、网络、现场硬盘录像机运行状态进行远程监视、管理和维护</w:t>
      </w:r>
      <w:r>
        <w:rPr>
          <w:rFonts w:ascii="仿宋" w:hAnsi="仿宋" w:eastAsia="仿宋" w:cs="Times New Roman"/>
          <w:color w:val="auto"/>
          <w:sz w:val="24"/>
          <w:szCs w:val="24"/>
          <w:highlight w:val="none"/>
        </w:rPr>
        <w:t>。 </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2）对可能出现的故障提出解决预案及平台功能改进等方面的技术咨询工作，并提供必要的现场指导。</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3）在平台发生重大变化后，在现场对业主方的技术、业务人员进行平台运行管理、日常维护、使用操作等方面的培训；</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4）现场巡检：按计划两个月到现场对平台进行全面检查，优化平台，同时做好平台运行情况的记录。</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对于任何运行维护任务，服务人员需严格填写维护记录单，并由业主方签字认可。</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指派经验丰富的运维工程师来具体承担维护服务工作。</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5.运维人员在现场运维时，如需加班，要得到业主方的签字确认。</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（四）运维标准</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从开始处理后3个小时内解决的问题占全部问题的比重不低于70%；在一个小时内响应的问题占全部问题的比重不低于90%；客户端、网络、用户管理、权限变更、操作类问题一个工作日内解决，应急等根据业主方要求时限完成。</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（五）运维重点</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公司视频服务器和平台软件以及相关网络维护：</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1.提供服务器运维服务包括：存储设备的日常监控，服务器的运行状态监控，故障处理，操作系统维护，补丁升级等内容。</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2.补丁服务：消除软件漏洞给平台带来的安全隐患，并对安装补丁所引起的平台连锁反应进行合理的平衡。</w:t>
      </w:r>
    </w:p>
    <w:p>
      <w:pPr>
        <w:spacing w:after="156" w:afterLines="50"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3.升级服务：对平台进行软件的升级，以改进、完善现有平台或消除现有平台的漏洞。</w:t>
      </w:r>
      <w:r>
        <w:rPr>
          <w:rFonts w:hint="eastAsia" w:ascii="仿宋" w:hAnsi="仿宋" w:eastAsia="仿宋" w:cs="Times New Roman"/>
          <w:color w:val="auto"/>
          <w:sz w:val="24"/>
          <w:szCs w:val="24"/>
          <w:highlight w:val="none"/>
        </w:rPr>
        <w:br w:type="page"/>
      </w: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第六章</w:t>
      </w:r>
    </w:p>
    <w:p>
      <w:pPr>
        <w:spacing w:line="360" w:lineRule="auto"/>
        <w:jc w:val="left"/>
        <w:rPr>
          <w:rFonts w:ascii="仿宋_GB2312" w:eastAsia="仿宋" w:hAnsiTheme="minorEastAsia"/>
          <w:color w:val="auto"/>
          <w:sz w:val="28"/>
          <w:szCs w:val="28"/>
          <w:highlight w:val="none"/>
        </w:rPr>
      </w:pPr>
    </w:p>
    <w:p>
      <w:pPr>
        <w:pStyle w:val="3"/>
        <w:rPr>
          <w:rFonts w:eastAsia="仿宋"/>
          <w:color w:val="auto"/>
          <w:highlight w:val="none"/>
        </w:rPr>
      </w:pPr>
      <w:bookmarkStart w:id="48" w:name="_Toc22797"/>
      <w:bookmarkStart w:id="49" w:name="_Toc1375"/>
      <w:bookmarkStart w:id="50" w:name="_Toc8183"/>
      <w:bookmarkStart w:id="51" w:name="_Toc87616386"/>
      <w:bookmarkStart w:id="52" w:name="_Toc12721"/>
      <w:bookmarkStart w:id="53" w:name="_Toc19686"/>
      <w:bookmarkStart w:id="54" w:name="_Toc323"/>
      <w:bookmarkStart w:id="55" w:name="_Toc22501"/>
      <w:bookmarkStart w:id="56" w:name="_Toc88209949"/>
      <w:bookmarkStart w:id="57" w:name="_Toc12980"/>
      <w:bookmarkStart w:id="58" w:name="_Toc19088"/>
      <w:bookmarkStart w:id="59" w:name="_Toc13309"/>
      <w:bookmarkStart w:id="60" w:name="_Toc12968"/>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7"/>
        <w:rPr>
          <w:color w:val="auto"/>
          <w:highlight w:val="none"/>
        </w:rPr>
      </w:pPr>
    </w:p>
    <w:p>
      <w:pPr>
        <w:spacing w:line="400" w:lineRule="atLeast"/>
        <w:jc w:val="center"/>
        <w:rPr>
          <w:rFonts w:ascii="仿宋" w:hAnsi="仿宋" w:eastAsia="仿宋" w:cs="宋体"/>
          <w:b/>
          <w:bCs/>
          <w:color w:val="auto"/>
          <w:sz w:val="48"/>
          <w:szCs w:val="48"/>
          <w:highlight w:val="none"/>
        </w:rPr>
      </w:pPr>
      <w:r>
        <w:rPr>
          <w:rFonts w:hint="eastAsia" w:ascii="仿宋" w:hAnsi="仿宋" w:eastAsia="仿宋" w:cs="宋体"/>
          <w:b/>
          <w:bCs/>
          <w:color w:val="auto"/>
          <w:sz w:val="48"/>
          <w:szCs w:val="48"/>
          <w:highlight w:val="none"/>
        </w:rPr>
        <w:t>广州市净水有限公司</w:t>
      </w:r>
    </w:p>
    <w:p>
      <w:pPr>
        <w:spacing w:line="400" w:lineRule="atLeast"/>
        <w:jc w:val="center"/>
        <w:rPr>
          <w:rFonts w:ascii="仿宋" w:hAnsi="仿宋" w:eastAsia="仿宋" w:cs="宋体"/>
          <w:b/>
          <w:bCs/>
          <w:color w:val="auto"/>
          <w:sz w:val="44"/>
          <w:szCs w:val="44"/>
          <w:highlight w:val="none"/>
          <w:u w:val="single"/>
        </w:rPr>
      </w:pPr>
      <w:r>
        <w:rPr>
          <w:rFonts w:ascii="仿宋" w:hAnsi="仿宋" w:eastAsia="仿宋" w:cs="宋体"/>
          <w:b/>
          <w:bCs/>
          <w:color w:val="auto"/>
          <w:sz w:val="44"/>
          <w:szCs w:val="44"/>
          <w:highlight w:val="none"/>
          <w:u w:val="single"/>
        </w:rPr>
        <w:t>2025</w:t>
      </w:r>
      <w:r>
        <w:rPr>
          <w:rFonts w:hint="eastAsia" w:ascii="仿宋" w:hAnsi="仿宋" w:eastAsia="仿宋" w:cs="宋体"/>
          <w:b/>
          <w:bCs/>
          <w:color w:val="auto"/>
          <w:sz w:val="44"/>
          <w:szCs w:val="44"/>
          <w:highlight w:val="none"/>
          <w:u w:val="single"/>
        </w:rPr>
        <w:t>年度综合安防管理平台软件系统</w:t>
      </w:r>
    </w:p>
    <w:p>
      <w:pPr>
        <w:spacing w:line="400" w:lineRule="atLeast"/>
        <w:jc w:val="center"/>
        <w:rPr>
          <w:rFonts w:ascii="仿宋" w:hAnsi="仿宋" w:eastAsia="仿宋"/>
          <w:b/>
          <w:bCs/>
          <w:color w:val="auto"/>
          <w:sz w:val="44"/>
          <w:szCs w:val="44"/>
          <w:highlight w:val="none"/>
        </w:rPr>
      </w:pPr>
      <w:r>
        <w:rPr>
          <w:rFonts w:hint="eastAsia" w:ascii="仿宋" w:hAnsi="仿宋" w:eastAsia="仿宋" w:cs="宋体"/>
          <w:b/>
          <w:bCs/>
          <w:color w:val="auto"/>
          <w:sz w:val="44"/>
          <w:szCs w:val="44"/>
          <w:highlight w:val="none"/>
          <w:u w:val="single"/>
        </w:rPr>
        <w:t>运维服务项目</w:t>
      </w:r>
      <w:r>
        <w:rPr>
          <w:rFonts w:hint="eastAsia" w:ascii="仿宋" w:hAnsi="仿宋" w:eastAsia="仿宋" w:cs="宋体"/>
          <w:b/>
          <w:bCs/>
          <w:color w:val="auto"/>
          <w:sz w:val="44"/>
          <w:szCs w:val="44"/>
          <w:highlight w:val="none"/>
        </w:rPr>
        <w:t>合同</w:t>
      </w:r>
    </w:p>
    <w:p>
      <w:pPr>
        <w:spacing w:line="400" w:lineRule="atLeast"/>
        <w:jc w:val="center"/>
        <w:rPr>
          <w:rFonts w:ascii="仿宋" w:hAnsi="仿宋" w:eastAsia="仿宋"/>
          <w:b/>
          <w:color w:val="auto"/>
          <w:sz w:val="28"/>
          <w:highlight w:val="none"/>
        </w:rPr>
      </w:pPr>
    </w:p>
    <w:p>
      <w:pPr>
        <w:spacing w:line="400" w:lineRule="atLeast"/>
        <w:jc w:val="center"/>
        <w:rPr>
          <w:rFonts w:ascii="仿宋" w:hAnsi="仿宋" w:eastAsia="仿宋"/>
          <w:b/>
          <w:color w:val="auto"/>
          <w:sz w:val="28"/>
          <w:highlight w:val="none"/>
        </w:rPr>
      </w:pPr>
    </w:p>
    <w:p>
      <w:pPr>
        <w:spacing w:line="400" w:lineRule="atLeast"/>
        <w:jc w:val="center"/>
        <w:rPr>
          <w:rFonts w:ascii="仿宋" w:hAnsi="仿宋" w:eastAsia="仿宋"/>
          <w:b/>
          <w:color w:val="auto"/>
          <w:sz w:val="28"/>
          <w:highlight w:val="none"/>
        </w:rPr>
      </w:pPr>
    </w:p>
    <w:p>
      <w:pPr>
        <w:spacing w:line="0" w:lineRule="atLeast"/>
        <w:rPr>
          <w:rFonts w:ascii="仿宋" w:hAnsi="仿宋" w:eastAsia="仿宋"/>
          <w:b/>
          <w:color w:val="auto"/>
          <w:sz w:val="30"/>
          <w:highlight w:val="none"/>
        </w:rPr>
      </w:pPr>
    </w:p>
    <w:p>
      <w:pPr>
        <w:spacing w:line="0" w:lineRule="atLeast"/>
        <w:rPr>
          <w:rFonts w:ascii="仿宋" w:hAnsi="仿宋" w:eastAsia="仿宋"/>
          <w:b/>
          <w:color w:val="auto"/>
          <w:sz w:val="30"/>
          <w:szCs w:val="30"/>
          <w:highlight w:val="none"/>
        </w:rPr>
      </w:pPr>
    </w:p>
    <w:p>
      <w:pPr>
        <w:spacing w:line="0" w:lineRule="atLeast"/>
        <w:ind w:left="1506" w:hanging="1506" w:hangingChars="500"/>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t>项目名称</w:t>
      </w:r>
      <w:r>
        <w:rPr>
          <w:rFonts w:ascii="仿宋" w:hAnsi="仿宋" w:eastAsia="仿宋" w:cs="宋体"/>
          <w:b/>
          <w:color w:val="auto"/>
          <w:sz w:val="30"/>
          <w:szCs w:val="30"/>
          <w:highlight w:val="none"/>
        </w:rPr>
        <w:t>:2025</w:t>
      </w:r>
      <w:r>
        <w:rPr>
          <w:rFonts w:hint="eastAsia" w:ascii="仿宋" w:hAnsi="仿宋" w:eastAsia="仿宋" w:cs="宋体"/>
          <w:b/>
          <w:color w:val="auto"/>
          <w:sz w:val="30"/>
          <w:szCs w:val="30"/>
          <w:highlight w:val="none"/>
        </w:rPr>
        <w:t>年度综合安防管理平台软件系统运维服务项目</w:t>
      </w:r>
    </w:p>
    <w:p>
      <w:pPr>
        <w:spacing w:line="400" w:lineRule="atLeast"/>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t>项目编号：</w:t>
      </w:r>
      <w:r>
        <w:rPr>
          <w:rFonts w:ascii="仿宋" w:hAnsi="仿宋" w:eastAsia="仿宋" w:cs="宋体"/>
          <w:b/>
          <w:color w:val="auto"/>
          <w:sz w:val="30"/>
          <w:szCs w:val="30"/>
          <w:highlight w:val="none"/>
        </w:rPr>
        <w:t xml:space="preserve"> </w:t>
      </w:r>
    </w:p>
    <w:p>
      <w:pPr>
        <w:spacing w:line="400" w:lineRule="atLeast"/>
        <w:rPr>
          <w:rFonts w:ascii="仿宋" w:hAnsi="仿宋" w:eastAsia="仿宋" w:cs="宋体"/>
          <w:b/>
          <w:color w:val="auto"/>
          <w:sz w:val="30"/>
          <w:szCs w:val="30"/>
          <w:highlight w:val="none"/>
        </w:rPr>
      </w:pPr>
    </w:p>
    <w:p>
      <w:pPr>
        <w:spacing w:line="480" w:lineRule="auto"/>
        <w:rPr>
          <w:rFonts w:ascii="仿宋" w:hAnsi="仿宋" w:eastAsia="仿宋" w:cs="宋体"/>
          <w:b/>
          <w:bCs/>
          <w:color w:val="auto"/>
          <w:sz w:val="30"/>
          <w:szCs w:val="30"/>
          <w:highlight w:val="none"/>
        </w:rPr>
      </w:pPr>
      <w:r>
        <w:rPr>
          <w:rFonts w:hint="eastAsia" w:ascii="仿宋" w:hAnsi="仿宋" w:eastAsia="仿宋" w:cs="宋体"/>
          <w:b/>
          <w:color w:val="auto"/>
          <w:sz w:val="30"/>
          <w:szCs w:val="30"/>
          <w:highlight w:val="none"/>
        </w:rPr>
        <w:t>合同编号：</w:t>
      </w:r>
      <w:r>
        <w:rPr>
          <w:rFonts w:hint="eastAsia" w:ascii="仿宋" w:hAnsi="仿宋" w:eastAsia="仿宋" w:cs="宋体"/>
          <w:b/>
          <w:bCs/>
          <w:color w:val="auto"/>
          <w:sz w:val="30"/>
          <w:szCs w:val="30"/>
          <w:highlight w:val="none"/>
        </w:rPr>
        <w:t>穗净水合</w:t>
      </w:r>
      <w:r>
        <w:rPr>
          <w:rFonts w:ascii="仿宋" w:hAnsi="仿宋" w:eastAsia="仿宋" w:cs="宋体"/>
          <w:b/>
          <w:bCs/>
          <w:color w:val="auto"/>
          <w:sz w:val="30"/>
          <w:szCs w:val="30"/>
          <w:highlight w:val="none"/>
        </w:rPr>
        <w:t xml:space="preserve">[     ]    </w:t>
      </w:r>
      <w:r>
        <w:rPr>
          <w:rFonts w:hint="eastAsia" w:ascii="仿宋" w:hAnsi="仿宋" w:eastAsia="仿宋" w:cs="宋体"/>
          <w:b/>
          <w:bCs/>
          <w:color w:val="auto"/>
          <w:sz w:val="30"/>
          <w:szCs w:val="30"/>
          <w:highlight w:val="none"/>
        </w:rPr>
        <w:t>号</w:t>
      </w:r>
    </w:p>
    <w:p>
      <w:pPr>
        <w:spacing w:line="400" w:lineRule="atLeast"/>
        <w:ind w:firstLine="602" w:firstLineChars="200"/>
        <w:rPr>
          <w:rFonts w:ascii="仿宋" w:hAnsi="仿宋" w:eastAsia="仿宋" w:cs="宋体"/>
          <w:b/>
          <w:color w:val="auto"/>
          <w:sz w:val="30"/>
          <w:szCs w:val="30"/>
          <w:highlight w:val="none"/>
        </w:rPr>
      </w:pPr>
    </w:p>
    <w:p>
      <w:pPr>
        <w:spacing w:line="400" w:lineRule="atLeast"/>
        <w:rPr>
          <w:rFonts w:ascii="仿宋" w:hAnsi="仿宋" w:eastAsia="仿宋" w:cs="宋体"/>
          <w:b/>
          <w:color w:val="auto"/>
          <w:sz w:val="30"/>
          <w:szCs w:val="30"/>
          <w:highlight w:val="none"/>
        </w:rPr>
      </w:pPr>
    </w:p>
    <w:p>
      <w:pPr>
        <w:spacing w:line="400" w:lineRule="atLeast"/>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t>甲方：广州市净水有限公司</w:t>
      </w:r>
    </w:p>
    <w:p>
      <w:pPr>
        <w:spacing w:line="400" w:lineRule="atLeast"/>
        <w:rPr>
          <w:rFonts w:ascii="仿宋" w:hAnsi="仿宋" w:eastAsia="仿宋" w:cs="宋体"/>
          <w:b/>
          <w:color w:val="auto"/>
          <w:sz w:val="30"/>
          <w:szCs w:val="30"/>
          <w:highlight w:val="none"/>
        </w:rPr>
      </w:pPr>
    </w:p>
    <w:p>
      <w:pPr>
        <w:spacing w:line="400" w:lineRule="atLeast"/>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t>乙方</w:t>
      </w:r>
      <w:r>
        <w:rPr>
          <w:rFonts w:hint="eastAsia" w:ascii="仿宋" w:hAnsi="仿宋" w:eastAsia="仿宋" w:cs="宋体"/>
          <w:color w:val="auto"/>
          <w:sz w:val="30"/>
          <w:szCs w:val="30"/>
          <w:highlight w:val="none"/>
        </w:rPr>
        <w:t>：</w:t>
      </w:r>
      <w:r>
        <w:rPr>
          <w:rFonts w:ascii="仿宋" w:hAnsi="仿宋" w:eastAsia="仿宋" w:cs="宋体"/>
          <w:b/>
          <w:color w:val="auto"/>
          <w:sz w:val="30"/>
          <w:szCs w:val="30"/>
          <w:highlight w:val="none"/>
        </w:rPr>
        <w:t xml:space="preserve"> </w:t>
      </w:r>
    </w:p>
    <w:p>
      <w:pPr>
        <w:rPr>
          <w:rFonts w:ascii="仿宋" w:hAnsi="仿宋" w:eastAsia="仿宋"/>
          <w:bCs/>
          <w:color w:val="auto"/>
          <w:sz w:val="28"/>
          <w:szCs w:val="28"/>
          <w:highlight w:val="none"/>
        </w:rPr>
      </w:pPr>
    </w:p>
    <w:p>
      <w:pPr>
        <w:rPr>
          <w:rFonts w:ascii="仿宋" w:hAnsi="仿宋" w:eastAsia="仿宋"/>
          <w:bCs/>
          <w:color w:val="auto"/>
          <w:sz w:val="28"/>
          <w:szCs w:val="28"/>
          <w:highlight w:val="none"/>
        </w:rPr>
      </w:pPr>
    </w:p>
    <w:p>
      <w:pPr>
        <w:rPr>
          <w:rFonts w:ascii="仿宋" w:hAnsi="仿宋" w:eastAsia="仿宋" w:cs="宋体"/>
          <w:color w:val="auto"/>
          <w:sz w:val="24"/>
          <w:highlight w:val="none"/>
          <w:u w:val="single"/>
        </w:rPr>
      </w:pPr>
    </w:p>
    <w:p>
      <w:pPr>
        <w:pStyle w:val="7"/>
        <w:rPr>
          <w:rFonts w:ascii="仿宋" w:hAnsi="仿宋" w:eastAsia="仿宋" w:cs="宋体"/>
          <w:color w:val="auto"/>
          <w:sz w:val="24"/>
          <w:highlight w:val="none"/>
          <w:u w:val="single"/>
        </w:rPr>
      </w:pPr>
    </w:p>
    <w:p>
      <w:pPr>
        <w:pStyle w:val="7"/>
        <w:rPr>
          <w:rFonts w:ascii="仿宋" w:hAnsi="仿宋" w:eastAsia="仿宋" w:cs="宋体"/>
          <w:color w:val="auto"/>
          <w:sz w:val="24"/>
          <w:highlight w:val="none"/>
          <w:u w:val="single"/>
        </w:rPr>
      </w:pPr>
    </w:p>
    <w:p>
      <w:pPr>
        <w:pStyle w:val="7"/>
        <w:rPr>
          <w:rFonts w:ascii="仿宋" w:hAnsi="仿宋" w:eastAsia="仿宋" w:cs="宋体"/>
          <w:color w:val="auto"/>
          <w:sz w:val="24"/>
          <w:highlight w:val="none"/>
          <w:u w:val="single"/>
        </w:rPr>
      </w:pPr>
    </w:p>
    <w:p>
      <w:pPr>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u w:val="single"/>
        </w:rPr>
        <w:t>广州市净水有限公司</w:t>
      </w:r>
      <w:r>
        <w:rPr>
          <w:rFonts w:hint="eastAsia" w:ascii="仿宋" w:hAnsi="仿宋" w:eastAsia="仿宋" w:cs="宋体"/>
          <w:color w:val="auto"/>
          <w:sz w:val="24"/>
          <w:highlight w:val="none"/>
        </w:rPr>
        <w:t>（以下简称“甲方”）与</w:t>
      </w:r>
      <w:r>
        <w:rPr>
          <w:rFonts w:ascii="仿宋" w:hAnsi="仿宋" w:eastAsia="仿宋" w:cs="宋体"/>
          <w:color w:val="auto"/>
          <w:sz w:val="24"/>
          <w:highlight w:val="none"/>
          <w:u w:val="single"/>
        </w:rPr>
        <w:t xml:space="preserve">   </w:t>
      </w:r>
      <w:r>
        <w:rPr>
          <w:rFonts w:hint="eastAsia" w:ascii="仿宋" w:hAnsi="仿宋" w:eastAsia="仿宋" w:cs="宋体"/>
          <w:color w:val="auto"/>
          <w:sz w:val="24"/>
          <w:highlight w:val="none"/>
          <w:u w:val="single"/>
        </w:rPr>
        <w:t xml:space="preserve"> </w:t>
      </w:r>
      <w:r>
        <w:rPr>
          <w:rFonts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（以下简称“乙方”）依照</w:t>
      </w:r>
      <w:r>
        <w:rPr>
          <w:rFonts w:hint="eastAsia" w:ascii="仿宋" w:hAnsi="仿宋" w:eastAsia="仿宋" w:cs="Arial"/>
          <w:color w:val="auto"/>
          <w:sz w:val="24"/>
          <w:highlight w:val="none"/>
          <w:shd w:val="clear" w:color="auto" w:fill="FFFFFF"/>
        </w:rPr>
        <w:t>《中华人民共和国网络安全法》及相关</w:t>
      </w:r>
      <w:r>
        <w:rPr>
          <w:rFonts w:hint="eastAsia" w:ascii="仿宋" w:hAnsi="仿宋" w:eastAsia="仿宋" w:cs="宋体"/>
          <w:color w:val="auto"/>
          <w:sz w:val="24"/>
          <w:highlight w:val="none"/>
        </w:rPr>
        <w:t>法律法规，就</w:t>
      </w:r>
      <w:r>
        <w:rPr>
          <w:rFonts w:ascii="仿宋" w:hAnsi="仿宋" w:eastAsia="仿宋"/>
          <w:color w:val="auto"/>
          <w:sz w:val="24"/>
          <w:highlight w:val="none"/>
          <w:u w:val="single"/>
        </w:rPr>
        <w:t xml:space="preserve"> </w:t>
      </w:r>
      <w:r>
        <w:rPr>
          <w:rFonts w:ascii="仿宋" w:hAnsi="仿宋" w:eastAsia="仿宋" w:cs="宋体"/>
          <w:color w:val="auto"/>
          <w:sz w:val="24"/>
          <w:highlight w:val="none"/>
          <w:u w:val="single"/>
        </w:rPr>
        <w:t xml:space="preserve"> </w:t>
      </w:r>
      <w:r>
        <w:rPr>
          <w:rFonts w:ascii="仿宋" w:hAnsi="仿宋" w:eastAsia="仿宋" w:cs="Arial"/>
          <w:color w:val="auto"/>
          <w:sz w:val="24"/>
          <w:highlight w:val="none"/>
          <w:u w:val="single"/>
          <w:shd w:val="clear" w:color="auto" w:fill="FFFFFF"/>
        </w:rPr>
        <w:t>2025</w:t>
      </w:r>
      <w:r>
        <w:rPr>
          <w:rFonts w:hint="eastAsia" w:ascii="仿宋" w:hAnsi="仿宋" w:eastAsia="仿宋" w:cs="Arial"/>
          <w:color w:val="auto"/>
          <w:sz w:val="24"/>
          <w:highlight w:val="none"/>
          <w:u w:val="single"/>
          <w:shd w:val="clear" w:color="auto" w:fill="FFFFFF"/>
        </w:rPr>
        <w:t>年度综合安防管理平台软件系统运维服务项目</w:t>
      </w:r>
      <w:r>
        <w:rPr>
          <w:rFonts w:hint="eastAsia" w:ascii="仿宋" w:hAnsi="仿宋" w:eastAsia="仿宋" w:cs="宋体"/>
          <w:color w:val="auto"/>
          <w:sz w:val="24"/>
          <w:highlight w:val="none"/>
        </w:rPr>
        <w:t>遵循平等、自愿、公平和诚实信用的原则，经双方协商一致，特订立本合同。</w:t>
      </w:r>
    </w:p>
    <w:p>
      <w:pPr>
        <w:spacing w:before="93" w:beforeLines="30" w:line="500" w:lineRule="exact"/>
        <w:ind w:firstLine="426" w:firstLineChars="177"/>
        <w:rPr>
          <w:rFonts w:ascii="仿宋" w:hAnsi="仿宋" w:eastAsia="仿宋" w:cs="宋体"/>
          <w:b/>
          <w:bCs/>
          <w:color w:val="auto"/>
          <w:sz w:val="24"/>
          <w:highlight w:val="none"/>
        </w:rPr>
      </w:pPr>
      <w:r>
        <w:rPr>
          <w:rFonts w:hint="eastAsia" w:ascii="仿宋" w:hAnsi="仿宋" w:eastAsia="仿宋" w:cs="宋体"/>
          <w:b/>
          <w:bCs/>
          <w:color w:val="auto"/>
          <w:sz w:val="24"/>
          <w:highlight w:val="none"/>
        </w:rPr>
        <w:t>一、组成合同的文件及优先顺序</w:t>
      </w:r>
    </w:p>
    <w:p>
      <w:pPr>
        <w:spacing w:line="500" w:lineRule="exact"/>
        <w:ind w:firstLine="482"/>
        <w:rPr>
          <w:rFonts w:ascii="仿宋" w:hAnsi="仿宋" w:eastAsia="仿宋" w:cs="宋体"/>
          <w:bCs/>
          <w:color w:val="auto"/>
          <w:sz w:val="24"/>
          <w:highlight w:val="none"/>
        </w:rPr>
      </w:pPr>
      <w:r>
        <w:rPr>
          <w:rFonts w:ascii="仿宋" w:hAnsi="仿宋" w:eastAsia="仿宋" w:cs="宋体"/>
          <w:bCs/>
          <w:color w:val="auto"/>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⑴</w:t>
      </w:r>
      <w:r>
        <w:rPr>
          <w:rFonts w:ascii="仿宋" w:hAnsi="仿宋" w:eastAsia="仿宋" w:cs="宋体"/>
          <w:bCs/>
          <w:color w:val="auto"/>
          <w:sz w:val="24"/>
          <w:highlight w:val="none"/>
        </w:rPr>
        <w:t xml:space="preserve"> </w:t>
      </w:r>
      <w:r>
        <w:rPr>
          <w:rFonts w:hint="eastAsia" w:ascii="仿宋" w:hAnsi="仿宋" w:eastAsia="仿宋" w:cs="宋体"/>
          <w:color w:val="auto"/>
          <w:sz w:val="24"/>
          <w:highlight w:val="none"/>
        </w:rPr>
        <w:t>在本合同实施过程双方签署的补充与修正文件</w:t>
      </w:r>
      <w:r>
        <w:rPr>
          <w:rFonts w:hint="eastAsia" w:ascii="仿宋" w:hAnsi="仿宋" w:eastAsia="仿宋" w:cs="宋体"/>
          <w:bCs/>
          <w:color w:val="auto"/>
          <w:sz w:val="24"/>
          <w:highlight w:val="none"/>
        </w:rPr>
        <w:t>；</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⑵</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本合同书；</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⑶</w:t>
      </w:r>
      <w:r>
        <w:rPr>
          <w:rFonts w:ascii="仿宋" w:hAnsi="仿宋" w:eastAsia="仿宋" w:cs="宋体"/>
          <w:bCs/>
          <w:color w:val="auto"/>
          <w:sz w:val="24"/>
          <w:highlight w:val="none"/>
        </w:rPr>
        <w:t xml:space="preserve"> </w:t>
      </w:r>
      <w:r>
        <w:rPr>
          <w:rFonts w:hint="eastAsia" w:ascii="仿宋" w:hAnsi="仿宋" w:eastAsia="仿宋" w:cstheme="minorEastAsia"/>
          <w:bCs/>
          <w:color w:val="auto"/>
          <w:sz w:val="24"/>
          <w:highlight w:val="none"/>
        </w:rPr>
        <w:t>中标通知书/发包通知书/成交通知书/委托函；</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⑷</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招标文件</w:t>
      </w:r>
      <w:r>
        <w:rPr>
          <w:rFonts w:ascii="仿宋" w:hAnsi="仿宋" w:eastAsia="仿宋" w:cs="宋体"/>
          <w:bCs/>
          <w:color w:val="auto"/>
          <w:sz w:val="24"/>
          <w:highlight w:val="none"/>
        </w:rPr>
        <w:t>/询价文件；</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⑸</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投标文件</w:t>
      </w:r>
      <w:r>
        <w:rPr>
          <w:rFonts w:ascii="仿宋" w:hAnsi="仿宋" w:eastAsia="仿宋" w:cs="宋体"/>
          <w:bCs/>
          <w:color w:val="auto"/>
          <w:sz w:val="24"/>
          <w:highlight w:val="none"/>
        </w:rPr>
        <w:t>/响应文件；</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⑹</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标准、规范及有关技术性文件；</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⑺</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技术需求</w:t>
      </w:r>
    </w:p>
    <w:p>
      <w:pPr>
        <w:spacing w:line="500" w:lineRule="exact"/>
        <w:ind w:firstLine="482"/>
        <w:rPr>
          <w:rFonts w:ascii="仿宋" w:hAnsi="仿宋" w:eastAsia="仿宋" w:cs="宋体"/>
          <w:bCs/>
          <w:color w:val="auto"/>
          <w:sz w:val="24"/>
          <w:highlight w:val="none"/>
        </w:rPr>
      </w:pPr>
      <w:r>
        <w:rPr>
          <w:rFonts w:hint="eastAsia" w:ascii="仿宋" w:hAnsi="仿宋" w:eastAsia="仿宋" w:cs="宋体"/>
          <w:bCs/>
          <w:color w:val="auto"/>
          <w:sz w:val="24"/>
          <w:highlight w:val="none"/>
        </w:rPr>
        <w:t>⑻本合同其他附件；</w:t>
      </w:r>
    </w:p>
    <w:p>
      <w:pPr>
        <w:spacing w:line="500" w:lineRule="exact"/>
        <w:ind w:firstLine="284"/>
        <w:rPr>
          <w:rFonts w:ascii="仿宋" w:hAnsi="仿宋" w:eastAsia="仿宋" w:cs="宋体"/>
          <w:b/>
          <w:bCs/>
          <w:color w:val="auto"/>
          <w:sz w:val="24"/>
          <w:highlight w:val="none"/>
        </w:rPr>
      </w:pPr>
      <w:r>
        <w:rPr>
          <w:rFonts w:hint="eastAsia" w:ascii="仿宋" w:hAnsi="仿宋" w:eastAsia="仿宋" w:cs="宋体"/>
          <w:b/>
          <w:bCs/>
          <w:color w:val="auto"/>
          <w:sz w:val="24"/>
          <w:highlight w:val="none"/>
        </w:rPr>
        <w:t>二、</w:t>
      </w:r>
      <w:r>
        <w:rPr>
          <w:rFonts w:ascii="仿宋" w:hAnsi="仿宋" w:eastAsia="仿宋" w:cs="宋体"/>
          <w:b/>
          <w:bCs/>
          <w:color w:val="auto"/>
          <w:sz w:val="24"/>
          <w:highlight w:val="none"/>
        </w:rPr>
        <w:t xml:space="preserve"> </w:t>
      </w:r>
      <w:r>
        <w:rPr>
          <w:rFonts w:hint="eastAsia" w:ascii="仿宋" w:hAnsi="仿宋" w:eastAsia="仿宋" w:cs="宋体"/>
          <w:b/>
          <w:bCs/>
          <w:color w:val="auto"/>
          <w:sz w:val="24"/>
          <w:highlight w:val="none"/>
        </w:rPr>
        <w:t>维护概况及内容</w:t>
      </w:r>
    </w:p>
    <w:p>
      <w:pPr>
        <w:spacing w:line="500" w:lineRule="exact"/>
        <w:ind w:firstLine="480" w:firstLineChars="200"/>
        <w:rPr>
          <w:rFonts w:ascii="仿宋" w:hAnsi="仿宋" w:eastAsia="仿宋" w:cs="宋体"/>
          <w:color w:val="auto"/>
          <w:sz w:val="24"/>
          <w:highlight w:val="none"/>
          <w:u w:val="single"/>
        </w:rPr>
      </w:pPr>
      <w:r>
        <w:rPr>
          <w:rFonts w:ascii="仿宋" w:hAnsi="仿宋" w:eastAsia="仿宋" w:cs="宋体"/>
          <w:color w:val="auto"/>
          <w:sz w:val="24"/>
          <w:highlight w:val="none"/>
        </w:rPr>
        <w:t>2.1服务地点：</w:t>
      </w:r>
      <w:r>
        <w:rPr>
          <w:rFonts w:ascii="仿宋" w:hAnsi="仿宋" w:eastAsia="仿宋" w:cs="宋体"/>
          <w:color w:val="auto"/>
          <w:sz w:val="24"/>
          <w:highlight w:val="none"/>
          <w:u w:val="single"/>
        </w:rPr>
        <w:t xml:space="preserve"> </w:t>
      </w:r>
      <w:r>
        <w:rPr>
          <w:rFonts w:hint="eastAsia" w:ascii="仿宋" w:hAnsi="仿宋" w:eastAsia="仿宋" w:cs="宋体"/>
          <w:color w:val="auto"/>
          <w:sz w:val="24"/>
          <w:highlight w:val="none"/>
          <w:u w:val="single"/>
        </w:rPr>
        <w:t>广州市</w:t>
      </w:r>
      <w:r>
        <w:rPr>
          <w:rFonts w:ascii="仿宋" w:hAnsi="仿宋" w:eastAsia="仿宋" w:cs="宋体"/>
          <w:color w:val="auto"/>
          <w:sz w:val="24"/>
          <w:highlight w:val="none"/>
          <w:u w:val="single"/>
        </w:rPr>
        <w:t xml:space="preserve"> 。</w:t>
      </w:r>
    </w:p>
    <w:p>
      <w:pPr>
        <w:spacing w:line="360" w:lineRule="auto"/>
        <w:ind w:left="420" w:leftChars="200"/>
        <w:rPr>
          <w:rFonts w:ascii="仿宋" w:hAnsi="仿宋" w:eastAsia="仿宋"/>
          <w:color w:val="auto"/>
          <w:highlight w:val="none"/>
        </w:rPr>
      </w:pPr>
      <w:r>
        <w:rPr>
          <w:rFonts w:ascii="仿宋" w:hAnsi="仿宋" w:eastAsia="仿宋" w:cs="宋体"/>
          <w:color w:val="auto"/>
          <w:sz w:val="24"/>
          <w:highlight w:val="none"/>
        </w:rPr>
        <w:t>2.2服务内容：</w:t>
      </w:r>
      <w:r>
        <w:rPr>
          <w:rFonts w:ascii="仿宋" w:hAnsi="仿宋" w:eastAsia="仿宋" w:cs="宋体"/>
          <w:color w:val="auto"/>
          <w:sz w:val="24"/>
          <w:highlight w:val="none"/>
          <w:u w:val="single"/>
        </w:rPr>
        <w:t xml:space="preserve"> 包括公司</w:t>
      </w:r>
      <w:r>
        <w:rPr>
          <w:rFonts w:hint="eastAsia" w:ascii="仿宋" w:hAnsi="仿宋" w:eastAsia="仿宋" w:cs="宋体"/>
          <w:color w:val="auto"/>
          <w:sz w:val="24"/>
          <w:highlight w:val="none"/>
          <w:u w:val="single"/>
        </w:rPr>
        <w:t>综合安防管理平台的</w:t>
      </w:r>
      <w:r>
        <w:rPr>
          <w:rFonts w:ascii="仿宋" w:hAnsi="仿宋" w:eastAsia="仿宋" w:cs="宋体"/>
          <w:color w:val="auto"/>
          <w:sz w:val="24"/>
          <w:highlight w:val="none"/>
          <w:u w:val="single"/>
        </w:rPr>
        <w:t>日常运维</w:t>
      </w:r>
      <w:r>
        <w:rPr>
          <w:rFonts w:hint="eastAsia" w:ascii="仿宋" w:hAnsi="仿宋" w:eastAsia="仿宋" w:cs="宋体"/>
          <w:color w:val="auto"/>
          <w:sz w:val="24"/>
          <w:highlight w:val="none"/>
          <w:u w:val="single"/>
        </w:rPr>
        <w:t>、现场巡检各厂的视频接入交换机及视频监控网络配置工作、软件平台的原厂升级服务和技术指导、</w:t>
      </w:r>
      <w:r>
        <w:rPr>
          <w:rFonts w:ascii="仿宋" w:hAnsi="仿宋" w:eastAsia="仿宋" w:cs="宋体"/>
          <w:color w:val="auto"/>
          <w:sz w:val="24"/>
          <w:highlight w:val="none"/>
          <w:u w:val="single"/>
        </w:rPr>
        <w:t>配合第三方平台</w:t>
      </w:r>
      <w:r>
        <w:rPr>
          <w:rFonts w:hint="eastAsia" w:ascii="仿宋" w:hAnsi="仿宋" w:eastAsia="仿宋" w:cs="宋体"/>
          <w:color w:val="auto"/>
          <w:sz w:val="24"/>
          <w:highlight w:val="none"/>
          <w:u w:val="single"/>
        </w:rPr>
        <w:t>或上级单位的</w:t>
      </w:r>
      <w:r>
        <w:rPr>
          <w:rFonts w:ascii="仿宋" w:hAnsi="仿宋" w:eastAsia="仿宋" w:cs="宋体"/>
          <w:color w:val="auto"/>
          <w:sz w:val="24"/>
          <w:highlight w:val="none"/>
          <w:u w:val="single"/>
        </w:rPr>
        <w:t>视频图像接入工作，</w:t>
      </w:r>
      <w:r>
        <w:rPr>
          <w:rFonts w:hint="eastAsia" w:ascii="仿宋" w:hAnsi="仿宋" w:eastAsia="仿宋" w:cs="宋体"/>
          <w:color w:val="auto"/>
          <w:sz w:val="24"/>
          <w:highlight w:val="none"/>
          <w:u w:val="single"/>
        </w:rPr>
        <w:t>视频相关技术支持及临时系统保障服务等</w:t>
      </w:r>
      <w:r>
        <w:rPr>
          <w:rFonts w:ascii="仿宋" w:hAnsi="仿宋" w:eastAsia="仿宋" w:cs="宋体"/>
          <w:color w:val="auto"/>
          <w:sz w:val="24"/>
          <w:highlight w:val="none"/>
          <w:u w:val="single"/>
        </w:rPr>
        <w:t>工作。</w:t>
      </w:r>
      <w:r>
        <w:rPr>
          <w:rFonts w:hint="eastAsia" w:ascii="仿宋" w:hAnsi="仿宋" w:eastAsia="仿宋" w:cs="宋体"/>
          <w:color w:val="auto"/>
          <w:sz w:val="24"/>
          <w:highlight w:val="none"/>
          <w:u w:val="single"/>
        </w:rPr>
        <w:t>详见附件5</w:t>
      </w:r>
      <w:r>
        <w:rPr>
          <w:rFonts w:hint="eastAsia" w:ascii="仿宋" w:hAnsi="仿宋" w:eastAsia="仿宋"/>
          <w:color w:val="auto"/>
          <w:sz w:val="24"/>
          <w:highlight w:val="none"/>
          <w:u w:val="single"/>
        </w:rPr>
        <w:t>服务内容/技术需求。</w:t>
      </w:r>
    </w:p>
    <w:p>
      <w:pPr>
        <w:spacing w:line="360" w:lineRule="auto"/>
        <w:ind w:left="420" w:leftChars="200"/>
        <w:rPr>
          <w:rFonts w:ascii="仿宋" w:hAnsi="仿宋" w:eastAsia="仿宋" w:cs="宋体"/>
          <w:color w:val="auto"/>
          <w:sz w:val="24"/>
          <w:highlight w:val="none"/>
          <w:u w:val="single"/>
        </w:rPr>
      </w:pPr>
      <w:r>
        <w:rPr>
          <w:rFonts w:ascii="仿宋" w:hAnsi="仿宋" w:eastAsia="仿宋" w:cs="宋体"/>
          <w:color w:val="auto"/>
          <w:sz w:val="24"/>
          <w:highlight w:val="none"/>
        </w:rPr>
        <w:t>2.3维护目标：</w:t>
      </w:r>
      <w:r>
        <w:rPr>
          <w:rFonts w:ascii="仿宋" w:hAnsi="仿宋" w:eastAsia="仿宋" w:cs="宋体"/>
          <w:color w:val="auto"/>
          <w:sz w:val="24"/>
          <w:highlight w:val="none"/>
          <w:u w:val="single"/>
        </w:rPr>
        <w:t xml:space="preserve"> </w:t>
      </w:r>
      <w:r>
        <w:rPr>
          <w:rFonts w:hint="eastAsia" w:ascii="仿宋" w:hAnsi="仿宋" w:eastAsia="仿宋"/>
          <w:color w:val="auto"/>
          <w:sz w:val="24"/>
          <w:szCs w:val="24"/>
          <w:highlight w:val="none"/>
          <w:u w:val="single"/>
        </w:rPr>
        <w:t>本项目目的为完成广州市净水有限公司综合安防管理平台软件运维服务，保障</w:t>
      </w:r>
      <w:r>
        <w:rPr>
          <w:rFonts w:hint="eastAsia" w:ascii="仿宋" w:hAnsi="仿宋" w:eastAsia="仿宋" w:cs="宋体"/>
          <w:color w:val="auto"/>
          <w:sz w:val="24"/>
          <w:highlight w:val="none"/>
          <w:u w:val="single"/>
        </w:rPr>
        <w:t>综合安防管理平台正常稳定安全运行</w:t>
      </w:r>
      <w:r>
        <w:rPr>
          <w:rFonts w:ascii="仿宋" w:hAnsi="仿宋" w:eastAsia="仿宋" w:cs="宋体"/>
          <w:color w:val="auto"/>
          <w:sz w:val="24"/>
          <w:highlight w:val="none"/>
          <w:u w:val="single"/>
        </w:rPr>
        <w:t>。</w:t>
      </w:r>
    </w:p>
    <w:p>
      <w:pPr>
        <w:spacing w:line="5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乙方须向甲方提供以下资料：</w:t>
      </w:r>
    </w:p>
    <w:p>
      <w:pPr>
        <w:spacing w:line="500" w:lineRule="exact"/>
        <w:ind w:firstLine="560"/>
        <w:rPr>
          <w:rFonts w:ascii="仿宋" w:hAnsi="仿宋" w:eastAsia="仿宋"/>
          <w:color w:val="auto"/>
          <w:sz w:val="24"/>
          <w:highlight w:val="none"/>
          <w:u w:val="single"/>
        </w:rPr>
      </w:pPr>
      <w:r>
        <w:rPr>
          <w:rFonts w:hint="eastAsia" w:ascii="仿宋" w:hAnsi="仿宋" w:eastAsia="仿宋"/>
          <w:color w:val="auto"/>
          <w:sz w:val="24"/>
          <w:highlight w:val="none"/>
          <w:u w:val="single"/>
        </w:rPr>
        <w:t>合同签订后3日内提供服务计划书，包括不限于：运维服务计划、技术服务人员名单、7×24小时联系电话、备品备件情况等。</w:t>
      </w:r>
    </w:p>
    <w:p>
      <w:pPr>
        <w:spacing w:line="500" w:lineRule="exact"/>
        <w:ind w:firstLine="562"/>
        <w:outlineLvl w:val="0"/>
        <w:rPr>
          <w:rFonts w:ascii="仿宋" w:hAnsi="仿宋" w:eastAsia="仿宋"/>
          <w:b/>
          <w:color w:val="auto"/>
          <w:sz w:val="24"/>
          <w:highlight w:val="none"/>
        </w:rPr>
      </w:pPr>
      <w:r>
        <w:rPr>
          <w:rFonts w:hint="eastAsia" w:ascii="仿宋" w:hAnsi="仿宋" w:eastAsia="仿宋"/>
          <w:color w:val="auto"/>
          <w:sz w:val="24"/>
          <w:highlight w:val="none"/>
        </w:rPr>
        <w:t>三、</w:t>
      </w:r>
      <w:r>
        <w:rPr>
          <w:rFonts w:hint="eastAsia" w:ascii="仿宋" w:hAnsi="仿宋" w:eastAsia="仿宋"/>
          <w:b/>
          <w:color w:val="auto"/>
          <w:sz w:val="24"/>
          <w:highlight w:val="none"/>
        </w:rPr>
        <w:t>服务期限：</w:t>
      </w:r>
      <w:r>
        <w:rPr>
          <w:rFonts w:hint="eastAsia" w:ascii="仿宋" w:hAnsi="仿宋" w:eastAsia="仿宋"/>
          <w:b/>
          <w:color w:val="auto"/>
          <w:sz w:val="24"/>
          <w:highlight w:val="none"/>
          <w:u w:val="single"/>
        </w:rPr>
        <w:t>从合同签订之日起，按照运维技术要求，维护服务为期</w:t>
      </w:r>
      <w:r>
        <w:rPr>
          <w:rFonts w:ascii="仿宋" w:hAnsi="仿宋" w:eastAsia="仿宋"/>
          <w:b/>
          <w:color w:val="auto"/>
          <w:sz w:val="24"/>
          <w:highlight w:val="none"/>
          <w:u w:val="single"/>
        </w:rPr>
        <w:t>12</w:t>
      </w:r>
      <w:r>
        <w:rPr>
          <w:rFonts w:hint="eastAsia" w:ascii="仿宋" w:hAnsi="仿宋" w:eastAsia="仿宋"/>
          <w:b/>
          <w:color w:val="auto"/>
          <w:sz w:val="24"/>
          <w:highlight w:val="none"/>
          <w:u w:val="single"/>
        </w:rPr>
        <w:t>个月。</w:t>
      </w:r>
    </w:p>
    <w:p>
      <w:pPr>
        <w:spacing w:line="500" w:lineRule="exact"/>
        <w:ind w:firstLine="602" w:firstLineChars="250"/>
        <w:outlineLvl w:val="0"/>
        <w:rPr>
          <w:rFonts w:ascii="仿宋" w:hAnsi="仿宋" w:eastAsia="仿宋"/>
          <w:b/>
          <w:color w:val="auto"/>
          <w:sz w:val="24"/>
          <w:highlight w:val="none"/>
        </w:rPr>
      </w:pPr>
      <w:r>
        <w:rPr>
          <w:rFonts w:hint="eastAsia" w:ascii="仿宋" w:hAnsi="仿宋" w:eastAsia="仿宋"/>
          <w:b/>
          <w:color w:val="auto"/>
          <w:sz w:val="24"/>
          <w:highlight w:val="none"/>
        </w:rPr>
        <w:t>四、合同价及支付方式</w:t>
      </w:r>
    </w:p>
    <w:p>
      <w:pPr>
        <w:spacing w:line="500" w:lineRule="exact"/>
        <w:ind w:firstLine="480" w:firstLineChars="200"/>
        <w:rPr>
          <w:rFonts w:ascii="仿宋" w:hAnsi="仿宋" w:eastAsia="仿宋" w:cs="宋体"/>
          <w:color w:val="auto"/>
          <w:sz w:val="24"/>
          <w:highlight w:val="none"/>
        </w:rPr>
      </w:pPr>
      <w:r>
        <w:rPr>
          <w:rFonts w:ascii="仿宋" w:hAnsi="仿宋" w:eastAsia="仿宋" w:cs="宋体"/>
          <w:color w:val="auto"/>
          <w:sz w:val="24"/>
          <w:highlight w:val="none"/>
        </w:rPr>
        <w:t>4.1合同暂定总价为：</w:t>
      </w:r>
      <w:r>
        <w:rPr>
          <w:rFonts w:hint="eastAsia" w:ascii="仿宋" w:hAnsi="仿宋" w:eastAsia="仿宋" w:cs="宋体"/>
          <w:b/>
          <w:color w:val="auto"/>
          <w:sz w:val="24"/>
          <w:highlight w:val="none"/>
          <w:u w:val="single"/>
        </w:rPr>
        <w:t>人民币</w:t>
      </w:r>
      <w:r>
        <w:rPr>
          <w:rFonts w:ascii="仿宋" w:hAnsi="仿宋" w:eastAsia="仿宋" w:cs="宋体"/>
          <w:b/>
          <w:color w:val="auto"/>
          <w:sz w:val="24"/>
          <w:highlight w:val="none"/>
          <w:u w:val="single"/>
        </w:rPr>
        <w:t xml:space="preserve">     </w:t>
      </w:r>
      <w:r>
        <w:rPr>
          <w:rFonts w:hint="eastAsia" w:ascii="仿宋" w:hAnsi="仿宋" w:eastAsia="仿宋" w:cs="宋体"/>
          <w:b/>
          <w:color w:val="auto"/>
          <w:sz w:val="24"/>
          <w:highlight w:val="none"/>
          <w:u w:val="single"/>
        </w:rPr>
        <w:t>元</w:t>
      </w:r>
      <w:r>
        <w:rPr>
          <w:rFonts w:hint="eastAsia" w:ascii="仿宋" w:hAnsi="仿宋" w:eastAsia="仿宋" w:cs="宋体"/>
          <w:color w:val="auto"/>
          <w:sz w:val="24"/>
          <w:highlight w:val="none"/>
        </w:rPr>
        <w:t>（大写</w:t>
      </w:r>
      <w:r>
        <w:rPr>
          <w:rFonts w:ascii="仿宋" w:hAnsi="仿宋" w:eastAsia="仿宋" w:cs="宋体"/>
          <w:color w:val="auto"/>
          <w:sz w:val="24"/>
          <w:highlight w:val="none"/>
        </w:rPr>
        <w:t>:</w:t>
      </w:r>
      <w:r>
        <w:rPr>
          <w:rFonts w:ascii="仿宋" w:hAnsi="仿宋" w:eastAsia="仿宋" w:cs="宋体"/>
          <w:b/>
          <w:color w:val="auto"/>
          <w:sz w:val="24"/>
          <w:highlight w:val="none"/>
          <w:u w:val="single"/>
        </w:rPr>
        <w:t xml:space="preserve">    </w:t>
      </w:r>
      <w:r>
        <w:rPr>
          <w:rFonts w:hint="eastAsia" w:ascii="仿宋" w:hAnsi="仿宋" w:eastAsia="仿宋" w:cs="宋体"/>
          <w:b/>
          <w:color w:val="auto"/>
          <w:sz w:val="24"/>
          <w:highlight w:val="none"/>
          <w:u w:val="single"/>
        </w:rPr>
        <w:t xml:space="preserve"> </w:t>
      </w:r>
      <w:r>
        <w:rPr>
          <w:rFonts w:hint="eastAsia" w:ascii="仿宋" w:hAnsi="仿宋" w:eastAsia="仿宋" w:cs="宋体"/>
          <w:color w:val="auto"/>
          <w:sz w:val="24"/>
          <w:highlight w:val="none"/>
        </w:rPr>
        <w:t>）。经甲方或甲方委托有资质第三方机构审核后，若结算审核价比合同暂定总价低，则以结算审核价作为合同结算价，否则以合同暂定总价为合同结算价。</w:t>
      </w:r>
    </w:p>
    <w:p>
      <w:pPr>
        <w:pStyle w:val="7"/>
        <w:rPr>
          <w:rFonts w:ascii="仿宋" w:hAnsi="仿宋" w:eastAsia="仿宋" w:cs="宋体"/>
          <w:color w:val="auto"/>
          <w:sz w:val="24"/>
          <w:highlight w:val="none"/>
        </w:rPr>
      </w:pPr>
      <w:r>
        <w:rPr>
          <w:rFonts w:hint="eastAsia" w:ascii="仿宋" w:hAnsi="仿宋" w:eastAsia="仿宋" w:cs="宋体"/>
          <w:color w:val="auto"/>
          <w:sz w:val="24"/>
          <w:highlight w:val="none"/>
        </w:rPr>
        <w:t>承包方式：综合单价包干（详见附件7）。此费用在项目实施期间费用均不得调整（如项目实施内容变更，需调整合同暂定价，双方另行协商签订补充协议；）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仿宋" w:hAnsi="仿宋" w:eastAsia="仿宋" w:cs="宋体"/>
          <w:color w:val="auto"/>
          <w:sz w:val="24"/>
          <w:highlight w:val="none"/>
        </w:rPr>
      </w:pPr>
      <w:r>
        <w:rPr>
          <w:rFonts w:ascii="仿宋" w:hAnsi="仿宋" w:eastAsia="仿宋" w:cs="宋体"/>
          <w:color w:val="auto"/>
          <w:kern w:val="0"/>
          <w:sz w:val="24"/>
          <w:highlight w:val="none"/>
          <w:lang w:val="zh-CN"/>
        </w:rPr>
        <w:t>4.2</w:t>
      </w:r>
      <w:r>
        <w:rPr>
          <w:rFonts w:hint="eastAsia" w:ascii="仿宋" w:hAnsi="仿宋" w:eastAsia="仿宋" w:cs="宋体"/>
          <w:color w:val="auto"/>
          <w:kern w:val="0"/>
          <w:sz w:val="24"/>
          <w:highlight w:val="none"/>
        </w:rPr>
        <w:t>本合同约定的价格为含税价价格</w:t>
      </w:r>
      <w:r>
        <w:rPr>
          <w:rFonts w:hint="eastAsia" w:ascii="仿宋" w:hAnsi="仿宋" w:eastAsia="仿宋" w:cs="宋体"/>
          <w:color w:val="auto"/>
          <w:sz w:val="24"/>
          <w:highlight w:val="none"/>
        </w:rPr>
        <w:t>（税率</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仿宋" w:hAnsi="仿宋" w:eastAsia="仿宋"/>
          <w:b/>
          <w:color w:val="auto"/>
          <w:spacing w:val="2"/>
          <w:kern w:val="36"/>
          <w:position w:val="2"/>
          <w:sz w:val="24"/>
          <w:highlight w:val="none"/>
        </w:rPr>
      </w:pPr>
      <w:r>
        <w:rPr>
          <w:rFonts w:hint="eastAsia" w:ascii="仿宋" w:hAnsi="仿宋" w:eastAsia="仿宋"/>
          <w:b/>
          <w:color w:val="auto"/>
          <w:spacing w:val="2"/>
          <w:kern w:val="36"/>
          <w:position w:val="2"/>
          <w:sz w:val="24"/>
          <w:highlight w:val="none"/>
        </w:rPr>
        <w:t>五、付款及履约担保：</w:t>
      </w:r>
    </w:p>
    <w:p>
      <w:pPr>
        <w:spacing w:line="500" w:lineRule="exact"/>
        <w:ind w:firstLine="488" w:firstLineChars="200"/>
        <w:rPr>
          <w:rFonts w:ascii="仿宋" w:hAnsi="仿宋" w:eastAsia="仿宋" w:cs="宋体"/>
          <w:bCs/>
          <w:color w:val="auto"/>
          <w:sz w:val="24"/>
          <w:highlight w:val="none"/>
          <w:u w:val="single"/>
        </w:rPr>
      </w:pPr>
      <w:r>
        <w:rPr>
          <w:rFonts w:ascii="仿宋" w:hAnsi="仿宋" w:eastAsia="仿宋"/>
          <w:bCs/>
          <w:color w:val="auto"/>
          <w:spacing w:val="2"/>
          <w:kern w:val="36"/>
          <w:position w:val="2"/>
          <w:sz w:val="24"/>
          <w:highlight w:val="none"/>
        </w:rPr>
        <w:t>5.1</w:t>
      </w:r>
      <w:r>
        <w:rPr>
          <w:rFonts w:hint="eastAsia" w:ascii="仿宋" w:hAnsi="仿宋" w:eastAsia="仿宋" w:cs="宋体"/>
          <w:bCs/>
          <w:color w:val="auto"/>
          <w:sz w:val="24"/>
          <w:highlight w:val="none"/>
        </w:rPr>
        <w:t>预付款的支付：</w:t>
      </w:r>
      <w:r>
        <w:rPr>
          <w:rFonts w:ascii="仿宋" w:hAnsi="仿宋" w:eastAsia="仿宋" w:cs="宋体"/>
          <w:bCs/>
          <w:color w:val="auto"/>
          <w:sz w:val="24"/>
          <w:highlight w:val="none"/>
        </w:rPr>
        <w:sym w:font="Wingdings" w:char="00FE"/>
      </w:r>
      <w:r>
        <w:rPr>
          <w:rFonts w:hint="eastAsia" w:ascii="仿宋" w:hAnsi="仿宋" w:eastAsia="仿宋" w:cs="宋体"/>
          <w:bCs/>
          <w:color w:val="auto"/>
          <w:sz w:val="24"/>
          <w:highlight w:val="none"/>
        </w:rPr>
        <w:t>无；</w:t>
      </w:r>
      <w:r>
        <w:rPr>
          <w:rFonts w:ascii="仿宋" w:hAnsi="仿宋" w:eastAsia="仿宋" w:cs="宋体"/>
          <w:bCs/>
          <w:color w:val="auto"/>
          <w:sz w:val="24"/>
          <w:highlight w:val="none"/>
        </w:rPr>
        <w:t xml:space="preserve"> </w:t>
      </w:r>
      <w:r>
        <w:rPr>
          <w:rFonts w:ascii="仿宋" w:hAnsi="仿宋" w:eastAsia="仿宋" w:cs="宋体"/>
          <w:bCs/>
          <w:color w:val="auto"/>
          <w:sz w:val="24"/>
          <w:highlight w:val="none"/>
        </w:rPr>
        <w:sym w:font="Wingdings" w:char="F0A8"/>
      </w:r>
      <w:r>
        <w:rPr>
          <w:rFonts w:hint="eastAsia" w:ascii="仿宋" w:hAnsi="仿宋" w:eastAsia="仿宋" w:cs="宋体"/>
          <w:bCs/>
          <w:color w:val="auto"/>
          <w:sz w:val="24"/>
          <w:highlight w:val="none"/>
        </w:rPr>
        <w:t>有，合同签订后乙方开具等额的增值税专用发票及提交履约担保担保（如有），由乙方提交</w:t>
      </w:r>
      <w:r>
        <w:rPr>
          <w:rFonts w:hint="eastAsia" w:ascii="仿宋" w:hAnsi="仿宋" w:eastAsia="仿宋" w:cs="宋体"/>
          <w:bCs/>
          <w:color w:val="auto"/>
          <w:sz w:val="24"/>
          <w:highlight w:val="none"/>
          <w:u w:val="single"/>
        </w:rPr>
        <w:t>申请支付资料</w:t>
      </w:r>
      <w:r>
        <w:rPr>
          <w:rFonts w:hint="eastAsia" w:ascii="仿宋" w:hAnsi="仿宋" w:eastAsia="仿宋" w:cs="宋体"/>
          <w:bCs/>
          <w:color w:val="auto"/>
          <w:sz w:val="24"/>
          <w:highlight w:val="none"/>
        </w:rPr>
        <w:t>及开具等额的增值税专用发票后</w:t>
      </w:r>
      <w:r>
        <w:rPr>
          <w:rFonts w:ascii="仿宋" w:hAnsi="仿宋" w:eastAsia="仿宋" w:cs="宋体"/>
          <w:bCs/>
          <w:color w:val="auto"/>
          <w:sz w:val="24"/>
          <w:highlight w:val="none"/>
          <w:u w:val="single"/>
        </w:rPr>
        <w:t>15</w:t>
      </w:r>
      <w:r>
        <w:rPr>
          <w:rFonts w:hint="eastAsia" w:ascii="仿宋" w:hAnsi="仿宋" w:eastAsia="仿宋" w:cs="宋体"/>
          <w:bCs/>
          <w:color w:val="auto"/>
          <w:sz w:val="24"/>
          <w:highlight w:val="none"/>
          <w:u w:val="single"/>
        </w:rPr>
        <w:t>个</w:t>
      </w:r>
      <w:r>
        <w:rPr>
          <w:rFonts w:hint="eastAsia" w:ascii="仿宋" w:hAnsi="仿宋" w:eastAsia="仿宋" w:cs="宋体"/>
          <w:bCs/>
          <w:color w:val="auto"/>
          <w:sz w:val="24"/>
          <w:highlight w:val="none"/>
        </w:rPr>
        <w:t>工作日内，甲方支付合同</w:t>
      </w:r>
      <w:r>
        <w:rPr>
          <w:rFonts w:hint="eastAsia" w:ascii="仿宋" w:hAnsi="仿宋" w:eastAsia="仿宋" w:cs="宋体"/>
          <w:color w:val="auto"/>
          <w:sz w:val="24"/>
          <w:highlight w:val="none"/>
        </w:rPr>
        <w:t>暂定总价</w:t>
      </w:r>
      <w:r>
        <w:rPr>
          <w:rFonts w:hint="eastAsia" w:ascii="仿宋" w:hAnsi="仿宋" w:eastAsia="仿宋" w:cs="宋体"/>
          <w:bCs/>
          <w:color w:val="auto"/>
          <w:sz w:val="24"/>
          <w:highlight w:val="none"/>
        </w:rPr>
        <w:t>的</w:t>
      </w:r>
      <w:r>
        <w:rPr>
          <w:rFonts w:ascii="仿宋" w:hAnsi="仿宋" w:eastAsia="仿宋" w:cs="宋体"/>
          <w:bCs/>
          <w:color w:val="auto"/>
          <w:sz w:val="24"/>
          <w:highlight w:val="none"/>
          <w:u w:val="single"/>
        </w:rPr>
        <w:t xml:space="preserve"> （不得超过30%）</w:t>
      </w:r>
      <w:r>
        <w:rPr>
          <w:rFonts w:hint="eastAsia" w:ascii="仿宋" w:hAnsi="仿宋" w:eastAsia="仿宋" w:cs="宋体"/>
          <w:color w:val="auto"/>
          <w:sz w:val="24"/>
          <w:highlight w:val="none"/>
        </w:rPr>
        <w:t>即</w:t>
      </w:r>
      <w:r>
        <w:rPr>
          <w:rFonts w:ascii="仿宋" w:hAnsi="仿宋" w:eastAsia="仿宋" w:cs="宋体"/>
          <w:color w:val="auto"/>
          <w:sz w:val="24"/>
          <w:highlight w:val="none"/>
          <w:u w:val="single"/>
        </w:rPr>
        <w:t xml:space="preserve"> </w:t>
      </w:r>
      <w:r>
        <w:rPr>
          <w:rFonts w:hint="eastAsia" w:ascii="仿宋" w:hAnsi="仿宋" w:eastAsia="仿宋" w:cs="宋体"/>
          <w:color w:val="auto"/>
          <w:sz w:val="24"/>
          <w:highlight w:val="none"/>
          <w:u w:val="single"/>
        </w:rPr>
        <w:t>…</w:t>
      </w:r>
      <w:r>
        <w:rPr>
          <w:rFonts w:ascii="仿宋" w:hAnsi="仿宋" w:eastAsia="仿宋" w:cs="宋体"/>
          <w:color w:val="auto"/>
          <w:sz w:val="24"/>
          <w:highlight w:val="none"/>
          <w:u w:val="single"/>
        </w:rPr>
        <w:t>，（大写：…）</w:t>
      </w:r>
      <w:r>
        <w:rPr>
          <w:rFonts w:ascii="仿宋" w:hAnsi="仿宋" w:eastAsia="仿宋" w:cs="宋体"/>
          <w:color w:val="auto"/>
          <w:sz w:val="24"/>
          <w:highlight w:val="none"/>
        </w:rPr>
        <w:t xml:space="preserve"> </w:t>
      </w:r>
      <w:r>
        <w:rPr>
          <w:rFonts w:hint="eastAsia" w:ascii="仿宋" w:hAnsi="仿宋" w:eastAsia="仿宋" w:cs="宋体"/>
          <w:bCs/>
          <w:color w:val="auto"/>
          <w:sz w:val="24"/>
          <w:highlight w:val="none"/>
        </w:rPr>
        <w:t>。</w:t>
      </w:r>
    </w:p>
    <w:p>
      <w:pPr>
        <w:spacing w:line="500" w:lineRule="exact"/>
        <w:ind w:firstLine="488" w:firstLineChars="200"/>
        <w:rPr>
          <w:rFonts w:ascii="仿宋" w:hAnsi="仿宋" w:eastAsia="仿宋"/>
          <w:bCs/>
          <w:color w:val="auto"/>
          <w:spacing w:val="2"/>
          <w:kern w:val="36"/>
          <w:position w:val="2"/>
          <w:sz w:val="24"/>
          <w:highlight w:val="none"/>
        </w:rPr>
      </w:pPr>
      <w:r>
        <w:rPr>
          <w:rFonts w:hint="eastAsia" w:ascii="仿宋" w:hAnsi="仿宋" w:eastAsia="仿宋"/>
          <w:bCs/>
          <w:color w:val="auto"/>
          <w:spacing w:val="2"/>
          <w:kern w:val="36"/>
          <w:position w:val="2"/>
          <w:sz w:val="24"/>
          <w:highlight w:val="none"/>
        </w:rPr>
        <w:t>5</w:t>
      </w:r>
      <w:r>
        <w:rPr>
          <w:rFonts w:ascii="仿宋" w:hAnsi="仿宋" w:eastAsia="仿宋"/>
          <w:bCs/>
          <w:color w:val="auto"/>
          <w:spacing w:val="2"/>
          <w:kern w:val="36"/>
          <w:position w:val="2"/>
          <w:sz w:val="24"/>
          <w:highlight w:val="none"/>
        </w:rPr>
        <w:t>.2</w:t>
      </w:r>
      <w:r>
        <w:rPr>
          <w:rFonts w:hint="eastAsia" w:ascii="仿宋" w:hAnsi="仿宋" w:eastAsia="仿宋"/>
          <w:bCs/>
          <w:color w:val="auto"/>
          <w:spacing w:val="2"/>
          <w:kern w:val="36"/>
          <w:position w:val="2"/>
          <w:sz w:val="24"/>
          <w:highlight w:val="none"/>
          <w:u w:val="single"/>
        </w:rPr>
        <w:t>项目服务满6个月后</w:t>
      </w:r>
      <w:r>
        <w:rPr>
          <w:rFonts w:hint="eastAsia" w:ascii="仿宋" w:hAnsi="仿宋" w:eastAsia="仿宋"/>
          <w:bCs/>
          <w:color w:val="auto"/>
          <w:spacing w:val="2"/>
          <w:kern w:val="36"/>
          <w:position w:val="2"/>
          <w:sz w:val="24"/>
          <w:highlight w:val="none"/>
        </w:rPr>
        <w:t>，乙方提交阶段性总结报告经甲方审核通过后，乙方提交</w:t>
      </w:r>
      <w:r>
        <w:rPr>
          <w:rFonts w:hint="eastAsia" w:ascii="仿宋" w:hAnsi="仿宋" w:eastAsia="仿宋"/>
          <w:bCs/>
          <w:color w:val="auto"/>
          <w:spacing w:val="2"/>
          <w:kern w:val="36"/>
          <w:position w:val="2"/>
          <w:sz w:val="24"/>
          <w:highlight w:val="none"/>
          <w:u w:val="single"/>
        </w:rPr>
        <w:t>申请支付资料</w:t>
      </w:r>
      <w:r>
        <w:rPr>
          <w:rFonts w:hint="eastAsia" w:ascii="仿宋" w:hAnsi="仿宋" w:eastAsia="仿宋"/>
          <w:bCs/>
          <w:color w:val="auto"/>
          <w:spacing w:val="2"/>
          <w:kern w:val="36"/>
          <w:position w:val="2"/>
          <w:sz w:val="24"/>
          <w:highlight w:val="none"/>
        </w:rPr>
        <w:t>及等额发票后</w:t>
      </w:r>
      <w:r>
        <w:rPr>
          <w:rFonts w:ascii="仿宋" w:hAnsi="仿宋" w:eastAsia="仿宋"/>
          <w:bCs/>
          <w:color w:val="auto"/>
          <w:spacing w:val="2"/>
          <w:kern w:val="36"/>
          <w:position w:val="2"/>
          <w:sz w:val="24"/>
          <w:highlight w:val="none"/>
          <w:u w:val="single"/>
        </w:rPr>
        <w:t>15</w:t>
      </w:r>
      <w:r>
        <w:rPr>
          <w:rFonts w:ascii="仿宋" w:hAnsi="仿宋" w:eastAsia="仿宋"/>
          <w:bCs/>
          <w:color w:val="auto"/>
          <w:spacing w:val="2"/>
          <w:kern w:val="36"/>
          <w:position w:val="2"/>
          <w:sz w:val="24"/>
          <w:highlight w:val="none"/>
        </w:rPr>
        <w:t xml:space="preserve"> </w:t>
      </w:r>
      <w:r>
        <w:rPr>
          <w:rFonts w:hint="eastAsia" w:ascii="仿宋" w:hAnsi="仿宋" w:eastAsia="仿宋"/>
          <w:bCs/>
          <w:color w:val="auto"/>
          <w:spacing w:val="2"/>
          <w:kern w:val="36"/>
          <w:position w:val="2"/>
          <w:sz w:val="24"/>
          <w:highlight w:val="none"/>
        </w:rPr>
        <w:t>个工作日内，甲方支付至合同暂定总价的</w:t>
      </w:r>
      <w:r>
        <w:rPr>
          <w:rFonts w:ascii="仿宋" w:hAnsi="仿宋" w:eastAsia="仿宋"/>
          <w:bCs/>
          <w:color w:val="auto"/>
          <w:spacing w:val="2"/>
          <w:kern w:val="36"/>
          <w:position w:val="2"/>
          <w:sz w:val="24"/>
          <w:highlight w:val="none"/>
          <w:u w:val="single"/>
        </w:rPr>
        <w:t>50</w:t>
      </w:r>
      <w:r>
        <w:rPr>
          <w:rFonts w:hint="eastAsia" w:ascii="仿宋" w:hAnsi="仿宋" w:eastAsia="仿宋"/>
          <w:bCs/>
          <w:color w:val="auto"/>
          <w:spacing w:val="2"/>
          <w:kern w:val="36"/>
          <w:position w:val="2"/>
          <w:sz w:val="24"/>
          <w:highlight w:val="none"/>
        </w:rPr>
        <w:t>％，即</w:t>
      </w:r>
      <w:r>
        <w:rPr>
          <w:rFonts w:ascii="Calibri" w:hAnsi="Calibri" w:eastAsia="仿宋" w:cs="Calibri"/>
          <w:bCs/>
          <w:color w:val="auto"/>
          <w:spacing w:val="2"/>
          <w:kern w:val="36"/>
          <w:position w:val="2"/>
          <w:sz w:val="24"/>
          <w:highlight w:val="none"/>
        </w:rPr>
        <w:t>¥</w:t>
      </w:r>
      <w:r>
        <w:rPr>
          <w:rFonts w:hint="eastAsia" w:ascii="仿宋" w:hAnsi="仿宋" w:eastAsia="仿宋"/>
          <w:bCs/>
          <w:color w:val="auto"/>
          <w:spacing w:val="2"/>
          <w:kern w:val="36"/>
          <w:position w:val="2"/>
          <w:sz w:val="24"/>
          <w:highlight w:val="none"/>
          <w:u w:val="single"/>
        </w:rPr>
        <w:t xml:space="preserve">     </w:t>
      </w:r>
      <w:r>
        <w:rPr>
          <w:rFonts w:hint="eastAsia" w:ascii="仿宋" w:hAnsi="仿宋" w:eastAsia="仿宋"/>
          <w:bCs/>
          <w:color w:val="auto"/>
          <w:spacing w:val="2"/>
          <w:kern w:val="36"/>
          <w:position w:val="2"/>
          <w:sz w:val="24"/>
          <w:highlight w:val="none"/>
        </w:rPr>
        <w:t>。</w:t>
      </w:r>
    </w:p>
    <w:p>
      <w:pPr>
        <w:spacing w:line="500" w:lineRule="exact"/>
        <w:ind w:firstLine="480" w:firstLineChars="200"/>
        <w:outlineLvl w:val="1"/>
        <w:rPr>
          <w:rFonts w:ascii="仿宋" w:hAnsi="仿宋" w:eastAsia="仿宋" w:cs="宋体"/>
          <w:color w:val="auto"/>
          <w:sz w:val="24"/>
          <w:highlight w:val="none"/>
          <w:u w:val="single"/>
        </w:rPr>
      </w:pPr>
      <w:r>
        <w:rPr>
          <w:rFonts w:ascii="仿宋" w:hAnsi="仿宋" w:eastAsia="仿宋" w:cs="宋体"/>
          <w:color w:val="auto"/>
          <w:sz w:val="24"/>
          <w:highlight w:val="none"/>
        </w:rPr>
        <w:t>5.3合同履约完毕</w:t>
      </w:r>
      <w:r>
        <w:rPr>
          <w:rFonts w:hint="eastAsia" w:ascii="仿宋" w:hAnsi="仿宋" w:eastAsia="仿宋" w:cs="宋体"/>
          <w:color w:val="auto"/>
          <w:sz w:val="24"/>
          <w:highlight w:val="none"/>
        </w:rPr>
        <w:t>并经甲方验收合格后</w:t>
      </w:r>
      <w:r>
        <w:rPr>
          <w:rFonts w:ascii="仿宋" w:hAnsi="仿宋" w:eastAsia="仿宋" w:cs="宋体"/>
          <w:color w:val="auto"/>
          <w:sz w:val="24"/>
          <w:highlight w:val="none"/>
        </w:rPr>
        <w:t>5日内</w:t>
      </w:r>
      <w:r>
        <w:rPr>
          <w:rFonts w:hint="eastAsia" w:ascii="仿宋" w:hAnsi="仿宋" w:eastAsia="仿宋" w:cs="宋体"/>
          <w:color w:val="auto"/>
          <w:sz w:val="24"/>
          <w:highlight w:val="none"/>
        </w:rPr>
        <w:t>，乙方提交工作总结报告。经甲方或甲方委托有资质第三方机构结算审核后，由乙方提交申请支付资料及等额发票后</w:t>
      </w:r>
      <w:r>
        <w:rPr>
          <w:rFonts w:ascii="仿宋" w:hAnsi="仿宋" w:eastAsia="仿宋" w:cs="宋体"/>
          <w:color w:val="auto"/>
          <w:sz w:val="24"/>
          <w:highlight w:val="none"/>
          <w:u w:val="single"/>
        </w:rPr>
        <w:t xml:space="preserve"> 15 </w:t>
      </w:r>
      <w:r>
        <w:rPr>
          <w:rFonts w:hint="eastAsia" w:ascii="仿宋" w:hAnsi="仿宋" w:eastAsia="仿宋" w:cs="宋体"/>
          <w:color w:val="auto"/>
          <w:sz w:val="24"/>
          <w:highlight w:val="none"/>
        </w:rPr>
        <w:t>个工作日内，甲方支付至合同结算价的</w:t>
      </w:r>
      <w:r>
        <w:rPr>
          <w:rFonts w:ascii="仿宋" w:hAnsi="仿宋" w:eastAsia="仿宋" w:cs="宋体"/>
          <w:color w:val="auto"/>
          <w:sz w:val="24"/>
          <w:highlight w:val="none"/>
          <w:u w:val="single"/>
        </w:rPr>
        <w:t>100</w:t>
      </w:r>
      <w:r>
        <w:rPr>
          <w:rFonts w:hint="eastAsia" w:ascii="仿宋" w:hAnsi="仿宋" w:eastAsia="仿宋" w:cs="宋体"/>
          <w:color w:val="auto"/>
          <w:sz w:val="24"/>
          <w:highlight w:val="none"/>
          <w:u w:val="single"/>
        </w:rPr>
        <w:t>%。</w:t>
      </w:r>
    </w:p>
    <w:p>
      <w:pPr>
        <w:spacing w:line="500" w:lineRule="exact"/>
        <w:ind w:firstLine="426"/>
        <w:rPr>
          <w:rFonts w:ascii="仿宋" w:hAnsi="仿宋" w:eastAsia="仿宋" w:cs="宋体"/>
          <w:color w:val="auto"/>
          <w:sz w:val="24"/>
          <w:highlight w:val="none"/>
        </w:rPr>
      </w:pPr>
      <w:r>
        <w:rPr>
          <w:rFonts w:hint="eastAsia" w:ascii="仿宋" w:hAnsi="仿宋" w:eastAsia="仿宋" w:cs="宋体"/>
          <w:color w:val="auto"/>
          <w:sz w:val="24"/>
          <w:szCs w:val="24"/>
          <w:highlight w:val="none"/>
        </w:rPr>
        <w:t>5.</w:t>
      </w: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如乙方应向甲方支付违约金、赔偿款或者其他款项，应当在接到甲方通知后</w:t>
      </w:r>
      <w:r>
        <w:rPr>
          <w:rFonts w:hint="eastAsia" w:ascii="仿宋" w:hAnsi="仿宋" w:eastAsia="仿宋" w:cs="宋体"/>
          <w:color w:val="auto"/>
          <w:sz w:val="24"/>
          <w:szCs w:val="24"/>
          <w:highlight w:val="none"/>
          <w:u w:val="single"/>
        </w:rPr>
        <w:t>30</w:t>
      </w:r>
      <w:r>
        <w:rPr>
          <w:rFonts w:hint="eastAsia" w:ascii="仿宋" w:hAnsi="仿宋" w:eastAsia="仿宋" w:cs="宋体"/>
          <w:color w:val="auto"/>
          <w:sz w:val="24"/>
          <w:szCs w:val="24"/>
          <w:highlight w:val="none"/>
        </w:rPr>
        <w:t>日内付清，甲方有权直接从应付款项中抵扣。</w:t>
      </w:r>
    </w:p>
    <w:p>
      <w:pPr>
        <w:spacing w:line="5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highlight w:val="none"/>
        </w:rPr>
        <w:t>5.</w:t>
      </w:r>
      <w:r>
        <w:rPr>
          <w:rFonts w:ascii="仿宋" w:hAnsi="仿宋" w:eastAsia="仿宋" w:cs="宋体"/>
          <w:color w:val="auto"/>
          <w:sz w:val="24"/>
          <w:highlight w:val="none"/>
        </w:rPr>
        <w:t>5</w:t>
      </w:r>
      <w:r>
        <w:rPr>
          <w:rFonts w:hint="eastAsia" w:ascii="仿宋" w:hAnsi="仿宋" w:eastAsia="仿宋" w:cs="宋体"/>
          <w:color w:val="auto"/>
          <w:sz w:val="24"/>
          <w:highlight w:val="none"/>
        </w:rPr>
        <w:t>乙方收款账户：</w:t>
      </w:r>
      <w:r>
        <w:rPr>
          <w:rFonts w:hint="eastAsia"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w:t>
      </w:r>
    </w:p>
    <w:p>
      <w:pPr>
        <w:spacing w:line="500" w:lineRule="exact"/>
        <w:ind w:firstLine="840" w:firstLineChars="35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收款账号：</w:t>
      </w:r>
      <w:r>
        <w:rPr>
          <w:rFonts w:hint="eastAsia"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w:t>
      </w:r>
    </w:p>
    <w:p>
      <w:pPr>
        <w:spacing w:line="500" w:lineRule="exact"/>
        <w:ind w:firstLine="840" w:firstLineChars="350"/>
        <w:rPr>
          <w:rFonts w:ascii="仿宋" w:hAnsi="仿宋" w:eastAsia="仿宋" w:cs="宋体"/>
          <w:color w:val="auto"/>
          <w:sz w:val="24"/>
          <w:highlight w:val="none"/>
        </w:rPr>
      </w:pPr>
      <w:r>
        <w:rPr>
          <w:rFonts w:hint="eastAsia" w:ascii="仿宋" w:hAnsi="仿宋" w:eastAsia="仿宋" w:cs="宋体"/>
          <w:color w:val="auto"/>
          <w:sz w:val="24"/>
          <w:szCs w:val="24"/>
          <w:highlight w:val="none"/>
        </w:rPr>
        <w:t>开户行：</w:t>
      </w:r>
      <w:r>
        <w:rPr>
          <w:rFonts w:hint="eastAsia"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rPr>
        <w:t xml:space="preserve"> </w:t>
      </w:r>
      <w:r>
        <w:rPr>
          <w:rFonts w:ascii="仿宋" w:hAnsi="仿宋" w:eastAsia="仿宋" w:cs="宋体"/>
          <w:color w:val="auto"/>
          <w:sz w:val="24"/>
          <w:szCs w:val="24"/>
          <w:highlight w:val="none"/>
          <w:u w:val="single"/>
        </w:rPr>
        <w:t xml:space="preserve">                    </w:t>
      </w:r>
      <w:r>
        <w:rPr>
          <w:rFonts w:ascii="宋体" w:hAnsi="宋体" w:cs="宋体"/>
          <w:color w:val="auto"/>
          <w:sz w:val="24"/>
          <w:highlight w:val="none"/>
          <w:u w:val="single"/>
        </w:rPr>
        <w:t xml:space="preserve">    </w:t>
      </w:r>
      <w:r>
        <w:rPr>
          <w:rFonts w:hint="eastAsia" w:ascii="仿宋" w:hAnsi="仿宋" w:eastAsia="仿宋" w:cs="宋体"/>
          <w:color w:val="auto"/>
          <w:sz w:val="24"/>
          <w:highlight w:val="none"/>
        </w:rPr>
        <w:t>；</w:t>
      </w:r>
    </w:p>
    <w:p>
      <w:pPr>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5.</w:t>
      </w:r>
      <w:r>
        <w:rPr>
          <w:rFonts w:ascii="仿宋" w:hAnsi="仿宋" w:eastAsia="仿宋" w:cs="宋体"/>
          <w:color w:val="auto"/>
          <w:sz w:val="24"/>
          <w:highlight w:val="none"/>
        </w:rPr>
        <w:t>6</w:t>
      </w:r>
      <w:r>
        <w:rPr>
          <w:rFonts w:hint="eastAsia" w:ascii="仿宋" w:hAnsi="仿宋" w:eastAsia="仿宋" w:cs="宋体"/>
          <w:color w:val="auto"/>
          <w:sz w:val="24"/>
          <w:highlight w:val="none"/>
        </w:rPr>
        <w:t>乙方在收款前需提交等额增值税专用发票给甲方。</w:t>
      </w:r>
    </w:p>
    <w:p>
      <w:pPr>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增值税专用发票信息：</w:t>
      </w:r>
    </w:p>
    <w:p>
      <w:pPr>
        <w:spacing w:line="500" w:lineRule="exact"/>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u w:val="single"/>
        </w:rPr>
        <w:t xml:space="preserve">名称：广州市净水有限公司； </w:t>
      </w:r>
      <w:r>
        <w:rPr>
          <w:rFonts w:ascii="仿宋" w:hAnsi="仿宋" w:eastAsia="仿宋" w:cs="宋体"/>
          <w:color w:val="auto"/>
          <w:szCs w:val="21"/>
          <w:highlight w:val="none"/>
          <w:u w:val="single"/>
        </w:rPr>
        <w:t xml:space="preserve"> </w:t>
      </w:r>
    </w:p>
    <w:p>
      <w:pPr>
        <w:spacing w:line="500" w:lineRule="exact"/>
        <w:ind w:firstLine="420" w:firstLineChars="200"/>
        <w:rPr>
          <w:rFonts w:ascii="仿宋" w:hAnsi="仿宋" w:eastAsia="仿宋" w:cs="宋体"/>
          <w:color w:val="auto"/>
          <w:sz w:val="24"/>
          <w:highlight w:val="none"/>
        </w:rPr>
      </w:pPr>
      <w:r>
        <w:rPr>
          <w:rFonts w:hint="eastAsia" w:ascii="仿宋" w:hAnsi="仿宋" w:eastAsia="仿宋" w:cs="宋体"/>
          <w:color w:val="auto"/>
          <w:szCs w:val="21"/>
          <w:highlight w:val="none"/>
          <w:u w:val="single"/>
        </w:rPr>
        <w:t>税号：</w:t>
      </w:r>
      <w:r>
        <w:rPr>
          <w:rFonts w:ascii="仿宋" w:hAnsi="仿宋" w:eastAsia="仿宋" w:cs="宋体"/>
          <w:color w:val="auto"/>
          <w:szCs w:val="21"/>
          <w:highlight w:val="none"/>
          <w:u w:val="single"/>
        </w:rPr>
        <w:t xml:space="preserve">91440101755584729Q ； </w:t>
      </w:r>
    </w:p>
    <w:p>
      <w:pPr>
        <w:spacing w:line="500" w:lineRule="exact"/>
        <w:ind w:firstLine="420" w:firstLineChars="200"/>
        <w:rPr>
          <w:rFonts w:ascii="仿宋" w:hAnsi="仿宋" w:eastAsia="仿宋" w:cs="宋体"/>
          <w:color w:val="auto"/>
          <w:szCs w:val="21"/>
          <w:highlight w:val="none"/>
          <w:u w:val="single"/>
        </w:rPr>
      </w:pPr>
      <w:r>
        <w:rPr>
          <w:rFonts w:ascii="仿宋" w:hAnsi="仿宋" w:eastAsia="仿宋" w:cs="宋体"/>
          <w:color w:val="auto"/>
          <w:szCs w:val="21"/>
          <w:highlight w:val="none"/>
          <w:u w:val="single"/>
        </w:rPr>
        <w:t>地址</w:t>
      </w:r>
      <w:r>
        <w:rPr>
          <w:rFonts w:hint="eastAsia" w:ascii="仿宋" w:hAnsi="仿宋" w:eastAsia="仿宋" w:cs="宋体"/>
          <w:color w:val="auto"/>
          <w:szCs w:val="21"/>
          <w:highlight w:val="none"/>
          <w:u w:val="single"/>
        </w:rPr>
        <w:t>、电话</w:t>
      </w:r>
      <w:r>
        <w:rPr>
          <w:rFonts w:ascii="仿宋" w:hAnsi="仿宋" w:eastAsia="仿宋" w:cs="宋体"/>
          <w:color w:val="auto"/>
          <w:szCs w:val="21"/>
          <w:highlight w:val="none"/>
          <w:u w:val="single"/>
        </w:rPr>
        <w:t>： 广州市天河区临江大道501号</w:t>
      </w:r>
      <w:r>
        <w:rPr>
          <w:rFonts w:hint="eastAsia" w:ascii="仿宋" w:hAnsi="仿宋" w:eastAsia="仿宋" w:cs="宋体"/>
          <w:color w:val="auto"/>
          <w:szCs w:val="21"/>
          <w:highlight w:val="none"/>
          <w:u w:val="single"/>
        </w:rPr>
        <w:t>，0</w:t>
      </w:r>
      <w:r>
        <w:rPr>
          <w:rFonts w:ascii="仿宋" w:hAnsi="仿宋" w:eastAsia="仿宋" w:cs="宋体"/>
          <w:color w:val="auto"/>
          <w:szCs w:val="21"/>
          <w:highlight w:val="none"/>
          <w:u w:val="single"/>
        </w:rPr>
        <w:t>20-38890283 ；</w:t>
      </w:r>
      <w:r>
        <w:rPr>
          <w:rFonts w:hint="eastAsia" w:ascii="仿宋" w:hAnsi="仿宋" w:eastAsia="仿宋" w:cs="宋体"/>
          <w:color w:val="auto"/>
          <w:szCs w:val="21"/>
          <w:highlight w:val="none"/>
          <w:u w:val="single"/>
        </w:rPr>
        <w:t xml:space="preserve"> </w:t>
      </w:r>
      <w:r>
        <w:rPr>
          <w:rFonts w:ascii="仿宋" w:hAnsi="仿宋" w:eastAsia="仿宋" w:cs="宋体"/>
          <w:color w:val="auto"/>
          <w:szCs w:val="21"/>
          <w:highlight w:val="none"/>
          <w:u w:val="single"/>
        </w:rPr>
        <w:t xml:space="preserve">  </w:t>
      </w:r>
    </w:p>
    <w:p>
      <w:pPr>
        <w:spacing w:line="500" w:lineRule="exact"/>
        <w:ind w:firstLine="420" w:firstLineChars="200"/>
        <w:rPr>
          <w:rFonts w:ascii="仿宋" w:hAnsi="仿宋" w:eastAsia="仿宋" w:cs="宋体"/>
          <w:color w:val="auto"/>
          <w:szCs w:val="21"/>
          <w:highlight w:val="none"/>
          <w:u w:val="single"/>
        </w:rPr>
      </w:pPr>
      <w:r>
        <w:rPr>
          <w:rFonts w:ascii="仿宋" w:hAnsi="仿宋" w:eastAsia="仿宋" w:cs="宋体"/>
          <w:color w:val="auto"/>
          <w:szCs w:val="21"/>
          <w:highlight w:val="none"/>
          <w:u w:val="single"/>
        </w:rPr>
        <w:t>开户行：建设银行珠江新城支行；</w:t>
      </w:r>
    </w:p>
    <w:p>
      <w:pPr>
        <w:spacing w:line="500" w:lineRule="exact"/>
        <w:ind w:firstLine="420" w:firstLineChars="200"/>
        <w:rPr>
          <w:rFonts w:ascii="仿宋" w:hAnsi="仿宋" w:eastAsia="仿宋" w:cs="宋体"/>
          <w:color w:val="auto"/>
          <w:szCs w:val="21"/>
          <w:highlight w:val="none"/>
          <w:u w:val="single"/>
        </w:rPr>
      </w:pPr>
      <w:r>
        <w:rPr>
          <w:rFonts w:ascii="仿宋" w:hAnsi="仿宋" w:eastAsia="仿宋" w:cs="宋体"/>
          <w:color w:val="auto"/>
          <w:szCs w:val="21"/>
          <w:highlight w:val="none"/>
          <w:u w:val="single"/>
        </w:rPr>
        <w:t>账</w:t>
      </w:r>
      <w:r>
        <w:rPr>
          <w:rFonts w:hint="eastAsia" w:ascii="仿宋" w:hAnsi="仿宋" w:eastAsia="仿宋" w:cs="宋体"/>
          <w:color w:val="auto"/>
          <w:szCs w:val="21"/>
          <w:highlight w:val="none"/>
          <w:u w:val="single"/>
        </w:rPr>
        <w:t>号</w:t>
      </w:r>
      <w:r>
        <w:rPr>
          <w:rFonts w:ascii="仿宋" w:hAnsi="仿宋" w:eastAsia="仿宋" w:cs="宋体"/>
          <w:color w:val="auto"/>
          <w:szCs w:val="21"/>
          <w:highlight w:val="none"/>
          <w:u w:val="single"/>
        </w:rPr>
        <w:t xml:space="preserve">：4400 1420 3140 5017 0338 </w:t>
      </w:r>
      <w:r>
        <w:rPr>
          <w:rFonts w:hint="eastAsia" w:ascii="仿宋" w:hAnsi="仿宋" w:eastAsia="仿宋" w:cs="宋体"/>
          <w:color w:val="auto"/>
          <w:szCs w:val="21"/>
          <w:highlight w:val="none"/>
          <w:u w:val="single"/>
        </w:rPr>
        <w:t>。</w:t>
      </w:r>
    </w:p>
    <w:p>
      <w:pPr>
        <w:spacing w:line="500" w:lineRule="exact"/>
        <w:ind w:firstLine="480" w:firstLineChars="200"/>
        <w:outlineLvl w:val="0"/>
        <w:rPr>
          <w:rFonts w:ascii="仿宋" w:hAnsi="仿宋" w:eastAsia="仿宋" w:cs="宋体"/>
          <w:color w:val="auto"/>
          <w:sz w:val="24"/>
          <w:highlight w:val="none"/>
        </w:rPr>
      </w:pPr>
      <w:r>
        <w:rPr>
          <w:rFonts w:hint="eastAsia" w:ascii="仿宋" w:hAnsi="仿宋" w:eastAsia="仿宋" w:cs="宋体"/>
          <w:color w:val="auto"/>
          <w:sz w:val="24"/>
          <w:highlight w:val="none"/>
        </w:rPr>
        <w:t>5.</w:t>
      </w:r>
      <w:r>
        <w:rPr>
          <w:rFonts w:ascii="仿宋" w:hAnsi="仿宋" w:eastAsia="仿宋" w:cs="宋体"/>
          <w:color w:val="auto"/>
          <w:sz w:val="24"/>
          <w:highlight w:val="none"/>
        </w:rPr>
        <w:t>7</w:t>
      </w:r>
      <w:r>
        <w:rPr>
          <w:rFonts w:hint="eastAsia" w:ascii="仿宋" w:hAnsi="仿宋" w:eastAsia="仿宋" w:cs="宋体"/>
          <w:color w:val="auto"/>
          <w:sz w:val="24"/>
          <w:highlight w:val="none"/>
        </w:rPr>
        <w:t>履约担保：</w:t>
      </w:r>
      <w:r>
        <w:rPr>
          <w:rFonts w:ascii="仿宋" w:hAnsi="仿宋" w:eastAsia="仿宋" w:cs="宋体"/>
          <w:bCs/>
          <w:color w:val="auto"/>
          <w:sz w:val="24"/>
          <w:highlight w:val="none"/>
        </w:rPr>
        <w:sym w:font="Wingdings" w:char="00FE"/>
      </w:r>
      <w:r>
        <w:rPr>
          <w:rFonts w:hint="eastAsia" w:ascii="仿宋" w:hAnsi="仿宋" w:eastAsia="仿宋" w:cs="宋体"/>
          <w:bCs/>
          <w:color w:val="auto"/>
          <w:sz w:val="24"/>
          <w:highlight w:val="none"/>
        </w:rPr>
        <w:t xml:space="preserve">无；     </w:t>
      </w:r>
      <w:r>
        <w:rPr>
          <w:rFonts w:hint="eastAsia" w:ascii="仿宋" w:hAnsi="仿宋" w:eastAsia="仿宋" w:cs="宋体"/>
          <w:color w:val="auto"/>
          <w:sz w:val="24"/>
          <w:highlight w:val="none"/>
        </w:rPr>
        <w:t>□有，乙方于本合同签订后</w:t>
      </w:r>
      <w:r>
        <w:rPr>
          <w:rFonts w:hint="eastAsia" w:ascii="仿宋" w:hAnsi="仿宋" w:eastAsia="仿宋" w:cs="宋体"/>
          <w:color w:val="auto"/>
          <w:sz w:val="24"/>
          <w:highlight w:val="none"/>
          <w:u w:val="single"/>
        </w:rPr>
        <w:t>10</w:t>
      </w:r>
      <w:r>
        <w:rPr>
          <w:rFonts w:hint="eastAsia" w:ascii="仿宋" w:hAnsi="仿宋" w:eastAsia="仿宋" w:cs="宋体"/>
          <w:color w:val="auto"/>
          <w:sz w:val="24"/>
          <w:highlight w:val="none"/>
        </w:rPr>
        <w:t>日内按照</w:t>
      </w:r>
      <w:r>
        <w:rPr>
          <w:rFonts w:hint="eastAsia" w:ascii="仿宋" w:hAnsi="仿宋" w:eastAsia="仿宋" w:cs="宋体"/>
          <w:color w:val="auto"/>
          <w:sz w:val="24"/>
          <w:highlight w:val="none"/>
          <w:u w:val="single"/>
        </w:rPr>
        <w:t>合同暂定总价的10%提供履约保证金，</w:t>
      </w:r>
      <w:r>
        <w:rPr>
          <w:rFonts w:hint="eastAsia" w:ascii="仿宋" w:hAnsi="仿宋" w:eastAsia="仿宋" w:cs="宋体"/>
          <w:color w:val="auto"/>
          <w:sz w:val="24"/>
          <w:highlight w:val="none"/>
        </w:rPr>
        <w:t>金额：</w:t>
      </w:r>
      <w:r>
        <w:rPr>
          <w:rFonts w:hint="eastAsia" w:ascii="仿宋" w:hAnsi="仿宋" w:eastAsia="仿宋" w:cs="宋体"/>
          <w:color w:val="auto"/>
          <w:sz w:val="24"/>
          <w:highlight w:val="none"/>
          <w:u w:val="single"/>
        </w:rPr>
        <w:t>…（大写人民币：…），</w:t>
      </w:r>
      <w:r>
        <w:rPr>
          <w:rFonts w:hint="eastAsia" w:ascii="仿宋" w:hAnsi="仿宋" w:eastAsia="仿宋" w:cs="宋体"/>
          <w:color w:val="auto"/>
          <w:sz w:val="24"/>
          <w:highlight w:val="none"/>
        </w:rPr>
        <w:t>未按时提供的，甲方有权解除合同并要求乙方支付</w:t>
      </w:r>
      <w:r>
        <w:rPr>
          <w:rFonts w:hint="eastAsia" w:ascii="仿宋" w:hAnsi="仿宋" w:eastAsia="仿宋" w:cs="宋体"/>
          <w:color w:val="auto"/>
          <w:sz w:val="24"/>
          <w:highlight w:val="none"/>
          <w:u w:val="single"/>
        </w:rPr>
        <w:t>合同暂定总价20%</w:t>
      </w:r>
      <w:r>
        <w:rPr>
          <w:rFonts w:hint="eastAsia" w:ascii="仿宋" w:hAnsi="仿宋" w:eastAsia="仿宋" w:cs="宋体"/>
          <w:color w:val="auto"/>
          <w:sz w:val="24"/>
          <w:highlight w:val="none"/>
        </w:rPr>
        <w:t>作为违约金。</w:t>
      </w:r>
    </w:p>
    <w:p>
      <w:pPr>
        <w:pStyle w:val="21"/>
        <w:spacing w:before="156" w:beforeAutospacing="0" w:after="156" w:afterAutospacing="0" w:line="500" w:lineRule="exact"/>
        <w:ind w:firstLine="480" w:firstLineChars="200"/>
        <w:rPr>
          <w:rFonts w:ascii="仿宋" w:hAnsi="仿宋" w:eastAsia="仿宋" w:cs="宋体"/>
          <w:color w:val="auto"/>
          <w:highlight w:val="none"/>
        </w:rPr>
      </w:pPr>
      <w:r>
        <w:rPr>
          <w:rFonts w:hint="eastAsia" w:ascii="仿宋" w:hAnsi="仿宋" w:eastAsia="仿宋" w:cs="宋体"/>
          <w:color w:val="auto"/>
          <w:highlight w:val="none"/>
        </w:rPr>
        <w:t>5.8.1履约担保按以下任一种形式提供：</w:t>
      </w:r>
    </w:p>
    <w:p>
      <w:pPr>
        <w:pStyle w:val="21"/>
        <w:spacing w:before="156" w:beforeAutospacing="0" w:after="156" w:afterAutospacing="0" w:line="500" w:lineRule="exact"/>
        <w:ind w:firstLine="480"/>
        <w:rPr>
          <w:rFonts w:ascii="仿宋" w:hAnsi="仿宋" w:eastAsia="仿宋" w:cs="宋体"/>
          <w:color w:val="auto"/>
          <w:highlight w:val="none"/>
        </w:rPr>
      </w:pPr>
      <w:r>
        <w:rPr>
          <w:rFonts w:hint="eastAsia" w:ascii="仿宋" w:hAnsi="仿宋" w:eastAsia="仿宋" w:cs="宋体"/>
          <w:color w:val="auto"/>
          <w:highlight w:val="none"/>
        </w:rPr>
        <w:t>（1）符合甲方要求的银行独立保函，</w:t>
      </w:r>
    </w:p>
    <w:p>
      <w:pPr>
        <w:pStyle w:val="21"/>
        <w:spacing w:before="156" w:beforeAutospacing="0" w:after="156" w:afterAutospacing="0" w:line="500" w:lineRule="exact"/>
        <w:ind w:firstLine="480"/>
        <w:rPr>
          <w:rFonts w:ascii="仿宋" w:hAnsi="仿宋" w:eastAsia="仿宋" w:cs="宋体"/>
          <w:color w:val="auto"/>
          <w:highlight w:val="none"/>
        </w:rPr>
      </w:pPr>
      <w:r>
        <w:rPr>
          <w:rFonts w:hint="eastAsia" w:ascii="仿宋" w:hAnsi="仿宋" w:eastAsia="仿宋" w:cs="宋体"/>
          <w:color w:val="auto"/>
          <w:highlight w:val="none"/>
        </w:rPr>
        <w:t>（2）现金转账至甲方以下指定账户：</w:t>
      </w:r>
    </w:p>
    <w:p>
      <w:pPr>
        <w:tabs>
          <w:tab w:val="left" w:pos="1995"/>
        </w:tabs>
        <w:spacing w:line="500" w:lineRule="exact"/>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户名：广州市净水有限公司</w:t>
      </w:r>
    </w:p>
    <w:p>
      <w:pPr>
        <w:tabs>
          <w:tab w:val="left" w:pos="1995"/>
        </w:tabs>
        <w:spacing w:line="500" w:lineRule="exact"/>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账号：82010154900000342</w:t>
      </w:r>
    </w:p>
    <w:p>
      <w:pPr>
        <w:tabs>
          <w:tab w:val="left" w:pos="1995"/>
        </w:tabs>
        <w:spacing w:line="500" w:lineRule="exact"/>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开户行：浦发银行广州分行</w:t>
      </w:r>
    </w:p>
    <w:p>
      <w:pPr>
        <w:spacing w:line="500" w:lineRule="exact"/>
        <w:ind w:firstLine="480" w:firstLineChars="200"/>
        <w:outlineLvl w:val="0"/>
        <w:rPr>
          <w:rFonts w:ascii="仿宋" w:hAnsi="仿宋" w:eastAsia="仿宋" w:cs="宋体"/>
          <w:color w:val="auto"/>
          <w:sz w:val="24"/>
          <w:highlight w:val="none"/>
        </w:rPr>
      </w:pPr>
      <w:r>
        <w:rPr>
          <w:rFonts w:hint="eastAsia" w:ascii="仿宋" w:hAnsi="仿宋" w:eastAsia="仿宋" w:cs="宋体"/>
          <w:color w:val="auto"/>
          <w:sz w:val="24"/>
          <w:highlight w:val="none"/>
        </w:rPr>
        <w:t>5.8.2履约担保的担保期限和返还</w:t>
      </w:r>
    </w:p>
    <w:p>
      <w:pPr>
        <w:pStyle w:val="21"/>
        <w:spacing w:before="156" w:beforeAutospacing="0" w:after="156" w:afterAutospacing="0" w:line="500" w:lineRule="exact"/>
        <w:ind w:left="199" w:leftChars="95" w:firstLine="360" w:firstLineChars="150"/>
        <w:rPr>
          <w:rFonts w:ascii="仿宋" w:hAnsi="仿宋" w:eastAsia="仿宋" w:cs="宋体"/>
          <w:color w:val="auto"/>
          <w:highlight w:val="none"/>
        </w:rPr>
      </w:pPr>
      <w:r>
        <w:rPr>
          <w:rFonts w:hint="eastAsia" w:ascii="仿宋" w:hAnsi="仿宋" w:eastAsia="仿宋" w:cs="宋体"/>
          <w:color w:val="auto"/>
          <w:highlight w:val="none"/>
        </w:rPr>
        <w:t>（1）履约银行保函（或现金履约保证金）的担保期限：从提供履约担保（或转账成功）之日起至合同履行完成。</w:t>
      </w:r>
    </w:p>
    <w:p>
      <w:pPr>
        <w:pStyle w:val="21"/>
        <w:spacing w:before="156" w:beforeAutospacing="0" w:after="156" w:afterAutospacing="0" w:line="500" w:lineRule="exact"/>
        <w:ind w:left="199" w:leftChars="95" w:firstLine="360" w:firstLineChars="150"/>
        <w:rPr>
          <w:rFonts w:ascii="仿宋" w:hAnsi="仿宋" w:eastAsia="仿宋" w:cs="宋体"/>
          <w:color w:val="auto"/>
          <w:highlight w:val="none"/>
        </w:rPr>
      </w:pPr>
      <w:r>
        <w:rPr>
          <w:rFonts w:hint="eastAsia" w:ascii="仿宋" w:hAnsi="仿宋" w:eastAsia="仿宋" w:cs="宋体"/>
          <w:color w:val="auto"/>
          <w:highlight w:val="none"/>
        </w:rPr>
        <w:t>（2）履约银行保函在合同履行完成后，由乙方提出申请，甲方在28日内返还，不支付利息：</w:t>
      </w:r>
    </w:p>
    <w:p>
      <w:pPr>
        <w:pStyle w:val="21"/>
        <w:spacing w:before="156" w:beforeAutospacing="0" w:after="156" w:afterAutospacing="0" w:line="500" w:lineRule="exact"/>
        <w:ind w:left="199" w:leftChars="95" w:firstLine="367" w:firstLineChars="153"/>
        <w:rPr>
          <w:rFonts w:ascii="仿宋" w:hAnsi="仿宋" w:eastAsia="仿宋" w:cs="宋体"/>
          <w:color w:val="auto"/>
          <w:highlight w:val="none"/>
        </w:rPr>
      </w:pPr>
      <w:r>
        <w:rPr>
          <w:rFonts w:hint="eastAsia" w:ascii="仿宋" w:hAnsi="仿宋" w:eastAsia="仿宋" w:cs="宋体"/>
          <w:color w:val="auto"/>
          <w:highlight w:val="none"/>
        </w:rPr>
        <w:t>（3）延长担保期限。乙方以履约银行保函形式提交履约保证金的，在银行保函到期前，乙方应提前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21"/>
        <w:spacing w:before="156" w:beforeAutospacing="0" w:after="156" w:afterAutospacing="0" w:line="500" w:lineRule="exact"/>
        <w:ind w:left="199" w:leftChars="95" w:firstLine="360" w:firstLineChars="150"/>
        <w:rPr>
          <w:rFonts w:ascii="仿宋" w:hAnsi="仿宋" w:eastAsia="仿宋" w:cs="宋体"/>
          <w:color w:val="auto"/>
          <w:highlight w:val="none"/>
          <w:u w:val="single"/>
        </w:rPr>
      </w:pPr>
      <w:r>
        <w:rPr>
          <w:rFonts w:hint="eastAsia" w:ascii="仿宋" w:hAnsi="仿宋" w:eastAsia="仿宋" w:cs="宋体"/>
          <w:color w:val="auto"/>
          <w:highlight w:val="none"/>
        </w:rPr>
        <w:t>（4）现金履约保证金的退还：合同履行完成后，由乙方提出申请，甲方在</w:t>
      </w:r>
      <w:r>
        <w:rPr>
          <w:rFonts w:hint="eastAsia" w:ascii="仿宋" w:hAnsi="仿宋" w:eastAsia="仿宋" w:cs="宋体"/>
          <w:color w:val="auto"/>
          <w:highlight w:val="none"/>
          <w:u w:val="single"/>
        </w:rPr>
        <w:t>28日</w:t>
      </w:r>
      <w:r>
        <w:rPr>
          <w:rFonts w:hint="eastAsia" w:ascii="仿宋" w:hAnsi="仿宋" w:eastAsia="仿宋" w:cs="宋体"/>
          <w:color w:val="auto"/>
          <w:highlight w:val="none"/>
        </w:rPr>
        <w:t>内将剩余保证金（无息）返还。</w:t>
      </w:r>
    </w:p>
    <w:p>
      <w:pPr>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5.8.3甲方按本合同规定提取履约担保金额后，乙方应在收到甲方通知后</w:t>
      </w:r>
    </w:p>
    <w:p>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u w:val="single"/>
        </w:rPr>
        <w:t>7</w:t>
      </w:r>
      <w:r>
        <w:rPr>
          <w:rFonts w:hint="eastAsia" w:ascii="仿宋" w:hAnsi="仿宋" w:eastAsia="仿宋"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仿宋" w:hAnsi="仿宋" w:eastAsia="仿宋" w:cs="宋体"/>
          <w:color w:val="auto"/>
          <w:sz w:val="24"/>
          <w:highlight w:val="none"/>
          <w:u w:val="single"/>
        </w:rPr>
      </w:pPr>
      <w:r>
        <w:rPr>
          <w:rFonts w:hint="eastAsia" w:ascii="仿宋" w:hAnsi="仿宋" w:eastAsia="仿宋" w:cs="宋体"/>
          <w:color w:val="auto"/>
          <w:sz w:val="24"/>
          <w:highlight w:val="none"/>
        </w:rPr>
        <w:t>5.9付款方式：</w:t>
      </w:r>
      <w:r>
        <w:rPr>
          <w:rFonts w:hint="eastAsia" w:ascii="仿宋" w:hAnsi="仿宋" w:eastAsia="仿宋" w:cs="宋体"/>
          <w:color w:val="auto"/>
          <w:sz w:val="24"/>
          <w:szCs w:val="24"/>
          <w:highlight w:val="none"/>
        </w:rPr>
        <w:sym w:font="Wingdings" w:char="00FE"/>
      </w:r>
      <w:r>
        <w:rPr>
          <w:rFonts w:hint="eastAsia" w:ascii="仿宋" w:hAnsi="仿宋" w:eastAsia="仿宋" w:cs="宋体"/>
          <w:color w:val="auto"/>
          <w:sz w:val="24"/>
          <w:highlight w:val="none"/>
        </w:rPr>
        <w:t xml:space="preserve">网银支付；  </w:t>
      </w:r>
      <w:r>
        <w:rPr>
          <w:rFonts w:hint="eastAsia" w:ascii="仿宋" w:hAnsi="仿宋" w:eastAsia="仿宋" w:cs="宋体"/>
          <w:color w:val="auto"/>
          <w:sz w:val="24"/>
          <w:highlight w:val="none"/>
        </w:rPr>
        <w:sym w:font="Wingdings" w:char="00A8"/>
      </w:r>
      <w:r>
        <w:rPr>
          <w:rFonts w:hint="eastAsia" w:ascii="仿宋" w:hAnsi="仿宋" w:eastAsia="仿宋" w:cs="宋体"/>
          <w:color w:val="auto"/>
          <w:sz w:val="24"/>
          <w:highlight w:val="none"/>
        </w:rPr>
        <w:t xml:space="preserve">支票；   </w:t>
      </w:r>
      <w:r>
        <w:rPr>
          <w:rFonts w:hint="eastAsia" w:ascii="仿宋" w:hAnsi="仿宋" w:eastAsia="仿宋" w:cs="宋体"/>
          <w:color w:val="auto"/>
          <w:sz w:val="24"/>
          <w:highlight w:val="none"/>
        </w:rPr>
        <w:sym w:font="Wingdings" w:char="00A8"/>
      </w:r>
      <w:r>
        <w:rPr>
          <w:rFonts w:hint="eastAsia" w:ascii="仿宋" w:hAnsi="仿宋" w:eastAsia="仿宋" w:cs="宋体"/>
          <w:color w:val="auto"/>
          <w:sz w:val="24"/>
          <w:highlight w:val="none"/>
        </w:rPr>
        <w:t>其他：</w:t>
      </w:r>
      <w:r>
        <w:rPr>
          <w:rFonts w:hint="eastAsia" w:ascii="仿宋" w:hAnsi="仿宋" w:eastAsia="仿宋" w:cs="宋体"/>
          <w:color w:val="auto"/>
          <w:sz w:val="24"/>
          <w:highlight w:val="none"/>
          <w:u w:val="single"/>
        </w:rPr>
        <w:t xml:space="preserve"> … </w:t>
      </w:r>
    </w:p>
    <w:p>
      <w:pPr>
        <w:spacing w:line="500" w:lineRule="exact"/>
        <w:ind w:firstLine="480" w:firstLineChars="200"/>
        <w:jc w:val="left"/>
        <w:rPr>
          <w:rFonts w:ascii="仿宋" w:hAnsi="仿宋" w:eastAsia="仿宋" w:cs="宋体"/>
          <w:color w:val="auto"/>
          <w:sz w:val="24"/>
          <w:highlight w:val="none"/>
        </w:rPr>
      </w:pPr>
      <w:r>
        <w:rPr>
          <w:rFonts w:hint="eastAsia" w:ascii="仿宋" w:hAnsi="仿宋" w:eastAsia="仿宋" w:cs="宋体"/>
          <w:color w:val="auto"/>
          <w:sz w:val="24"/>
          <w:highlight w:val="none"/>
        </w:rPr>
        <w:t>5.10结算价超过合同暂定总价时，暂停合同的工程款支付程序，签订补充协议后支付。</w:t>
      </w:r>
    </w:p>
    <w:p>
      <w:pPr>
        <w:spacing w:line="500" w:lineRule="exact"/>
        <w:ind w:firstLine="562"/>
        <w:outlineLvl w:val="0"/>
        <w:rPr>
          <w:rFonts w:ascii="仿宋" w:hAnsi="仿宋" w:eastAsia="仿宋"/>
          <w:b/>
          <w:color w:val="auto"/>
          <w:sz w:val="24"/>
          <w:highlight w:val="none"/>
        </w:rPr>
      </w:pPr>
      <w:r>
        <w:rPr>
          <w:rFonts w:hint="eastAsia" w:ascii="仿宋" w:hAnsi="仿宋" w:eastAsia="仿宋"/>
          <w:b/>
          <w:color w:val="auto"/>
          <w:sz w:val="24"/>
          <w:highlight w:val="none"/>
        </w:rPr>
        <w:t>六、双方责任</w:t>
      </w:r>
    </w:p>
    <w:p>
      <w:pPr>
        <w:pStyle w:val="49"/>
        <w:spacing w:line="500" w:lineRule="exact"/>
        <w:ind w:firstLineChars="0"/>
        <w:rPr>
          <w:rFonts w:ascii="仿宋" w:hAnsi="仿宋" w:eastAsia="仿宋"/>
          <w:color w:val="auto"/>
          <w:sz w:val="24"/>
          <w:szCs w:val="24"/>
          <w:highlight w:val="none"/>
        </w:rPr>
      </w:pPr>
      <w:r>
        <w:rPr>
          <w:rFonts w:ascii="仿宋" w:hAnsi="仿宋" w:eastAsia="仿宋"/>
          <w:color w:val="auto"/>
          <w:sz w:val="24"/>
          <w:szCs w:val="24"/>
          <w:highlight w:val="none"/>
        </w:rPr>
        <w:t xml:space="preserve"> 6.1</w:t>
      </w:r>
      <w:r>
        <w:rPr>
          <w:rFonts w:hint="eastAsia" w:ascii="仿宋" w:hAnsi="仿宋" w:eastAsia="仿宋"/>
          <w:color w:val="auto"/>
          <w:sz w:val="24"/>
          <w:szCs w:val="24"/>
          <w:highlight w:val="none"/>
        </w:rPr>
        <w:t>乙方不得传播甲方公司内部网络、服务器、应用系统等有关的资料。</w:t>
      </w:r>
    </w:p>
    <w:p>
      <w:pPr>
        <w:spacing w:line="500" w:lineRule="exact"/>
        <w:ind w:left="542"/>
        <w:rPr>
          <w:rFonts w:ascii="仿宋" w:hAnsi="仿宋" w:eastAsia="仿宋"/>
          <w:color w:val="auto"/>
          <w:sz w:val="24"/>
          <w:highlight w:val="none"/>
        </w:rPr>
      </w:pPr>
      <w:r>
        <w:rPr>
          <w:rFonts w:hint="eastAsia" w:ascii="仿宋" w:hAnsi="仿宋" w:eastAsia="仿宋"/>
          <w:color w:val="auto"/>
          <w:sz w:val="24"/>
          <w:highlight w:val="none"/>
        </w:rPr>
        <w:t>6.2乙方履行合同时，应严格遵守国家法律法规和甲方相关的各项规章制</w:t>
      </w:r>
    </w:p>
    <w:p>
      <w:pPr>
        <w:spacing w:line="500" w:lineRule="exact"/>
        <w:rPr>
          <w:rFonts w:ascii="仿宋" w:hAnsi="仿宋" w:eastAsia="仿宋"/>
          <w:color w:val="auto"/>
          <w:sz w:val="24"/>
          <w:highlight w:val="none"/>
        </w:rPr>
      </w:pPr>
      <w:r>
        <w:rPr>
          <w:rFonts w:hint="eastAsia" w:ascii="仿宋" w:hAnsi="仿宋" w:eastAsia="仿宋"/>
          <w:color w:val="auto"/>
          <w:sz w:val="24"/>
          <w:highlight w:val="none"/>
        </w:rPr>
        <w:t>度，服从甲方管理指挥。乙方不按规范作业或者乙方原因造成的财产损失、人员伤亡，由乙方自行承担责任。</w:t>
      </w:r>
    </w:p>
    <w:p>
      <w:pPr>
        <w:spacing w:line="5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6.4</w:t>
      </w:r>
      <w:r>
        <w:rPr>
          <w:rFonts w:hint="eastAsia" w:ascii="仿宋" w:hAnsi="仿宋" w:eastAsia="仿宋"/>
          <w:color w:val="auto"/>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6.5</w:t>
      </w:r>
      <w:r>
        <w:rPr>
          <w:rFonts w:hint="eastAsia" w:ascii="仿宋" w:hAnsi="仿宋" w:eastAsia="仿宋"/>
          <w:color w:val="auto"/>
          <w:sz w:val="24"/>
          <w:highlight w:val="none"/>
        </w:rPr>
        <w:t xml:space="preserve">乙方严禁擅自安装、拆卸、调整、挪动任何设备。 </w:t>
      </w:r>
    </w:p>
    <w:p>
      <w:pPr>
        <w:spacing w:line="500" w:lineRule="exact"/>
        <w:ind w:firstLine="480" w:firstLineChars="200"/>
        <w:rPr>
          <w:rFonts w:ascii="仿宋" w:hAnsi="仿宋" w:eastAsia="仿宋"/>
          <w:color w:val="auto"/>
          <w:sz w:val="24"/>
          <w:highlight w:val="none"/>
        </w:rPr>
      </w:pPr>
      <w:r>
        <w:rPr>
          <w:rFonts w:ascii="仿宋" w:hAnsi="仿宋" w:eastAsia="仿宋"/>
          <w:color w:val="auto"/>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仿宋" w:hAnsi="仿宋" w:eastAsia="仿宋" w:cs="宋体"/>
          <w:color w:val="auto"/>
          <w:sz w:val="24"/>
          <w:highlight w:val="none"/>
          <w:u w:val="single"/>
        </w:rPr>
      </w:pPr>
      <w:r>
        <w:rPr>
          <w:rFonts w:ascii="仿宋" w:hAnsi="仿宋" w:eastAsia="仿宋"/>
          <w:color w:val="auto"/>
          <w:sz w:val="24"/>
          <w:highlight w:val="none"/>
        </w:rPr>
        <w:t>6.7</w:t>
      </w:r>
      <w:r>
        <w:rPr>
          <w:rFonts w:hint="eastAsia" w:ascii="仿宋" w:hAnsi="仿宋" w:eastAsia="仿宋" w:cs="宋体"/>
          <w:color w:val="auto"/>
          <w:sz w:val="24"/>
          <w:highlight w:val="none"/>
        </w:rPr>
        <w:t>驻场服务：</w:t>
      </w:r>
      <w:r>
        <w:rPr>
          <w:rFonts w:hint="eastAsia" w:ascii="仿宋" w:hAnsi="仿宋" w:eastAsia="仿宋" w:cs="宋体"/>
          <w:color w:val="auto"/>
          <w:sz w:val="24"/>
          <w:szCs w:val="24"/>
          <w:highlight w:val="none"/>
          <w:u w:val="single"/>
        </w:rPr>
        <w:t xml:space="preserve"> /。</w:t>
      </w:r>
    </w:p>
    <w:p>
      <w:pPr>
        <w:adjustRightInd w:val="0"/>
        <w:spacing w:line="500" w:lineRule="exact"/>
        <w:ind w:firstLine="560"/>
        <w:textAlignment w:val="baseline"/>
        <w:rPr>
          <w:rFonts w:ascii="仿宋" w:hAnsi="仿宋" w:eastAsia="仿宋"/>
          <w:color w:val="auto"/>
          <w:sz w:val="24"/>
          <w:highlight w:val="none"/>
        </w:rPr>
      </w:pPr>
      <w:r>
        <w:rPr>
          <w:rFonts w:hint="eastAsia" w:ascii="仿宋" w:hAnsi="仿宋" w:eastAsia="仿宋"/>
          <w:color w:val="auto"/>
          <w:sz w:val="24"/>
          <w:highlight w:val="none"/>
        </w:rPr>
        <w:t>6.8乙方应及时做好软件、数据备份，防止数据丢失。</w:t>
      </w:r>
    </w:p>
    <w:p>
      <w:pPr>
        <w:adjustRightInd w:val="0"/>
        <w:spacing w:line="500" w:lineRule="exact"/>
        <w:ind w:firstLine="560"/>
        <w:textAlignment w:val="baseline"/>
        <w:rPr>
          <w:rFonts w:ascii="仿宋" w:hAnsi="仿宋" w:eastAsia="仿宋"/>
          <w:color w:val="auto"/>
          <w:sz w:val="24"/>
          <w:highlight w:val="none"/>
        </w:rPr>
      </w:pPr>
      <w:r>
        <w:rPr>
          <w:rFonts w:hint="eastAsia" w:ascii="仿宋" w:hAnsi="仿宋" w:eastAsia="仿宋"/>
          <w:color w:val="auto"/>
          <w:sz w:val="24"/>
          <w:highlight w:val="none"/>
        </w:rPr>
        <w:t>6.9甲方发现故障时及时通知乙方，乙方在收到通知</w:t>
      </w:r>
      <w:r>
        <w:rPr>
          <w:rFonts w:ascii="仿宋" w:hAnsi="仿宋" w:eastAsia="仿宋"/>
          <w:color w:val="auto"/>
          <w:sz w:val="24"/>
          <w:highlight w:val="none"/>
          <w:u w:val="single"/>
        </w:rPr>
        <w:t xml:space="preserve"> 4</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 xml:space="preserve"> 小时内提供维护，并排除故障。</w:t>
      </w:r>
      <w:r>
        <w:rPr>
          <w:rFonts w:hint="eastAsia" w:ascii="仿宋" w:hAnsi="仿宋" w:eastAsia="仿宋"/>
          <w:color w:val="auto"/>
          <w:sz w:val="24"/>
          <w:highlight w:val="none"/>
        </w:rPr>
        <w:t>如现场无法解决的，应同步出具应急方案，并配合甲方启动应急方案，确保甲方网络、软件数据正常运行。</w:t>
      </w:r>
    </w:p>
    <w:p>
      <w:pPr>
        <w:adjustRightInd w:val="0"/>
        <w:spacing w:line="500" w:lineRule="exact"/>
        <w:ind w:firstLine="560"/>
        <w:textAlignment w:val="baseline"/>
        <w:rPr>
          <w:rFonts w:ascii="仿宋" w:hAnsi="仿宋" w:eastAsia="仿宋"/>
          <w:color w:val="auto"/>
          <w:sz w:val="24"/>
          <w:highlight w:val="none"/>
        </w:rPr>
      </w:pPr>
      <w:r>
        <w:rPr>
          <w:rFonts w:hint="eastAsia" w:ascii="仿宋" w:hAnsi="仿宋" w:eastAsia="仿宋"/>
          <w:color w:val="auto"/>
          <w:sz w:val="24"/>
          <w:highlight w:val="none"/>
        </w:rPr>
        <w:t>6.10甲方保证所涉及的</w:t>
      </w:r>
      <w:r>
        <w:rPr>
          <w:rFonts w:hint="eastAsia" w:ascii="仿宋" w:hAnsi="仿宋" w:eastAsia="仿宋"/>
          <w:color w:val="auto"/>
          <w:sz w:val="24"/>
          <w:highlight w:val="none"/>
          <w:u w:val="single"/>
        </w:rPr>
        <w:t>系统或设备</w:t>
      </w:r>
      <w:r>
        <w:rPr>
          <w:rFonts w:hint="eastAsia" w:ascii="仿宋" w:hAnsi="仿宋" w:eastAsia="仿宋"/>
          <w:color w:val="auto"/>
          <w:sz w:val="24"/>
          <w:highlight w:val="none"/>
        </w:rPr>
        <w:t>处于良好运行环境。</w:t>
      </w:r>
    </w:p>
    <w:p>
      <w:pPr>
        <w:adjustRightInd w:val="0"/>
        <w:spacing w:line="500" w:lineRule="exact"/>
        <w:ind w:firstLine="560"/>
        <w:textAlignment w:val="baseline"/>
        <w:rPr>
          <w:rFonts w:ascii="仿宋" w:hAnsi="仿宋" w:eastAsia="仿宋"/>
          <w:color w:val="auto"/>
          <w:sz w:val="24"/>
          <w:highlight w:val="none"/>
        </w:rPr>
      </w:pPr>
      <w:r>
        <w:rPr>
          <w:rFonts w:hint="eastAsia" w:ascii="仿宋" w:hAnsi="仿宋" w:eastAsia="仿宋"/>
          <w:color w:val="auto"/>
          <w:sz w:val="24"/>
          <w:highlight w:val="none"/>
        </w:rPr>
        <w:t>6.11甲方对本合同所保修的</w:t>
      </w:r>
      <w:r>
        <w:rPr>
          <w:rFonts w:hint="eastAsia" w:ascii="仿宋" w:hAnsi="仿宋" w:eastAsia="仿宋"/>
          <w:color w:val="auto"/>
          <w:sz w:val="24"/>
          <w:highlight w:val="none"/>
          <w:u w:val="single"/>
        </w:rPr>
        <w:t>系统或设备</w:t>
      </w:r>
      <w:r>
        <w:rPr>
          <w:rFonts w:hint="eastAsia" w:ascii="仿宋" w:hAnsi="仿宋" w:eastAsia="仿宋"/>
          <w:color w:val="auto"/>
          <w:sz w:val="24"/>
          <w:highlight w:val="none"/>
        </w:rPr>
        <w:t>进行系统升级扩容等变更时，应及时通知乙方派工程师到场协助，便于乙方掌握设备变化情况。</w:t>
      </w:r>
    </w:p>
    <w:p>
      <w:pPr>
        <w:adjustRightInd w:val="0"/>
        <w:spacing w:line="500" w:lineRule="exact"/>
        <w:ind w:firstLine="560"/>
        <w:textAlignment w:val="baseline"/>
        <w:rPr>
          <w:rFonts w:ascii="仿宋" w:hAnsi="仿宋" w:eastAsia="仿宋"/>
          <w:color w:val="auto"/>
          <w:sz w:val="24"/>
          <w:highlight w:val="none"/>
        </w:rPr>
      </w:pPr>
      <w:r>
        <w:rPr>
          <w:rFonts w:hint="eastAsia" w:ascii="仿宋" w:hAnsi="仿宋" w:eastAsia="仿宋"/>
          <w:color w:val="auto"/>
          <w:sz w:val="24"/>
          <w:highlight w:val="none"/>
        </w:rPr>
        <w:t>6.12乙方负责对甲方涉及</w:t>
      </w:r>
      <w:r>
        <w:rPr>
          <w:rFonts w:hint="eastAsia" w:ascii="仿宋" w:hAnsi="仿宋" w:eastAsia="仿宋"/>
          <w:color w:val="auto"/>
          <w:sz w:val="24"/>
          <w:highlight w:val="none"/>
          <w:u w:val="single"/>
        </w:rPr>
        <w:t>系统或设备</w:t>
      </w:r>
      <w:r>
        <w:rPr>
          <w:rFonts w:hint="eastAsia" w:ascii="仿宋" w:hAnsi="仿宋" w:eastAsia="仿宋"/>
          <w:color w:val="auto"/>
          <w:sz w:val="24"/>
          <w:highlight w:val="none"/>
        </w:rPr>
        <w:t>管理技术人员进行</w:t>
      </w:r>
      <w:r>
        <w:rPr>
          <w:rFonts w:hint="eastAsia" w:ascii="仿宋" w:hAnsi="仿宋" w:eastAsia="仿宋"/>
          <w:color w:val="auto"/>
          <w:sz w:val="24"/>
          <w:highlight w:val="none"/>
          <w:u w:val="single"/>
        </w:rPr>
        <w:t>系统或设备</w:t>
      </w:r>
      <w:r>
        <w:rPr>
          <w:rFonts w:hint="eastAsia" w:ascii="仿宋" w:hAnsi="仿宋" w:eastAsia="仿宋"/>
          <w:color w:val="auto"/>
          <w:sz w:val="24"/>
          <w:highlight w:val="none"/>
        </w:rPr>
        <w:t>使用方法的专项培训。</w:t>
      </w:r>
    </w:p>
    <w:p>
      <w:pPr>
        <w:spacing w:line="500" w:lineRule="exact"/>
        <w:ind w:firstLine="562"/>
        <w:outlineLvl w:val="0"/>
        <w:rPr>
          <w:rFonts w:ascii="仿宋" w:hAnsi="仿宋" w:eastAsia="仿宋"/>
          <w:b/>
          <w:color w:val="auto"/>
          <w:sz w:val="24"/>
          <w:highlight w:val="none"/>
        </w:rPr>
      </w:pPr>
      <w:r>
        <w:rPr>
          <w:rFonts w:hint="eastAsia" w:ascii="仿宋" w:hAnsi="仿宋" w:eastAsia="仿宋"/>
          <w:b/>
          <w:color w:val="auto"/>
          <w:sz w:val="24"/>
          <w:highlight w:val="none"/>
        </w:rPr>
        <w:t>七、违约责任</w:t>
      </w:r>
    </w:p>
    <w:p>
      <w:pPr>
        <w:spacing w:line="500" w:lineRule="exact"/>
        <w:ind w:firstLine="560"/>
        <w:rPr>
          <w:rFonts w:ascii="仿宋" w:hAnsi="仿宋" w:eastAsia="仿宋" w:cs="宋体"/>
          <w:bCs/>
          <w:color w:val="auto"/>
          <w:sz w:val="24"/>
          <w:highlight w:val="none"/>
        </w:rPr>
      </w:pPr>
      <w:r>
        <w:rPr>
          <w:rFonts w:ascii="仿宋" w:hAnsi="仿宋" w:eastAsia="仿宋"/>
          <w:color w:val="auto"/>
          <w:sz w:val="24"/>
          <w:highlight w:val="none"/>
        </w:rPr>
        <w:t>7.1</w:t>
      </w:r>
      <w:r>
        <w:rPr>
          <w:rFonts w:hint="eastAsia" w:ascii="仿宋" w:hAnsi="仿宋" w:eastAsia="仿宋" w:cs="宋体"/>
          <w:bCs/>
          <w:color w:val="auto"/>
          <w:sz w:val="24"/>
          <w:highlight w:val="none"/>
        </w:rPr>
        <w:t>乙方不履行合同义务、或履行合同义务不符合合同约定、或违反国家、省、市行业标准的，甲方有权要求乙方限期整改。乙方逾期未完成整改的，每项每超过</w:t>
      </w:r>
      <w:r>
        <w:rPr>
          <w:rFonts w:ascii="仿宋" w:hAnsi="仿宋" w:eastAsia="仿宋" w:cs="宋体"/>
          <w:bCs/>
          <w:color w:val="auto"/>
          <w:sz w:val="24"/>
          <w:highlight w:val="none"/>
        </w:rPr>
        <w:t>1日支付违约金人民币</w:t>
      </w:r>
      <w:r>
        <w:rPr>
          <w:rFonts w:ascii="仿宋" w:hAnsi="仿宋" w:eastAsia="仿宋" w:cs="宋体"/>
          <w:bCs/>
          <w:color w:val="auto"/>
          <w:sz w:val="24"/>
          <w:highlight w:val="none"/>
          <w:u w:val="single"/>
        </w:rPr>
        <w:t>1万元</w:t>
      </w:r>
      <w:r>
        <w:rPr>
          <w:rFonts w:hint="eastAsia" w:ascii="仿宋" w:hAnsi="仿宋" w:eastAsia="仿宋" w:cs="宋体"/>
          <w:bCs/>
          <w:color w:val="auto"/>
          <w:sz w:val="24"/>
          <w:highlight w:val="none"/>
        </w:rPr>
        <w:t>，超过</w:t>
      </w:r>
      <w:r>
        <w:rPr>
          <w:rFonts w:hint="eastAsia" w:ascii="仿宋" w:hAnsi="仿宋" w:eastAsia="仿宋" w:cs="宋体"/>
          <w:bCs/>
          <w:color w:val="auto"/>
          <w:sz w:val="24"/>
          <w:highlight w:val="none"/>
          <w:u w:val="single"/>
        </w:rPr>
        <w:t>7</w:t>
      </w:r>
      <w:r>
        <w:rPr>
          <w:rFonts w:hint="eastAsia" w:ascii="仿宋" w:hAnsi="仿宋" w:eastAsia="仿宋" w:cs="宋体"/>
          <w:bCs/>
          <w:color w:val="auto"/>
          <w:sz w:val="24"/>
          <w:highlight w:val="none"/>
        </w:rPr>
        <w:t>日，甲方有权解除合同并要求乙方支付</w:t>
      </w:r>
      <w:r>
        <w:rPr>
          <w:rFonts w:hint="eastAsia" w:ascii="仿宋" w:hAnsi="仿宋" w:eastAsia="仿宋" w:cs="宋体"/>
          <w:bCs/>
          <w:color w:val="auto"/>
          <w:sz w:val="24"/>
          <w:highlight w:val="none"/>
          <w:u w:val="single"/>
        </w:rPr>
        <w:t>合同暂定总价的</w:t>
      </w:r>
      <w:r>
        <w:rPr>
          <w:rFonts w:ascii="仿宋" w:hAnsi="仿宋" w:eastAsia="仿宋" w:cs="宋体"/>
          <w:bCs/>
          <w:color w:val="auto"/>
          <w:sz w:val="24"/>
          <w:highlight w:val="none"/>
          <w:u w:val="single"/>
        </w:rPr>
        <w:t>20%</w:t>
      </w:r>
      <w:r>
        <w:rPr>
          <w:rFonts w:hint="eastAsia" w:ascii="仿宋" w:hAnsi="仿宋" w:eastAsia="仿宋" w:cs="宋体"/>
          <w:bCs/>
          <w:color w:val="auto"/>
          <w:sz w:val="24"/>
          <w:highlight w:val="none"/>
        </w:rPr>
        <w:t>作为违约金，由此造成的责任及损失由乙方承担。</w:t>
      </w:r>
      <w:r>
        <w:rPr>
          <w:rFonts w:hint="eastAsia" w:ascii="仿宋" w:hAnsi="仿宋" w:eastAsia="仿宋"/>
          <w:bCs/>
          <w:color w:val="auto"/>
          <w:sz w:val="24"/>
          <w:highlight w:val="none"/>
        </w:rPr>
        <w:t>（</w:t>
      </w:r>
      <w:r>
        <w:rPr>
          <w:rFonts w:hint="eastAsia" w:ascii="仿宋" w:hAnsi="仿宋" w:eastAsia="仿宋" w:cs="宋体"/>
          <w:color w:val="auto"/>
          <w:sz w:val="24"/>
          <w:highlight w:val="none"/>
        </w:rPr>
        <w:t>如合同另行约定违约责任，从其约定</w:t>
      </w:r>
      <w:r>
        <w:rPr>
          <w:rFonts w:hint="eastAsia" w:ascii="仿宋" w:hAnsi="仿宋" w:eastAsia="仿宋"/>
          <w:bCs/>
          <w:color w:val="auto"/>
          <w:sz w:val="24"/>
          <w:highlight w:val="none"/>
        </w:rPr>
        <w:t>）</w:t>
      </w:r>
      <w:r>
        <w:rPr>
          <w:rFonts w:hint="eastAsia" w:ascii="仿宋" w:hAnsi="仿宋" w:eastAsia="仿宋" w:cs="宋体"/>
          <w:bCs/>
          <w:color w:val="auto"/>
          <w:sz w:val="24"/>
          <w:highlight w:val="none"/>
        </w:rPr>
        <w:t>。</w:t>
      </w: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7.2由于乙方原因造成甲方设备及其他硬件损坏，乙方按照损坏设备的原价赔偿并负责恢复设备使用。</w:t>
      </w: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7.3乙方未能及时处理故障，每延误故障处理1日，甲方有权要求乙方支付</w:t>
      </w:r>
      <w:r>
        <w:rPr>
          <w:rFonts w:hint="eastAsia" w:ascii="仿宋" w:hAnsi="仿宋" w:eastAsia="仿宋"/>
          <w:color w:val="auto"/>
          <w:sz w:val="24"/>
          <w:highlight w:val="none"/>
          <w:u w:val="single"/>
        </w:rPr>
        <w:t xml:space="preserve">合同暂定总价的 </w:t>
      </w:r>
      <w:r>
        <w:rPr>
          <w:rFonts w:ascii="仿宋" w:hAnsi="仿宋" w:eastAsia="仿宋" w:cs="Arial Unicode MS"/>
          <w:color w:val="auto"/>
          <w:sz w:val="24"/>
          <w:highlight w:val="none"/>
          <w:u w:val="single"/>
        </w:rPr>
        <w:t xml:space="preserve">10 </w:t>
      </w:r>
      <w:r>
        <w:rPr>
          <w:rFonts w:hint="eastAsia" w:ascii="仿宋" w:hAnsi="仿宋" w:eastAsia="仿宋"/>
          <w:color w:val="auto"/>
          <w:sz w:val="24"/>
          <w:highlight w:val="none"/>
          <w:u w:val="single"/>
        </w:rPr>
        <w:t>‰</w:t>
      </w:r>
      <w:r>
        <w:rPr>
          <w:rFonts w:ascii="仿宋" w:hAnsi="仿宋" w:eastAsia="仿宋"/>
          <w:color w:val="auto"/>
          <w:sz w:val="24"/>
          <w:highlight w:val="none"/>
          <w:u w:val="single"/>
        </w:rPr>
        <w:t>/日</w:t>
      </w:r>
      <w:r>
        <w:rPr>
          <w:rFonts w:hint="eastAsia" w:ascii="仿宋" w:hAnsi="仿宋" w:eastAsia="仿宋"/>
          <w:color w:val="auto"/>
          <w:sz w:val="24"/>
          <w:highlight w:val="none"/>
        </w:rPr>
        <w:t>作为违约金。</w:t>
      </w: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7.4乙方无正当理由终止合同，双方按实际工作量结算后，乙方向甲方支付</w:t>
      </w:r>
      <w:r>
        <w:rPr>
          <w:rFonts w:hint="eastAsia" w:ascii="仿宋" w:hAnsi="仿宋" w:eastAsia="仿宋"/>
          <w:color w:val="auto"/>
          <w:sz w:val="24"/>
          <w:highlight w:val="none"/>
          <w:u w:val="single"/>
        </w:rPr>
        <w:t>合同暂定总价的10%</w:t>
      </w:r>
      <w:r>
        <w:rPr>
          <w:rFonts w:hint="eastAsia" w:ascii="仿宋" w:hAnsi="仿宋" w:eastAsia="仿宋"/>
          <w:color w:val="auto"/>
          <w:sz w:val="24"/>
          <w:highlight w:val="none"/>
        </w:rPr>
        <w:t>作为违约金。</w:t>
      </w: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7.5甲方无正当理由终止合同，双方按实际工作量结算后，甲方向乙方支付</w:t>
      </w:r>
      <w:r>
        <w:rPr>
          <w:rFonts w:hint="eastAsia" w:ascii="仿宋" w:hAnsi="仿宋" w:eastAsia="仿宋"/>
          <w:color w:val="auto"/>
          <w:sz w:val="24"/>
          <w:highlight w:val="none"/>
          <w:u w:val="single"/>
        </w:rPr>
        <w:t>合同暂定总价的10%</w:t>
      </w:r>
      <w:r>
        <w:rPr>
          <w:rFonts w:hint="eastAsia" w:ascii="仿宋" w:hAnsi="仿宋" w:eastAsia="仿宋"/>
          <w:color w:val="auto"/>
          <w:sz w:val="24"/>
          <w:highlight w:val="none"/>
        </w:rPr>
        <w:t>作为违约金。</w:t>
      </w: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7.6因甲方业务调整或其他变化需终止合同，双方经协商同意后，按实际工作量结算，无需支付违约金。</w:t>
      </w: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7.</w:t>
      </w:r>
      <w:r>
        <w:rPr>
          <w:rFonts w:ascii="仿宋" w:hAnsi="仿宋" w:eastAsia="仿宋"/>
          <w:color w:val="auto"/>
          <w:sz w:val="24"/>
          <w:highlight w:val="none"/>
        </w:rPr>
        <w:t>7</w:t>
      </w:r>
      <w:r>
        <w:rPr>
          <w:rFonts w:hint="eastAsia" w:ascii="仿宋" w:hAnsi="仿宋" w:eastAsia="仿宋"/>
          <w:color w:val="auto"/>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仿宋" w:hAnsi="仿宋" w:eastAsia="仿宋" w:cs="宋体"/>
          <w:color w:val="auto"/>
          <w:sz w:val="24"/>
          <w:highlight w:val="none"/>
        </w:rPr>
      </w:pPr>
      <w:bookmarkStart w:id="61" w:name="_Toc107447255"/>
      <w:bookmarkStart w:id="62" w:name="_Toc306350467"/>
      <w:bookmarkStart w:id="63" w:name="_Toc518993000"/>
      <w:bookmarkStart w:id="64" w:name="_Toc19692"/>
      <w:bookmarkStart w:id="65" w:name="_Toc474245226"/>
      <w:bookmarkStart w:id="66" w:name="_Toc183666531"/>
      <w:bookmarkStart w:id="67" w:name="_Toc520190040"/>
      <w:bookmarkStart w:id="68" w:name="_Toc107446862"/>
      <w:r>
        <w:rPr>
          <w:rFonts w:hint="eastAsia" w:ascii="仿宋" w:hAnsi="仿宋" w:eastAsia="仿宋" w:cs="宋体"/>
          <w:b/>
          <w:bCs/>
          <w:color w:val="auto"/>
          <w:sz w:val="24"/>
          <w:highlight w:val="none"/>
        </w:rPr>
        <w:t>八、不可抗力</w:t>
      </w:r>
      <w:bookmarkEnd w:id="61"/>
      <w:bookmarkEnd w:id="62"/>
      <w:bookmarkEnd w:id="63"/>
      <w:bookmarkEnd w:id="64"/>
      <w:bookmarkEnd w:id="65"/>
      <w:bookmarkEnd w:id="66"/>
      <w:bookmarkEnd w:id="67"/>
      <w:bookmarkEnd w:id="68"/>
    </w:p>
    <w:p>
      <w:pPr>
        <w:widowControl/>
        <w:autoSpaceDE w:val="0"/>
        <w:autoSpaceDN w:val="0"/>
        <w:adjustRightInd w:val="0"/>
        <w:spacing w:line="500" w:lineRule="exact"/>
        <w:ind w:firstLine="480" w:firstLineChars="200"/>
        <w:rPr>
          <w:rFonts w:ascii="仿宋" w:hAnsi="仿宋" w:eastAsia="仿宋" w:cs="宋体"/>
          <w:bCs/>
          <w:color w:val="auto"/>
          <w:sz w:val="24"/>
          <w:highlight w:val="none"/>
        </w:rPr>
      </w:pPr>
      <w:bookmarkStart w:id="69" w:name="_Toc12010"/>
      <w:bookmarkStart w:id="70" w:name="_Toc183666532"/>
      <w:bookmarkStart w:id="71" w:name="_Toc306350468"/>
      <w:r>
        <w:rPr>
          <w:rFonts w:ascii="仿宋" w:hAnsi="仿宋" w:eastAsia="仿宋" w:cs="宋体"/>
          <w:bCs/>
          <w:color w:val="auto"/>
          <w:sz w:val="24"/>
          <w:highlight w:val="none"/>
        </w:rPr>
        <w:t xml:space="preserve">8.1 </w:t>
      </w:r>
      <w:r>
        <w:rPr>
          <w:rFonts w:hint="eastAsia" w:ascii="仿宋" w:hAnsi="仿宋" w:eastAsia="仿宋"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⑴</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⑵</w:t>
      </w:r>
      <w:r>
        <w:rPr>
          <w:rFonts w:ascii="仿宋" w:hAnsi="仿宋" w:eastAsia="仿宋" w:cs="宋体"/>
          <w:bCs/>
          <w:color w:val="auto"/>
          <w:sz w:val="24"/>
          <w:highlight w:val="none"/>
        </w:rPr>
        <w:t xml:space="preserve"> </w:t>
      </w:r>
      <w:r>
        <w:rPr>
          <w:rFonts w:hint="eastAsia" w:ascii="仿宋" w:hAnsi="仿宋" w:eastAsia="仿宋"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仿宋" w:hAnsi="仿宋" w:eastAsia="仿宋" w:cs="宋体"/>
          <w:bCs/>
          <w:color w:val="auto"/>
          <w:sz w:val="24"/>
          <w:highlight w:val="none"/>
        </w:rPr>
      </w:pPr>
      <w:r>
        <w:rPr>
          <w:rFonts w:ascii="仿宋" w:hAnsi="仿宋" w:eastAsia="仿宋" w:cs="宋体"/>
          <w:bCs/>
          <w:color w:val="auto"/>
          <w:sz w:val="24"/>
          <w:highlight w:val="none"/>
        </w:rPr>
        <w:t xml:space="preserve">8.2 </w:t>
      </w:r>
      <w:r>
        <w:rPr>
          <w:rFonts w:hint="eastAsia" w:ascii="仿宋" w:hAnsi="仿宋" w:eastAsia="仿宋" w:cs="宋体"/>
          <w:bCs/>
          <w:color w:val="auto"/>
          <w:sz w:val="24"/>
          <w:highlight w:val="none"/>
        </w:rPr>
        <w:t>声称受到不可抗力影响的一方，应在发生不可抗力或知道发生不可抗力之后</w:t>
      </w:r>
      <w:r>
        <w:rPr>
          <w:rFonts w:ascii="仿宋" w:hAnsi="仿宋" w:eastAsia="仿宋" w:cs="宋体"/>
          <w:bCs/>
          <w:color w:val="auto"/>
          <w:sz w:val="24"/>
          <w:highlight w:val="none"/>
        </w:rPr>
        <w:t>5日内书面通知另一方，详细描述不可抗力的发生情况和对该方履行在本合同项</w:t>
      </w:r>
      <w:r>
        <w:rPr>
          <w:rFonts w:hint="eastAsia" w:ascii="仿宋" w:hAnsi="仿宋" w:eastAsia="仿宋" w:cs="宋体"/>
          <w:bCs/>
          <w:color w:val="auto"/>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仿宋" w:hAnsi="仿宋" w:eastAsia="仿宋" w:cs="宋体"/>
          <w:bCs/>
          <w:color w:val="auto"/>
          <w:sz w:val="24"/>
          <w:highlight w:val="none"/>
        </w:rPr>
      </w:pPr>
      <w:r>
        <w:rPr>
          <w:rFonts w:ascii="仿宋" w:hAnsi="仿宋" w:eastAsia="仿宋" w:cs="宋体"/>
          <w:bCs/>
          <w:color w:val="auto"/>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仿宋" w:hAnsi="仿宋" w:eastAsia="仿宋" w:cs="宋体"/>
          <w:bCs/>
          <w:color w:val="auto"/>
          <w:sz w:val="24"/>
          <w:highlight w:val="none"/>
        </w:rPr>
      </w:pPr>
      <w:r>
        <w:rPr>
          <w:rFonts w:ascii="仿宋" w:hAnsi="仿宋" w:eastAsia="仿宋" w:cs="宋体"/>
          <w:bCs/>
          <w:color w:val="auto"/>
          <w:sz w:val="24"/>
          <w:highlight w:val="none"/>
        </w:rPr>
        <w:t xml:space="preserve">8.4 </w:t>
      </w:r>
      <w:r>
        <w:rPr>
          <w:rFonts w:hint="eastAsia" w:ascii="仿宋" w:hAnsi="仿宋" w:eastAsia="仿宋"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2" w:name="_Toc518993001"/>
      <w:bookmarkStart w:id="73" w:name="_Toc107447257"/>
      <w:bookmarkStart w:id="74" w:name="_Toc118172294"/>
      <w:bookmarkStart w:id="75" w:name="_Toc474245227"/>
      <w:bookmarkStart w:id="76" w:name="_Toc107446864"/>
      <w:bookmarkStart w:id="77" w:name="_Toc520190041"/>
    </w:p>
    <w:p>
      <w:pPr>
        <w:spacing w:before="156" w:beforeLines="50" w:after="156" w:afterLines="50" w:line="500" w:lineRule="exact"/>
        <w:ind w:firstLine="482"/>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九、争议解决</w:t>
      </w:r>
      <w:bookmarkEnd w:id="69"/>
      <w:bookmarkEnd w:id="70"/>
      <w:bookmarkEnd w:id="71"/>
      <w:bookmarkEnd w:id="72"/>
      <w:bookmarkEnd w:id="73"/>
      <w:bookmarkEnd w:id="74"/>
      <w:bookmarkEnd w:id="75"/>
      <w:bookmarkEnd w:id="76"/>
      <w:bookmarkEnd w:id="77"/>
    </w:p>
    <w:p>
      <w:pPr>
        <w:spacing w:line="500" w:lineRule="exact"/>
        <w:ind w:firstLine="482"/>
        <w:rPr>
          <w:rFonts w:ascii="仿宋" w:hAnsi="仿宋" w:eastAsia="仿宋" w:cs="宋体"/>
          <w:bCs/>
          <w:color w:val="auto"/>
          <w:sz w:val="24"/>
          <w:highlight w:val="none"/>
        </w:rPr>
      </w:pPr>
      <w:bookmarkStart w:id="78" w:name="_Toc306350469"/>
      <w:bookmarkStart w:id="79" w:name="_Toc183666533"/>
      <w:r>
        <w:rPr>
          <w:rFonts w:ascii="仿宋" w:hAnsi="仿宋" w:eastAsia="仿宋" w:cs="宋体"/>
          <w:bCs/>
          <w:color w:val="auto"/>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仿宋" w:hAnsi="仿宋" w:eastAsia="仿宋" w:cs="宋体"/>
          <w:color w:val="auto"/>
          <w:sz w:val="24"/>
          <w:highlight w:val="none"/>
        </w:rPr>
      </w:pPr>
      <w:r>
        <w:rPr>
          <w:rFonts w:ascii="仿宋" w:hAnsi="仿宋" w:eastAsia="仿宋" w:cs="宋体"/>
          <w:bCs/>
          <w:color w:val="auto"/>
          <w:sz w:val="24"/>
          <w:highlight w:val="none"/>
        </w:rPr>
        <w:t xml:space="preserve">9.2 </w:t>
      </w:r>
      <w:r>
        <w:rPr>
          <w:rFonts w:hint="eastAsia" w:ascii="仿宋" w:hAnsi="仿宋" w:eastAsia="仿宋" w:cs="宋体"/>
          <w:color w:val="auto"/>
          <w:sz w:val="24"/>
          <w:highlight w:val="none"/>
        </w:rPr>
        <w:t>在甲方同意的情况下，除有争端之外的合同其它部分在争端解决前应继续执行。</w:t>
      </w:r>
      <w:bookmarkEnd w:id="78"/>
      <w:bookmarkEnd w:id="79"/>
      <w:bookmarkStart w:id="80" w:name="_Toc474245229"/>
      <w:bookmarkStart w:id="81" w:name="_Toc520190043"/>
      <w:bookmarkStart w:id="82" w:name="_Toc518993003"/>
    </w:p>
    <w:p>
      <w:pPr>
        <w:spacing w:line="500" w:lineRule="exact"/>
        <w:ind w:firstLine="482"/>
        <w:jc w:val="left"/>
        <w:rPr>
          <w:rFonts w:ascii="仿宋" w:hAnsi="仿宋" w:eastAsia="仿宋" w:cs="宋体"/>
          <w:b/>
          <w:bCs/>
          <w:color w:val="auto"/>
          <w:sz w:val="24"/>
          <w:highlight w:val="none"/>
        </w:rPr>
      </w:pPr>
      <w:bookmarkStart w:id="83" w:name="_Toc107447264"/>
      <w:bookmarkStart w:id="84" w:name="_Toc107446871"/>
      <w:r>
        <w:rPr>
          <w:rFonts w:hint="eastAsia" w:ascii="仿宋" w:hAnsi="仿宋" w:eastAsia="仿宋" w:cs="宋体"/>
          <w:b/>
          <w:bCs/>
          <w:color w:val="auto"/>
          <w:sz w:val="24"/>
          <w:highlight w:val="none"/>
        </w:rPr>
        <w:t>十、合同生效及其他</w:t>
      </w:r>
      <w:bookmarkEnd w:id="80"/>
      <w:bookmarkEnd w:id="81"/>
      <w:bookmarkEnd w:id="82"/>
      <w:bookmarkEnd w:id="83"/>
      <w:bookmarkEnd w:id="84"/>
    </w:p>
    <w:p>
      <w:pPr>
        <w:spacing w:line="500" w:lineRule="exact"/>
        <w:ind w:firstLine="480"/>
        <w:rPr>
          <w:rFonts w:ascii="仿宋" w:hAnsi="仿宋" w:eastAsia="仿宋" w:cs="宋体"/>
          <w:color w:val="auto"/>
          <w:sz w:val="24"/>
          <w:highlight w:val="none"/>
        </w:rPr>
      </w:pPr>
      <w:r>
        <w:rPr>
          <w:rFonts w:ascii="仿宋" w:hAnsi="仿宋" w:eastAsia="仿宋" w:cs="宋体"/>
          <w:color w:val="auto"/>
          <w:sz w:val="24"/>
          <w:highlight w:val="none"/>
        </w:rPr>
        <w:t>10.1本合同经双方法定代表人或授权代表签字并加盖双方公章后生效.</w:t>
      </w:r>
    </w:p>
    <w:p>
      <w:pPr>
        <w:spacing w:line="500" w:lineRule="exact"/>
        <w:ind w:firstLine="480"/>
        <w:rPr>
          <w:rFonts w:ascii="仿宋" w:hAnsi="仿宋" w:eastAsia="仿宋" w:cs="宋体"/>
          <w:color w:val="auto"/>
          <w:sz w:val="24"/>
          <w:highlight w:val="none"/>
        </w:rPr>
      </w:pPr>
      <w:r>
        <w:rPr>
          <w:rFonts w:ascii="仿宋" w:hAnsi="仿宋" w:eastAsia="仿宋" w:cs="宋体"/>
          <w:color w:val="auto"/>
          <w:sz w:val="24"/>
          <w:highlight w:val="none"/>
        </w:rPr>
        <w:t>10.2本合同正文一式</w:t>
      </w:r>
      <w:r>
        <w:rPr>
          <w:rFonts w:ascii="仿宋" w:hAnsi="仿宋" w:eastAsia="仿宋" w:cs="宋体"/>
          <w:color w:val="auto"/>
          <w:sz w:val="24"/>
          <w:highlight w:val="none"/>
          <w:u w:val="single"/>
        </w:rPr>
        <w:t xml:space="preserve">  6 </w:t>
      </w:r>
      <w:r>
        <w:rPr>
          <w:rFonts w:ascii="仿宋" w:hAnsi="仿宋" w:eastAsia="仿宋" w:cs="宋体"/>
          <w:color w:val="auto"/>
          <w:sz w:val="24"/>
          <w:highlight w:val="none"/>
        </w:rPr>
        <w:t xml:space="preserve"> 份，其中：甲方</w:t>
      </w:r>
      <w:r>
        <w:rPr>
          <w:rFonts w:ascii="仿宋" w:hAnsi="仿宋" w:eastAsia="仿宋" w:cs="宋体"/>
          <w:color w:val="auto"/>
          <w:sz w:val="24"/>
          <w:highlight w:val="none"/>
          <w:u w:val="single"/>
        </w:rPr>
        <w:t xml:space="preserve"> </w:t>
      </w:r>
      <w:r>
        <w:rPr>
          <w:rFonts w:hint="eastAsia" w:ascii="仿宋" w:hAnsi="仿宋" w:eastAsia="仿宋" w:cs="宋体"/>
          <w:color w:val="auto"/>
          <w:sz w:val="24"/>
          <w:highlight w:val="none"/>
          <w:u w:val="single"/>
        </w:rPr>
        <w:t>4</w:t>
      </w:r>
      <w:r>
        <w:rPr>
          <w:rFonts w:hint="eastAsia" w:ascii="仿宋" w:hAnsi="仿宋" w:eastAsia="仿宋" w:cs="宋体"/>
          <w:color w:val="auto"/>
          <w:sz w:val="24"/>
          <w:highlight w:val="none"/>
        </w:rPr>
        <w:t>份，乙方</w:t>
      </w:r>
      <w:r>
        <w:rPr>
          <w:rFonts w:hint="eastAsia" w:ascii="仿宋" w:hAnsi="仿宋" w:eastAsia="仿宋" w:cs="宋体"/>
          <w:color w:val="auto"/>
          <w:sz w:val="24"/>
          <w:highlight w:val="none"/>
          <w:u w:val="single"/>
        </w:rPr>
        <w:t>2</w:t>
      </w:r>
      <w:r>
        <w:rPr>
          <w:rFonts w:hint="eastAsia" w:ascii="仿宋" w:hAnsi="仿宋" w:eastAsia="仿宋" w:cs="宋体"/>
          <w:color w:val="auto"/>
          <w:sz w:val="24"/>
          <w:highlight w:val="none"/>
        </w:rPr>
        <w:t>份。</w:t>
      </w:r>
    </w:p>
    <w:p>
      <w:pPr>
        <w:spacing w:line="500" w:lineRule="exact"/>
        <w:ind w:firstLine="480"/>
        <w:rPr>
          <w:rFonts w:ascii="仿宋" w:hAnsi="仿宋" w:eastAsia="仿宋" w:cs="宋体"/>
          <w:color w:val="auto"/>
          <w:sz w:val="24"/>
          <w:highlight w:val="none"/>
          <w:u w:val="single"/>
        </w:rPr>
      </w:pPr>
      <w:r>
        <w:rPr>
          <w:rFonts w:ascii="仿宋" w:hAnsi="仿宋" w:eastAsia="仿宋" w:cs="宋体"/>
          <w:color w:val="auto"/>
          <w:sz w:val="24"/>
          <w:highlight w:val="none"/>
        </w:rPr>
        <w:t>10.3</w:t>
      </w:r>
      <w:r>
        <w:rPr>
          <w:rFonts w:hint="eastAsia" w:ascii="仿宋" w:hAnsi="仿宋" w:eastAsia="仿宋" w:cs="宋体"/>
          <w:color w:val="auto"/>
          <w:sz w:val="24"/>
          <w:highlight w:val="none"/>
        </w:rPr>
        <w:t>补</w:t>
      </w:r>
      <w:r>
        <w:rPr>
          <w:rFonts w:ascii="仿宋" w:hAnsi="仿宋" w:eastAsia="仿宋" w:cs="宋体"/>
          <w:color w:val="auto"/>
          <w:sz w:val="24"/>
          <w:highlight w:val="none"/>
        </w:rPr>
        <w:t>充条款</w:t>
      </w:r>
      <w:r>
        <w:rPr>
          <w:rFonts w:hint="eastAsia" w:ascii="仿宋" w:hAnsi="仿宋" w:eastAsia="仿宋" w:cs="宋体"/>
          <w:color w:val="auto"/>
          <w:sz w:val="24"/>
          <w:highlight w:val="none"/>
          <w:u w:val="single"/>
        </w:rPr>
        <w:t>：/。</w:t>
      </w:r>
    </w:p>
    <w:p>
      <w:pPr>
        <w:pStyle w:val="22"/>
        <w:rPr>
          <w:rFonts w:ascii="仿宋" w:hAnsi="仿宋" w:eastAsia="仿宋" w:cs="宋体"/>
          <w:color w:val="auto"/>
          <w:highlight w:val="none"/>
          <w:u w:val="single"/>
        </w:rPr>
      </w:pPr>
    </w:p>
    <w:p>
      <w:pPr>
        <w:pStyle w:val="22"/>
        <w:rPr>
          <w:rFonts w:ascii="仿宋" w:hAnsi="仿宋" w:eastAsia="仿宋" w:cs="宋体"/>
          <w:color w:val="auto"/>
          <w:highlight w:val="none"/>
          <w:u w:val="single"/>
        </w:rPr>
      </w:pPr>
    </w:p>
    <w:p>
      <w:pPr>
        <w:pStyle w:val="22"/>
        <w:rPr>
          <w:rFonts w:ascii="仿宋" w:hAnsi="仿宋" w:eastAsia="仿宋" w:cs="宋体"/>
          <w:color w:val="auto"/>
          <w:highlight w:val="none"/>
          <w:u w:val="single"/>
        </w:rPr>
      </w:pPr>
    </w:p>
    <w:p>
      <w:pPr>
        <w:spacing w:line="500" w:lineRule="exact"/>
        <w:ind w:firstLine="560"/>
        <w:rPr>
          <w:rFonts w:ascii="仿宋" w:hAnsi="仿宋" w:eastAsia="仿宋"/>
          <w:color w:val="auto"/>
          <w:sz w:val="24"/>
          <w:highlight w:val="none"/>
        </w:rPr>
      </w:pPr>
      <w:r>
        <w:rPr>
          <w:rFonts w:hint="eastAsia" w:ascii="仿宋" w:hAnsi="仿宋" w:eastAsia="仿宋"/>
          <w:color w:val="auto"/>
          <w:sz w:val="24"/>
          <w:highlight w:val="none"/>
        </w:rPr>
        <w:t>附件：</w:t>
      </w:r>
      <w:r>
        <w:rPr>
          <w:rFonts w:hint="eastAsia" w:ascii="仿宋" w:hAnsi="仿宋" w:eastAsia="仿宋" w:cs="宋体"/>
          <w:color w:val="auto"/>
          <w:sz w:val="24"/>
          <w:highlight w:val="none"/>
        </w:rPr>
        <w:t>1.</w:t>
      </w:r>
      <w:r>
        <w:rPr>
          <w:rFonts w:hint="eastAsia" w:ascii="仿宋" w:hAnsi="仿宋" w:eastAsia="仿宋" w:cs="宋体"/>
          <w:bCs/>
          <w:color w:val="auto"/>
          <w:sz w:val="24"/>
          <w:highlight w:val="none"/>
        </w:rPr>
        <w:t>成交通知书</w:t>
      </w:r>
    </w:p>
    <w:p>
      <w:pPr>
        <w:spacing w:line="500" w:lineRule="exact"/>
        <w:ind w:firstLine="1320" w:firstLineChars="550"/>
        <w:rPr>
          <w:rFonts w:ascii="仿宋" w:hAnsi="仿宋" w:eastAsia="仿宋"/>
          <w:color w:val="auto"/>
          <w:sz w:val="24"/>
          <w:highlight w:val="none"/>
        </w:rPr>
      </w:pPr>
      <w:r>
        <w:rPr>
          <w:rFonts w:hint="eastAsia" w:ascii="仿宋" w:hAnsi="仿宋" w:eastAsia="仿宋"/>
          <w:color w:val="auto"/>
          <w:sz w:val="24"/>
          <w:highlight w:val="none"/>
        </w:rPr>
        <w:t>2.廉洁协议</w:t>
      </w:r>
    </w:p>
    <w:p>
      <w:pPr>
        <w:spacing w:line="500" w:lineRule="exact"/>
        <w:ind w:firstLine="1320" w:firstLineChars="550"/>
        <w:rPr>
          <w:rFonts w:ascii="仿宋" w:hAnsi="仿宋" w:eastAsia="仿宋"/>
          <w:color w:val="auto"/>
          <w:sz w:val="24"/>
          <w:highlight w:val="none"/>
        </w:rPr>
      </w:pPr>
      <w:r>
        <w:rPr>
          <w:rFonts w:hint="eastAsia" w:ascii="仿宋" w:hAnsi="仿宋" w:eastAsia="仿宋"/>
          <w:color w:val="auto"/>
          <w:sz w:val="24"/>
          <w:highlight w:val="none"/>
        </w:rPr>
        <w:t>3.保密协议</w:t>
      </w:r>
    </w:p>
    <w:p>
      <w:pPr>
        <w:spacing w:line="500" w:lineRule="exact"/>
        <w:ind w:firstLine="1320" w:firstLineChars="55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厂内驻点单位（机构）安全及消防安全管理协议</w:t>
      </w:r>
    </w:p>
    <w:p>
      <w:pPr>
        <w:spacing w:line="500" w:lineRule="exact"/>
        <w:ind w:firstLine="1320" w:firstLineChars="550"/>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服务内容/技术需求</w:t>
      </w:r>
    </w:p>
    <w:p>
      <w:pPr>
        <w:spacing w:line="500" w:lineRule="exact"/>
        <w:ind w:firstLine="1320" w:firstLineChars="550"/>
        <w:rPr>
          <w:rFonts w:ascii="仿宋" w:hAnsi="仿宋" w:eastAsia="仿宋"/>
          <w:color w:val="auto"/>
          <w:sz w:val="24"/>
          <w:highlight w:val="none"/>
        </w:rPr>
      </w:pPr>
      <w:r>
        <w:rPr>
          <w:rFonts w:hint="eastAsia" w:ascii="仿宋" w:hAnsi="仿宋" w:eastAsia="仿宋"/>
          <w:color w:val="auto"/>
          <w:sz w:val="24"/>
          <w:highlight w:val="none"/>
        </w:rPr>
        <w:t>6.项目投入人员架构表</w:t>
      </w:r>
      <w:r>
        <w:rPr>
          <w:rFonts w:ascii="仿宋" w:hAnsi="仿宋" w:eastAsia="仿宋"/>
          <w:color w:val="auto"/>
          <w:sz w:val="24"/>
          <w:highlight w:val="none"/>
        </w:rPr>
        <w:t xml:space="preserve"> </w:t>
      </w:r>
    </w:p>
    <w:p>
      <w:pPr>
        <w:spacing w:line="500" w:lineRule="exact"/>
        <w:ind w:firstLine="1320" w:firstLineChars="550"/>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.报价清单</w:t>
      </w:r>
    </w:p>
    <w:p>
      <w:pPr>
        <w:spacing w:line="500" w:lineRule="exact"/>
        <w:ind w:firstLine="1320" w:firstLineChars="550"/>
        <w:rPr>
          <w:rFonts w:ascii="仿宋" w:hAnsi="仿宋" w:eastAsia="仿宋"/>
          <w:color w:val="auto"/>
          <w:sz w:val="24"/>
          <w:highlight w:val="none"/>
        </w:rPr>
      </w:pPr>
    </w:p>
    <w:p>
      <w:pPr>
        <w:spacing w:line="500" w:lineRule="exact"/>
        <w:ind w:right="-340" w:rightChars="-162"/>
        <w:rPr>
          <w:rFonts w:ascii="仿宋" w:hAnsi="仿宋" w:eastAsia="仿宋" w:cs="宋体"/>
          <w:color w:val="auto"/>
          <w:sz w:val="24"/>
          <w:highlight w:val="none"/>
        </w:rPr>
      </w:pPr>
      <w:r>
        <w:rPr>
          <w:rFonts w:hint="eastAsia" w:ascii="仿宋" w:hAnsi="仿宋" w:eastAsia="仿宋" w:cs="宋体"/>
          <w:color w:val="auto"/>
          <w:sz w:val="24"/>
          <w:highlight w:val="none"/>
        </w:rPr>
        <w:t>甲方：广州市净水有限公司（盖章）</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 xml:space="preserve">乙方： </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（盖章）</w:t>
      </w:r>
    </w:p>
    <w:p>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法定代表人或</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法定代表人或</w:t>
      </w:r>
    </w:p>
    <w:p>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授权代理人：</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授权代理人：</w:t>
      </w:r>
    </w:p>
    <w:p>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地址：</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地址：</w:t>
      </w:r>
    </w:p>
    <w:p>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经办人：</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经办人：</w:t>
      </w:r>
    </w:p>
    <w:p>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联系电话：</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联系电话：</w:t>
      </w:r>
    </w:p>
    <w:p>
      <w:pPr>
        <w:spacing w:line="500" w:lineRule="exact"/>
        <w:ind w:left="6360" w:hanging="6360" w:hangingChars="2650"/>
        <w:rPr>
          <w:rFonts w:ascii="仿宋" w:hAnsi="仿宋" w:eastAsia="仿宋" w:cs="宋体"/>
          <w:color w:val="auto"/>
          <w:sz w:val="24"/>
          <w:highlight w:val="none"/>
        </w:rPr>
      </w:pPr>
      <w:r>
        <w:rPr>
          <w:rFonts w:hint="eastAsia" w:ascii="仿宋" w:hAnsi="仿宋" w:eastAsia="仿宋" w:cs="宋体"/>
          <w:color w:val="auto"/>
          <w:sz w:val="24"/>
          <w:highlight w:val="none"/>
        </w:rPr>
        <w:t>传真：</w:t>
      </w:r>
      <w:r>
        <w:rPr>
          <w:rFonts w:ascii="仿宋" w:hAnsi="仿宋" w:eastAsia="仿宋" w:cs="宋体"/>
          <w:color w:val="auto"/>
          <w:sz w:val="24"/>
          <w:highlight w:val="none"/>
        </w:rPr>
        <w:t xml:space="preserve">                               </w:t>
      </w:r>
      <w:r>
        <w:rPr>
          <w:rFonts w:hint="eastAsia" w:ascii="仿宋" w:hAnsi="仿宋" w:eastAsia="仿宋" w:cs="宋体"/>
          <w:color w:val="auto"/>
          <w:sz w:val="24"/>
          <w:highlight w:val="none"/>
        </w:rPr>
        <w:t>传真：</w:t>
      </w:r>
    </w:p>
    <w:p>
      <w:pPr>
        <w:spacing w:line="480" w:lineRule="exact"/>
        <w:ind w:left="6360" w:hanging="6360" w:hangingChars="2650"/>
        <w:rPr>
          <w:rFonts w:ascii="仿宋" w:hAnsi="仿宋" w:eastAsia="仿宋" w:cs="宋体"/>
          <w:color w:val="auto"/>
          <w:sz w:val="24"/>
          <w:highlight w:val="none"/>
        </w:rPr>
      </w:pPr>
      <w:r>
        <w:rPr>
          <w:rFonts w:hint="eastAsia" w:ascii="仿宋" w:hAnsi="仿宋" w:eastAsia="仿宋" w:cs="宋体"/>
          <w:color w:val="auto"/>
          <w:sz w:val="24"/>
          <w:highlight w:val="none"/>
        </w:rPr>
        <w:t>签署日期：</w:t>
      </w:r>
      <w:r>
        <w:rPr>
          <w:rFonts w:ascii="仿宋" w:hAnsi="仿宋" w:eastAsia="仿宋" w:cs="宋体"/>
          <w:color w:val="auto"/>
          <w:sz w:val="24"/>
          <w:highlight w:val="none"/>
        </w:rPr>
        <w:t xml:space="preserve">    年    月    日         签署日期：    年    月    日  </w:t>
      </w:r>
    </w:p>
    <w:p>
      <w:pPr>
        <w:widowControl/>
        <w:jc w:val="left"/>
        <w:rPr>
          <w:rFonts w:ascii="仿宋" w:hAnsi="仿宋" w:eastAsia="仿宋" w:cs="宋体"/>
          <w:b/>
          <w:bCs/>
          <w:color w:val="auto"/>
          <w:szCs w:val="21"/>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pStyle w:val="7"/>
        <w:rPr>
          <w:rFonts w:ascii="仿宋" w:hAnsi="仿宋" w:eastAsia="仿宋"/>
          <w:color w:val="auto"/>
          <w:highlight w:val="none"/>
        </w:rPr>
      </w:pPr>
    </w:p>
    <w:p>
      <w:pPr>
        <w:widowControl/>
        <w:jc w:val="left"/>
        <w:rPr>
          <w:rFonts w:ascii="仿宋" w:hAnsi="仿宋" w:eastAsia="仿宋" w:cs="宋体"/>
          <w:b/>
          <w:bCs/>
          <w:color w:val="auto"/>
          <w:szCs w:val="21"/>
          <w:highlight w:val="none"/>
        </w:rPr>
      </w:pPr>
      <w:r>
        <w:rPr>
          <w:rFonts w:hint="eastAsia" w:ascii="仿宋" w:hAnsi="仿宋" w:eastAsia="仿宋" w:cs="宋体"/>
          <w:b/>
          <w:bCs/>
          <w:color w:val="auto"/>
          <w:szCs w:val="21"/>
          <w:highlight w:val="none"/>
        </w:rPr>
        <w:t>附件1</w:t>
      </w:r>
      <w:r>
        <w:rPr>
          <w:rFonts w:ascii="仿宋" w:hAnsi="仿宋" w:eastAsia="仿宋" w:cs="宋体"/>
          <w:b/>
          <w:bCs/>
          <w:color w:val="auto"/>
          <w:szCs w:val="21"/>
          <w:highlight w:val="none"/>
        </w:rPr>
        <w:t xml:space="preserve"> (</w:t>
      </w:r>
      <w:r>
        <w:rPr>
          <w:rFonts w:hint="eastAsia" w:ascii="仿宋" w:hAnsi="仿宋" w:eastAsia="仿宋" w:cs="宋体"/>
          <w:b/>
          <w:bCs/>
          <w:color w:val="auto"/>
          <w:szCs w:val="21"/>
          <w:highlight w:val="none"/>
        </w:rPr>
        <w:t>成交通知书)</w:t>
      </w: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widowControl/>
        <w:jc w:val="left"/>
        <w:rPr>
          <w:rFonts w:ascii="仿宋" w:hAnsi="仿宋" w:eastAsia="仿宋" w:cs="宋体"/>
          <w:b/>
          <w:bCs/>
          <w:color w:val="auto"/>
          <w:szCs w:val="21"/>
          <w:highlight w:val="none"/>
        </w:rPr>
      </w:pPr>
      <w:r>
        <w:rPr>
          <w:rFonts w:hint="eastAsia" w:ascii="仿宋" w:hAnsi="仿宋" w:eastAsia="仿宋" w:cs="宋体"/>
          <w:b/>
          <w:bCs/>
          <w:color w:val="auto"/>
          <w:szCs w:val="21"/>
          <w:highlight w:val="none"/>
        </w:rPr>
        <w:t>附件2</w:t>
      </w:r>
    </w:p>
    <w:p>
      <w:pPr>
        <w:spacing w:line="520" w:lineRule="exact"/>
        <w:jc w:val="center"/>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廉洁协议</w:t>
      </w:r>
    </w:p>
    <w:p>
      <w:pPr>
        <w:spacing w:line="520" w:lineRule="exact"/>
        <w:ind w:firstLine="472" w:firstLineChars="225"/>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仿宋_GB2312"/>
          <w:bCs/>
          <w:color w:val="auto"/>
          <w:szCs w:val="21"/>
          <w:highlight w:val="none"/>
          <w:u w:val="single"/>
        </w:rPr>
        <w:t>广州市净水有限公司</w:t>
      </w:r>
      <w:r>
        <w:rPr>
          <w:rFonts w:hint="eastAsia" w:ascii="宋体" w:hAnsi="宋体" w:eastAsia="宋体" w:cs="仿宋_GB2312"/>
          <w:bCs/>
          <w:color w:val="auto"/>
          <w:szCs w:val="21"/>
          <w:highlight w:val="none"/>
        </w:rPr>
        <w:t>(以下称甲方)与</w:t>
      </w:r>
      <w:r>
        <w:rPr>
          <w:rFonts w:hint="eastAsia" w:ascii="宋体" w:hAnsi="宋体" w:eastAsia="宋体" w:cs="仿宋_GB2312"/>
          <w:bCs/>
          <w:color w:val="auto"/>
          <w:szCs w:val="21"/>
          <w:highlight w:val="none"/>
          <w:u w:val="single"/>
        </w:rPr>
        <w:t xml:space="preserve"> </w:t>
      </w:r>
      <w:r>
        <w:rPr>
          <w:rFonts w:ascii="宋体" w:hAnsi="宋体" w:eastAsia="宋体" w:cs="仿宋_GB2312"/>
          <w:bCs/>
          <w:color w:val="auto"/>
          <w:szCs w:val="21"/>
          <w:highlight w:val="none"/>
          <w:u w:val="single"/>
        </w:rPr>
        <w:t xml:space="preserve"> </w:t>
      </w:r>
      <w:r>
        <w:rPr>
          <w:rFonts w:hint="eastAsia" w:ascii="宋体" w:hAnsi="宋体" w:eastAsia="宋体" w:cs="仿宋_GB2312"/>
          <w:bCs/>
          <w:color w:val="auto"/>
          <w:szCs w:val="21"/>
          <w:highlight w:val="none"/>
          <w:u w:val="single"/>
        </w:rPr>
        <w:t xml:space="preserve"> </w:t>
      </w:r>
      <w:r>
        <w:rPr>
          <w:rFonts w:ascii="宋体" w:hAnsi="宋体" w:eastAsia="宋体" w:cs="仿宋_GB2312"/>
          <w:bCs/>
          <w:color w:val="auto"/>
          <w:szCs w:val="21"/>
          <w:highlight w:val="none"/>
          <w:u w:val="single"/>
        </w:rPr>
        <w:t xml:space="preserve">          </w:t>
      </w:r>
      <w:r>
        <w:rPr>
          <w:rFonts w:hint="eastAsia" w:ascii="宋体" w:hAnsi="宋体" w:eastAsia="宋体" w:cs="仿宋_GB2312"/>
          <w:bCs/>
          <w:color w:val="auto"/>
          <w:szCs w:val="21"/>
          <w:highlight w:val="none"/>
        </w:rPr>
        <w:t xml:space="preserve"> (以下称乙方)，特此订立本协议共同遵照执行。</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第一条 甲乙双方的权利和义务</w:t>
      </w:r>
    </w:p>
    <w:p>
      <w:pPr>
        <w:spacing w:line="520" w:lineRule="exact"/>
        <w:ind w:firstLine="315" w:firstLineChars="15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（一）甲乙双方严格遵守国家关于市场准入、项目招标投标、市场经营活动等有关法律、法规相关政策及廉政建设的各项规定。</w:t>
      </w:r>
    </w:p>
    <w:p>
      <w:pPr>
        <w:spacing w:line="520" w:lineRule="exact"/>
        <w:ind w:firstLine="315" w:firstLineChars="15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（二）严格执行</w:t>
      </w:r>
      <w:r>
        <w:rPr>
          <w:rFonts w:hint="eastAsia" w:ascii="宋体" w:hAnsi="宋体" w:eastAsia="宋体" w:cs="仿宋_GB2312"/>
          <w:bCs/>
          <w:color w:val="auto"/>
          <w:szCs w:val="21"/>
          <w:highlight w:val="none"/>
          <w:u w:val="single"/>
        </w:rPr>
        <w:t xml:space="preserve"> 2</w:t>
      </w:r>
      <w:r>
        <w:rPr>
          <w:rFonts w:ascii="宋体" w:hAnsi="宋体" w:eastAsia="宋体" w:cs="仿宋_GB2312"/>
          <w:bCs/>
          <w:color w:val="auto"/>
          <w:szCs w:val="21"/>
          <w:highlight w:val="none"/>
          <w:u w:val="single"/>
        </w:rPr>
        <w:t>025</w:t>
      </w:r>
      <w:r>
        <w:rPr>
          <w:rFonts w:hint="eastAsia" w:ascii="宋体" w:hAnsi="宋体" w:eastAsia="宋体" w:cs="仿宋_GB2312"/>
          <w:bCs/>
          <w:color w:val="auto"/>
          <w:szCs w:val="21"/>
          <w:highlight w:val="none"/>
          <w:u w:val="single"/>
        </w:rPr>
        <w:t>年度综合安防管理平台软件系统运维服务项目</w:t>
      </w:r>
      <w:r>
        <w:rPr>
          <w:rFonts w:hint="eastAsia" w:ascii="宋体" w:hAnsi="宋体" w:eastAsia="宋体" w:cs="仿宋_GB2312"/>
          <w:bCs/>
          <w:color w:val="auto"/>
          <w:szCs w:val="21"/>
          <w:highlight w:val="none"/>
        </w:rPr>
        <w:t>合同（以下简称：主合同），自觉履行合同约定的相关义务。</w:t>
      </w:r>
    </w:p>
    <w:p>
      <w:pPr>
        <w:spacing w:line="520" w:lineRule="exact"/>
        <w:ind w:firstLine="315" w:firstLineChars="15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（三）在业务活动中坚持公开、公正、诚信、透明的原则，不得损害国家、集体利益。</w:t>
      </w:r>
    </w:p>
    <w:p>
      <w:pPr>
        <w:spacing w:line="520" w:lineRule="exact"/>
        <w:ind w:firstLine="315" w:firstLineChars="15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（四）建立健全廉洁从业制度，开展廉洁教育，公布举报电话，监督并认真查处不廉洁及违法违纪行为。</w:t>
      </w:r>
    </w:p>
    <w:p>
      <w:pPr>
        <w:spacing w:line="520" w:lineRule="exact"/>
        <w:ind w:firstLine="315" w:firstLineChars="15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（五）发现对方在业务活动中有不廉洁行为，应及时提醒对方纠正。情节严重的，应向其有关监督部门检举。</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第二条甲方的义务</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（一）甲方及其工作人员不得索要或接受乙方的礼金、有价证券和贵重物品，不得在乙方报销任何应由甲方或个人支付的费用等。</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（三）甲方及其工作人员不得要求或者接受乙方为其住房装修、婚丧嫁娶活动、配偶子女工作安排以及出国出境、旅游等提供方便等。</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（四）甲方工作人员不得在乙方或与乙方有股权关联的企业兼职，不得向乙方介绍家属或者亲友从事与甲方业务有关的经济活动。</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（六）甲方工作人员不得利用职务之便收受乙方以回扣、手续费、加班费、咨询费、劳务费、协调费、辛苦费等各种名义给予或赠送的钱物。</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（七）甲方工作人员不得接受乙方给予或赠送的干股或红利。</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(八）不得存在其他违反廉洁规定的行为。</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第三条乙方的义务</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（一）乙方不得以任何理由向甲方及其工作人员行贿或馈赠礼金、有价证券、贵重礼品。</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（二)乙方不得以任何名义为甲方及其工作人员报销应由甲方单位或个人支付的任何费用。</w:t>
      </w:r>
    </w:p>
    <w:p>
      <w:pPr>
        <w:spacing w:line="520" w:lineRule="exact"/>
        <w:ind w:left="25" w:leftChars="12"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（三）乙方不得以任何理由安排甲方工作人员参加可能影响相关业务公开、公正、公平性的宴请及娱乐活动。</w:t>
      </w:r>
    </w:p>
    <w:p>
      <w:pPr>
        <w:pStyle w:val="2"/>
        <w:spacing w:line="520" w:lineRule="exact"/>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（四）乙方不得为甲方单位和个人购置或提供通讯工具和高档办公用品等物品，也不得为甲方提供与工作无关的房屋、汽车等。</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（五）乙方不得擅自与甲方工作人员就主合同中的质量、数量、价格、工程量、验收等条款进行私下商谈或者达成默契。</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（六）乙方不得以回扣、手续费、加班费、咨询费、劳务费、协调费、辛苦费等各种名义向甲方工作人员给予或赠送钱物。</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（七）乙方不得向甲方工作人员提供干股或红利。</w:t>
      </w:r>
    </w:p>
    <w:p>
      <w:pPr>
        <w:spacing w:line="520" w:lineRule="exact"/>
        <w:ind w:left="15" w:leftChars="7"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(八）不得存在其他违反廉洁规定的行为。</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第四条违约责任</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甲方举报投诉联系部门：广州市净水有限公司</w:t>
      </w:r>
      <w:r>
        <w:rPr>
          <w:rFonts w:hint="eastAsia" w:ascii="宋体" w:hAnsi="宋体" w:eastAsia="宋体" w:cs="仿宋_GB2312"/>
          <w:bCs/>
          <w:color w:val="auto"/>
          <w:szCs w:val="21"/>
          <w:highlight w:val="none"/>
          <w:u w:val="single"/>
        </w:rPr>
        <w:t>纪检室</w:t>
      </w:r>
      <w:r>
        <w:rPr>
          <w:rFonts w:hint="eastAsia" w:ascii="宋体" w:hAnsi="宋体" w:eastAsia="宋体" w:cs="仿宋_GB2312"/>
          <w:bCs/>
          <w:color w:val="auto"/>
          <w:szCs w:val="21"/>
          <w:highlight w:val="none"/>
        </w:rPr>
        <w:t>，联系电话：</w:t>
      </w:r>
      <w:r>
        <w:rPr>
          <w:rFonts w:hint="eastAsia" w:ascii="宋体" w:hAnsi="宋体" w:eastAsia="宋体" w:cs="仿宋_GB2312"/>
          <w:bCs/>
          <w:color w:val="auto"/>
          <w:szCs w:val="21"/>
          <w:highlight w:val="none"/>
          <w:u w:val="single"/>
        </w:rPr>
        <w:t xml:space="preserve"> 020-38890265 </w:t>
      </w:r>
      <w:r>
        <w:rPr>
          <w:rFonts w:hint="eastAsia" w:ascii="宋体" w:hAnsi="宋体" w:eastAsia="宋体" w:cs="仿宋_GB2312"/>
          <w:bCs/>
          <w:color w:val="auto"/>
          <w:szCs w:val="21"/>
          <w:highlight w:val="none"/>
        </w:rPr>
        <w:t>。</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1、扣除主合同的全部履约保证金；</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2、解除主合同；</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3、追究乙方其他违约责任；</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4、根据甲方的有关规章制度，在一定时间内暂停乙方参与甲方及下属单位所有项目的交易资格；</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5、根据甲方的有关规章制度，将乙方清退出甲方相关企业库；</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6、根据甲方上级单位、行政主管部门的意见、决定执行；</w:t>
      </w:r>
    </w:p>
    <w:p>
      <w:pPr>
        <w:pStyle w:val="21"/>
        <w:spacing w:beforeAutospacing="0" w:line="520" w:lineRule="exact"/>
        <w:rPr>
          <w:rFonts w:cs="仿宋_GB2312"/>
          <w:bCs/>
          <w:color w:val="auto"/>
          <w:sz w:val="21"/>
          <w:szCs w:val="21"/>
          <w:highlight w:val="none"/>
        </w:rPr>
      </w:pPr>
      <w:r>
        <w:rPr>
          <w:rFonts w:hint="eastAsia" w:cs="仿宋_GB2312"/>
          <w:bCs/>
          <w:color w:val="auto"/>
          <w:sz w:val="21"/>
          <w:szCs w:val="21"/>
          <w:highlight w:val="none"/>
        </w:rPr>
        <w:t>7、按规定向有关行政监督部门、乙方业务管理部门进行投诉、报告。</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乙方无条件接受甲方的处理决定并承担给甲方造成的损失，全额返还通过不正当手段获取的非法所得，并承担相应的法律责任。</w:t>
      </w:r>
    </w:p>
    <w:p>
      <w:pPr>
        <w:spacing w:line="520" w:lineRule="exact"/>
        <w:ind w:firstLine="420" w:firstLineChars="200"/>
        <w:rPr>
          <w:rFonts w:ascii="宋体" w:hAnsi="宋体" w:eastAsia="宋体" w:cs="仿宋_GB2312"/>
          <w:bCs/>
          <w:color w:val="auto"/>
          <w:kern w:val="0"/>
          <w:szCs w:val="21"/>
          <w:highlight w:val="none"/>
        </w:rPr>
      </w:pPr>
      <w:r>
        <w:rPr>
          <w:rFonts w:hint="eastAsia" w:ascii="宋体" w:hAnsi="宋体" w:eastAsia="宋体" w:cs="仿宋_GB2312"/>
          <w:bCs/>
          <w:color w:val="auto"/>
          <w:szCs w:val="21"/>
          <w:highlight w:val="none"/>
        </w:rPr>
        <w:t xml:space="preserve">第五条 </w:t>
      </w:r>
      <w:r>
        <w:rPr>
          <w:rFonts w:hint="eastAsia" w:ascii="宋体" w:hAnsi="宋体" w:eastAsia="宋体" w:cs="仿宋_GB2312"/>
          <w:bCs/>
          <w:color w:val="auto"/>
          <w:kern w:val="0"/>
          <w:szCs w:val="21"/>
          <w:highlight w:val="none"/>
        </w:rPr>
        <w:t xml:space="preserve">本协议执行情况，接受有管辖权的纪检、监察部门的监督，双方应予以配合检查调查。 </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第六条本协议作为</w:t>
      </w:r>
      <w:r>
        <w:rPr>
          <w:rFonts w:hint="eastAsia" w:ascii="宋体" w:hAnsi="宋体" w:eastAsia="宋体" w:cs="仿宋_GB2312"/>
          <w:bCs/>
          <w:color w:val="auto"/>
          <w:szCs w:val="21"/>
          <w:highlight w:val="none"/>
          <w:u w:val="single"/>
        </w:rPr>
        <w:t>（2</w:t>
      </w:r>
      <w:r>
        <w:rPr>
          <w:rFonts w:ascii="宋体" w:hAnsi="宋体" w:eastAsia="宋体" w:cs="仿宋_GB2312"/>
          <w:bCs/>
          <w:color w:val="auto"/>
          <w:szCs w:val="21"/>
          <w:highlight w:val="none"/>
          <w:u w:val="single"/>
        </w:rPr>
        <w:t>025</w:t>
      </w:r>
      <w:r>
        <w:rPr>
          <w:rFonts w:hint="eastAsia" w:ascii="宋体" w:hAnsi="宋体" w:eastAsia="宋体" w:cs="仿宋_GB2312"/>
          <w:bCs/>
          <w:color w:val="auto"/>
          <w:szCs w:val="21"/>
          <w:highlight w:val="none"/>
          <w:u w:val="single"/>
        </w:rPr>
        <w:t>年度综合安防管理平台软件系统运维服务项目合同）+（合同编号）</w:t>
      </w:r>
      <w:r>
        <w:rPr>
          <w:rFonts w:hint="eastAsia" w:ascii="宋体" w:hAnsi="宋体" w:eastAsia="宋体" w:cs="仿宋_GB2312"/>
          <w:bCs/>
          <w:color w:val="auto"/>
          <w:szCs w:val="21"/>
          <w:highlight w:val="none"/>
        </w:rPr>
        <w:t>合同的附件，并具有同等的法律效力，本协议自双方签字盖章之日起生效，与主合同同时终止。</w:t>
      </w:r>
    </w:p>
    <w:p>
      <w:pPr>
        <w:spacing w:line="520" w:lineRule="exact"/>
        <w:ind w:firstLine="420" w:firstLineChars="2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第七条本协议一式</w:t>
      </w:r>
      <w:r>
        <w:rPr>
          <w:rFonts w:hint="eastAsia" w:ascii="宋体" w:hAnsi="宋体" w:eastAsia="宋体" w:cs="仿宋_GB2312"/>
          <w:bCs/>
          <w:color w:val="auto"/>
          <w:szCs w:val="21"/>
          <w:highlight w:val="none"/>
          <w:u w:val="single"/>
        </w:rPr>
        <w:t>6</w:t>
      </w:r>
      <w:r>
        <w:rPr>
          <w:rFonts w:hint="eastAsia" w:ascii="宋体" w:hAnsi="宋体" w:eastAsia="宋体" w:cs="仿宋_GB2312"/>
          <w:bCs/>
          <w:color w:val="auto"/>
          <w:szCs w:val="21"/>
          <w:highlight w:val="none"/>
        </w:rPr>
        <w:t>份，甲方</w:t>
      </w:r>
      <w:r>
        <w:rPr>
          <w:rFonts w:hint="eastAsia" w:ascii="宋体" w:hAnsi="宋体" w:eastAsia="宋体" w:cs="仿宋_GB2312"/>
          <w:bCs/>
          <w:color w:val="auto"/>
          <w:szCs w:val="21"/>
          <w:highlight w:val="none"/>
          <w:u w:val="single"/>
        </w:rPr>
        <w:t>4</w:t>
      </w:r>
      <w:r>
        <w:rPr>
          <w:rFonts w:hint="eastAsia" w:ascii="宋体" w:hAnsi="宋体" w:eastAsia="宋体" w:cs="仿宋_GB2312"/>
          <w:bCs/>
          <w:color w:val="auto"/>
          <w:szCs w:val="21"/>
          <w:highlight w:val="none"/>
        </w:rPr>
        <w:t>份，乙方</w:t>
      </w:r>
      <w:r>
        <w:rPr>
          <w:rFonts w:hint="eastAsia" w:ascii="宋体" w:hAnsi="宋体" w:eastAsia="宋体" w:cs="仿宋_GB2312"/>
          <w:bCs/>
          <w:color w:val="auto"/>
          <w:szCs w:val="21"/>
          <w:highlight w:val="none"/>
          <w:u w:val="single"/>
        </w:rPr>
        <w:t>2</w:t>
      </w:r>
      <w:r>
        <w:rPr>
          <w:rFonts w:hint="eastAsia" w:ascii="宋体" w:hAnsi="宋体" w:eastAsia="宋体" w:cs="仿宋_GB2312"/>
          <w:bCs/>
          <w:color w:val="auto"/>
          <w:szCs w:val="21"/>
          <w:highlight w:val="none"/>
        </w:rPr>
        <w:t>份。</w:t>
      </w:r>
    </w:p>
    <w:p>
      <w:pPr>
        <w:spacing w:line="520" w:lineRule="exact"/>
        <w:ind w:firstLine="420" w:firstLineChars="200"/>
        <w:rPr>
          <w:rFonts w:ascii="宋体" w:hAnsi="宋体" w:eastAsia="宋体" w:cs="仿宋_GB2312"/>
          <w:bCs/>
          <w:color w:val="auto"/>
          <w:szCs w:val="21"/>
          <w:highlight w:val="none"/>
        </w:rPr>
      </w:pPr>
    </w:p>
    <w:p>
      <w:pPr>
        <w:spacing w:line="520" w:lineRule="exact"/>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br w:type="textWrapping"/>
      </w:r>
      <w:r>
        <w:rPr>
          <w:rFonts w:hint="eastAsia" w:ascii="宋体" w:hAnsi="宋体" w:eastAsia="宋体" w:cs="仿宋_GB2312"/>
          <w:bCs/>
          <w:color w:val="auto"/>
          <w:szCs w:val="21"/>
          <w:highlight w:val="none"/>
        </w:rPr>
        <w:t>甲方（盖章）：                     乙方（盖章）：</w:t>
      </w:r>
    </w:p>
    <w:p>
      <w:pPr>
        <w:pStyle w:val="33"/>
        <w:tabs>
          <w:tab w:val="left" w:pos="5100"/>
        </w:tabs>
        <w:spacing w:line="520" w:lineRule="exact"/>
        <w:ind w:left="7200" w:firstLine="0" w:firstLineChars="0"/>
        <w:jc w:val="left"/>
        <w:rPr>
          <w:rFonts w:ascii="宋体" w:hAnsi="宋体" w:eastAsia="宋体" w:cs="仿宋_GB2312"/>
          <w:bCs/>
          <w:color w:val="auto"/>
          <w:szCs w:val="21"/>
          <w:highlight w:val="none"/>
        </w:rPr>
      </w:pPr>
    </w:p>
    <w:p>
      <w:pPr>
        <w:tabs>
          <w:tab w:val="left" w:pos="5100"/>
        </w:tabs>
        <w:spacing w:line="520" w:lineRule="exact"/>
        <w:ind w:left="6300" w:hanging="6300" w:hangingChars="3000"/>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签约代表：                         签约代表：</w:t>
      </w:r>
    </w:p>
    <w:p>
      <w:pPr>
        <w:tabs>
          <w:tab w:val="left" w:pos="4170"/>
        </w:tabs>
        <w:spacing w:line="520" w:lineRule="exact"/>
        <w:rPr>
          <w:rFonts w:ascii="宋体" w:hAnsi="宋体" w:eastAsia="宋体" w:cs="仿宋_GB2312"/>
          <w:bCs/>
          <w:color w:val="auto"/>
          <w:szCs w:val="21"/>
          <w:highlight w:val="none"/>
        </w:rPr>
      </w:pPr>
      <w:r>
        <w:rPr>
          <w:rFonts w:hint="eastAsia" w:ascii="宋体" w:hAnsi="宋体" w:eastAsia="宋体" w:cs="仿宋_GB2312"/>
          <w:bCs/>
          <w:color w:val="auto"/>
          <w:szCs w:val="21"/>
          <w:highlight w:val="none"/>
        </w:rPr>
        <w:t>日期:    年  月  日</w:t>
      </w:r>
      <w:r>
        <w:rPr>
          <w:rFonts w:hint="eastAsia" w:ascii="宋体" w:hAnsi="宋体" w:eastAsia="宋体" w:cs="仿宋_GB2312"/>
          <w:bCs/>
          <w:color w:val="auto"/>
          <w:szCs w:val="21"/>
          <w:highlight w:val="none"/>
        </w:rPr>
        <w:tab/>
      </w:r>
      <w:r>
        <w:rPr>
          <w:rFonts w:hint="eastAsia" w:ascii="宋体" w:hAnsi="宋体" w:eastAsia="宋体" w:cs="仿宋_GB2312"/>
          <w:bCs/>
          <w:color w:val="auto"/>
          <w:szCs w:val="21"/>
          <w:highlight w:val="none"/>
        </w:rPr>
        <w:t>日期：  年  月  日</w:t>
      </w:r>
    </w:p>
    <w:p>
      <w:pPr>
        <w:spacing w:line="540" w:lineRule="exact"/>
        <w:rPr>
          <w:rFonts w:ascii="宋体" w:hAnsi="宋体" w:eastAsia="宋体" w:cs="宋体"/>
          <w:color w:val="auto"/>
          <w:szCs w:val="21"/>
          <w:highlight w:val="none"/>
        </w:rPr>
      </w:pPr>
    </w:p>
    <w:p>
      <w:pPr>
        <w:spacing w:line="540" w:lineRule="exac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r>
        <w:rPr>
          <w:rFonts w:ascii="宋体" w:hAnsi="宋体" w:eastAsia="宋体" w:cs="宋体"/>
          <w:color w:val="auto"/>
          <w:szCs w:val="21"/>
          <w:highlight w:val="none"/>
        </w:rPr>
        <w:br w:type="page"/>
      </w:r>
    </w:p>
    <w:p>
      <w:pPr>
        <w:spacing w:line="540" w:lineRule="exact"/>
        <w:rPr>
          <w:rFonts w:ascii="仿宋" w:hAnsi="仿宋" w:eastAsia="仿宋" w:cs="宋体"/>
          <w:color w:val="auto"/>
          <w:szCs w:val="21"/>
          <w:highlight w:val="none"/>
        </w:rPr>
      </w:pPr>
      <w:r>
        <w:rPr>
          <w:rFonts w:hint="eastAsia" w:ascii="仿宋" w:hAnsi="仿宋" w:eastAsia="仿宋" w:cs="宋体"/>
          <w:color w:val="auto"/>
          <w:szCs w:val="21"/>
          <w:highlight w:val="none"/>
        </w:rPr>
        <w:t>附件3</w:t>
      </w:r>
    </w:p>
    <w:p>
      <w:pPr>
        <w:spacing w:line="560" w:lineRule="exact"/>
        <w:jc w:val="center"/>
        <w:rPr>
          <w:rFonts w:ascii="仿宋" w:hAnsi="仿宋" w:eastAsia="仿宋" w:cs="宋体"/>
          <w:b/>
          <w:color w:val="auto"/>
          <w:szCs w:val="21"/>
          <w:highlight w:val="none"/>
        </w:rPr>
      </w:pPr>
      <w:r>
        <w:rPr>
          <w:rFonts w:hint="eastAsia" w:ascii="仿宋" w:hAnsi="仿宋" w:eastAsia="仿宋" w:cs="宋体"/>
          <w:b/>
          <w:color w:val="auto"/>
          <w:szCs w:val="21"/>
          <w:highlight w:val="none"/>
          <w:u w:val="single"/>
        </w:rPr>
        <w:t xml:space="preserve"> </w:t>
      </w:r>
      <w:r>
        <w:rPr>
          <w:rFonts w:hint="eastAsia" w:ascii="仿宋" w:hAnsi="仿宋" w:eastAsia="仿宋" w:cs="仿宋"/>
          <w:bCs/>
          <w:color w:val="auto"/>
          <w:w w:val="80"/>
          <w:highlight w:val="none"/>
          <w:u w:val="single"/>
        </w:rPr>
        <w:t>2</w:t>
      </w:r>
      <w:r>
        <w:rPr>
          <w:rFonts w:ascii="仿宋" w:hAnsi="仿宋" w:eastAsia="仿宋" w:cs="仿宋"/>
          <w:bCs/>
          <w:color w:val="auto"/>
          <w:w w:val="80"/>
          <w:highlight w:val="none"/>
          <w:u w:val="single"/>
        </w:rPr>
        <w:t>025</w:t>
      </w:r>
      <w:r>
        <w:rPr>
          <w:rFonts w:hint="eastAsia" w:ascii="仿宋" w:hAnsi="仿宋" w:eastAsia="仿宋" w:cs="仿宋"/>
          <w:bCs/>
          <w:color w:val="auto"/>
          <w:w w:val="80"/>
          <w:highlight w:val="none"/>
          <w:u w:val="single"/>
        </w:rPr>
        <w:t>年度综合安防管理平台软件系统运维服务</w:t>
      </w:r>
      <w:r>
        <w:rPr>
          <w:rFonts w:hint="eastAsia" w:ascii="仿宋" w:hAnsi="仿宋" w:eastAsia="仿宋" w:cs="宋体"/>
          <w:b/>
          <w:color w:val="auto"/>
          <w:szCs w:val="21"/>
          <w:highlight w:val="none"/>
        </w:rPr>
        <w:t>保密协议</w:t>
      </w:r>
    </w:p>
    <w:p>
      <w:pPr>
        <w:kinsoku w:val="0"/>
        <w:overflowPunct w:val="0"/>
        <w:autoSpaceDE w:val="0"/>
        <w:autoSpaceDN w:val="0"/>
        <w:spacing w:line="440" w:lineRule="exact"/>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乙方：</w:t>
      </w:r>
      <w:r>
        <w:rPr>
          <w:rFonts w:ascii="仿宋" w:hAnsi="仿宋" w:eastAsia="仿宋" w:cs="宋体"/>
          <w:color w:val="auto"/>
          <w:szCs w:val="21"/>
          <w:highlight w:val="none"/>
        </w:rPr>
        <w:t xml:space="preserve"> </w:t>
      </w:r>
    </w:p>
    <w:p>
      <w:pPr>
        <w:kinsoku w:val="0"/>
        <w:overflowPunct w:val="0"/>
        <w:autoSpaceDE w:val="0"/>
        <w:autoSpaceDN w:val="0"/>
        <w:spacing w:line="440" w:lineRule="exact"/>
        <w:ind w:firstLine="420" w:firstLineChars="20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甲乙双方就</w:t>
      </w:r>
      <w:r>
        <w:rPr>
          <w:rFonts w:hint="eastAsia" w:ascii="仿宋" w:hAnsi="仿宋" w:eastAsia="仿宋" w:cs="宋体"/>
          <w:color w:val="auto"/>
          <w:szCs w:val="21"/>
          <w:highlight w:val="none"/>
          <w:u w:val="single"/>
        </w:rPr>
        <w:t xml:space="preserve"> </w:t>
      </w:r>
      <w:r>
        <w:rPr>
          <w:rFonts w:hint="eastAsia" w:ascii="仿宋" w:hAnsi="仿宋" w:eastAsia="仿宋" w:cs="仿宋"/>
          <w:bCs/>
          <w:color w:val="auto"/>
          <w:w w:val="80"/>
          <w:highlight w:val="none"/>
          <w:u w:val="single"/>
        </w:rPr>
        <w:t>2</w:t>
      </w:r>
      <w:r>
        <w:rPr>
          <w:rFonts w:ascii="仿宋" w:hAnsi="仿宋" w:eastAsia="仿宋" w:cs="仿宋"/>
          <w:bCs/>
          <w:color w:val="auto"/>
          <w:w w:val="80"/>
          <w:highlight w:val="none"/>
          <w:u w:val="single"/>
        </w:rPr>
        <w:t>025</w:t>
      </w:r>
      <w:r>
        <w:rPr>
          <w:rFonts w:hint="eastAsia" w:ascii="仿宋" w:hAnsi="仿宋" w:eastAsia="仿宋" w:cs="仿宋"/>
          <w:bCs/>
          <w:color w:val="auto"/>
          <w:w w:val="80"/>
          <w:highlight w:val="none"/>
          <w:u w:val="single"/>
        </w:rPr>
        <w:t xml:space="preserve">年度综合安防管理平台软件系统运维服务 </w:t>
      </w:r>
      <w:r>
        <w:rPr>
          <w:rFonts w:hint="eastAsia" w:ascii="仿宋" w:hAnsi="仿宋" w:eastAsia="仿宋"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二、保密义务</w:t>
      </w:r>
    </w:p>
    <w:p>
      <w:pPr>
        <w:pStyle w:val="33"/>
        <w:kinsoku w:val="0"/>
        <w:overflowPunct w:val="0"/>
        <w:autoSpaceDE w:val="0"/>
        <w:autoSpaceDN w:val="0"/>
        <w:spacing w:line="440" w:lineRule="exact"/>
        <w:ind w:left="420" w:firstLine="105" w:firstLineChars="5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三、本协议作为</w:t>
      </w:r>
      <w:r>
        <w:rPr>
          <w:rFonts w:hint="eastAsia" w:ascii="仿宋" w:hAnsi="仿宋" w:eastAsia="仿宋" w:cs="宋体"/>
          <w:color w:val="auto"/>
          <w:szCs w:val="21"/>
          <w:highlight w:val="none"/>
          <w:u w:val="single"/>
        </w:rPr>
        <w:t>（</w:t>
      </w:r>
      <w:r>
        <w:rPr>
          <w:rFonts w:hint="eastAsia" w:ascii="仿宋" w:hAnsi="仿宋" w:eastAsia="仿宋" w:cs="仿宋"/>
          <w:bCs/>
          <w:color w:val="auto"/>
          <w:w w:val="80"/>
          <w:highlight w:val="none"/>
          <w:u w:val="single"/>
        </w:rPr>
        <w:t>2</w:t>
      </w:r>
      <w:r>
        <w:rPr>
          <w:rFonts w:ascii="仿宋" w:hAnsi="仿宋" w:eastAsia="仿宋" w:cs="仿宋"/>
          <w:bCs/>
          <w:color w:val="auto"/>
          <w:w w:val="80"/>
          <w:highlight w:val="none"/>
          <w:u w:val="single"/>
        </w:rPr>
        <w:t>025</w:t>
      </w:r>
      <w:r>
        <w:rPr>
          <w:rFonts w:hint="eastAsia" w:ascii="仿宋" w:hAnsi="仿宋" w:eastAsia="仿宋" w:cs="仿宋"/>
          <w:bCs/>
          <w:color w:val="auto"/>
          <w:w w:val="80"/>
          <w:highlight w:val="none"/>
          <w:u w:val="single"/>
        </w:rPr>
        <w:t>年度综合安防管理平台软件系统运维服务项目</w:t>
      </w:r>
      <w:r>
        <w:rPr>
          <w:rFonts w:hint="eastAsia" w:ascii="仿宋" w:hAnsi="仿宋" w:eastAsia="仿宋" w:cs="宋体"/>
          <w:color w:val="auto"/>
          <w:szCs w:val="21"/>
          <w:highlight w:val="none"/>
          <w:u w:val="single"/>
        </w:rPr>
        <w:t>）+（合同编号）</w:t>
      </w:r>
      <w:r>
        <w:rPr>
          <w:rFonts w:hint="eastAsia" w:ascii="仿宋" w:hAnsi="仿宋" w:eastAsia="仿宋"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四、本协议一式</w:t>
      </w:r>
      <w:r>
        <w:rPr>
          <w:rFonts w:hint="eastAsia" w:ascii="仿宋" w:hAnsi="仿宋" w:eastAsia="仿宋" w:cs="宋体"/>
          <w:color w:val="auto"/>
          <w:szCs w:val="21"/>
          <w:highlight w:val="none"/>
          <w:u w:val="single"/>
        </w:rPr>
        <w:t xml:space="preserve">  </w:t>
      </w:r>
      <w:r>
        <w:rPr>
          <w:rFonts w:ascii="仿宋" w:hAnsi="仿宋" w:eastAsia="仿宋" w:cs="宋体"/>
          <w:color w:val="auto"/>
          <w:szCs w:val="21"/>
          <w:highlight w:val="none"/>
          <w:u w:val="single"/>
        </w:rPr>
        <w:t>6</w:t>
      </w:r>
      <w:r>
        <w:rPr>
          <w:rFonts w:hint="eastAsia" w:ascii="仿宋" w:hAnsi="仿宋" w:eastAsia="仿宋" w:cs="宋体"/>
          <w:color w:val="auto"/>
          <w:szCs w:val="21"/>
          <w:highlight w:val="none"/>
        </w:rPr>
        <w:t>份，甲方执</w:t>
      </w:r>
      <w:r>
        <w:rPr>
          <w:rFonts w:hint="eastAsia" w:ascii="仿宋" w:hAnsi="仿宋" w:eastAsia="仿宋" w:cs="宋体"/>
          <w:color w:val="auto"/>
          <w:szCs w:val="21"/>
          <w:highlight w:val="none"/>
          <w:u w:val="single"/>
        </w:rPr>
        <w:t xml:space="preserve"> </w:t>
      </w:r>
      <w:r>
        <w:rPr>
          <w:rFonts w:ascii="仿宋" w:hAnsi="仿宋" w:eastAsia="仿宋" w:cs="宋体"/>
          <w:color w:val="auto"/>
          <w:szCs w:val="21"/>
          <w:highlight w:val="none"/>
          <w:u w:val="single"/>
        </w:rPr>
        <w:t>4</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份，乙方执</w:t>
      </w:r>
      <w:r>
        <w:rPr>
          <w:rFonts w:hint="eastAsia" w:ascii="仿宋" w:hAnsi="仿宋" w:eastAsia="仿宋" w:cs="宋体"/>
          <w:color w:val="auto"/>
          <w:szCs w:val="21"/>
          <w:highlight w:val="none"/>
          <w:u w:val="single"/>
        </w:rPr>
        <w:t xml:space="preserve"> </w:t>
      </w:r>
      <w:r>
        <w:rPr>
          <w:rFonts w:ascii="仿宋" w:hAnsi="仿宋" w:eastAsia="仿宋" w:cs="宋体"/>
          <w:color w:val="auto"/>
          <w:szCs w:val="21"/>
          <w:highlight w:val="none"/>
          <w:u w:val="single"/>
        </w:rPr>
        <w:t>2</w:t>
      </w:r>
      <w:r>
        <w:rPr>
          <w:rFonts w:hint="eastAsia" w:ascii="仿宋" w:hAnsi="仿宋" w:eastAsia="仿宋"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仿宋" w:hAnsi="仿宋" w:eastAsia="仿宋"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仿宋" w:hAnsi="仿宋" w:eastAsia="仿宋"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日期：                       日期：  </w:t>
      </w:r>
    </w:p>
    <w:p>
      <w:pPr>
        <w:spacing w:line="560" w:lineRule="exact"/>
        <w:rPr>
          <w:rFonts w:ascii="仿宋" w:hAnsi="仿宋" w:eastAsia="仿宋" w:cs="宋体"/>
          <w:b/>
          <w:color w:val="auto"/>
          <w:szCs w:val="21"/>
          <w:highlight w:val="none"/>
        </w:rPr>
      </w:pPr>
      <w:r>
        <w:rPr>
          <w:rFonts w:hint="eastAsia" w:ascii="仿宋" w:hAnsi="仿宋" w:eastAsia="仿宋" w:cs="宋体"/>
          <w:color w:val="auto"/>
          <w:szCs w:val="21"/>
          <w:highlight w:val="none"/>
        </w:rPr>
        <w:t>附件4厂内驻点单位（机构）安全及消防安全管理协议</w:t>
      </w:r>
    </w:p>
    <w:p>
      <w:pPr>
        <w:spacing w:line="440" w:lineRule="exact"/>
        <w:jc w:val="center"/>
        <w:rPr>
          <w:rFonts w:ascii="宋体" w:hAnsi="宋体" w:eastAsia="宋体" w:cs="方正小标宋简体"/>
          <w:color w:val="auto"/>
          <w:highlight w:val="none"/>
        </w:rPr>
      </w:pPr>
      <w:r>
        <w:rPr>
          <w:rFonts w:hint="eastAsia" w:ascii="宋体" w:hAnsi="宋体" w:eastAsia="宋体" w:cs="方正小标宋简体"/>
          <w:color w:val="auto"/>
          <w:highlight w:val="none"/>
        </w:rPr>
        <w:t>厂内驻点单位（机构）安全及消防安全管理协议</w:t>
      </w:r>
    </w:p>
    <w:p>
      <w:pPr>
        <w:spacing w:line="440" w:lineRule="exact"/>
        <w:rPr>
          <w:rFonts w:ascii="仿宋_GB2312" w:hAnsi="仿宋_GB2312" w:eastAsia="仿宋_GB2312" w:cs="仿宋_GB2312"/>
          <w:color w:val="auto"/>
          <w:kern w:val="0"/>
          <w:sz w:val="24"/>
          <w:highlight w:val="none"/>
        </w:rPr>
      </w:pPr>
    </w:p>
    <w:p>
      <w:pPr>
        <w:spacing w:line="440" w:lineRule="exac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spacing w:line="440" w:lineRule="exac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spacing w:line="440" w:lineRule="exact"/>
        <w:rPr>
          <w:rFonts w:ascii="仿宋_GB2312" w:hAnsi="仿宋_GB2312" w:eastAsia="仿宋_GB2312" w:cs="仿宋_GB2312"/>
          <w:color w:val="auto"/>
          <w:kern w:val="0"/>
          <w:sz w:val="24"/>
          <w:szCs w:val="24"/>
          <w:highlight w:val="none"/>
        </w:rPr>
      </w:pPr>
    </w:p>
    <w:p>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根据《中华人民共和国安全生产法》、《中华人民共和国消防法》、《生产安全事故报告和调查处理条例》等国家及地方有关安全生产、消防安全法律法规，甲乙双方就安全及消防安全事宜，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adjustRightInd w:val="0"/>
        <w:snapToGrid w:val="0"/>
        <w:spacing w:line="440" w:lineRule="exact"/>
        <w:ind w:firstLine="480" w:firstLineChars="200"/>
        <w:jc w:val="left"/>
        <w:rPr>
          <w:rFonts w:ascii="黑体" w:hAnsi="黑体" w:eastAsia="黑体" w:cs="黑体"/>
          <w:bCs/>
          <w:color w:val="auto"/>
          <w:sz w:val="24"/>
          <w:szCs w:val="24"/>
          <w:highlight w:val="none"/>
        </w:rPr>
      </w:pPr>
      <w:r>
        <w:rPr>
          <w:rFonts w:hint="eastAsia" w:ascii="黑体" w:hAnsi="黑体" w:eastAsia="黑体" w:cs="黑体"/>
          <w:color w:val="auto"/>
          <w:sz w:val="24"/>
          <w:szCs w:val="24"/>
          <w:highlight w:val="none"/>
        </w:rPr>
        <w:t>一、总则</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（一）本协议原则上每年一签</w:t>
      </w:r>
      <w:r>
        <w:rPr>
          <w:rFonts w:hint="eastAsia" w:ascii="仿宋_GB2312" w:hAnsi="仿宋_GB2312" w:eastAsia="仿宋_GB2312" w:cs="仿宋_GB2312"/>
          <w:color w:val="auto"/>
          <w:sz w:val="24"/>
          <w:szCs w:val="24"/>
          <w:highlight w:val="none"/>
        </w:rPr>
        <w:t>。</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（二）甲、乙双方应遵守国家、省、市有关安全生产、消防安全的法律、法规、规章，履行安全生产、消防安全职责，保障人员生命、财产安全。</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（三）甲、乙双方应当逐级落实安全生产、消防安全责任制，明确逐级岗位人员的安全生产、消防安全职责。</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（四）单位（机构）资质（</w:t>
      </w:r>
      <w:r>
        <w:rPr>
          <w:rFonts w:hint="eastAsia" w:ascii="仿宋_GB2312" w:hAnsi="仿宋_GB2312" w:eastAsia="仿宋_GB2312" w:cs="仿宋_GB2312"/>
          <w:b/>
          <w:color w:val="auto"/>
          <w:kern w:val="0"/>
          <w:sz w:val="24"/>
          <w:szCs w:val="24"/>
          <w:highlight w:val="none"/>
        </w:rPr>
        <w:t>单项选择并填写</w:t>
      </w:r>
      <w:r>
        <w:rPr>
          <w:rFonts w:hint="eastAsia" w:ascii="仿宋_GB2312" w:hAnsi="仿宋_GB2312" w:eastAsia="仿宋_GB2312" w:cs="仿宋_GB2312"/>
          <w:color w:val="auto"/>
          <w:kern w:val="0"/>
          <w:sz w:val="24"/>
          <w:szCs w:val="24"/>
          <w:highlight w:val="none"/>
        </w:rPr>
        <w:t>）</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sym w:font="Wingdings 2" w:char="00A3"/>
      </w:r>
      <w:r>
        <w:rPr>
          <w:rFonts w:hint="eastAsia" w:ascii="仿宋_GB2312" w:hAnsi="仿宋_GB2312" w:eastAsia="仿宋_GB2312" w:cs="仿宋_GB2312"/>
          <w:color w:val="auto"/>
          <w:kern w:val="0"/>
          <w:sz w:val="24"/>
          <w:szCs w:val="24"/>
          <w:highlight w:val="none"/>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条。</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sym w:font="Wingdings 2" w:char="00A3"/>
      </w:r>
      <w:r>
        <w:rPr>
          <w:rFonts w:hint="eastAsia" w:ascii="仿宋_GB2312" w:hAnsi="仿宋_GB2312" w:eastAsia="仿宋_GB2312" w:cs="仿宋_GB2312"/>
          <w:color w:val="auto"/>
          <w:kern w:val="0"/>
          <w:sz w:val="24"/>
          <w:szCs w:val="24"/>
          <w:highlight w:val="none"/>
        </w:rPr>
        <w:t>2.详见文件《</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pPr>
        <w:adjustRightInd w:val="0"/>
        <w:snapToGrid w:val="0"/>
        <w:spacing w:line="440" w:lineRule="exact"/>
        <w:ind w:firstLine="480" w:firstLineChars="200"/>
        <w:jc w:val="left"/>
        <w:rPr>
          <w:rFonts w:ascii="黑体" w:hAnsi="黑体" w:eastAsia="黑体" w:cs="黑体"/>
          <w:bCs/>
          <w:color w:val="auto"/>
          <w:sz w:val="24"/>
          <w:szCs w:val="24"/>
          <w:highlight w:val="none"/>
        </w:rPr>
      </w:pPr>
      <w:r>
        <w:rPr>
          <w:rFonts w:hint="eastAsia" w:ascii="黑体" w:hAnsi="黑体" w:eastAsia="黑体" w:cs="黑体"/>
          <w:color w:val="auto"/>
          <w:sz w:val="24"/>
          <w:szCs w:val="24"/>
          <w:highlight w:val="none"/>
        </w:rPr>
        <w:t>二、甲方的安全及消防安全责任</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（一）交底告知</w:t>
      </w:r>
      <w:r>
        <w:rPr>
          <w:rFonts w:hint="eastAsia" w:ascii="仿宋_GB2312" w:hAnsi="仿宋_GB2312" w:eastAsia="仿宋_GB2312" w:cs="仿宋_GB2312"/>
          <w:color w:val="auto"/>
          <w:sz w:val="24"/>
          <w:szCs w:val="24"/>
          <w:highlight w:val="none"/>
        </w:rPr>
        <w:t>。</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1.甲方应向乙方明确乙方驻点场所的具体位置，以及允许进入的区域，如办公区域、住宿区域、作业区域等。</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2.甲方有义务对乙方进厂人员进行安全交底教育培训，告知驻点场所存在的危险因素及相关的应急应对办法。</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3.甲方应向乙方提供甲方的突发事件应急联络方式，以及获取乙方的突发事件应急联络方式。</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（二）当乙方为广州市净水有限公司职能部门、项目组（部）时，消防设施、设备、灭火器材和消防安全警示标识的配置由甲方负责。</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（三）检查与督促隐患整改。</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1.甲方应每季度至少一次对乙方驻点场所开展检查，发现安全隐患、消防安全隐患要求乙方限期内整改，消除隐患。</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（四）突发事件。</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当甲方发生突发事件，可能</w:t>
      </w:r>
      <w:r>
        <w:rPr>
          <w:rFonts w:hint="eastAsia" w:ascii="仿宋_GB2312" w:hAnsi="仿宋_GB2312" w:eastAsia="仿宋_GB2312" w:cs="仿宋_GB2312"/>
          <w:color w:val="auto"/>
          <w:sz w:val="24"/>
          <w:szCs w:val="24"/>
          <w:highlight w:val="none"/>
        </w:rPr>
        <w:t>影响</w:t>
      </w:r>
      <w:r>
        <w:rPr>
          <w:rFonts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rPr>
        <w:t>，应</w:t>
      </w:r>
      <w:r>
        <w:rPr>
          <w:rFonts w:hint="eastAsia" w:ascii="仿宋_GB2312" w:hAnsi="仿宋_GB2312" w:eastAsia="仿宋_GB2312" w:cs="仿宋_GB2312"/>
          <w:color w:val="auto"/>
          <w:sz w:val="24"/>
          <w:szCs w:val="24"/>
          <w:highlight w:val="none"/>
        </w:rPr>
        <w:t>及时</w:t>
      </w:r>
      <w:r>
        <w:rPr>
          <w:rFonts w:ascii="仿宋_GB2312" w:hAnsi="仿宋_GB2312" w:eastAsia="仿宋_GB2312" w:cs="仿宋_GB2312"/>
          <w:color w:val="auto"/>
          <w:sz w:val="24"/>
          <w:szCs w:val="24"/>
          <w:highlight w:val="none"/>
        </w:rPr>
        <w:t>通知乙方按预案进行撤离或做好相关的工作</w:t>
      </w:r>
      <w:r>
        <w:rPr>
          <w:rFonts w:hint="eastAsia" w:ascii="仿宋_GB2312" w:hAnsi="仿宋_GB2312" w:eastAsia="仿宋_GB2312" w:cs="仿宋_GB2312"/>
          <w:color w:val="auto"/>
          <w:sz w:val="24"/>
          <w:szCs w:val="24"/>
          <w:highlight w:val="none"/>
        </w:rPr>
        <w:t>。</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2.当知道乙方发生突发事件时，应积极配合，按预案进行撤离或做好相关的工作。</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（五）重大安全风险、生产安全重大事故隐患（重大火灾隐患）等情况报告及举报。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1.对乙方上报的重大安全风险、生产安全重大事故隐患（重大火灾隐患），应当如实向公司报告。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当乙方为与广州市净水有限公司及其所属分、子公司与乙方存在合同关系的单位，如瞒报重大安全风险、生产安全重大事故隐患（重大火灾隐患），甲方除向公司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3.甲方发现乙方在驻点场所开展违法、犯罪活动，向公安部门举报。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（六）事故报告及举报。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1.对乙方上报的安全事故及消防安全事故，应当按公司预案报告。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2.当乙方为与广州市净水有限公司及其所属分、子公司与乙方存在合同关系的单位，如瞒报安全事故及消防安全事故，甲方除向公司报告外，有权向属地安全应急管理部门、属地行业主管部门举报。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（七）补充条款</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440" w:lineRule="exact"/>
        <w:ind w:firstLine="480" w:firstLineChars="200"/>
        <w:jc w:val="left"/>
        <w:rPr>
          <w:rFonts w:ascii="黑体" w:hAnsi="黑体" w:eastAsia="黑体" w:cs="黑体"/>
          <w:bCs/>
          <w:color w:val="auto"/>
          <w:sz w:val="24"/>
          <w:szCs w:val="24"/>
          <w:highlight w:val="none"/>
        </w:rPr>
      </w:pPr>
      <w:r>
        <w:rPr>
          <w:rFonts w:hint="eastAsia" w:ascii="黑体" w:hAnsi="黑体" w:eastAsia="黑体" w:cs="黑体"/>
          <w:color w:val="auto"/>
          <w:sz w:val="24"/>
          <w:szCs w:val="24"/>
          <w:highlight w:val="none"/>
        </w:rPr>
        <w:t>三、乙方的安全及消防安全责任</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（一）接受交底告知并复核确认</w:t>
      </w:r>
      <w:r>
        <w:rPr>
          <w:rFonts w:hint="eastAsia" w:ascii="仿宋_GB2312" w:hAnsi="仿宋_GB2312" w:eastAsia="仿宋_GB2312" w:cs="仿宋_GB2312"/>
          <w:color w:val="auto"/>
          <w:sz w:val="24"/>
          <w:szCs w:val="24"/>
          <w:highlight w:val="none"/>
        </w:rPr>
        <w:t>。</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1.乙方应清楚乙方驻点场所的具体位置，允许进入的区域，如办公区域、住宿区域、作业区域等的，并复核确认。需要在驻点场所内进行作业（施工）的，应征得甲方同意。</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2.乙方应清楚驻点场所存在的危险因素及相关的应急应对办法，复核确认，并对乙方驻点全体人员教育培训。</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3.乙方应向甲方提供乙方的突发事件应急联络方式，以及获取甲方的突发事件应急联络方式。</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（二）在驻点场所的安全管理及消防管理基本要求</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1.配置消防设施、设备、灭火器材和消防安全警示标识。负责配置及定期检查驻点场所的消防设施、设备、灭火器材和消防安全警示标识，做好检查记录，在有效期结束前或使用后及时更换。</w:t>
      </w:r>
    </w:p>
    <w:p>
      <w:pPr>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当乙方为广州市净水有限公司职能部门、项目组（部）时，消防设施、设备、灭火器材和消防安全警示标识的配置由甲方负责，消防设施、设备、灭火器材和消防安全警示标识的检查由乙方负责。</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2.严禁损坏、遮挡、占用或随意挪用消防设施设备。严禁占用、堵塞安全出口、疏塞通道等部位。</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3.严禁在驻点场所超负荷使用电器、不安全灯具、国家淘汰设备。未经甲方许可，严禁存放、使用易燃、易爆危险化学品。严禁““三合一”现象。</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4.乙方须在驻点区域进行施工作业的，必须向甲方报送负责人、现场安全责任人以及作业人员清单，并提交有关的安全资质、针对性的应急预案等资料给甲方备案。甲方同意后方可施工。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5.乙方必须对进入驻点区域的人员进行三级安全教育和经常性的法律法规、安全培训、消防知识培训等方面的教育，并做好相关记录。</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乙方有义务配合甲方及甲方上级单位、政府部门等对乙方驻点区域的安全检查，且应在检查人员进入现场前对检查人员进行安全告知，告知现场存在的危险因素及应急措施，并对检查发现的安全隐患、消防安全隐患及时进行整改。</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（三）检查与接受检查，并整改隐患。</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应做好驻点场所的每日安全生产、消防安全巡查及开展人员安全生产、消防安全教育，确保驻点场所内场所、场地、区域、施工、生产、经营等，符合国家、行业安全生产、消防安全相关要求，无对甲方生产安全、消防安全构成威胁，无开展违法、犯罪活动，无存放易燃易爆危险化学品，无乙方人员擅自进入允许范围以外的甲方场所。针对有现场作业（施工）的，有按方案落实各项措施以及及时发现并整改安全隐患、消防安全隐患，杜绝安全事故、消防安全事故。</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2.接受甲方“四不两直”的不定期检查。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（四）突发事件。</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1.当乙方发生突发事件，应通知甲方的，并按预案进行撤离或做好相关的工作。</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2.当甲方通知发生突发事件时，应积极配合，按预案进行撤离或做好相关的工作。</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（五）重大安全风险、生产安全重大事故隐患（重大火灾隐患）报告。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1.乙方识别存在重大安全风险的，应研究并落实管控措施，降低风险等级，并向甲方、属地安全应急管理部门、属地行业主管部门上报。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2.乙方自查或被外单位检查发现生产安全重大事故隐患（重大火灾隐患）的，应当立即向甲方、属地安全应急管理部门、属地行业主管部门上报。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3.如甲方未收到乙方关于重大安全风险、生产安全重大事故隐患（重大火灾隐患）的报告，但由其他途径获知信息的，视为瞒报。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4.不得谎报信息。</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（六）事故报告。</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1.乙方发生安全事故及消防安全事故的，应当在预案规定时间内立即向甲方报告。否则视为迟报。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当乙方为与广州市净水有限公司及其所属分、子公司与乙方存在合同关系的单位，应向属地安全应急管理部门、属地行业主管部门上报。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2.如甲方未收到乙方关于安全事故及消防安全事故的报告，但由其他途径获知信息的，视为瞒报。</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3.不得谎报信息。</w:t>
      </w:r>
    </w:p>
    <w:p>
      <w:pPr>
        <w:widowControl/>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（六）补充条款</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440" w:lineRule="exact"/>
        <w:ind w:firstLine="480" w:firstLineChars="200"/>
        <w:jc w:val="left"/>
        <w:rPr>
          <w:rFonts w:ascii="黑体" w:hAnsi="黑体" w:eastAsia="黑体" w:cs="黑体"/>
          <w:bCs/>
          <w:color w:val="auto"/>
          <w:sz w:val="24"/>
          <w:szCs w:val="24"/>
          <w:highlight w:val="none"/>
        </w:rPr>
      </w:pPr>
      <w:r>
        <w:rPr>
          <w:rFonts w:hint="eastAsia" w:ascii="黑体" w:hAnsi="黑体" w:eastAsia="黑体" w:cs="黑体"/>
          <w:color w:val="auto"/>
          <w:sz w:val="24"/>
          <w:szCs w:val="24"/>
          <w:highlight w:val="none"/>
        </w:rPr>
        <w:t>四、违约责任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（一）广州市净水有限公司及其所属分、子公司与乙方存在合同关系的</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1.未发生安全事故或消防安全事故的违约责任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（1）乙方未履行安全及消防安全责任的，甲方有权按合同相关条款处理。多次提出整改无效或按合同条款处理仍无改善的，甲方有权终止乙方驻点权利，并告知乙方上级管理单位。</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（2）因甲方未履行安全及消防安全责任，乙方有权按合同相关条款处理。</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2.发生安全事故或消防安全事故的违约责任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乙方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（2）如甲方未能提供甲方履职证明的，根据责任调查报告（意见）承担责任。</w:t>
      </w:r>
    </w:p>
    <w:p>
      <w:pPr>
        <w:widowControl/>
        <w:spacing w:line="44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（二）当甲方、乙方均为广州市净水有限公司所属职能部门、分（子）公司、项目组（部）的，按公司内部安全考核或安全责任追究等有关制度处理。</w:t>
      </w:r>
    </w:p>
    <w:p>
      <w:pPr>
        <w:adjustRightInd w:val="0"/>
        <w:snapToGrid w:val="0"/>
        <w:spacing w:line="440" w:lineRule="exact"/>
        <w:ind w:firstLine="480" w:firstLineChars="200"/>
        <w:jc w:val="left"/>
        <w:rPr>
          <w:rFonts w:ascii="黑体" w:hAnsi="黑体" w:eastAsia="黑体" w:cs="黑体"/>
          <w:bCs/>
          <w:color w:val="auto"/>
          <w:sz w:val="24"/>
          <w:szCs w:val="24"/>
          <w:highlight w:val="none"/>
        </w:rPr>
      </w:pPr>
      <w:r>
        <w:rPr>
          <w:rFonts w:hint="eastAsia" w:ascii="黑体" w:hAnsi="黑体" w:eastAsia="黑体" w:cs="黑体"/>
          <w:color w:val="auto"/>
          <w:sz w:val="24"/>
          <w:szCs w:val="24"/>
          <w:highlight w:val="none"/>
        </w:rPr>
        <w:t>五、附则</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adjustRightInd w:val="0"/>
        <w:snapToGrid w:val="0"/>
        <w:spacing w:line="44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（三）本协议原则上每年一签。甲方、乙方双方执持数量与合同一致。</w:t>
      </w:r>
    </w:p>
    <w:p>
      <w:pPr>
        <w:rPr>
          <w:rFonts w:ascii="仿宋_GB2312" w:hAnsi="仿宋_GB2312" w:eastAsia="仿宋_GB2312" w:cs="仿宋_GB2312"/>
          <w:color w:val="auto"/>
          <w:sz w:val="24"/>
          <w:szCs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甲方（盖章）：</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乙方（盖章）：</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spacing w:line="500" w:lineRule="exact"/>
        <w:rPr>
          <w:rFonts w:ascii="仿宋" w:hAnsi="仿宋" w:eastAsia="仿宋" w:cs="宋体"/>
          <w:color w:val="auto"/>
          <w:szCs w:val="21"/>
          <w:highlight w:val="none"/>
        </w:rPr>
      </w:pPr>
      <w:r>
        <w:rPr>
          <w:rFonts w:hint="eastAsia" w:ascii="仿宋" w:hAnsi="仿宋" w:eastAsia="仿宋" w:cs="宋体"/>
          <w:color w:val="auto"/>
          <w:szCs w:val="21"/>
          <w:highlight w:val="none"/>
        </w:rPr>
        <w:t>附件5服务内容/技术需求</w:t>
      </w:r>
    </w:p>
    <w:p>
      <w:pPr>
        <w:pStyle w:val="7"/>
        <w:rPr>
          <w:color w:val="auto"/>
          <w:highlight w:val="none"/>
        </w:rPr>
      </w:pPr>
    </w:p>
    <w:p>
      <w:pPr>
        <w:jc w:val="center"/>
        <w:rPr>
          <w:rFonts w:ascii="仿宋" w:hAnsi="仿宋" w:eastAsia="仿宋"/>
          <w:color w:val="auto"/>
          <w:w w:val="80"/>
          <w:sz w:val="30"/>
          <w:szCs w:val="30"/>
          <w:highlight w:val="none"/>
        </w:rPr>
      </w:pPr>
      <w:r>
        <w:rPr>
          <w:rFonts w:hint="eastAsia" w:ascii="仿宋" w:hAnsi="仿宋" w:eastAsia="仿宋"/>
          <w:color w:val="auto"/>
          <w:w w:val="80"/>
          <w:sz w:val="30"/>
          <w:szCs w:val="30"/>
          <w:highlight w:val="none"/>
        </w:rPr>
        <w:t>2</w:t>
      </w:r>
      <w:r>
        <w:rPr>
          <w:rFonts w:ascii="仿宋" w:hAnsi="仿宋" w:eastAsia="仿宋"/>
          <w:color w:val="auto"/>
          <w:w w:val="80"/>
          <w:sz w:val="30"/>
          <w:szCs w:val="30"/>
          <w:highlight w:val="none"/>
        </w:rPr>
        <w:t>025</w:t>
      </w:r>
      <w:r>
        <w:rPr>
          <w:rFonts w:hint="eastAsia" w:ascii="仿宋" w:hAnsi="仿宋" w:eastAsia="仿宋"/>
          <w:color w:val="auto"/>
          <w:w w:val="80"/>
          <w:sz w:val="30"/>
          <w:szCs w:val="30"/>
          <w:highlight w:val="none"/>
        </w:rPr>
        <w:t>年度综合安防管理平台软件系统运维服务项目技术要求</w:t>
      </w:r>
    </w:p>
    <w:p>
      <w:pPr>
        <w:pStyle w:val="4"/>
        <w:rPr>
          <w:rFonts w:ascii="仿宋" w:hAnsi="仿宋" w:eastAsia="仿宋"/>
          <w:color w:val="auto"/>
          <w:sz w:val="24"/>
          <w:szCs w:val="24"/>
          <w:highlight w:val="none"/>
        </w:rPr>
      </w:pPr>
      <w:r>
        <w:rPr>
          <w:rFonts w:hint="eastAsia" w:ascii="仿宋" w:hAnsi="仿宋" w:eastAsia="仿宋"/>
          <w:color w:val="auto"/>
          <w:sz w:val="24"/>
          <w:szCs w:val="24"/>
          <w:highlight w:val="none"/>
        </w:rPr>
        <w:t>一、现状描述</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目前净水公司综合安防管理平台是海康威视</w:t>
      </w:r>
      <w:r>
        <w:rPr>
          <w:rFonts w:ascii="仿宋" w:hAnsi="仿宋" w:eastAsia="仿宋" w:cs="Times New Roman"/>
          <w:color w:val="auto"/>
          <w:sz w:val="24"/>
          <w:szCs w:val="24"/>
          <w:highlight w:val="none"/>
        </w:rPr>
        <w:t>ISC</w:t>
      </w:r>
      <w:r>
        <w:rPr>
          <w:rFonts w:hint="eastAsia" w:ascii="仿宋" w:hAnsi="仿宋" w:eastAsia="仿宋" w:cs="Times New Roman"/>
          <w:color w:val="auto"/>
          <w:sz w:val="24"/>
          <w:szCs w:val="24"/>
          <w:highlight w:val="none"/>
        </w:rPr>
        <w:t>版本，覆盖公司所属13座净水厂生产和办公区域。截止目前，接入的视频数据数量从2</w:t>
      </w:r>
      <w:r>
        <w:rPr>
          <w:rFonts w:ascii="仿宋" w:hAnsi="仿宋" w:eastAsia="仿宋" w:cs="Times New Roman"/>
          <w:color w:val="auto"/>
          <w:sz w:val="24"/>
          <w:szCs w:val="24"/>
          <w:highlight w:val="none"/>
        </w:rPr>
        <w:t>023</w:t>
      </w:r>
      <w:r>
        <w:rPr>
          <w:rFonts w:hint="eastAsia" w:ascii="仿宋" w:hAnsi="仿宋" w:eastAsia="仿宋" w:cs="Times New Roman"/>
          <w:color w:val="auto"/>
          <w:sz w:val="24"/>
          <w:szCs w:val="24"/>
          <w:highlight w:val="none"/>
        </w:rPr>
        <w:t>年的1</w:t>
      </w:r>
      <w:r>
        <w:rPr>
          <w:rFonts w:ascii="仿宋" w:hAnsi="仿宋" w:eastAsia="仿宋" w:cs="Times New Roman"/>
          <w:color w:val="auto"/>
          <w:sz w:val="24"/>
          <w:szCs w:val="24"/>
          <w:highlight w:val="none"/>
        </w:rPr>
        <w:t>600</w:t>
      </w:r>
      <w:r>
        <w:rPr>
          <w:rFonts w:hint="eastAsia" w:ascii="仿宋" w:hAnsi="仿宋" w:eastAsia="仿宋" w:cs="Times New Roman"/>
          <w:color w:val="auto"/>
          <w:sz w:val="24"/>
          <w:szCs w:val="24"/>
          <w:highlight w:val="none"/>
        </w:rPr>
        <w:t>路增加至1</w:t>
      </w:r>
      <w:r>
        <w:rPr>
          <w:rFonts w:ascii="仿宋" w:hAnsi="仿宋" w:eastAsia="仿宋" w:cs="Times New Roman"/>
          <w:color w:val="auto"/>
          <w:sz w:val="24"/>
          <w:szCs w:val="24"/>
          <w:highlight w:val="none"/>
        </w:rPr>
        <w:t>937</w:t>
      </w:r>
      <w:r>
        <w:rPr>
          <w:rFonts w:hint="eastAsia" w:ascii="仿宋" w:hAnsi="仿宋" w:eastAsia="仿宋" w:cs="Times New Roman"/>
          <w:color w:val="auto"/>
          <w:sz w:val="24"/>
          <w:szCs w:val="24"/>
          <w:highlight w:val="none"/>
        </w:rPr>
        <w:t>路，并增加危化品专题分类。平台已实现视频的实时浏览、录像回放、云台控制、快速抓图、轮训分组、灵活建立视频专题等多项功能，可通过平台实时掌握各厂的生产和办公等各项工作的实时状况，为生产安全监控、应急指挥调度提供有力的信息化技术支撑。</w:t>
      </w:r>
    </w:p>
    <w:p>
      <w:pPr>
        <w:pStyle w:val="4"/>
        <w:ind w:left="420" w:hanging="420"/>
        <w:rPr>
          <w:rFonts w:ascii="仿宋" w:hAnsi="仿宋" w:eastAsia="仿宋" w:cs="宋体"/>
          <w:color w:val="auto"/>
          <w:sz w:val="24"/>
          <w:szCs w:val="24"/>
          <w:highlight w:val="none"/>
        </w:rPr>
      </w:pPr>
      <w:r>
        <w:rPr>
          <w:rFonts w:hint="eastAsia" w:ascii="仿宋" w:hAnsi="仿宋" w:eastAsia="仿宋"/>
          <w:color w:val="auto"/>
          <w:sz w:val="24"/>
          <w:szCs w:val="24"/>
          <w:highlight w:val="none"/>
        </w:rPr>
        <w:t>二、运维方案</w:t>
      </w:r>
    </w:p>
    <w:p>
      <w:pPr>
        <w:pStyle w:val="47"/>
        <w:numPr>
          <w:ilvl w:val="0"/>
          <w:numId w:val="0"/>
        </w:numPr>
        <w:ind w:left="420"/>
        <w:rPr>
          <w:rFonts w:ascii="仿宋" w:hAnsi="仿宋"/>
          <w:color w:val="auto"/>
          <w:sz w:val="24"/>
          <w:szCs w:val="24"/>
          <w:highlight w:val="none"/>
        </w:rPr>
      </w:pPr>
      <w:r>
        <w:rPr>
          <w:rFonts w:hint="eastAsia" w:ascii="仿宋" w:hAnsi="仿宋"/>
          <w:color w:val="auto"/>
          <w:sz w:val="24"/>
          <w:szCs w:val="24"/>
          <w:highlight w:val="none"/>
        </w:rPr>
        <w:t>（一）运维范围</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202</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年综合安防管理平台软件系统运维服务项目，维护范围包括</w:t>
      </w:r>
      <w:r>
        <w:rPr>
          <w:rFonts w:hint="eastAsia" w:ascii="仿宋" w:hAnsi="仿宋" w:eastAsia="仿宋" w:cs="Times New Roman"/>
          <w:color w:val="auto"/>
          <w:sz w:val="24"/>
          <w:szCs w:val="24"/>
          <w:highlight w:val="none"/>
        </w:rPr>
        <w:t>公司视频监控系统平台日常运维和接入公司视频监控系统平台的各厂视频监控网络配置管理、各厂视频接入交换机延保、提供ISC平台专用服务器的服务、配合第三方平台的视频图像取流接入工作，以及集团水博园应急指挥调度系统中展示净水公司视频综合安防管理平台软件的技术支持、沥滘三期指挥调度中心展示净水公司视频综合安防管理平台软件的技术支持等相关应急工作。具体内容如下：</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（1）平台的</w:t>
      </w:r>
      <w:r>
        <w:rPr>
          <w:rFonts w:ascii="仿宋" w:hAnsi="仿宋" w:eastAsia="仿宋" w:cs="Times New Roman"/>
          <w:color w:val="auto"/>
          <w:sz w:val="24"/>
          <w:szCs w:val="24"/>
          <w:highlight w:val="none"/>
        </w:rPr>
        <w:t>日常运维</w:t>
      </w:r>
      <w:r>
        <w:rPr>
          <w:rFonts w:hint="eastAsia" w:ascii="仿宋" w:hAnsi="仿宋" w:eastAsia="仿宋" w:cs="Times New Roman"/>
          <w:color w:val="auto"/>
          <w:sz w:val="24"/>
          <w:szCs w:val="24"/>
          <w:highlight w:val="none"/>
        </w:rPr>
        <w:t>及故障记录和备案提醒；</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（2）现场巡检各厂视频接入交换机及视频网络配置管理；</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（3）软件平台的原厂升级服务和技术指导；</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配合第三方平台</w:t>
      </w:r>
      <w:r>
        <w:rPr>
          <w:rFonts w:hint="eastAsia" w:ascii="仿宋" w:hAnsi="仿宋" w:eastAsia="仿宋" w:cs="Times New Roman"/>
          <w:color w:val="auto"/>
          <w:sz w:val="24"/>
          <w:szCs w:val="24"/>
          <w:highlight w:val="none"/>
        </w:rPr>
        <w:t>或上级单位的</w:t>
      </w:r>
      <w:r>
        <w:rPr>
          <w:rFonts w:ascii="仿宋" w:hAnsi="仿宋" w:eastAsia="仿宋" w:cs="Times New Roman"/>
          <w:color w:val="auto"/>
          <w:sz w:val="24"/>
          <w:szCs w:val="24"/>
          <w:highlight w:val="none"/>
        </w:rPr>
        <w:t>视频图像接入工作，</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5</w:t>
      </w:r>
      <w:r>
        <w:rPr>
          <w:rFonts w:hint="eastAsia" w:ascii="仿宋" w:hAnsi="仿宋" w:eastAsia="仿宋" w:cs="Times New Roman"/>
          <w:color w:val="auto"/>
          <w:sz w:val="24"/>
          <w:szCs w:val="24"/>
          <w:highlight w:val="none"/>
        </w:rPr>
        <w:t>）视频相关技术支持及临时系统保障服务等</w:t>
      </w:r>
      <w:r>
        <w:rPr>
          <w:rFonts w:ascii="仿宋" w:hAnsi="仿宋" w:eastAsia="仿宋" w:cs="Times New Roman"/>
          <w:color w:val="auto"/>
          <w:sz w:val="24"/>
          <w:szCs w:val="24"/>
          <w:highlight w:val="none"/>
        </w:rPr>
        <w:t>工作</w:t>
      </w:r>
      <w:r>
        <w:rPr>
          <w:rFonts w:hint="eastAsia" w:ascii="仿宋" w:hAnsi="仿宋" w:eastAsia="仿宋" w:cs="Times New Roman"/>
          <w:color w:val="auto"/>
          <w:sz w:val="24"/>
          <w:szCs w:val="24"/>
          <w:highlight w:val="none"/>
        </w:rPr>
        <w:t>；</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6</w:t>
      </w:r>
      <w:r>
        <w:rPr>
          <w:rFonts w:hint="eastAsia" w:ascii="仿宋" w:hAnsi="仿宋" w:eastAsia="仿宋" w:cs="Times New Roman"/>
          <w:color w:val="auto"/>
          <w:sz w:val="24"/>
          <w:szCs w:val="24"/>
          <w:highlight w:val="none"/>
        </w:rPr>
        <w:t>）新增工作量说明：</w:t>
      </w:r>
    </w:p>
    <w:p>
      <w:pPr>
        <w:spacing w:after="156" w:afterLines="50" w:line="360" w:lineRule="auto"/>
        <w:ind w:left="630" w:leftChars="3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①</w:t>
      </w:r>
      <w:r>
        <w:rPr>
          <w:rFonts w:ascii="仿宋" w:hAnsi="仿宋" w:eastAsia="仿宋" w:cs="Times New Roman"/>
          <w:color w:val="auto"/>
          <w:sz w:val="24"/>
          <w:szCs w:val="24"/>
          <w:highlight w:val="none"/>
        </w:rPr>
        <w:t>监控点接入数量从1600路增加到1937路，增长率达到21.2%</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编码设备数量（</w:t>
      </w:r>
      <w:r>
        <w:rPr>
          <w:rFonts w:hint="eastAsia" w:ascii="仿宋" w:hAnsi="仿宋" w:eastAsia="仿宋" w:cs="Times New Roman"/>
          <w:color w:val="auto"/>
          <w:sz w:val="24"/>
          <w:szCs w:val="24"/>
          <w:highlight w:val="none"/>
        </w:rPr>
        <w:t>原</w:t>
      </w:r>
      <w:r>
        <w:rPr>
          <w:rFonts w:ascii="仿宋" w:hAnsi="仿宋" w:eastAsia="仿宋" w:cs="Times New Roman"/>
          <w:color w:val="auto"/>
          <w:sz w:val="24"/>
          <w:szCs w:val="24"/>
          <w:highlight w:val="none"/>
        </w:rPr>
        <w:t>64台，现74台）增加15.6%，对系统性能、数量处理能力、对保障业务系统良好运行提出更高的要求</w:t>
      </w:r>
      <w:r>
        <w:rPr>
          <w:rFonts w:hint="eastAsia" w:ascii="仿宋" w:hAnsi="仿宋" w:eastAsia="仿宋" w:cs="Times New Roman"/>
          <w:color w:val="auto"/>
          <w:sz w:val="24"/>
          <w:szCs w:val="24"/>
          <w:highlight w:val="none"/>
        </w:rPr>
        <w:t>；</w:t>
      </w:r>
    </w:p>
    <w:p>
      <w:pPr>
        <w:spacing w:after="156" w:afterLines="50" w:line="360" w:lineRule="auto"/>
        <w:ind w:left="630" w:leftChars="3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②</w:t>
      </w:r>
      <w:r>
        <w:rPr>
          <w:rFonts w:ascii="仿宋" w:hAnsi="仿宋" w:eastAsia="仿宋" w:cs="Times New Roman"/>
          <w:color w:val="auto"/>
          <w:sz w:val="24"/>
          <w:szCs w:val="24"/>
          <w:highlight w:val="none"/>
        </w:rPr>
        <w:t>新增</w:t>
      </w:r>
      <w:r>
        <w:rPr>
          <w:rFonts w:hint="eastAsia" w:ascii="仿宋" w:hAnsi="仿宋" w:eastAsia="仿宋" w:cs="Times New Roman"/>
          <w:color w:val="auto"/>
          <w:sz w:val="24"/>
          <w:szCs w:val="24"/>
          <w:highlight w:val="none"/>
        </w:rPr>
        <w:t>公司与分公司视频</w:t>
      </w:r>
      <w:r>
        <w:rPr>
          <w:rFonts w:ascii="仿宋" w:hAnsi="仿宋" w:eastAsia="仿宋" w:cs="Times New Roman"/>
          <w:color w:val="auto"/>
          <w:sz w:val="24"/>
          <w:szCs w:val="24"/>
          <w:highlight w:val="none"/>
        </w:rPr>
        <w:t>平台</w:t>
      </w:r>
      <w:r>
        <w:rPr>
          <w:rFonts w:hint="eastAsia" w:ascii="仿宋" w:hAnsi="仿宋" w:eastAsia="仿宋" w:cs="Times New Roman"/>
          <w:color w:val="auto"/>
          <w:sz w:val="24"/>
          <w:szCs w:val="24"/>
          <w:highlight w:val="none"/>
        </w:rPr>
        <w:t>数据</w:t>
      </w:r>
      <w:r>
        <w:rPr>
          <w:rFonts w:ascii="仿宋" w:hAnsi="仿宋" w:eastAsia="仿宋" w:cs="Times New Roman"/>
          <w:color w:val="auto"/>
          <w:sz w:val="24"/>
          <w:szCs w:val="24"/>
          <w:highlight w:val="none"/>
        </w:rPr>
        <w:t>对接与级联</w:t>
      </w:r>
      <w:r>
        <w:rPr>
          <w:rFonts w:hint="eastAsia" w:ascii="仿宋" w:hAnsi="仿宋" w:eastAsia="仿宋" w:cs="Times New Roman"/>
          <w:color w:val="auto"/>
          <w:sz w:val="24"/>
          <w:szCs w:val="24"/>
          <w:highlight w:val="none"/>
        </w:rPr>
        <w:t>服务，需对公司的视频平台进行二次开发，开放授权限制，并对平台各级配置、账户权限进行维护管理；</w:t>
      </w:r>
    </w:p>
    <w:p>
      <w:pPr>
        <w:spacing w:after="156" w:afterLines="50" w:line="360" w:lineRule="auto"/>
        <w:ind w:left="210" w:leftChars="100"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③</w:t>
      </w:r>
      <w:r>
        <w:rPr>
          <w:rFonts w:ascii="仿宋" w:hAnsi="仿宋" w:eastAsia="仿宋" w:cs="Times New Roman"/>
          <w:color w:val="auto"/>
          <w:sz w:val="24"/>
          <w:szCs w:val="24"/>
          <w:highlight w:val="none"/>
        </w:rPr>
        <w:t>维护范围扩大</w:t>
      </w:r>
      <w:r>
        <w:rPr>
          <w:rFonts w:hint="eastAsia" w:ascii="仿宋" w:hAnsi="仿宋" w:eastAsia="仿宋" w:cs="Times New Roman"/>
          <w:color w:val="auto"/>
          <w:sz w:val="24"/>
          <w:szCs w:val="24"/>
          <w:highlight w:val="none"/>
        </w:rPr>
        <w:t>（原1</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座分厂，现1</w:t>
      </w: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个），</w:t>
      </w:r>
      <w:r>
        <w:rPr>
          <w:rFonts w:ascii="仿宋" w:hAnsi="仿宋" w:eastAsia="仿宋" w:cs="Times New Roman"/>
          <w:color w:val="auto"/>
          <w:sz w:val="24"/>
          <w:szCs w:val="24"/>
          <w:highlight w:val="none"/>
        </w:rPr>
        <w:t>新增水质中心</w:t>
      </w:r>
      <w:r>
        <w:rPr>
          <w:rFonts w:hint="eastAsia" w:ascii="仿宋" w:hAnsi="仿宋" w:eastAsia="仿宋" w:cs="Times New Roman"/>
          <w:color w:val="auto"/>
          <w:sz w:val="24"/>
          <w:szCs w:val="24"/>
          <w:highlight w:val="none"/>
        </w:rPr>
        <w:t>视频接入的运维工作；</w:t>
      </w:r>
    </w:p>
    <w:p>
      <w:pPr>
        <w:spacing w:after="156" w:afterLines="50" w:line="360" w:lineRule="auto"/>
        <w:ind w:firstLine="720" w:firstLineChars="3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④新增智慧运营管理平台视频数据对接和视频取流服务。</w:t>
      </w:r>
    </w:p>
    <w:p>
      <w:pPr>
        <w:ind w:firstLine="480" w:firstLineChars="200"/>
        <w:rPr>
          <w:rFonts w:ascii="仿宋" w:hAnsi="仿宋" w:eastAsia="仿宋" w:cs="仿宋_GB2312"/>
          <w:color w:val="auto"/>
          <w:sz w:val="24"/>
          <w:szCs w:val="24"/>
          <w:highlight w:val="none"/>
          <w:lang w:val="zh-CN"/>
        </w:rPr>
      </w:pPr>
      <w:r>
        <w:rPr>
          <w:rFonts w:hint="eastAsia" w:ascii="仿宋" w:hAnsi="仿宋" w:eastAsia="仿宋" w:cs="仿宋_GB2312"/>
          <w:color w:val="auto"/>
          <w:sz w:val="24"/>
          <w:szCs w:val="24"/>
          <w:highlight w:val="none"/>
          <w:lang w:val="zh-CN"/>
        </w:rPr>
        <w:t>运维范围如下：</w:t>
      </w:r>
    </w:p>
    <w:tbl>
      <w:tblPr>
        <w:tblStyle w:val="23"/>
        <w:tblW w:w="8316" w:type="dxa"/>
        <w:jc w:val="center"/>
        <w:tblLayout w:type="autofit"/>
        <w:tblCellMar>
          <w:top w:w="0" w:type="dxa"/>
          <w:left w:w="0" w:type="dxa"/>
          <w:bottom w:w="0" w:type="dxa"/>
          <w:right w:w="0" w:type="dxa"/>
        </w:tblCellMar>
      </w:tblPr>
      <w:tblGrid>
        <w:gridCol w:w="1046"/>
        <w:gridCol w:w="1955"/>
        <w:gridCol w:w="2834"/>
        <w:gridCol w:w="2481"/>
      </w:tblGrid>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b/>
                <w:bCs/>
                <w:color w:val="auto"/>
                <w:kern w:val="24"/>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b/>
                <w:bCs/>
                <w:color w:val="auto"/>
                <w:kern w:val="24"/>
                <w:sz w:val="24"/>
                <w:szCs w:val="24"/>
                <w:highlight w:val="none"/>
              </w:rPr>
              <w:t>名称</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b/>
                <w:bCs/>
                <w:color w:val="auto"/>
                <w:kern w:val="24"/>
                <w:sz w:val="24"/>
                <w:szCs w:val="24"/>
                <w:highlight w:val="none"/>
              </w:rPr>
              <w:t>维护内容</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Arial"/>
                <w:b/>
                <w:bCs/>
                <w:color w:val="auto"/>
                <w:kern w:val="24"/>
                <w:sz w:val="24"/>
                <w:szCs w:val="24"/>
                <w:highlight w:val="none"/>
              </w:rPr>
            </w:pPr>
            <w:r>
              <w:rPr>
                <w:rFonts w:hint="eastAsia" w:ascii="仿宋" w:hAnsi="仿宋" w:eastAsia="仿宋" w:cs="Arial"/>
                <w:b/>
                <w:bCs/>
                <w:color w:val="auto"/>
                <w:kern w:val="24"/>
                <w:sz w:val="24"/>
                <w:szCs w:val="24"/>
                <w:highlight w:val="none"/>
              </w:rPr>
              <w:t>品牌</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1</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公司数据中心</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视频综合管理平台</w:t>
            </w: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海康威视</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2</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猎德分公司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3</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沥滘分公司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4</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大观分公司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5</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江高分公司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6</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健康城分公司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7</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大沙地分公司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8</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ascii="仿宋" w:hAnsi="仿宋" w:eastAsia="仿宋" w:cs="Arial"/>
                <w:color w:val="auto"/>
                <w:kern w:val="0"/>
                <w:sz w:val="24"/>
                <w:szCs w:val="24"/>
                <w:highlight w:val="none"/>
              </w:rPr>
              <w:t>均禾</w:t>
            </w:r>
            <w:r>
              <w:rPr>
                <w:rFonts w:hint="eastAsia" w:ascii="仿宋" w:hAnsi="仿宋" w:eastAsia="仿宋" w:cs="Arial"/>
                <w:color w:val="auto"/>
                <w:kern w:val="0"/>
                <w:sz w:val="24"/>
                <w:szCs w:val="24"/>
                <w:highlight w:val="none"/>
              </w:rPr>
              <w:t>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9</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龙归分公司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10</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石井净分公司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11</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0"/>
                <w:sz w:val="24"/>
                <w:szCs w:val="24"/>
                <w:highlight w:val="none"/>
              </w:rPr>
            </w:pPr>
            <w:r>
              <w:rPr>
                <w:rFonts w:hint="eastAsia" w:ascii="仿宋" w:hAnsi="仿宋" w:eastAsia="仿宋" w:cs="Arial"/>
                <w:color w:val="auto"/>
                <w:kern w:val="24"/>
                <w:sz w:val="24"/>
                <w:szCs w:val="24"/>
                <w:highlight w:val="none"/>
              </w:rPr>
              <w:t>西朗二期分公司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12</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京溪分公司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视频软件配置</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13</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大坦沙分公司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auto"/>
                <w:sz w:val="24"/>
                <w:szCs w:val="24"/>
                <w:highlight w:val="none"/>
              </w:rPr>
            </w:pPr>
            <w:r>
              <w:rPr>
                <w:rFonts w:hint="eastAsia" w:ascii="仿宋" w:hAnsi="仿宋" w:eastAsia="仿宋" w:cs="Arial"/>
                <w:color w:val="auto"/>
                <w:kern w:val="24"/>
                <w:sz w:val="24"/>
                <w:szCs w:val="24"/>
                <w:highlight w:val="none"/>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14</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竹料分公司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视频软件配置</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1</w:t>
            </w:r>
            <w:r>
              <w:rPr>
                <w:rFonts w:ascii="仿宋" w:hAnsi="仿宋" w:eastAsia="仿宋" w:cs="Arial"/>
                <w:color w:val="auto"/>
                <w:kern w:val="24"/>
                <w:sz w:val="24"/>
                <w:szCs w:val="24"/>
                <w:highlight w:val="none"/>
              </w:rPr>
              <w:t>5</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水质检测中心</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auto"/>
                <w:kern w:val="24"/>
                <w:sz w:val="24"/>
                <w:szCs w:val="24"/>
                <w:highlight w:val="none"/>
              </w:rPr>
            </w:pPr>
            <w:r>
              <w:rPr>
                <w:rFonts w:hint="eastAsia" w:ascii="仿宋" w:hAnsi="仿宋" w:eastAsia="仿宋" w:cs="Arial"/>
                <w:color w:val="auto"/>
                <w:kern w:val="24"/>
                <w:sz w:val="24"/>
                <w:szCs w:val="24"/>
                <w:highlight w:val="none"/>
              </w:rPr>
              <w:t>视频软件配置</w:t>
            </w:r>
          </w:p>
        </w:tc>
      </w:tr>
    </w:tbl>
    <w:p>
      <w:pPr>
        <w:pStyle w:val="47"/>
        <w:numPr>
          <w:ilvl w:val="0"/>
          <w:numId w:val="0"/>
        </w:numPr>
        <w:ind w:left="420"/>
        <w:rPr>
          <w:rFonts w:ascii="仿宋" w:hAnsi="仿宋"/>
          <w:color w:val="auto"/>
          <w:sz w:val="24"/>
          <w:szCs w:val="24"/>
          <w:highlight w:val="none"/>
        </w:rPr>
      </w:pPr>
      <w:r>
        <w:rPr>
          <w:rFonts w:hint="eastAsia" w:ascii="仿宋" w:hAnsi="仿宋"/>
          <w:color w:val="auto"/>
          <w:sz w:val="24"/>
          <w:szCs w:val="24"/>
          <w:highlight w:val="none"/>
        </w:rPr>
        <w:t>（二）维护工作要求</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系统日常运行维护</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（1）每日完成系统巡查,掉线情况须做好记录备查,并并反馈给厂区视频管理员。</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（2）针对掉线故障无法2</w:t>
      </w: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小时修复的情况，须要求厂里按净水公司相关要求在智慧运营管理系统中的事件报送中进行备案说明，故障解除后须更新事件处理状态。</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.负责软件平台的软件升级</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负责向海康威视厂商支付平台系统的延保费用以及远程</w:t>
      </w:r>
      <w:r>
        <w:rPr>
          <w:rFonts w:hint="eastAsia" w:ascii="仿宋" w:hAnsi="仿宋" w:eastAsia="仿宋" w:cs="Times New Roman"/>
          <w:color w:val="auto"/>
          <w:sz w:val="24"/>
          <w:szCs w:val="24"/>
          <w:highlight w:val="none"/>
        </w:rPr>
        <w:t>服务</w:t>
      </w:r>
      <w:r>
        <w:rPr>
          <w:rFonts w:ascii="仿宋" w:hAnsi="仿宋" w:eastAsia="仿宋" w:cs="Times New Roman"/>
          <w:color w:val="auto"/>
          <w:sz w:val="24"/>
          <w:szCs w:val="24"/>
          <w:highlight w:val="none"/>
        </w:rPr>
        <w:t>、必要的</w:t>
      </w:r>
      <w:r>
        <w:rPr>
          <w:rFonts w:hint="eastAsia" w:ascii="仿宋" w:hAnsi="仿宋" w:eastAsia="仿宋" w:cs="Times New Roman"/>
          <w:color w:val="auto"/>
          <w:sz w:val="24"/>
          <w:szCs w:val="24"/>
          <w:highlight w:val="none"/>
        </w:rPr>
        <w:t>原厂家</w:t>
      </w:r>
      <w:r>
        <w:rPr>
          <w:rFonts w:ascii="仿宋" w:hAnsi="仿宋" w:eastAsia="仿宋" w:cs="Times New Roman"/>
          <w:color w:val="auto"/>
          <w:sz w:val="24"/>
          <w:szCs w:val="24"/>
          <w:highlight w:val="none"/>
        </w:rPr>
        <w:t>上门</w:t>
      </w:r>
      <w:r>
        <w:rPr>
          <w:rFonts w:hint="eastAsia" w:ascii="仿宋" w:hAnsi="仿宋" w:eastAsia="仿宋" w:cs="Times New Roman"/>
          <w:color w:val="auto"/>
          <w:sz w:val="24"/>
          <w:szCs w:val="24"/>
          <w:highlight w:val="none"/>
        </w:rPr>
        <w:t>原厂技术</w:t>
      </w:r>
      <w:r>
        <w:rPr>
          <w:rFonts w:ascii="仿宋" w:hAnsi="仿宋" w:eastAsia="仿宋" w:cs="Times New Roman"/>
          <w:color w:val="auto"/>
          <w:sz w:val="24"/>
          <w:szCs w:val="24"/>
          <w:highlight w:val="none"/>
        </w:rPr>
        <w:t>服务费用</w:t>
      </w:r>
      <w:r>
        <w:rPr>
          <w:rFonts w:hint="eastAsia" w:ascii="仿宋" w:hAnsi="仿宋" w:eastAsia="仿宋" w:cs="Times New Roman"/>
          <w:color w:val="auto"/>
          <w:sz w:val="24"/>
          <w:szCs w:val="24"/>
          <w:highlight w:val="none"/>
        </w:rPr>
        <w:t>（包含现场技术支持</w:t>
      </w:r>
      <w:r>
        <w:rPr>
          <w:rFonts w:ascii="仿宋" w:hAnsi="仿宋" w:eastAsia="仿宋" w:cs="Times New Roman"/>
          <w:color w:val="auto"/>
          <w:sz w:val="24"/>
          <w:szCs w:val="24"/>
          <w:highlight w:val="none"/>
        </w:rPr>
        <w:t>+研发技术支持+测试技术支持+运维专业支持+后勤保障）。</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新增视频设备网络部署</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因业务发展需要或需求变动，新增接入平台的硬盘录像机网络部署以及完善平台功能，现场服务工作量小于（含）</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人日以及平台对应功能的调整工作，年累计不能超过</w:t>
      </w:r>
      <w:r>
        <w:rPr>
          <w:rFonts w:ascii="仿宋" w:hAnsi="仿宋" w:eastAsia="仿宋" w:cs="Times New Roman"/>
          <w:color w:val="auto"/>
          <w:sz w:val="24"/>
          <w:szCs w:val="24"/>
          <w:highlight w:val="none"/>
        </w:rPr>
        <w:t>15</w:t>
      </w:r>
      <w:r>
        <w:rPr>
          <w:rFonts w:hint="eastAsia" w:ascii="仿宋" w:hAnsi="仿宋" w:eastAsia="仿宋" w:cs="Times New Roman"/>
          <w:color w:val="auto"/>
          <w:sz w:val="24"/>
          <w:szCs w:val="24"/>
          <w:highlight w:val="none"/>
        </w:rPr>
        <w:t>个工作日；</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平台突发事件的诊断、排除和咨询服务</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及时解决平台运行过程中发生的突发事件，尽最大努力排除平台自身故障恢复正常运行。帮助解答甲方提出的平台相关的各种业务和技术问题，包括技术咨询、指导和信息提供等。</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现场巡检</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每两个月对公司本部及各厂远程或现场进行管理软件及相关硬件设备可用性检测，平台管理、设备状态管理、安全管理等功能有效性确认。对各厂监控设施台账检查更新，并对各厂监控设施情况进行梳理及提出优化建议。</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6.</w:t>
      </w:r>
      <w:r>
        <w:rPr>
          <w:rFonts w:hint="eastAsia" w:ascii="仿宋" w:hAnsi="仿宋" w:eastAsia="仿宋" w:cs="Times New Roman"/>
          <w:color w:val="auto"/>
          <w:sz w:val="24"/>
          <w:szCs w:val="24"/>
          <w:highlight w:val="none"/>
        </w:rPr>
        <w:t>运维数据管理</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定期整理运维过程中所生成的报表，从应用平台角度来优化数据库，如建立并优化树目录、优化存储，提高应用平台运行速度。辅助平台厂商进行数据库性能优化。</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7.</w:t>
      </w:r>
      <w:r>
        <w:rPr>
          <w:rFonts w:hint="eastAsia" w:ascii="仿宋" w:hAnsi="仿宋" w:eastAsia="仿宋" w:cs="Times New Roman"/>
          <w:color w:val="auto"/>
          <w:sz w:val="24"/>
          <w:szCs w:val="24"/>
          <w:highlight w:val="none"/>
        </w:rPr>
        <w:t>运维总结</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定期撰写运维总结报告，总结回顾本期各项运维工作开展情况，重点描述和分析出现的技术问题和服务质量问题，并给出整改方案。</w:t>
      </w:r>
    </w:p>
    <w:p>
      <w:pPr>
        <w:spacing w:after="156" w:afterLines="50"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Times New Roman"/>
          <w:color w:val="auto"/>
          <w:sz w:val="24"/>
          <w:szCs w:val="24"/>
          <w:highlight w:val="none"/>
        </w:rPr>
        <w:t>8</w:t>
      </w:r>
      <w:r>
        <w:rPr>
          <w:rFonts w:ascii="仿宋" w:hAnsi="仿宋" w:eastAsia="仿宋" w:cs="Times New Roman"/>
          <w:color w:val="auto"/>
          <w:sz w:val="24"/>
          <w:szCs w:val="24"/>
          <w:highlight w:val="none"/>
        </w:rPr>
        <w:t>.</w:t>
      </w:r>
      <w:r>
        <w:rPr>
          <w:rFonts w:hint="eastAsia" w:ascii="仿宋" w:hAnsi="仿宋" w:eastAsia="仿宋" w:cs="宋体"/>
          <w:color w:val="auto"/>
          <w:kern w:val="0"/>
          <w:sz w:val="24"/>
          <w:szCs w:val="24"/>
          <w:highlight w:val="none"/>
        </w:rPr>
        <w:t>配套硬件服务</w:t>
      </w:r>
    </w:p>
    <w:p>
      <w:pPr>
        <w:spacing w:after="156" w:afterLines="50"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本次服务保证提供满足ISC运行的专用服务器正常稳定运行，包括对服务器的系统软件、应用软件的维护，以及对服务器的硬件系统的维护，保证I</w:t>
      </w:r>
      <w:r>
        <w:rPr>
          <w:rFonts w:ascii="仿宋" w:hAnsi="仿宋" w:eastAsia="仿宋" w:cs="宋体"/>
          <w:color w:val="auto"/>
          <w:kern w:val="0"/>
          <w:sz w:val="24"/>
          <w:szCs w:val="24"/>
          <w:highlight w:val="none"/>
        </w:rPr>
        <w:t>SC</w:t>
      </w:r>
      <w:r>
        <w:rPr>
          <w:rFonts w:hint="eastAsia" w:ascii="仿宋" w:hAnsi="仿宋" w:eastAsia="仿宋" w:cs="宋体"/>
          <w:color w:val="auto"/>
          <w:kern w:val="0"/>
          <w:sz w:val="24"/>
          <w:szCs w:val="24"/>
          <w:highlight w:val="none"/>
        </w:rPr>
        <w:t>服务器正常运行。</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9</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临时保障服务</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当遇到重大活动需要提供临时保障服务时，维护人员须在需要保障服务的前一天进驻现场，并对软件平台、网络配置等进行临时性安全检查，排除安全隐患，保证视频平台正常运行。</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（三）维护形式</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维护分为被动式和主动式两种形式：</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被动式服务包括：</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）现场技术服务方式，指因平台出现重大故障导致业务中止时，维护单位须派技术人员并联络厂商技术人员协助业主方技术人员一起对故障进行分析，提出解决方案，在征得业主方同意后对故障进行处理和排除；</w:t>
      </w:r>
    </w:p>
    <w:p>
      <w:pPr>
        <w:spacing w:after="156" w:afterLines="50" w:line="360" w:lineRule="auto"/>
        <w:ind w:firstLine="480" w:firstLineChars="200"/>
        <w:rPr>
          <w:rFonts w:ascii="仿宋" w:hAnsi="仿宋" w:eastAsia="仿宋" w:cs="仿宋_GB2312"/>
          <w:color w:val="auto"/>
          <w:sz w:val="24"/>
          <w:szCs w:val="24"/>
          <w:highlight w:val="none"/>
          <w:lang w:val="zh-CN"/>
        </w:rPr>
      </w:pP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）远程维护方式，通过电话、微信、远程访问等方式进行平台故障的处理</w:t>
      </w:r>
      <w:r>
        <w:rPr>
          <w:rFonts w:hint="eastAsia" w:ascii="仿宋" w:hAnsi="仿宋" w:eastAsia="仿宋" w:cs="仿宋_GB2312"/>
          <w:color w:val="auto"/>
          <w:sz w:val="24"/>
          <w:szCs w:val="24"/>
          <w:highlight w:val="none"/>
          <w:lang w:val="zh-CN"/>
        </w:rPr>
        <w:t>、技术支持、咨询服务等工作。</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主动式服务包括：</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）远程巡检：每日对平台软件、数据库、网络、现场硬盘录像机运行状态进行远程监视、管理和维护</w:t>
      </w:r>
      <w:r>
        <w:rPr>
          <w:rFonts w:ascii="仿宋" w:hAnsi="仿宋" w:eastAsia="仿宋" w:cs="Times New Roman"/>
          <w:color w:val="auto"/>
          <w:sz w:val="24"/>
          <w:szCs w:val="24"/>
          <w:highlight w:val="none"/>
        </w:rPr>
        <w:t>。 </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2）对可能出现的故障提出解决预案及平台功能改进等方面的技术咨询工作，并提供必要的现场指导。</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3）在平台发生重大变化后，在现场对业主方的技术、业务人员进行平台运行管理、日常维护、使用操作等方面的培训；</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4）现场巡检：按计划两个月到现场对平台进行全面检查，优化平台，同时做好平台运行情况的记录。</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对于任何运行维护任务，服务人员需严格填写维护记录单，并由业主方签字认可。</w:t>
      </w:r>
    </w:p>
    <w:p>
      <w:pPr>
        <w:spacing w:after="156" w:afterLines="50"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指派经验丰富的运维工程师来具体承担维护服务工作。</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5.运维人员在现场运维时，如需加班，要得到业主方的签字确认。</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（四）运维标准</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从开始处理后3个小时内解决的问题占全部问题的比重不低于70%；在一个小时内响应的问题占全部问题的比重不低于90%；客户端、网络、用户管理、权限变更、操作类问题一个工作日内解决，应急等根据业主方要求时限完成。</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（五）运维重点</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公司视频服务器和平台软件以及相关网络维护：</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1.提供服务器运维服务包括：存储设备的日常监控，服务器的运行状态监控，故障处理，操作系统维护，补丁升级等内容。</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2.补丁服务：消除软件漏洞给平台带来的安全隐患，并对安装补丁所引起的平台连锁反应进行合理的平衡。</w:t>
      </w:r>
    </w:p>
    <w:p>
      <w:pPr>
        <w:spacing w:after="156" w:afterLines="50"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3.升级服务：对平台进行软件的升级，以改进、完善现有平台或消除现有平台的漏洞。</w:t>
      </w:r>
    </w:p>
    <w:p>
      <w:pPr>
        <w:pStyle w:val="7"/>
        <w:rPr>
          <w:rFonts w:ascii="仿宋" w:hAnsi="仿宋" w:eastAsia="仿宋"/>
          <w:color w:val="auto"/>
          <w:sz w:val="24"/>
          <w:szCs w:val="24"/>
          <w:highlight w:val="none"/>
        </w:rPr>
      </w:pPr>
    </w:p>
    <w:p>
      <w:pPr>
        <w:pStyle w:val="7"/>
        <w:rPr>
          <w:rFonts w:ascii="仿宋" w:hAnsi="仿宋" w:eastAsia="仿宋"/>
          <w:color w:val="auto"/>
          <w:sz w:val="24"/>
          <w:szCs w:val="24"/>
          <w:highlight w:val="none"/>
        </w:rPr>
      </w:pPr>
    </w:p>
    <w:p>
      <w:pPr>
        <w:pStyle w:val="7"/>
        <w:rPr>
          <w:rFonts w:ascii="仿宋" w:hAnsi="仿宋" w:eastAsia="仿宋"/>
          <w:color w:val="auto"/>
          <w:sz w:val="24"/>
          <w:szCs w:val="24"/>
          <w:highlight w:val="none"/>
        </w:rPr>
      </w:pPr>
    </w:p>
    <w:p>
      <w:pPr>
        <w:pStyle w:val="7"/>
        <w:rPr>
          <w:rFonts w:ascii="仿宋" w:hAnsi="仿宋" w:eastAsia="仿宋"/>
          <w:color w:val="auto"/>
          <w:sz w:val="24"/>
          <w:szCs w:val="24"/>
          <w:highlight w:val="none"/>
        </w:rPr>
      </w:pPr>
    </w:p>
    <w:p>
      <w:pPr>
        <w:widowControl/>
        <w:jc w:val="left"/>
        <w:rPr>
          <w:rFonts w:ascii="仿宋" w:hAnsi="仿宋" w:eastAsia="仿宋" w:cs="Tahoma"/>
          <w:color w:val="auto"/>
          <w:kern w:val="0"/>
          <w:sz w:val="24"/>
          <w:szCs w:val="24"/>
          <w:highlight w:val="none"/>
        </w:rPr>
      </w:pPr>
      <w:r>
        <w:rPr>
          <w:rFonts w:ascii="仿宋" w:hAnsi="仿宋" w:eastAsia="仿宋"/>
          <w:color w:val="auto"/>
          <w:sz w:val="24"/>
          <w:szCs w:val="24"/>
          <w:highlight w:val="none"/>
        </w:rPr>
        <w:br w:type="page"/>
      </w:r>
    </w:p>
    <w:p>
      <w:pPr>
        <w:spacing w:line="500" w:lineRule="exact"/>
        <w:rPr>
          <w:rFonts w:ascii="仿宋" w:hAnsi="仿宋" w:eastAsia="仿宋" w:cs="宋体"/>
          <w:color w:val="auto"/>
          <w:szCs w:val="21"/>
          <w:highlight w:val="none"/>
        </w:rPr>
      </w:pPr>
      <w:r>
        <w:rPr>
          <w:rFonts w:hint="eastAsia" w:ascii="仿宋" w:hAnsi="仿宋" w:eastAsia="仿宋" w:cs="宋体"/>
          <w:color w:val="auto"/>
          <w:szCs w:val="21"/>
          <w:highlight w:val="none"/>
        </w:rPr>
        <w:t>附件6.项目投入人员架构表</w:t>
      </w:r>
    </w:p>
    <w:p>
      <w:pPr>
        <w:jc w:val="center"/>
        <w:rPr>
          <w:rFonts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项目投入人员架构表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149"/>
        <w:gridCol w:w="1265"/>
        <w:gridCol w:w="2802"/>
        <w:gridCol w:w="1879"/>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7" w:type="pct"/>
          </w:tcPr>
          <w:p>
            <w:pPr>
              <w:pStyle w:val="7"/>
              <w:ind w:firstLine="0"/>
              <w:jc w:val="center"/>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序号</w:t>
            </w:r>
          </w:p>
        </w:tc>
        <w:tc>
          <w:tcPr>
            <w:tcW w:w="630" w:type="pct"/>
          </w:tcPr>
          <w:p>
            <w:pPr>
              <w:pStyle w:val="7"/>
              <w:ind w:firstLine="0"/>
              <w:jc w:val="center"/>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岗位</w:t>
            </w:r>
          </w:p>
        </w:tc>
        <w:tc>
          <w:tcPr>
            <w:tcW w:w="694" w:type="pct"/>
          </w:tcPr>
          <w:p>
            <w:pPr>
              <w:pStyle w:val="7"/>
              <w:ind w:firstLine="0"/>
              <w:jc w:val="center"/>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姓名</w:t>
            </w:r>
          </w:p>
        </w:tc>
        <w:tc>
          <w:tcPr>
            <w:tcW w:w="1536" w:type="pct"/>
          </w:tcPr>
          <w:p>
            <w:pPr>
              <w:pStyle w:val="7"/>
              <w:ind w:firstLine="0"/>
              <w:jc w:val="center"/>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身份证号码</w:t>
            </w:r>
          </w:p>
        </w:tc>
        <w:tc>
          <w:tcPr>
            <w:tcW w:w="1029" w:type="pct"/>
          </w:tcPr>
          <w:p>
            <w:pPr>
              <w:pStyle w:val="7"/>
              <w:ind w:firstLine="0"/>
              <w:jc w:val="center"/>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职业资格证书</w:t>
            </w:r>
          </w:p>
        </w:tc>
        <w:tc>
          <w:tcPr>
            <w:tcW w:w="611" w:type="pct"/>
          </w:tcPr>
          <w:p>
            <w:pPr>
              <w:pStyle w:val="7"/>
              <w:ind w:firstLine="241" w:firstLineChars="100"/>
              <w:jc w:val="both"/>
              <w:rPr>
                <w:rFonts w:ascii="仿宋" w:hAnsi="仿宋" w:eastAsia="仿宋" w:cs="仿宋_GB2312"/>
                <w:b/>
                <w:color w:val="auto"/>
                <w:sz w:val="24"/>
                <w:szCs w:val="24"/>
                <w:highlight w:val="none"/>
              </w:rPr>
            </w:pPr>
            <w:r>
              <w:rPr>
                <w:rFonts w:hint="eastAsia" w:ascii="仿宋" w:hAnsi="仿宋" w:eastAsia="仿宋" w:cs="仿宋_GB2312"/>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97" w:type="pct"/>
          </w:tcPr>
          <w:p>
            <w:pPr>
              <w:pStyle w:val="7"/>
              <w:ind w:firstLine="0"/>
              <w:jc w:val="center"/>
              <w:rPr>
                <w:rFonts w:ascii="仿宋" w:hAnsi="仿宋" w:eastAsia="仿宋" w:cs="仿宋_GB2312"/>
                <w:bCs/>
                <w:color w:val="auto"/>
                <w:sz w:val="24"/>
                <w:szCs w:val="24"/>
                <w:highlight w:val="none"/>
              </w:rPr>
            </w:pPr>
          </w:p>
        </w:tc>
        <w:tc>
          <w:tcPr>
            <w:tcW w:w="630" w:type="pct"/>
          </w:tcPr>
          <w:p>
            <w:pPr>
              <w:pStyle w:val="7"/>
              <w:ind w:firstLine="0"/>
              <w:jc w:val="center"/>
              <w:rPr>
                <w:rFonts w:ascii="仿宋" w:hAnsi="仿宋" w:eastAsia="仿宋" w:cs="仿宋_GB2312"/>
                <w:bCs/>
                <w:color w:val="auto"/>
                <w:sz w:val="24"/>
                <w:szCs w:val="24"/>
                <w:highlight w:val="none"/>
              </w:rPr>
            </w:pPr>
          </w:p>
        </w:tc>
        <w:tc>
          <w:tcPr>
            <w:tcW w:w="694" w:type="pct"/>
          </w:tcPr>
          <w:p>
            <w:pPr>
              <w:pStyle w:val="7"/>
              <w:ind w:firstLine="0"/>
              <w:jc w:val="center"/>
              <w:rPr>
                <w:rFonts w:ascii="仿宋" w:hAnsi="仿宋" w:eastAsia="仿宋" w:cs="仿宋_GB2312"/>
                <w:bCs/>
                <w:color w:val="auto"/>
                <w:sz w:val="24"/>
                <w:szCs w:val="24"/>
                <w:highlight w:val="none"/>
              </w:rPr>
            </w:pPr>
          </w:p>
        </w:tc>
        <w:tc>
          <w:tcPr>
            <w:tcW w:w="1536" w:type="pct"/>
          </w:tcPr>
          <w:p>
            <w:pPr>
              <w:pStyle w:val="7"/>
              <w:ind w:firstLine="0"/>
              <w:jc w:val="center"/>
              <w:rPr>
                <w:rFonts w:ascii="仿宋" w:hAnsi="仿宋" w:eastAsia="仿宋" w:cs="仿宋_GB2312"/>
                <w:bCs/>
                <w:color w:val="auto"/>
                <w:sz w:val="24"/>
                <w:szCs w:val="24"/>
                <w:highlight w:val="none"/>
              </w:rPr>
            </w:pPr>
          </w:p>
        </w:tc>
        <w:tc>
          <w:tcPr>
            <w:tcW w:w="1029" w:type="pct"/>
          </w:tcPr>
          <w:p>
            <w:pPr>
              <w:pStyle w:val="7"/>
              <w:ind w:firstLine="0"/>
              <w:jc w:val="center"/>
              <w:rPr>
                <w:rFonts w:ascii="仿宋" w:hAnsi="仿宋" w:eastAsia="仿宋" w:cs="仿宋_GB2312"/>
                <w:bCs/>
                <w:color w:val="auto"/>
                <w:sz w:val="24"/>
                <w:szCs w:val="24"/>
                <w:highlight w:val="none"/>
              </w:rPr>
            </w:pPr>
          </w:p>
        </w:tc>
        <w:tc>
          <w:tcPr>
            <w:tcW w:w="611" w:type="pct"/>
          </w:tcPr>
          <w:p>
            <w:pPr>
              <w:pStyle w:val="7"/>
              <w:jc w:val="center"/>
              <w:rPr>
                <w:rFonts w:ascii="仿宋" w:hAnsi="仿宋" w:eastAsia="仿宋"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97" w:type="pct"/>
          </w:tcPr>
          <w:p>
            <w:pPr>
              <w:pStyle w:val="7"/>
              <w:ind w:firstLine="0"/>
              <w:jc w:val="center"/>
              <w:rPr>
                <w:rFonts w:ascii="仿宋" w:hAnsi="仿宋" w:eastAsia="仿宋" w:cs="仿宋_GB2312"/>
                <w:bCs/>
                <w:color w:val="auto"/>
                <w:sz w:val="24"/>
                <w:szCs w:val="24"/>
                <w:highlight w:val="none"/>
              </w:rPr>
            </w:pPr>
          </w:p>
        </w:tc>
        <w:tc>
          <w:tcPr>
            <w:tcW w:w="630" w:type="pct"/>
          </w:tcPr>
          <w:p>
            <w:pPr>
              <w:pStyle w:val="7"/>
              <w:ind w:firstLine="0"/>
              <w:jc w:val="center"/>
              <w:rPr>
                <w:rFonts w:ascii="仿宋" w:hAnsi="仿宋" w:eastAsia="仿宋" w:cs="仿宋_GB2312"/>
                <w:bCs/>
                <w:color w:val="auto"/>
                <w:sz w:val="24"/>
                <w:szCs w:val="24"/>
                <w:highlight w:val="none"/>
              </w:rPr>
            </w:pPr>
          </w:p>
        </w:tc>
        <w:tc>
          <w:tcPr>
            <w:tcW w:w="694" w:type="pct"/>
          </w:tcPr>
          <w:p>
            <w:pPr>
              <w:pStyle w:val="7"/>
              <w:ind w:firstLine="0"/>
              <w:jc w:val="center"/>
              <w:rPr>
                <w:rFonts w:ascii="仿宋" w:hAnsi="仿宋" w:eastAsia="仿宋" w:cs="仿宋_GB2312"/>
                <w:bCs/>
                <w:color w:val="auto"/>
                <w:sz w:val="24"/>
                <w:szCs w:val="24"/>
                <w:highlight w:val="none"/>
              </w:rPr>
            </w:pPr>
          </w:p>
        </w:tc>
        <w:tc>
          <w:tcPr>
            <w:tcW w:w="1536" w:type="pct"/>
          </w:tcPr>
          <w:p>
            <w:pPr>
              <w:pStyle w:val="7"/>
              <w:ind w:firstLine="0"/>
              <w:jc w:val="center"/>
              <w:rPr>
                <w:rFonts w:ascii="仿宋" w:hAnsi="仿宋" w:eastAsia="仿宋" w:cs="仿宋_GB2312"/>
                <w:bCs/>
                <w:color w:val="auto"/>
                <w:sz w:val="24"/>
                <w:szCs w:val="24"/>
                <w:highlight w:val="none"/>
              </w:rPr>
            </w:pPr>
          </w:p>
        </w:tc>
        <w:tc>
          <w:tcPr>
            <w:tcW w:w="1029" w:type="pct"/>
          </w:tcPr>
          <w:p>
            <w:pPr>
              <w:pStyle w:val="7"/>
              <w:ind w:firstLine="0"/>
              <w:jc w:val="center"/>
              <w:rPr>
                <w:rFonts w:ascii="仿宋" w:hAnsi="仿宋" w:eastAsia="仿宋" w:cs="仿宋_GB2312"/>
                <w:bCs/>
                <w:color w:val="auto"/>
                <w:sz w:val="24"/>
                <w:szCs w:val="24"/>
                <w:highlight w:val="none"/>
              </w:rPr>
            </w:pPr>
          </w:p>
        </w:tc>
        <w:tc>
          <w:tcPr>
            <w:tcW w:w="611" w:type="pct"/>
          </w:tcPr>
          <w:p>
            <w:pPr>
              <w:pStyle w:val="7"/>
              <w:jc w:val="center"/>
              <w:rPr>
                <w:rFonts w:ascii="仿宋" w:hAnsi="仿宋" w:eastAsia="仿宋"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97" w:type="pct"/>
          </w:tcPr>
          <w:p>
            <w:pPr>
              <w:pStyle w:val="7"/>
              <w:ind w:firstLine="0"/>
              <w:jc w:val="center"/>
              <w:rPr>
                <w:rFonts w:ascii="仿宋" w:hAnsi="仿宋" w:eastAsia="仿宋" w:cs="仿宋_GB2312"/>
                <w:bCs/>
                <w:color w:val="auto"/>
                <w:sz w:val="24"/>
                <w:szCs w:val="24"/>
                <w:highlight w:val="none"/>
              </w:rPr>
            </w:pPr>
          </w:p>
        </w:tc>
        <w:tc>
          <w:tcPr>
            <w:tcW w:w="630" w:type="pct"/>
          </w:tcPr>
          <w:p>
            <w:pPr>
              <w:pStyle w:val="7"/>
              <w:ind w:firstLine="0"/>
              <w:jc w:val="center"/>
              <w:rPr>
                <w:rFonts w:ascii="仿宋" w:hAnsi="仿宋" w:eastAsia="仿宋" w:cs="仿宋_GB2312"/>
                <w:bCs/>
                <w:color w:val="auto"/>
                <w:sz w:val="24"/>
                <w:szCs w:val="24"/>
                <w:highlight w:val="none"/>
              </w:rPr>
            </w:pPr>
          </w:p>
        </w:tc>
        <w:tc>
          <w:tcPr>
            <w:tcW w:w="694" w:type="pct"/>
          </w:tcPr>
          <w:p>
            <w:pPr>
              <w:pStyle w:val="7"/>
              <w:ind w:firstLine="0"/>
              <w:jc w:val="center"/>
              <w:rPr>
                <w:rFonts w:ascii="仿宋" w:hAnsi="仿宋" w:eastAsia="仿宋" w:cs="仿宋_GB2312"/>
                <w:bCs/>
                <w:color w:val="auto"/>
                <w:sz w:val="24"/>
                <w:szCs w:val="24"/>
                <w:highlight w:val="none"/>
              </w:rPr>
            </w:pPr>
          </w:p>
        </w:tc>
        <w:tc>
          <w:tcPr>
            <w:tcW w:w="1536" w:type="pct"/>
          </w:tcPr>
          <w:p>
            <w:pPr>
              <w:pStyle w:val="7"/>
              <w:ind w:firstLine="0"/>
              <w:jc w:val="center"/>
              <w:rPr>
                <w:rFonts w:ascii="仿宋" w:hAnsi="仿宋" w:eastAsia="仿宋" w:cs="仿宋_GB2312"/>
                <w:bCs/>
                <w:color w:val="auto"/>
                <w:sz w:val="24"/>
                <w:szCs w:val="24"/>
                <w:highlight w:val="none"/>
              </w:rPr>
            </w:pPr>
          </w:p>
        </w:tc>
        <w:tc>
          <w:tcPr>
            <w:tcW w:w="1029" w:type="pct"/>
          </w:tcPr>
          <w:p>
            <w:pPr>
              <w:pStyle w:val="7"/>
              <w:ind w:firstLine="0"/>
              <w:jc w:val="center"/>
              <w:rPr>
                <w:rFonts w:ascii="仿宋" w:hAnsi="仿宋" w:eastAsia="仿宋" w:cs="仿宋_GB2312"/>
                <w:bCs/>
                <w:color w:val="auto"/>
                <w:sz w:val="24"/>
                <w:szCs w:val="24"/>
                <w:highlight w:val="none"/>
              </w:rPr>
            </w:pPr>
          </w:p>
        </w:tc>
        <w:tc>
          <w:tcPr>
            <w:tcW w:w="611" w:type="pct"/>
          </w:tcPr>
          <w:p>
            <w:pPr>
              <w:pStyle w:val="7"/>
              <w:jc w:val="center"/>
              <w:rPr>
                <w:rFonts w:ascii="仿宋" w:hAnsi="仿宋" w:eastAsia="仿宋"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97" w:type="pct"/>
          </w:tcPr>
          <w:p>
            <w:pPr>
              <w:pStyle w:val="7"/>
              <w:ind w:firstLine="0"/>
              <w:jc w:val="center"/>
              <w:rPr>
                <w:rFonts w:ascii="仿宋" w:hAnsi="仿宋" w:eastAsia="仿宋" w:cs="仿宋_GB2312"/>
                <w:bCs/>
                <w:color w:val="auto"/>
                <w:sz w:val="24"/>
                <w:szCs w:val="24"/>
                <w:highlight w:val="none"/>
              </w:rPr>
            </w:pPr>
          </w:p>
        </w:tc>
        <w:tc>
          <w:tcPr>
            <w:tcW w:w="630" w:type="pct"/>
          </w:tcPr>
          <w:p>
            <w:pPr>
              <w:pStyle w:val="7"/>
              <w:ind w:firstLine="0"/>
              <w:jc w:val="center"/>
              <w:rPr>
                <w:rFonts w:ascii="仿宋" w:hAnsi="仿宋" w:eastAsia="仿宋" w:cs="仿宋_GB2312"/>
                <w:bCs/>
                <w:color w:val="auto"/>
                <w:sz w:val="24"/>
                <w:szCs w:val="24"/>
                <w:highlight w:val="none"/>
              </w:rPr>
            </w:pPr>
          </w:p>
        </w:tc>
        <w:tc>
          <w:tcPr>
            <w:tcW w:w="694" w:type="pct"/>
          </w:tcPr>
          <w:p>
            <w:pPr>
              <w:pStyle w:val="7"/>
              <w:ind w:firstLine="0"/>
              <w:jc w:val="center"/>
              <w:rPr>
                <w:rFonts w:ascii="仿宋" w:hAnsi="仿宋" w:eastAsia="仿宋" w:cs="仿宋_GB2312"/>
                <w:bCs/>
                <w:color w:val="auto"/>
                <w:sz w:val="24"/>
                <w:szCs w:val="24"/>
                <w:highlight w:val="none"/>
              </w:rPr>
            </w:pPr>
          </w:p>
        </w:tc>
        <w:tc>
          <w:tcPr>
            <w:tcW w:w="1536" w:type="pct"/>
          </w:tcPr>
          <w:p>
            <w:pPr>
              <w:pStyle w:val="7"/>
              <w:ind w:firstLine="0"/>
              <w:jc w:val="center"/>
              <w:rPr>
                <w:rFonts w:ascii="仿宋" w:hAnsi="仿宋" w:eastAsia="仿宋" w:cs="仿宋_GB2312"/>
                <w:bCs/>
                <w:color w:val="auto"/>
                <w:sz w:val="24"/>
                <w:szCs w:val="24"/>
                <w:highlight w:val="none"/>
              </w:rPr>
            </w:pPr>
          </w:p>
        </w:tc>
        <w:tc>
          <w:tcPr>
            <w:tcW w:w="1029" w:type="pct"/>
          </w:tcPr>
          <w:p>
            <w:pPr>
              <w:pStyle w:val="7"/>
              <w:ind w:firstLine="0"/>
              <w:jc w:val="center"/>
              <w:rPr>
                <w:rFonts w:ascii="仿宋" w:hAnsi="仿宋" w:eastAsia="仿宋" w:cs="仿宋_GB2312"/>
                <w:bCs/>
                <w:color w:val="auto"/>
                <w:sz w:val="24"/>
                <w:szCs w:val="24"/>
                <w:highlight w:val="none"/>
              </w:rPr>
            </w:pPr>
          </w:p>
        </w:tc>
        <w:tc>
          <w:tcPr>
            <w:tcW w:w="611" w:type="pct"/>
          </w:tcPr>
          <w:p>
            <w:pPr>
              <w:pStyle w:val="7"/>
              <w:jc w:val="center"/>
              <w:rPr>
                <w:rFonts w:ascii="仿宋" w:hAnsi="仿宋" w:eastAsia="仿宋"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97" w:type="pct"/>
          </w:tcPr>
          <w:p>
            <w:pPr>
              <w:pStyle w:val="7"/>
              <w:ind w:firstLine="0"/>
              <w:jc w:val="center"/>
              <w:rPr>
                <w:rFonts w:ascii="仿宋" w:hAnsi="仿宋" w:eastAsia="仿宋" w:cs="仿宋_GB2312"/>
                <w:bCs/>
                <w:color w:val="auto"/>
                <w:sz w:val="24"/>
                <w:szCs w:val="24"/>
                <w:highlight w:val="none"/>
              </w:rPr>
            </w:pPr>
          </w:p>
        </w:tc>
        <w:tc>
          <w:tcPr>
            <w:tcW w:w="630" w:type="pct"/>
          </w:tcPr>
          <w:p>
            <w:pPr>
              <w:pStyle w:val="7"/>
              <w:ind w:firstLine="0"/>
              <w:jc w:val="center"/>
              <w:rPr>
                <w:rFonts w:ascii="仿宋" w:hAnsi="仿宋" w:eastAsia="仿宋" w:cs="仿宋_GB2312"/>
                <w:bCs/>
                <w:color w:val="auto"/>
                <w:sz w:val="24"/>
                <w:szCs w:val="24"/>
                <w:highlight w:val="none"/>
              </w:rPr>
            </w:pPr>
          </w:p>
        </w:tc>
        <w:tc>
          <w:tcPr>
            <w:tcW w:w="694" w:type="pct"/>
          </w:tcPr>
          <w:p>
            <w:pPr>
              <w:pStyle w:val="7"/>
              <w:ind w:firstLine="0"/>
              <w:jc w:val="center"/>
              <w:rPr>
                <w:rFonts w:ascii="仿宋" w:hAnsi="仿宋" w:eastAsia="仿宋" w:cs="仿宋_GB2312"/>
                <w:bCs/>
                <w:color w:val="auto"/>
                <w:sz w:val="24"/>
                <w:szCs w:val="24"/>
                <w:highlight w:val="none"/>
              </w:rPr>
            </w:pPr>
          </w:p>
        </w:tc>
        <w:tc>
          <w:tcPr>
            <w:tcW w:w="1536" w:type="pct"/>
          </w:tcPr>
          <w:p>
            <w:pPr>
              <w:pStyle w:val="7"/>
              <w:ind w:firstLine="0"/>
              <w:jc w:val="center"/>
              <w:rPr>
                <w:rFonts w:ascii="仿宋" w:hAnsi="仿宋" w:eastAsia="仿宋" w:cs="仿宋_GB2312"/>
                <w:bCs/>
                <w:color w:val="auto"/>
                <w:sz w:val="24"/>
                <w:szCs w:val="24"/>
                <w:highlight w:val="none"/>
              </w:rPr>
            </w:pPr>
          </w:p>
        </w:tc>
        <w:tc>
          <w:tcPr>
            <w:tcW w:w="1029" w:type="pct"/>
          </w:tcPr>
          <w:p>
            <w:pPr>
              <w:pStyle w:val="7"/>
              <w:ind w:firstLine="0"/>
              <w:jc w:val="center"/>
              <w:rPr>
                <w:rFonts w:ascii="仿宋" w:hAnsi="仿宋" w:eastAsia="仿宋" w:cs="仿宋_GB2312"/>
                <w:bCs/>
                <w:color w:val="auto"/>
                <w:sz w:val="24"/>
                <w:szCs w:val="24"/>
                <w:highlight w:val="none"/>
              </w:rPr>
            </w:pPr>
          </w:p>
        </w:tc>
        <w:tc>
          <w:tcPr>
            <w:tcW w:w="611" w:type="pct"/>
          </w:tcPr>
          <w:p>
            <w:pPr>
              <w:pStyle w:val="7"/>
              <w:jc w:val="center"/>
              <w:rPr>
                <w:rFonts w:ascii="仿宋" w:hAnsi="仿宋" w:eastAsia="仿宋" w:cs="仿宋_GB2312"/>
                <w:bCs/>
                <w:color w:val="auto"/>
                <w:sz w:val="24"/>
                <w:szCs w:val="24"/>
                <w:highlight w:val="none"/>
              </w:rPr>
            </w:pPr>
          </w:p>
        </w:tc>
      </w:tr>
    </w:tbl>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spacing w:line="500" w:lineRule="exact"/>
        <w:rPr>
          <w:rFonts w:ascii="仿宋" w:hAnsi="仿宋" w:eastAsia="仿宋" w:cs="宋体"/>
          <w:color w:val="auto"/>
          <w:szCs w:val="21"/>
          <w:highlight w:val="none"/>
        </w:rPr>
      </w:pPr>
      <w:r>
        <w:rPr>
          <w:rFonts w:hint="eastAsia" w:ascii="仿宋" w:hAnsi="仿宋" w:eastAsia="仿宋" w:cs="宋体"/>
          <w:color w:val="auto"/>
          <w:szCs w:val="21"/>
          <w:highlight w:val="none"/>
        </w:rPr>
        <w:t>附件</w:t>
      </w:r>
      <w:r>
        <w:rPr>
          <w:rFonts w:ascii="仿宋" w:hAnsi="仿宋" w:eastAsia="仿宋" w:cs="宋体"/>
          <w:color w:val="auto"/>
          <w:szCs w:val="21"/>
          <w:highlight w:val="none"/>
        </w:rPr>
        <w:t>7</w:t>
      </w:r>
      <w:r>
        <w:rPr>
          <w:rFonts w:hint="eastAsia" w:ascii="仿宋" w:hAnsi="仿宋" w:eastAsia="仿宋" w:cs="宋体"/>
          <w:color w:val="auto"/>
          <w:szCs w:val="21"/>
          <w:highlight w:val="none"/>
        </w:rPr>
        <w:t>.报价清单</w:t>
      </w: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rPr>
          <w:color w:val="auto"/>
          <w:highlight w:val="none"/>
        </w:rPr>
      </w:pPr>
      <w:r>
        <w:rPr>
          <w:color w:val="auto"/>
          <w:highlight w:val="none"/>
        </w:rPr>
        <w:br w:type="page"/>
      </w: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spacing w:line="360" w:lineRule="auto"/>
        <w:jc w:val="left"/>
        <w:rPr>
          <w:rFonts w:ascii="仿宋_GB2312" w:eastAsia="仿宋" w:hAnsiTheme="minorEastAsia"/>
          <w:color w:val="auto"/>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第七章</w:t>
      </w:r>
    </w:p>
    <w:p>
      <w:pPr>
        <w:spacing w:line="360" w:lineRule="auto"/>
        <w:jc w:val="left"/>
        <w:rPr>
          <w:rFonts w:ascii="仿宋_GB2312" w:eastAsia="仿宋" w:hAnsiTheme="minorEastAsia"/>
          <w:color w:val="auto"/>
          <w:sz w:val="28"/>
          <w:szCs w:val="28"/>
          <w:highlight w:val="none"/>
        </w:rPr>
      </w:pPr>
    </w:p>
    <w:p>
      <w:pPr>
        <w:pStyle w:val="3"/>
        <w:rPr>
          <w:rFonts w:eastAsia="仿宋"/>
          <w:color w:val="auto"/>
          <w:highlight w:val="none"/>
        </w:rPr>
      </w:pPr>
      <w:r>
        <w:rPr>
          <w:rFonts w:hint="eastAsia" w:eastAsia="仿宋"/>
          <w:color w:val="auto"/>
          <w:highlight w:val="none"/>
        </w:rPr>
        <w:t>响应文件格式要求</w:t>
      </w:r>
    </w:p>
    <w:p>
      <w:pPr>
        <w:rPr>
          <w:rFonts w:ascii="仿宋_GB2312" w:eastAsia="仿宋" w:hAnsiTheme="minorEastAsia"/>
          <w:color w:val="auto"/>
          <w:sz w:val="28"/>
          <w:szCs w:val="28"/>
          <w:highlight w:val="none"/>
        </w:rPr>
      </w:pPr>
      <w:r>
        <w:rPr>
          <w:rFonts w:ascii="仿宋_GB2312" w:eastAsia="仿宋" w:hAnsiTheme="minorEastAsia"/>
          <w:color w:val="auto"/>
          <w:sz w:val="28"/>
          <w:szCs w:val="28"/>
          <w:highlight w:val="none"/>
        </w:rPr>
        <w:br w:type="page"/>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
          <w:color w:val="auto"/>
          <w:sz w:val="30"/>
          <w:szCs w:val="30"/>
          <w:highlight w:val="none"/>
        </w:rPr>
      </w:pPr>
    </w:p>
    <w:p>
      <w:pPr>
        <w:adjustRightInd w:val="0"/>
        <w:snapToGrid w:val="0"/>
        <w:spacing w:before="156" w:beforeLines="50" w:after="156"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adjustRightInd w:val="0"/>
        <w:snapToGrid w:val="0"/>
        <w:spacing w:before="156" w:beforeLines="50" w:after="156" w:afterLines="50" w:line="600" w:lineRule="exact"/>
        <w:jc w:val="center"/>
        <w:rPr>
          <w:rFonts w:ascii="方正小标宋简体" w:eastAsia="仿宋"/>
          <w:color w:val="auto"/>
          <w:sz w:val="44"/>
          <w:szCs w:val="44"/>
          <w:highlight w:val="none"/>
        </w:rPr>
      </w:pPr>
    </w:p>
    <w:p>
      <w:pPr>
        <w:jc w:val="center"/>
        <w:rPr>
          <w:rFonts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156" w:beforeLines="50" w:after="156"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adjustRightInd w:val="0"/>
        <w:snapToGrid w:val="0"/>
        <w:spacing w:line="600" w:lineRule="exact"/>
        <w:jc w:val="center"/>
        <w:rPr>
          <w:rFonts w:ascii="方正小标宋简体" w:eastAsia="仿宋"/>
          <w:color w:val="auto"/>
          <w:sz w:val="28"/>
          <w:szCs w:val="28"/>
          <w:highlight w:val="none"/>
        </w:rPr>
      </w:pPr>
    </w:p>
    <w:p>
      <w:pPr>
        <w:adjustRightInd w:val="0"/>
        <w:snapToGrid w:val="0"/>
        <w:spacing w:line="600" w:lineRule="exact"/>
        <w:rPr>
          <w:rFonts w:ascii="仿宋_GB2312" w:eastAsia="仿宋"/>
          <w:color w:val="auto"/>
          <w:sz w:val="28"/>
          <w:szCs w:val="28"/>
          <w:highlight w:val="none"/>
        </w:rPr>
      </w:pPr>
      <w:bookmarkStart w:id="85" w:name="_Toc88209952"/>
      <w:bookmarkStart w:id="86" w:name="_Toc87616389"/>
      <w:r>
        <w:rPr>
          <w:rFonts w:hint="eastAsia" w:ascii="仿宋_GB2312" w:eastAsia="仿宋"/>
          <w:color w:val="auto"/>
          <w:sz w:val="28"/>
          <w:szCs w:val="28"/>
          <w:highlight w:val="none"/>
        </w:rPr>
        <w:t>1.响应函</w:t>
      </w:r>
      <w:bookmarkEnd w:id="85"/>
      <w:bookmarkEnd w:id="86"/>
    </w:p>
    <w:p>
      <w:pPr>
        <w:adjustRightInd w:val="0"/>
        <w:snapToGrid w:val="0"/>
        <w:spacing w:line="600" w:lineRule="exact"/>
        <w:rPr>
          <w:rFonts w:ascii="仿宋_GB2312" w:eastAsia="仿宋"/>
          <w:color w:val="auto"/>
          <w:sz w:val="28"/>
          <w:szCs w:val="28"/>
          <w:highlight w:val="none"/>
        </w:rPr>
      </w:pPr>
      <w:bookmarkStart w:id="87" w:name="_Toc87616390"/>
      <w:bookmarkStart w:id="88" w:name="_Toc88209953"/>
      <w:r>
        <w:rPr>
          <w:rFonts w:hint="eastAsia" w:ascii="仿宋_GB2312" w:eastAsia="仿宋"/>
          <w:color w:val="auto"/>
          <w:sz w:val="28"/>
          <w:szCs w:val="28"/>
          <w:highlight w:val="none"/>
        </w:rPr>
        <w:t>2.法定代表人/负责人证明或授权委托书</w:t>
      </w:r>
      <w:bookmarkEnd w:id="87"/>
      <w:bookmarkEnd w:id="88"/>
      <w:bookmarkStart w:id="89" w:name="_Toc88209956"/>
      <w:bookmarkStart w:id="90"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rPr>
        <w:t>3.资格审查资料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rPr>
        <w:t>4.拟投入本项目的项目负责人情况表</w:t>
      </w:r>
    </w:p>
    <w:p>
      <w:pPr>
        <w:rPr>
          <w:rFonts w:ascii="仿宋_GB2312" w:eastAsia="仿宋"/>
          <w:color w:val="auto"/>
          <w:sz w:val="28"/>
          <w:szCs w:val="28"/>
          <w:highlight w:val="none"/>
        </w:rPr>
      </w:pPr>
      <w:r>
        <w:rPr>
          <w:rFonts w:hint="eastAsia" w:ascii="仿宋_GB2312" w:eastAsia="仿宋"/>
          <w:color w:val="auto"/>
          <w:sz w:val="28"/>
          <w:szCs w:val="28"/>
          <w:highlight w:val="none"/>
        </w:rPr>
        <w:t>5.报价表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rPr>
        <w:t>6.其他资料</w:t>
      </w:r>
      <w:bookmarkEnd w:id="89"/>
      <w:bookmarkEnd w:id="90"/>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ascii="黑体" w:hAnsi="黑体" w:eastAsia="黑体" w:cs="黑体"/>
          <w:b/>
          <w:bCs/>
          <w:color w:val="auto"/>
          <w:sz w:val="32"/>
          <w:szCs w:val="32"/>
          <w:highlight w:val="none"/>
        </w:rPr>
      </w:pPr>
      <w:bookmarkStart w:id="91" w:name="_Toc6313"/>
      <w:bookmarkStart w:id="92" w:name="_Toc87616394"/>
      <w:bookmarkStart w:id="93" w:name="_Toc28619645"/>
      <w:bookmarkStart w:id="94" w:name="_Toc12665"/>
      <w:bookmarkStart w:id="95" w:name="_Toc88209957"/>
      <w:r>
        <w:rPr>
          <w:rFonts w:hint="eastAsia" w:ascii="黑体" w:hAnsi="黑体" w:eastAsia="黑体" w:cs="黑体"/>
          <w:b/>
          <w:bCs/>
          <w:color w:val="auto"/>
          <w:sz w:val="32"/>
          <w:szCs w:val="32"/>
          <w:highlight w:val="none"/>
        </w:rPr>
        <w:t>1.响应函</w:t>
      </w:r>
      <w:bookmarkEnd w:id="91"/>
      <w:bookmarkEnd w:id="92"/>
      <w:bookmarkEnd w:id="93"/>
      <w:bookmarkEnd w:id="94"/>
      <w:bookmarkEnd w:id="95"/>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（1）响应函</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（2）法定代表人/负责人证明或授权委托书</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（3）资格审查资料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（4）拟投入本项目的项目负责人情况表</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（5）报价表</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（6）其他资料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eastAsia="仿宋"/>
          <w:color w:val="auto"/>
          <w:highlight w:val="none"/>
        </w:rPr>
      </w:pPr>
      <w:r>
        <w:rPr>
          <w:rFonts w:ascii="仿宋_GB2312" w:hAnsi="黑体" w:eastAsia="仿宋" w:cstheme="minorBidi"/>
          <w:color w:val="auto"/>
          <w:kern w:val="2"/>
          <w:sz w:val="28"/>
          <w:szCs w:val="28"/>
          <w:highlight w:val="none"/>
        </w:rPr>
        <w:t>（5）如放弃成交，我方依法</w:t>
      </w:r>
      <w:r>
        <w:rPr>
          <w:rFonts w:hint="eastAsia" w:ascii="仿宋_GB2312" w:hAnsi="黑体" w:eastAsia="仿宋"/>
          <w:color w:val="auto"/>
          <w:sz w:val="28"/>
          <w:szCs w:val="28"/>
          <w:highlight w:val="none"/>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法定代表人/负责人或委托代理人：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asciiTheme="minorEastAsia" w:hAnsiTheme="minorEastAsia"/>
          <w:color w:val="auto"/>
          <w:sz w:val="28"/>
          <w:szCs w:val="28"/>
          <w:highlight w:val="none"/>
        </w:rPr>
      </w:pPr>
      <w:bookmarkStart w:id="96" w:name="_Toc87616395"/>
      <w:bookmarkStart w:id="97" w:name="_Toc88209958"/>
      <w:bookmarkStart w:id="98" w:name="_Toc22527"/>
      <w:bookmarkStart w:id="99" w:name="_Toc29833"/>
      <w:r>
        <w:rPr>
          <w:rFonts w:hint="eastAsia" w:asciiTheme="minorEastAsia" w:hAnsiTheme="minorEastAsia"/>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2.法定代表人/负责人证明或授权委托书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
          <w:color w:val="auto"/>
          <w:sz w:val="28"/>
          <w:szCs w:val="28"/>
          <w:highlight w:val="none"/>
        </w:rPr>
        <w:t>2.1法定代表人/负责人证明格式</w:t>
      </w:r>
    </w:p>
    <w:p>
      <w:pPr>
        <w:widowControl/>
        <w:adjustRightInd w:val="0"/>
        <w:snapToGrid w:val="0"/>
        <w:spacing w:before="156" w:beforeLines="50" w:after="156"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rPr>
        <w:t>法定代表人/负责人证明书</w:t>
      </w:r>
    </w:p>
    <w:p>
      <w:pPr>
        <w:pStyle w:val="38"/>
        <w:snapToGrid w:val="0"/>
        <w:spacing w:after="0" w:line="540" w:lineRule="exact"/>
        <w:ind w:firstLine="600" w:firstLineChars="200"/>
        <w:jc w:val="both"/>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7"/>
        <w:snapToGrid w:val="0"/>
        <w:spacing w:after="0" w:line="540" w:lineRule="exact"/>
        <w:ind w:firstLine="600" w:firstLineChars="200"/>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的法定代表人/负责人。</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adjustRightInd w:val="0"/>
        <w:snapToGrid w:val="0"/>
        <w:spacing w:line="54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附：法定代表人/负责人身份证(正反两面)复印件</w:t>
      </w:r>
    </w:p>
    <w:p>
      <w:pPr>
        <w:pStyle w:val="14"/>
        <w:snapToGrid w:val="0"/>
        <w:spacing w:line="540" w:lineRule="exact"/>
        <w:ind w:firstLine="3907" w:firstLineChars="1221"/>
        <w:rPr>
          <w:rFonts w:ascii="仿宋_GB2312" w:hAnsi="宋体" w:eastAsia="仿宋" w:cs="Times New Roman"/>
          <w:color w:val="auto"/>
          <w:sz w:val="32"/>
          <w:szCs w:val="32"/>
          <w:highlight w:val="none"/>
        </w:rPr>
      </w:pPr>
    </w:p>
    <w:p>
      <w:pPr>
        <w:pStyle w:val="14"/>
        <w:snapToGrid w:val="0"/>
        <w:spacing w:line="540" w:lineRule="exact"/>
        <w:ind w:firstLine="3663" w:firstLineChars="1221"/>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widowControl/>
        <w:adjustRightInd w:val="0"/>
        <w:snapToGrid w:val="0"/>
        <w:spacing w:line="540" w:lineRule="exact"/>
        <w:jc w:val="right"/>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 w:cs="仿宋_GB2312"/>
                <w:color w:val="auto"/>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 w:cs="仿宋_GB2312"/>
                <w:color w:val="auto"/>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注：法定代表人/负责人证明书亦可采用工商行政管理局统一制订的格式。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rPr>
        <w:t>法定代表人/负责人授权委托书</w:t>
      </w:r>
    </w:p>
    <w:p>
      <w:p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的法定代表人/负责人，现授权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6"/>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附：1.委托代理人身份证(正反两面)复印件，提供授权委托代理人身份证原件备查。</w:t>
      </w:r>
    </w:p>
    <w:p>
      <w:pPr>
        <w:pStyle w:val="36"/>
        <w:numPr>
          <w:ilvl w:val="255"/>
          <w:numId w:val="0"/>
        </w:numPr>
        <w:adjustRightInd w:val="0"/>
        <w:snapToGrid w:val="0"/>
        <w:spacing w:line="600" w:lineRule="exact"/>
        <w:ind w:firstLine="600" w:firstLineChars="200"/>
        <w:rPr>
          <w:rFonts w:ascii="仿宋_GB2312" w:hAnsi="宋体" w:eastAsia="仿宋"/>
          <w:color w:val="auto"/>
          <w:sz w:val="30"/>
          <w:szCs w:val="30"/>
          <w:highlight w:val="none"/>
        </w:rPr>
      </w:pPr>
      <w:r>
        <w:rPr>
          <w:rFonts w:hint="eastAsia" w:ascii="仿宋_GB2312" w:hAnsi="宋体" w:eastAsia="仿宋"/>
          <w:color w:val="auto"/>
          <w:sz w:val="30"/>
          <w:szCs w:val="30"/>
          <w:highlight w:val="none"/>
        </w:rPr>
        <w:t>2.提供授权委托人在本单位近三个月社保记录（以加盖社会保险基金管理中心印章的《缴费历史明细表》或《社会保险参保人员证明》为准），否则为无效代理人，响应文件无效。</w:t>
      </w:r>
    </w:p>
    <w:p>
      <w:pPr>
        <w:pStyle w:val="36"/>
        <w:numPr>
          <w:ilvl w:val="255"/>
          <w:numId w:val="0"/>
        </w:numPr>
        <w:adjustRightInd w:val="0"/>
        <w:snapToGrid w:val="0"/>
        <w:spacing w:line="600" w:lineRule="exact"/>
        <w:rPr>
          <w:rFonts w:ascii="仿宋_GB2312" w:hAnsi="宋体" w:eastAsia="仿宋"/>
          <w:color w:val="auto"/>
          <w:sz w:val="30"/>
          <w:szCs w:val="30"/>
          <w:highlight w:val="none"/>
        </w:rPr>
      </w:pPr>
    </w:p>
    <w:p>
      <w:pPr>
        <w:pStyle w:val="14"/>
        <w:snapToGrid w:val="0"/>
        <w:spacing w:line="600" w:lineRule="exact"/>
        <w:ind w:firstLine="3618" w:firstLineChars="1005"/>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法定代表人/负责人：</w:t>
      </w:r>
      <w:r>
        <w:rPr>
          <w:rFonts w:hint="eastAsia" w:ascii="仿宋_GB2312" w:hAnsi="宋体" w:eastAsia="仿宋"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widowControl/>
        <w:adjustRightInd w:val="0"/>
        <w:snapToGrid w:val="0"/>
        <w:spacing w:line="600" w:lineRule="exact"/>
        <w:jc w:val="right"/>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firstLine="0"/>
        <w:rPr>
          <w:rFonts w:ascii="仿宋_GB2312" w:eastAsia="仿宋"/>
          <w:color w:val="auto"/>
          <w:sz w:val="30"/>
          <w:szCs w:val="30"/>
          <w:highlight w:val="none"/>
        </w:rPr>
      </w:pPr>
    </w:p>
    <w:p>
      <w:pPr>
        <w:pStyle w:val="22"/>
        <w:ind w:firstLine="0"/>
        <w:rPr>
          <w:rFonts w:ascii="仿宋_GB2312"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napToGrid w:val="0"/>
              <w:spacing w:line="600" w:lineRule="exact"/>
              <w:ind w:firstLine="560" w:firstLineChars="200"/>
              <w:rPr>
                <w:rFonts w:ascii="宋体" w:hAnsi="宋体"/>
                <w:color w:val="auto"/>
                <w:sz w:val="24"/>
                <w:szCs w:val="24"/>
                <w:highlight w:val="none"/>
              </w:rPr>
            </w:pPr>
            <w:r>
              <w:rPr>
                <w:rFonts w:hint="eastAsia" w:ascii="仿宋_GB2312" w:hAnsi="仿宋_GB2312" w:eastAsia="仿宋" w:cs="仿宋_GB2312"/>
                <w:color w:val="auto"/>
                <w:sz w:val="28"/>
                <w:szCs w:val="28"/>
                <w:highlight w:val="none"/>
              </w:rPr>
              <w:t>授权代理人在本单位近三个月社保记录，（以加盖社会保险基金管理中心印章的《缴费历史明细表》或《社会保险参保人员证明》为准，加盖单位公章。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ascii="黑体" w:hAnsi="黑体" w:eastAsia="黑体" w:cs="黑体"/>
          <w:b/>
          <w:bCs/>
          <w:color w:val="auto"/>
          <w:sz w:val="32"/>
          <w:szCs w:val="32"/>
          <w:highlight w:val="none"/>
        </w:rPr>
      </w:pPr>
      <w:bookmarkStart w:id="100" w:name="_Toc19830"/>
      <w:bookmarkStart w:id="101" w:name="_Toc8086"/>
      <w:bookmarkStart w:id="102" w:name="_Toc87616400"/>
      <w:bookmarkStart w:id="103" w:name="_Toc88209963"/>
      <w:r>
        <w:rPr>
          <w:rFonts w:hint="eastAsia" w:ascii="黑体" w:hAnsi="黑体" w:eastAsia="黑体" w:cs="黑体"/>
          <w:b/>
          <w:bCs/>
          <w:color w:val="auto"/>
          <w:sz w:val="32"/>
          <w:szCs w:val="32"/>
          <w:highlight w:val="none"/>
        </w:rPr>
        <w:t>3.资格审查资料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ascii="仿宋_GB2312" w:eastAsia="仿宋_GB2312" w:hAnsiTheme="minorEastAsia"/>
                <w:color w:val="auto"/>
                <w:sz w:val="28"/>
                <w:szCs w:val="28"/>
                <w:highlight w:val="none"/>
              </w:rPr>
            </w:pP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adjustRightInd w:val="0"/>
              <w:snapToGrid w:val="0"/>
              <w:jc w:val="left"/>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法定代表人/负责人</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adjustRightInd w:val="0"/>
              <w:snapToGrid w:val="0"/>
              <w:jc w:val="left"/>
              <w:rPr>
                <w:rFonts w:ascii="仿宋_GB2312" w:eastAsia="仿宋_GB2312" w:hAnsiTheme="minorEastAsia"/>
                <w:color w:val="auto"/>
                <w:sz w:val="28"/>
                <w:szCs w:val="28"/>
                <w:highlight w:val="none"/>
              </w:rPr>
            </w:pPr>
          </w:p>
        </w:tc>
        <w:tc>
          <w:tcPr>
            <w:tcW w:w="1443"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adjustRightInd w:val="0"/>
              <w:snapToGrid w:val="0"/>
              <w:jc w:val="left"/>
              <w:rPr>
                <w:rFonts w:ascii="仿宋_GB2312" w:eastAsia="仿宋_GB2312" w:hAnsiTheme="minorEastAsia"/>
                <w:color w:val="auto"/>
                <w:sz w:val="28"/>
                <w:szCs w:val="28"/>
                <w:highlight w:val="none"/>
              </w:rPr>
            </w:pPr>
          </w:p>
        </w:tc>
        <w:tc>
          <w:tcPr>
            <w:tcW w:w="1295" w:type="dxa"/>
            <w:gridSpan w:val="2"/>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adjustRightInd w:val="0"/>
              <w:snapToGrid w:val="0"/>
              <w:jc w:val="left"/>
              <w:rPr>
                <w:rFonts w:ascii="仿宋_GB2312" w:eastAsia="仿宋_GB2312" w:hAnsiTheme="minorEastAsia"/>
                <w:color w:val="auto"/>
                <w:sz w:val="28"/>
                <w:szCs w:val="28"/>
                <w:highlight w:val="none"/>
              </w:rPr>
            </w:pPr>
          </w:p>
        </w:tc>
        <w:tc>
          <w:tcPr>
            <w:tcW w:w="1443" w:type="dxa"/>
            <w:gridSpan w:val="3"/>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adjustRightInd w:val="0"/>
              <w:snapToGrid w:val="0"/>
              <w:jc w:val="left"/>
              <w:rPr>
                <w:rFonts w:ascii="仿宋_GB2312" w:eastAsia="仿宋_GB2312" w:hAnsiTheme="minorEastAsia"/>
                <w:color w:val="auto"/>
                <w:sz w:val="28"/>
                <w:szCs w:val="28"/>
                <w:highlight w:val="none"/>
              </w:rPr>
            </w:pPr>
          </w:p>
        </w:tc>
        <w:tc>
          <w:tcPr>
            <w:tcW w:w="1295" w:type="dxa"/>
            <w:gridSpan w:val="2"/>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adjustRightInd w:val="0"/>
              <w:snapToGrid w:val="0"/>
              <w:jc w:val="lef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5178" w:type="dxa"/>
            <w:gridSpan w:val="7"/>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restart"/>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adjustRightInd w:val="0"/>
              <w:snapToGrid w:val="0"/>
              <w:rPr>
                <w:rFonts w:ascii="仿宋_GB2312" w:eastAsia="仿宋_GB2312" w:hAnsiTheme="minorEastAsia"/>
                <w:color w:val="auto"/>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color w:val="auto"/>
                <w:sz w:val="28"/>
                <w:szCs w:val="28"/>
                <w:highlight w:val="none"/>
              </w:rPr>
            </w:pPr>
          </w:p>
        </w:tc>
        <w:tc>
          <w:tcPr>
            <w:tcW w:w="2268" w:type="dxa"/>
            <w:gridSpan w:val="3"/>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adjustRightInd w:val="0"/>
              <w:snapToGrid w:val="0"/>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bookmarkStart w:id="104" w:name="_Hlk59025866"/>
      <w:r>
        <w:rPr>
          <w:rFonts w:hint="eastAsia" w:ascii="宋体" w:hAnsi="宋体" w:eastAsia="宋体" w:cs="宋体"/>
          <w:color w:val="auto"/>
          <w:sz w:val="24"/>
          <w:szCs w:val="24"/>
          <w:highlight w:val="none"/>
          <w:lang w:val="en-GB"/>
        </w:rPr>
        <w:t>供应商名称（加盖公章）：</w:t>
      </w:r>
    </w:p>
    <w:p>
      <w:pPr>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br w:type="page"/>
      </w:r>
    </w:p>
    <w:p>
      <w:pPr>
        <w:adjustRightInd w:val="0"/>
        <w:snapToGrid w:val="0"/>
        <w:spacing w:line="360" w:lineRule="auto"/>
        <w:jc w:val="left"/>
        <w:rPr>
          <w:rFonts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rPr>
        <w:t>3.2不得存在情形承诺函</w:t>
      </w:r>
    </w:p>
    <w:bookmarkEnd w:id="104"/>
    <w:p>
      <w:pPr>
        <w:adjustRightInd w:val="0"/>
        <w:snapToGrid w:val="0"/>
        <w:spacing w:line="360" w:lineRule="auto"/>
        <w:jc w:val="center"/>
        <w:rPr>
          <w:rFonts w:ascii="仿宋_GB2312" w:hAnsi="仿宋_GB2312" w:eastAsia="仿宋" w:cs="仿宋_GB2312"/>
          <w:color w:val="auto"/>
          <w:sz w:val="32"/>
          <w:szCs w:val="32"/>
          <w:highlight w:val="none"/>
          <w:lang w:val="en-GB"/>
        </w:rPr>
      </w:pPr>
      <w:r>
        <w:rPr>
          <w:rFonts w:hint="eastAsia" w:ascii="仿宋_GB2312" w:hAnsi="仿宋_GB2312" w:eastAsia="仿宋" w:cs="仿宋_GB2312"/>
          <w:b/>
          <w:bCs/>
          <w:color w:val="auto"/>
          <w:sz w:val="32"/>
          <w:szCs w:val="32"/>
          <w:highlight w:val="none"/>
        </w:rPr>
        <w:t>不得存在情形承诺函</w:t>
      </w:r>
    </w:p>
    <w:p>
      <w:pPr>
        <w:adjustRightInd w:val="0"/>
        <w:snapToGrid w:val="0"/>
        <w:spacing w:line="360" w:lineRule="auto"/>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lang w:val="en-GB"/>
        </w:rPr>
        <w:t>我方郑重承诺，在参与广州市净水有限公司</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lang w:val="en-GB"/>
        </w:rPr>
        <w:t>项目</w:t>
      </w:r>
      <w:r>
        <w:rPr>
          <w:rFonts w:hint="eastAsia" w:ascii="仿宋_GB2312" w:hAnsi="仿宋_GB2312" w:eastAsia="仿宋" w:cs="仿宋_GB2312"/>
          <w:color w:val="auto"/>
          <w:sz w:val="28"/>
          <w:szCs w:val="28"/>
          <w:highlight w:val="none"/>
          <w:u w:val="single"/>
          <w:lang w:val="en-GB"/>
        </w:rPr>
        <w:t>（项目编号： ******）</w:t>
      </w:r>
      <w:r>
        <w:rPr>
          <w:rFonts w:hint="eastAsia" w:ascii="仿宋_GB2312" w:hAnsi="仿宋_GB2312" w:eastAsia="仿宋" w:cs="仿宋_GB2312"/>
          <w:color w:val="auto"/>
          <w:sz w:val="28"/>
          <w:szCs w:val="28"/>
          <w:highlight w:val="none"/>
          <w:lang w:val="en-GB"/>
        </w:rPr>
        <w:t>采购期间，未被</w:t>
      </w:r>
      <w:r>
        <w:rPr>
          <w:rFonts w:hint="eastAsia" w:ascii="仿宋_GB2312" w:hAnsi="仿宋_GB2312" w:eastAsia="仿宋" w:cs="仿宋_GB2312"/>
          <w:color w:val="auto"/>
          <w:sz w:val="28"/>
          <w:szCs w:val="28"/>
          <w:highlight w:val="none"/>
        </w:rPr>
        <w:t>列入</w:t>
      </w:r>
      <w:r>
        <w:rPr>
          <w:rFonts w:hint="eastAsia" w:ascii="仿宋_GB2312" w:hAnsi="仿宋_GB2312" w:eastAsia="仿宋" w:cs="仿宋_GB2312"/>
          <w:color w:val="auto"/>
          <w:sz w:val="28"/>
          <w:szCs w:val="28"/>
          <w:highlight w:val="none"/>
          <w:lang w:val="en-GB"/>
        </w:rPr>
        <w:t>下列情形之一</w:t>
      </w:r>
      <w:r>
        <w:rPr>
          <w:rFonts w:hint="eastAsia" w:ascii="仿宋_GB2312" w:hAnsi="仿宋_GB2312" w:eastAsia="仿宋" w:cs="仿宋_GB2312"/>
          <w:color w:val="auto"/>
          <w:sz w:val="28"/>
          <w:szCs w:val="28"/>
          <w:highlight w:val="none"/>
        </w:rPr>
        <w:t>：</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ascii="仿宋_GB2312" w:hAnsi="仿宋_GB2312" w:eastAsia="仿宋" w:cs="仿宋_GB2312"/>
          <w:b/>
          <w:color w:val="auto"/>
          <w:sz w:val="28"/>
          <w:szCs w:val="28"/>
          <w:highlight w:val="none"/>
        </w:rPr>
      </w:pPr>
    </w:p>
    <w:p>
      <w:pPr>
        <w:wordWrap w:val="0"/>
        <w:adjustRightInd w:val="0"/>
        <w:snapToGrid w:val="0"/>
        <w:spacing w:line="360" w:lineRule="auto"/>
        <w:jc w:val="righ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lang w:val="en-GB"/>
        </w:rPr>
        <w:t>供应商名称（加盖公章）：</w:t>
      </w:r>
      <w:r>
        <w:rPr>
          <w:rFonts w:hint="eastAsia" w:ascii="仿宋_GB2312" w:hAnsi="仿宋_GB2312" w:eastAsia="仿宋" w:cs="仿宋_GB2312"/>
          <w:color w:val="auto"/>
          <w:sz w:val="28"/>
          <w:szCs w:val="28"/>
          <w:highlight w:val="none"/>
        </w:rPr>
        <w:t xml:space="preserve">              </w:t>
      </w:r>
    </w:p>
    <w:p>
      <w:pPr>
        <w:wordWrap w:val="0"/>
        <w:jc w:val="right"/>
        <w:rPr>
          <w:rFonts w:eastAsia="仿宋"/>
          <w:color w:val="auto"/>
          <w:sz w:val="28"/>
          <w:szCs w:val="28"/>
          <w:highlight w:val="none"/>
        </w:rPr>
      </w:pPr>
      <w:r>
        <w:rPr>
          <w:rFonts w:hint="eastAsia" w:ascii="仿宋_GB2312" w:hAnsi="仿宋_GB2312" w:eastAsia="仿宋" w:cs="仿宋_GB2312"/>
          <w:color w:val="auto"/>
          <w:sz w:val="28"/>
          <w:szCs w:val="28"/>
          <w:highlight w:val="none"/>
        </w:rPr>
        <w:t xml:space="preserve">    </w:t>
      </w:r>
      <w:r>
        <w:rPr>
          <w:rFonts w:hint="eastAsia" w:ascii="仿宋_GB2312" w:hAnsi="仿宋_GB2312" w:eastAsia="仿宋" w:cs="仿宋_GB2312"/>
          <w:color w:val="auto"/>
          <w:sz w:val="28"/>
          <w:szCs w:val="28"/>
          <w:highlight w:val="none"/>
          <w:lang w:val="en-GB"/>
        </w:rPr>
        <w:t>年  月  日</w:t>
      </w:r>
      <w:r>
        <w:rPr>
          <w:rFonts w:hint="eastAsia" w:ascii="仿宋_GB2312" w:hAnsi="仿宋_GB2312" w:eastAsia="仿宋" w:cs="仿宋_GB2312"/>
          <w:color w:val="auto"/>
          <w:sz w:val="28"/>
          <w:szCs w:val="28"/>
          <w:highlight w:val="none"/>
        </w:rPr>
        <w:t xml:space="preserve">        </w:t>
      </w:r>
    </w:p>
    <w:p>
      <w:pPr>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center"/>
          </w:tcPr>
          <w:p>
            <w:pPr>
              <w:jc w:val="center"/>
              <w:rPr>
                <w:rFonts w:ascii="仿宋" w:hAnsi="仿宋" w:eastAsia="仿宋" w:cs="仿宋_GB2312"/>
                <w:b/>
                <w:color w:val="auto"/>
                <w:sz w:val="28"/>
                <w:szCs w:val="28"/>
                <w:highlight w:val="none"/>
              </w:rPr>
            </w:pPr>
          </w:p>
        </w:tc>
        <w:tc>
          <w:tcPr>
            <w:tcW w:w="161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center"/>
          </w:tcPr>
          <w:p>
            <w:pPr>
              <w:jc w:val="center"/>
              <w:rPr>
                <w:rFonts w:ascii="仿宋" w:hAnsi="仿宋" w:eastAsia="仿宋" w:cs="仿宋_GB2312"/>
                <w:b/>
                <w:color w:val="auto"/>
                <w:sz w:val="28"/>
                <w:szCs w:val="28"/>
                <w:highlight w:val="none"/>
              </w:rPr>
            </w:pPr>
          </w:p>
        </w:tc>
        <w:tc>
          <w:tcPr>
            <w:tcW w:w="2198"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center"/>
          </w:tcPr>
          <w:p>
            <w:pPr>
              <w:jc w:val="center"/>
              <w:rPr>
                <w:rFonts w:ascii="仿宋" w:hAnsi="仿宋" w:eastAsia="仿宋" w:cs="仿宋_GB2312"/>
                <w:b/>
                <w:color w:val="auto"/>
                <w:sz w:val="28"/>
                <w:szCs w:val="28"/>
                <w:highlight w:val="none"/>
              </w:rPr>
            </w:pPr>
          </w:p>
        </w:tc>
        <w:tc>
          <w:tcPr>
            <w:tcW w:w="2198"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 w:hAnsiTheme="minorEastAsia"/>
          <w:color w:val="auto"/>
          <w:sz w:val="28"/>
          <w:szCs w:val="28"/>
          <w:highlight w:val="none"/>
        </w:rPr>
      </w:pPr>
    </w:p>
    <w:p>
      <w:pPr>
        <w:pStyle w:val="22"/>
        <w:rPr>
          <w:rFonts w:ascii="仿宋_GB2312" w:eastAsia="仿宋"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rPr>
          <w:rFonts w:ascii="仿宋_GB2312" w:eastAsia="仿宋" w:hAnsiTheme="minorEastAsia"/>
          <w:color w:val="auto"/>
          <w:sz w:val="28"/>
          <w:szCs w:val="28"/>
          <w:highlight w:val="none"/>
        </w:rPr>
      </w:pPr>
      <w:r>
        <w:rPr>
          <w:rFonts w:ascii="仿宋_GB2312" w:eastAsia="仿宋" w:hAnsiTheme="minorEastAsia"/>
          <w:color w:val="auto"/>
          <w:sz w:val="28"/>
          <w:szCs w:val="28"/>
          <w:highlight w:val="none"/>
        </w:rPr>
        <w:br w:type="page"/>
      </w:r>
    </w:p>
    <w:p>
      <w:pPr>
        <w:pStyle w:val="22"/>
        <w:ind w:firstLine="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bookmarkStart w:id="105" w:name="_Toc32430"/>
            <w:bookmarkStart w:id="106"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360" w:lineRule="auto"/>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5.报价表</w:t>
      </w:r>
      <w:bookmarkEnd w:id="105"/>
      <w:bookmarkEnd w:id="106"/>
    </w:p>
    <w:p>
      <w:pPr>
        <w:adjustRightInd w:val="0"/>
        <w:snapToGrid w:val="0"/>
        <w:spacing w:line="600" w:lineRule="exact"/>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项目报价一览表</w:t>
      </w:r>
    </w:p>
    <w:p>
      <w:pPr>
        <w:spacing w:line="360" w:lineRule="auto"/>
        <w:rPr>
          <w:rFonts w:ascii="仿宋_GB2312" w:hAnsi="仿宋_GB2312" w:eastAsia="仿宋" w:cs="仿宋_GB2312"/>
          <w:color w:val="auto"/>
          <w:sz w:val="28"/>
          <w:szCs w:val="28"/>
          <w:highlight w:val="none"/>
        </w:rPr>
      </w:pPr>
    </w:p>
    <w:p>
      <w:pPr>
        <w:pStyle w:val="22"/>
        <w:adjustRightInd/>
        <w:jc w:val="right"/>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15"/>
        <w:gridCol w:w="2285"/>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b/>
                <w:bCs/>
                <w:color w:val="auto"/>
                <w:sz w:val="24"/>
                <w:szCs w:val="24"/>
                <w:highlight w:val="none"/>
              </w:rPr>
            </w:pPr>
            <w:r>
              <w:rPr>
                <w:rFonts w:hint="eastAsia" w:ascii="仿宋_GB2312" w:hAnsi="仿宋_GB2312" w:eastAsia="仿宋" w:cs="仿宋_GB2312"/>
                <w:color w:val="auto"/>
                <w:sz w:val="24"/>
                <w:szCs w:val="24"/>
                <w:highlight w:val="none"/>
              </w:rPr>
              <w:t>序号</w:t>
            </w:r>
          </w:p>
        </w:tc>
        <w:tc>
          <w:tcPr>
            <w:tcW w:w="2015" w:type="dxa"/>
            <w:vAlign w:val="center"/>
          </w:tcPr>
          <w:p>
            <w:pPr>
              <w:jc w:val="center"/>
              <w:rPr>
                <w:rFonts w:ascii="仿宋_GB2312" w:hAnsi="仿宋_GB2312" w:eastAsia="仿宋_GB2312" w:cs="仿宋_GB2312"/>
                <w:b/>
                <w:bCs/>
                <w:color w:val="auto"/>
                <w:sz w:val="24"/>
                <w:szCs w:val="24"/>
                <w:highlight w:val="none"/>
              </w:rPr>
            </w:pPr>
            <w:r>
              <w:rPr>
                <w:rFonts w:hint="eastAsia" w:ascii="仿宋_GB2312" w:hAnsi="仿宋_GB2312" w:eastAsia="仿宋" w:cs="仿宋_GB2312"/>
                <w:color w:val="auto"/>
                <w:sz w:val="24"/>
                <w:szCs w:val="24"/>
                <w:highlight w:val="none"/>
              </w:rPr>
              <w:t>子项目名称</w:t>
            </w:r>
          </w:p>
        </w:tc>
        <w:tc>
          <w:tcPr>
            <w:tcW w:w="2285"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内容明细（如有）</w:t>
            </w:r>
          </w:p>
        </w:tc>
        <w:tc>
          <w:tcPr>
            <w:tcW w:w="71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数量</w:t>
            </w:r>
          </w:p>
        </w:tc>
        <w:tc>
          <w:tcPr>
            <w:tcW w:w="73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单位</w:t>
            </w:r>
          </w:p>
        </w:tc>
        <w:tc>
          <w:tcPr>
            <w:tcW w:w="1270" w:type="dxa"/>
            <w:vAlign w:val="center"/>
          </w:tcPr>
          <w:p>
            <w:pPr>
              <w:jc w:val="center"/>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单价</w:t>
            </w:r>
          </w:p>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（含税）</w:t>
            </w:r>
          </w:p>
        </w:tc>
        <w:tc>
          <w:tcPr>
            <w:tcW w:w="1210" w:type="dxa"/>
            <w:vAlign w:val="center"/>
          </w:tcPr>
          <w:p>
            <w:pPr>
              <w:jc w:val="center"/>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总价</w:t>
            </w:r>
          </w:p>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1</w:t>
            </w:r>
          </w:p>
        </w:tc>
        <w:tc>
          <w:tcPr>
            <w:tcW w:w="2015" w:type="dxa"/>
            <w:vAlign w:val="center"/>
          </w:tcPr>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常规服务</w:t>
            </w:r>
          </w:p>
        </w:tc>
        <w:tc>
          <w:tcPr>
            <w:tcW w:w="2285" w:type="dxa"/>
            <w:vAlign w:val="center"/>
          </w:tcPr>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详见</w:t>
            </w:r>
            <w:r>
              <w:rPr>
                <w:rFonts w:hint="eastAsia" w:ascii="仿宋_GB2312" w:hAnsi="仿宋_GB2312" w:eastAsia="仿宋_GB2312" w:cs="仿宋_GB2312"/>
                <w:color w:val="auto"/>
                <w:sz w:val="24"/>
                <w:szCs w:val="24"/>
                <w:highlight w:val="none"/>
              </w:rPr>
              <w:t>报价明细表</w:t>
            </w:r>
          </w:p>
        </w:tc>
        <w:tc>
          <w:tcPr>
            <w:tcW w:w="710"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30"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w:t>
            </w:r>
          </w:p>
        </w:tc>
        <w:tc>
          <w:tcPr>
            <w:tcW w:w="1270" w:type="dxa"/>
            <w:vAlign w:val="center"/>
          </w:tcPr>
          <w:p>
            <w:pPr>
              <w:jc w:val="center"/>
              <w:rPr>
                <w:rFonts w:ascii="仿宋_GB2312" w:hAnsi="仿宋_GB2312" w:eastAsia="仿宋_GB2312" w:cs="仿宋_GB2312"/>
                <w:color w:val="auto"/>
                <w:sz w:val="24"/>
                <w:szCs w:val="24"/>
                <w:highlight w:val="none"/>
              </w:rPr>
            </w:pPr>
          </w:p>
        </w:tc>
        <w:tc>
          <w:tcPr>
            <w:tcW w:w="1210" w:type="dxa"/>
            <w:vAlign w:val="center"/>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2</w:t>
            </w:r>
          </w:p>
        </w:tc>
        <w:tc>
          <w:tcPr>
            <w:tcW w:w="2015"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系统优化</w:t>
            </w:r>
          </w:p>
        </w:tc>
        <w:tc>
          <w:tcPr>
            <w:tcW w:w="2285" w:type="dxa"/>
            <w:vAlign w:val="center"/>
          </w:tcPr>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详见</w:t>
            </w:r>
            <w:r>
              <w:rPr>
                <w:rFonts w:hint="eastAsia" w:ascii="仿宋_GB2312" w:hAnsi="仿宋_GB2312" w:eastAsia="仿宋_GB2312" w:cs="仿宋_GB2312"/>
                <w:color w:val="auto"/>
                <w:sz w:val="24"/>
                <w:szCs w:val="24"/>
                <w:highlight w:val="none"/>
              </w:rPr>
              <w:t>报价明细表</w:t>
            </w:r>
          </w:p>
        </w:tc>
        <w:tc>
          <w:tcPr>
            <w:tcW w:w="710"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30"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w:t>
            </w:r>
          </w:p>
        </w:tc>
        <w:tc>
          <w:tcPr>
            <w:tcW w:w="1270" w:type="dxa"/>
            <w:vAlign w:val="center"/>
          </w:tcPr>
          <w:p>
            <w:pPr>
              <w:jc w:val="center"/>
              <w:rPr>
                <w:rFonts w:ascii="仿宋_GB2312" w:hAnsi="仿宋_GB2312" w:eastAsia="仿宋_GB2312" w:cs="仿宋_GB2312"/>
                <w:color w:val="auto"/>
                <w:sz w:val="24"/>
                <w:szCs w:val="24"/>
                <w:highlight w:val="none"/>
              </w:rPr>
            </w:pPr>
          </w:p>
        </w:tc>
        <w:tc>
          <w:tcPr>
            <w:tcW w:w="1210" w:type="dxa"/>
            <w:vAlign w:val="center"/>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3</w:t>
            </w:r>
          </w:p>
        </w:tc>
        <w:tc>
          <w:tcPr>
            <w:tcW w:w="2015" w:type="dxa"/>
            <w:vAlign w:val="center"/>
          </w:tcPr>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系统个性化服务</w:t>
            </w:r>
          </w:p>
        </w:tc>
        <w:tc>
          <w:tcPr>
            <w:tcW w:w="2285" w:type="dxa"/>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详见</w:t>
            </w:r>
            <w:r>
              <w:rPr>
                <w:rFonts w:hint="eastAsia" w:ascii="仿宋_GB2312" w:hAnsi="仿宋_GB2312" w:eastAsia="仿宋_GB2312" w:cs="仿宋_GB2312"/>
                <w:color w:val="auto"/>
                <w:sz w:val="24"/>
                <w:szCs w:val="24"/>
                <w:highlight w:val="none"/>
              </w:rPr>
              <w:t>报价明细表</w:t>
            </w:r>
          </w:p>
        </w:tc>
        <w:tc>
          <w:tcPr>
            <w:tcW w:w="710"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30" w:type="dxa"/>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w:t>
            </w:r>
          </w:p>
        </w:tc>
        <w:tc>
          <w:tcPr>
            <w:tcW w:w="1270" w:type="dxa"/>
            <w:vAlign w:val="center"/>
          </w:tcPr>
          <w:p>
            <w:pPr>
              <w:jc w:val="center"/>
              <w:rPr>
                <w:rFonts w:ascii="仿宋_GB2312" w:hAnsi="仿宋_GB2312" w:eastAsia="仿宋_GB2312" w:cs="仿宋_GB2312"/>
                <w:color w:val="auto"/>
                <w:sz w:val="24"/>
                <w:szCs w:val="24"/>
                <w:highlight w:val="none"/>
              </w:rPr>
            </w:pPr>
          </w:p>
        </w:tc>
        <w:tc>
          <w:tcPr>
            <w:tcW w:w="1210" w:type="dxa"/>
            <w:vAlign w:val="center"/>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5" w:type="dxa"/>
            <w:gridSpan w:val="2"/>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不含税总金额</w:t>
            </w:r>
          </w:p>
        </w:tc>
        <w:tc>
          <w:tcPr>
            <w:tcW w:w="6205" w:type="dxa"/>
            <w:gridSpan w:val="5"/>
            <w:vAlign w:val="center"/>
          </w:tcPr>
          <w:p>
            <w:pP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5" w:type="dxa"/>
            <w:gridSpan w:val="2"/>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税率</w:t>
            </w:r>
          </w:p>
        </w:tc>
        <w:tc>
          <w:tcPr>
            <w:tcW w:w="6205" w:type="dxa"/>
            <w:gridSpan w:val="5"/>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u w:val="single"/>
                <w:lang w:val="en-US" w:eastAsia="zh-CN"/>
              </w:rPr>
              <w:t>X</w:t>
            </w:r>
            <w:r>
              <w:rPr>
                <w:rFonts w:hint="eastAsia" w:ascii="仿宋_GB2312" w:hAnsi="仿宋_GB2312" w:eastAsia="仿宋"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5" w:type="dxa"/>
            <w:gridSpan w:val="2"/>
            <w:vAlign w:val="center"/>
          </w:tcPr>
          <w:p>
            <w:pPr>
              <w:jc w:val="center"/>
              <w:rPr>
                <w:rFonts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rPr>
              <w:t>含税总金额</w:t>
            </w:r>
          </w:p>
        </w:tc>
        <w:tc>
          <w:tcPr>
            <w:tcW w:w="6205" w:type="dxa"/>
            <w:gridSpan w:val="5"/>
            <w:vAlign w:val="center"/>
          </w:tcPr>
          <w:p>
            <w:pPr>
              <w:jc w:val="center"/>
              <w:rPr>
                <w:rFonts w:ascii="仿宋_GB2312" w:hAnsi="仿宋_GB2312" w:eastAsia="仿宋_GB2312" w:cs="仿宋_GB2312"/>
                <w:color w:val="auto"/>
                <w:sz w:val="24"/>
                <w:szCs w:val="24"/>
                <w:highlight w:val="none"/>
              </w:rPr>
            </w:pPr>
          </w:p>
        </w:tc>
      </w:tr>
    </w:tbl>
    <w:p>
      <w:pPr>
        <w:rPr>
          <w:rFonts w:ascii="仿宋_GB2312" w:hAnsi="仿宋_GB2312" w:eastAsia="仿宋" w:cs="仿宋_GB2312"/>
          <w:color w:val="auto"/>
          <w:sz w:val="24"/>
          <w:szCs w:val="24"/>
          <w:highlight w:val="none"/>
        </w:rPr>
      </w:pPr>
      <w:r>
        <w:rPr>
          <w:rFonts w:hint="eastAsia" w:ascii="仿宋_GB2312" w:hAnsi="仿宋_GB2312" w:eastAsia="仿宋" w:cs="仿宋_GB2312"/>
          <w:color w:val="auto"/>
          <w:sz w:val="24"/>
          <w:szCs w:val="24"/>
          <w:highlight w:val="none"/>
        </w:rPr>
        <w:t>注：以上报价包括但不限于设计费、人工费、材料费、安装费、运输费、装卸费、加班费、材料运输费用及各项税费等全部费用。</w:t>
      </w:r>
    </w:p>
    <w:p>
      <w:pPr>
        <w:pStyle w:val="7"/>
        <w:adjustRightInd/>
        <w:snapToGrid/>
        <w:spacing w:after="0"/>
        <w:rPr>
          <w:rFonts w:ascii="仿宋_GB2312" w:hAnsi="仿宋_GB2312" w:eastAsia="仿宋" w:cs="仿宋_GB2312"/>
          <w:color w:val="auto"/>
          <w:sz w:val="28"/>
          <w:szCs w:val="28"/>
          <w:highlight w:val="none"/>
        </w:rPr>
      </w:pPr>
    </w:p>
    <w:p>
      <w:pPr>
        <w:pStyle w:val="7"/>
        <w:adjustRightInd/>
        <w:snapToGrid/>
        <w:spacing w:after="0"/>
        <w:rPr>
          <w:rFonts w:ascii="仿宋_GB2312" w:hAnsi="仿宋_GB2312" w:eastAsia="仿宋" w:cs="仿宋_GB2312"/>
          <w:color w:val="auto"/>
          <w:sz w:val="28"/>
          <w:szCs w:val="28"/>
          <w:highlight w:val="none"/>
        </w:rPr>
      </w:pPr>
    </w:p>
    <w:p>
      <w:pPr>
        <w:pStyle w:val="7"/>
        <w:wordWrap w:val="0"/>
        <w:adjustRightInd/>
        <w:snapToGrid/>
        <w:spacing w:after="0"/>
        <w:ind w:firstLine="0"/>
        <w:jc w:val="righ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 xml:space="preserve">年  月  日        </w:t>
      </w:r>
    </w:p>
    <w:p>
      <w:pPr>
        <w:pStyle w:val="2"/>
        <w:wordWrap/>
        <w:rPr>
          <w:rFonts w:hint="eastAsia"/>
          <w:color w:val="auto"/>
          <w:highlight w:val="none"/>
        </w:rPr>
      </w:pPr>
    </w:p>
    <w:p>
      <w:pPr>
        <w:wordWrap/>
        <w:rPr>
          <w:color w:val="auto"/>
          <w:highlight w:val="none"/>
        </w:rPr>
      </w:pPr>
      <w:r>
        <w:rPr>
          <w:color w:val="auto"/>
          <w:highlight w:val="none"/>
        </w:rPr>
        <w:br w:type="page"/>
      </w:r>
    </w:p>
    <w:p>
      <w:pPr>
        <w:adjustRightInd w:val="0"/>
        <w:snapToGrid w:val="0"/>
        <w:spacing w:line="600" w:lineRule="exact"/>
        <w:jc w:val="center"/>
        <w:rPr>
          <w:rFonts w:ascii="方正小标宋简体" w:hAnsi="方正小标宋简体" w:eastAsia="仿宋" w:cs="方正小标宋简体"/>
          <w:color w:val="auto"/>
          <w:sz w:val="44"/>
          <w:szCs w:val="44"/>
          <w:highlight w:val="none"/>
        </w:rPr>
      </w:pPr>
      <w:r>
        <w:rPr>
          <w:rFonts w:hint="eastAsia" w:ascii="方正小标宋简体" w:hAnsi="方正小标宋简体" w:eastAsia="仿宋" w:cs="方正小标宋简体"/>
          <w:color w:val="auto"/>
          <w:sz w:val="44"/>
          <w:szCs w:val="44"/>
          <w:highlight w:val="none"/>
        </w:rPr>
        <w:t>项目报价</w:t>
      </w:r>
      <w:r>
        <w:rPr>
          <w:rFonts w:hint="eastAsia" w:ascii="方正小标宋简体" w:hAnsi="方正小标宋简体" w:eastAsia="仿宋" w:cs="方正小标宋简体"/>
          <w:color w:val="auto"/>
          <w:sz w:val="44"/>
          <w:szCs w:val="44"/>
          <w:highlight w:val="none"/>
          <w:lang w:val="en-US" w:eastAsia="zh-CN"/>
        </w:rPr>
        <w:t>明细</w:t>
      </w:r>
      <w:r>
        <w:rPr>
          <w:rFonts w:hint="eastAsia" w:ascii="方正小标宋简体" w:hAnsi="方正小标宋简体" w:eastAsia="仿宋" w:cs="方正小标宋简体"/>
          <w:color w:val="auto"/>
          <w:sz w:val="44"/>
          <w:szCs w:val="44"/>
          <w:highlight w:val="none"/>
        </w:rPr>
        <w:t>表</w:t>
      </w:r>
    </w:p>
    <w:p>
      <w:pPr>
        <w:spacing w:line="360" w:lineRule="auto"/>
        <w:rPr>
          <w:rFonts w:ascii="仿宋_GB2312" w:hAnsi="仿宋_GB2312" w:eastAsia="仿宋" w:cs="仿宋_GB2312"/>
          <w:color w:val="auto"/>
          <w:sz w:val="28"/>
          <w:szCs w:val="28"/>
          <w:highlight w:val="none"/>
        </w:rPr>
      </w:pPr>
    </w:p>
    <w:p>
      <w:pPr>
        <w:pStyle w:val="22"/>
        <w:adjustRightInd/>
        <w:jc w:val="right"/>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[货币单位：人民币元]</w:t>
      </w:r>
    </w:p>
    <w:tbl>
      <w:tblPr>
        <w:tblStyle w:val="23"/>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679"/>
        <w:gridCol w:w="1949"/>
        <w:gridCol w:w="5165"/>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序号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0"/>
                <w:szCs w:val="20"/>
                <w:highlight w:val="none"/>
                <w:u w:val="none"/>
              </w:rPr>
            </w:pPr>
            <w:r>
              <w:rPr>
                <w:rStyle w:val="50"/>
                <w:color w:val="auto"/>
                <w:highlight w:val="none"/>
                <w:lang w:val="en-US" w:eastAsia="zh-CN" w:bidi="ar"/>
              </w:rPr>
              <w:t>类别</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0"/>
                <w:szCs w:val="20"/>
                <w:highlight w:val="none"/>
                <w:u w:val="none"/>
              </w:rPr>
            </w:pPr>
            <w:r>
              <w:rPr>
                <w:rStyle w:val="50"/>
                <w:color w:val="auto"/>
                <w:highlight w:val="none"/>
                <w:lang w:val="en-US" w:eastAsia="zh-CN" w:bidi="ar"/>
              </w:rPr>
              <w:t>子项</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0"/>
                <w:szCs w:val="20"/>
                <w:highlight w:val="none"/>
                <w:u w:val="none"/>
              </w:rPr>
            </w:pPr>
            <w:r>
              <w:rPr>
                <w:rStyle w:val="50"/>
                <w:color w:val="auto"/>
                <w:highlight w:val="none"/>
                <w:lang w:val="en-US" w:eastAsia="zh-CN" w:bidi="ar"/>
              </w:rPr>
              <w:t>工作内容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含税报价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0"/>
                <w:szCs w:val="20"/>
                <w:highlight w:val="none"/>
                <w:u w:val="none"/>
              </w:rPr>
            </w:pPr>
            <w:r>
              <w:rPr>
                <w:rStyle w:val="50"/>
                <w:color w:val="auto"/>
                <w:highlight w:val="none"/>
                <w:lang w:val="en-US" w:eastAsia="zh-CN" w:bidi="ar"/>
              </w:rPr>
              <w:t>日常运维工作</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用户操作问题处理(5*8)</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登录问题、修改密码、权限调整、流程干预、(单据数据错误)。综合安防平台普通用户账号信息管理账号申请、密码重置、停用、权限调整。</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系统巡检</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巡检工作，1.监控点状态巡检及故障通知、协助各厂现场负责人对故障处置提供技术指导修复建议。2.综合安防管理平台接入监控点、硬盘录像信息、视频目录树管理、更新与维护。3.综合安防管理平台接入监控点、硬盘录像信息、视频目录树管理、更新与维护。4.监控设施故障汇总统计，报告发现问题及时通知各厂并提供技术协助。检查内容(按照甲方要求定期提供巡检报告):1.服务器性能：CPU&lt;50%、内存&lt;50%、硬盘已用空间&lt;80%;(isc服务器)2.系统运行状态：系统运行状态检查服务(系统版本固件、存储状况、画面参数、预览画面、回放画面和功能界面打开速度正常；3.监控点存储检查：监控点存储满足90天周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系统问题(7*24)</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出现功能报错时，诊断现有系统的应用功能中存在问题，排查分析，并及时解决，保障系统功能的正常运用并形成系统问题报告(包含问题分析以及解决方式等)。</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硬件维护</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1.提供满足ISC系统运行的专用服务器，并对服务器的系统软件、应用软件负责维护，对服务器的硬件系统进行维护，保证服务器正常运行。2.对13个分厂视频专用接入交换机系统软件、固件负责维护，对的硬件系统进行维护，保证视频专用交换机正常运行。</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5</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Arial" w:hAnsi="Arial" w:cs="Arial"/>
                <w:i w:val="0"/>
                <w:iCs w:val="0"/>
                <w:color w:val="auto"/>
                <w:sz w:val="22"/>
                <w:szCs w:val="22"/>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操作指引和培训</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1.业务流程变更或有新功能，需更新系统操作指引；2.按甲方要求开展用户培训，让新员工或调岗人员适应系统，新功能上线后开展新功能的培训。</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数据共享</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数据库参数查看；维护视频监控设备接入端口、平台业务系统服务端口；根据业务数据共享的需要，编写数据共享接口，在共享数据清单发生变化时进行调整，保障接口稳定运行。</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漏洞修复(7*24)</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发现系统安全漏洞后进行漏洞修复，修复后测试检测系统功能是否能正常使用，如果出现报错则需调试系统或做回退操作，系统开发单位的产品部门解决报错问题，并形成漏洞修复报告。</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安全自查</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进行系统安全自查工作，并配合等级保护测评、病毒查杀(按照甲方要求定期进行)。</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系统备份还原</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系统的应用、数据库备份(按照甲方要求定期进行)。</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0"/>
                <w:szCs w:val="20"/>
                <w:highlight w:val="none"/>
                <w:u w:val="none"/>
              </w:rPr>
            </w:pPr>
            <w:r>
              <w:rPr>
                <w:rStyle w:val="50"/>
                <w:color w:val="auto"/>
                <w:highlight w:val="none"/>
                <w:lang w:val="en-US" w:eastAsia="zh-CN" w:bidi="ar"/>
              </w:rPr>
              <w:t>系统优化</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功能优化</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监控点名称、设备名称、目录树调整，图上监控模块功能优化调整。</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20"/>
                <w:szCs w:val="20"/>
                <w:highlight w:val="none"/>
                <w:u w:val="none"/>
              </w:rPr>
            </w:pPr>
            <w:r>
              <w:rPr>
                <w:rStyle w:val="50"/>
                <w:color w:val="auto"/>
                <w:highlight w:val="none"/>
                <w:lang w:val="en-US" w:eastAsia="zh-CN" w:bidi="ar"/>
              </w:rPr>
              <w:t>系统个性化服务</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视频监控许可</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Style w:val="51"/>
                <w:color w:val="auto"/>
                <w:highlight w:val="none"/>
                <w:lang w:val="en-US" w:eastAsia="zh-CN" w:bidi="ar"/>
              </w:rPr>
              <w:t>1.原综合安防管理平台视频监控授权2650路，增购200路。</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Style w:val="50"/>
                <w:color w:val="auto"/>
                <w:highlight w:val="none"/>
                <w:lang w:val="en-US" w:eastAsia="zh-CN" w:bidi="ar"/>
              </w:rPr>
              <w:t>软件原厂服务</w:t>
            </w:r>
            <w:r>
              <w:rPr>
                <w:rStyle w:val="51"/>
                <w:color w:val="auto"/>
                <w:highlight w:val="none"/>
                <w:lang w:val="en-US" w:eastAsia="zh-CN" w:bidi="ar"/>
              </w:rPr>
              <w:t>例如(厂站自控系统和综合安防)</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auto"/>
                <w:sz w:val="20"/>
                <w:szCs w:val="20"/>
                <w:highlight w:val="none"/>
                <w:u w:val="none"/>
              </w:rPr>
            </w:pPr>
            <w:r>
              <w:rPr>
                <w:rStyle w:val="51"/>
                <w:color w:val="auto"/>
                <w:highlight w:val="none"/>
                <w:lang w:val="en-US" w:eastAsia="zh-CN" w:bidi="ar"/>
              </w:rPr>
              <w:t>如：补丁或漏洞修复原厂服务，消除软件漏洞给平台带来的安全隐患，并对安装补丁所引起的平台连锁反应进行合理的平衡。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auto"/>
                <w:sz w:val="20"/>
                <w:szCs w:val="20"/>
                <w:highlight w:val="none"/>
                <w:u w:val="none"/>
              </w:rPr>
            </w:pPr>
          </w:p>
        </w:tc>
      </w:tr>
    </w:tbl>
    <w:p>
      <w:pPr>
        <w:pStyle w:val="7"/>
        <w:adjustRightInd/>
        <w:snapToGrid/>
        <w:spacing w:after="0"/>
        <w:rPr>
          <w:rFonts w:ascii="仿宋_GB2312" w:hAnsi="仿宋_GB2312" w:eastAsia="仿宋" w:cs="仿宋_GB2312"/>
          <w:color w:val="auto"/>
          <w:sz w:val="28"/>
          <w:szCs w:val="28"/>
          <w:highlight w:val="none"/>
        </w:rPr>
      </w:pPr>
    </w:p>
    <w:p>
      <w:pPr>
        <w:pStyle w:val="7"/>
        <w:adjustRightInd/>
        <w:snapToGrid/>
        <w:spacing w:after="0"/>
        <w:rPr>
          <w:rFonts w:ascii="仿宋_GB2312" w:hAnsi="仿宋_GB2312" w:eastAsia="仿宋" w:cs="仿宋_GB2312"/>
          <w:color w:val="auto"/>
          <w:sz w:val="28"/>
          <w:szCs w:val="28"/>
          <w:highlight w:val="none"/>
        </w:rPr>
      </w:pPr>
    </w:p>
    <w:p>
      <w:pPr>
        <w:pStyle w:val="7"/>
        <w:wordWrap w:val="0"/>
        <w:adjustRightInd/>
        <w:snapToGrid/>
        <w:spacing w:after="0"/>
        <w:ind w:firstLine="0"/>
        <w:jc w:val="right"/>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 xml:space="preserve">年  月  日        </w:t>
      </w:r>
    </w:p>
    <w:p>
      <w:pPr>
        <w:wordWrap/>
        <w:rPr>
          <w:rFonts w:hint="eastAsia"/>
          <w:color w:val="auto"/>
          <w:highlight w:val="none"/>
        </w:rPr>
      </w:pPr>
      <w:r>
        <w:rPr>
          <w:rFonts w:hint="eastAsia"/>
          <w:color w:val="auto"/>
          <w:highlight w:val="none"/>
        </w:rPr>
        <w:br w:type="page"/>
      </w:r>
    </w:p>
    <w:p>
      <w:pPr>
        <w:spacing w:line="360" w:lineRule="auto"/>
        <w:rPr>
          <w:rFonts w:ascii="黑体" w:hAnsi="黑体" w:eastAsia="黑体" w:cs="黑体"/>
          <w:b/>
          <w:bCs/>
          <w:color w:val="auto"/>
          <w:sz w:val="32"/>
          <w:szCs w:val="32"/>
          <w:highlight w:val="none"/>
        </w:rPr>
      </w:pPr>
      <w:bookmarkStart w:id="107" w:name="_Toc6058"/>
      <w:bookmarkStart w:id="108" w:name="_Toc87616402"/>
      <w:bookmarkStart w:id="109" w:name="_Toc88209965"/>
      <w:bookmarkStart w:id="110" w:name="_Toc16386"/>
      <w:r>
        <w:rPr>
          <w:rFonts w:hint="eastAsia" w:ascii="黑体" w:hAnsi="黑体" w:eastAsia="黑体" w:cs="黑体"/>
          <w:b/>
          <w:bCs/>
          <w:color w:val="auto"/>
          <w:sz w:val="32"/>
          <w:szCs w:val="32"/>
          <w:highlight w:val="none"/>
        </w:rPr>
        <w:t>6.其他资料</w:t>
      </w:r>
      <w:bookmarkEnd w:id="107"/>
      <w:bookmarkEnd w:id="108"/>
      <w:bookmarkEnd w:id="109"/>
      <w:bookmarkEnd w:id="110"/>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16"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Rc6JbPQBAAADBAAADgAAAAAAAAABACAAAAAeAQAAZHJzL2Uyb0RvYy54bWxQSwUGAAAAAAYA&#10;BgBZAQAAhA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210" cy="139700"/>
              <wp:effectExtent l="1270" t="1270" r="0" b="190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2.3pt;mso-position-horizontal:center;mso-position-horizontal-relative:margin;mso-wrap-style:none;z-index:251661312;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0TUc0AAAAAIBAAAPAAAAAAAAAAEAIAAAACIAAABkcnMvZG93bnJldi54bWxQSwECFAAU&#10;AAAACACHTuJAnig8e/kBAAAABAAADgAAAAAAAAABACAAAAAfAQAAZHJzL2Uyb0RvYy54bWxQSwUG&#10;AAAAAAYABgBZAQAAi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02260"/>
              <wp:effectExtent l="0" t="1270" r="3175" b="127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7"/>
                          </w:pPr>
                        </w:p>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23.8pt;width:9.05pt;mso-position-horizontal:center;mso-position-horizontal-relative:margin;mso-wrap-style:none;z-index:251660288;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7G5YnRAAAAAwEAAA8AAAAAAAAAAQAgAAAAIgAAAGRycy9kb3ducmV2LnhtbFBLAQIU&#10;ABQAAAAIAIdO4kD4BPE5+gEAAAEEAAAOAAAAAAAAAAEAIAAAACABAABkcnMvZTJvRG9jLnhtbFBL&#10;BQYAAAAABgAGAFkBAACM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BGdkg71AQAAAwQAAA4AAAAAAAAAAQAgAAAAHgEAAGRycy9lMm9Eb2MueG1sUEsFBgAAAAAG&#10;AAYAWQEAAIU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1270" r="2540" b="1905"/>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6WFNAAAAADAQAADwAAAAAAAAABACAAAAAiAAAAZHJzL2Rvd25yZXYueG1sUEsBAhQA&#10;FAAAAAgAh07iQBimEFT6AQAAAQQAAA4AAAAAAAAAAQAgAAAAHwEAAGRycy9lMm9Eb2MueG1sUEsF&#10;BgAAAAAGAAYAWQEAAIs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302260"/>
              <wp:effectExtent l="0" t="1270" r="3810" b="1270"/>
              <wp:wrapNone/>
              <wp:docPr id="1"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7"/>
                          </w:pPr>
                        </w:p>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23.8pt;width:9.05pt;mso-position-horizontal:center;mso-position-horizontal-relative:margin;mso-wrap-style:none;z-index:251663360;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blidEAAAADAQAADwAAAAAAAAABACAAAAAiAAAAZHJzL2Rvd25yZXYueG1sUEsBAhQA&#10;FAAAAAgAh07iQC7Y6mb5AQAAAQQAAA4AAAAAAAAAAQAgAAAAIAEAAGRycy9lMm9Eb2MueG1sUEsF&#10;BgAAAAAGAAYAWQEAAIs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325F2470"/>
    <w:multiLevelType w:val="multilevel"/>
    <w:tmpl w:val="325F2470"/>
    <w:lvl w:ilvl="0" w:tentative="0">
      <w:start w:val="1"/>
      <w:numFmt w:val="decimal"/>
      <w:pStyle w:val="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lNTNmYTg2YTk2YzBlZmY5MDJmNzVhNmU5MTU4MDEifQ=="/>
  </w:docVars>
  <w:rsids>
    <w:rsidRoot w:val="005D618A"/>
    <w:rsid w:val="00101F31"/>
    <w:rsid w:val="001036BB"/>
    <w:rsid w:val="003C44E6"/>
    <w:rsid w:val="003D60BA"/>
    <w:rsid w:val="003E29CD"/>
    <w:rsid w:val="00411689"/>
    <w:rsid w:val="00421332"/>
    <w:rsid w:val="00464991"/>
    <w:rsid w:val="005160C1"/>
    <w:rsid w:val="00561DD8"/>
    <w:rsid w:val="005D618A"/>
    <w:rsid w:val="005F28AE"/>
    <w:rsid w:val="00752237"/>
    <w:rsid w:val="008775CD"/>
    <w:rsid w:val="00911ECD"/>
    <w:rsid w:val="0096238C"/>
    <w:rsid w:val="00973C26"/>
    <w:rsid w:val="00991746"/>
    <w:rsid w:val="00A042E0"/>
    <w:rsid w:val="00B26BB1"/>
    <w:rsid w:val="00B26E21"/>
    <w:rsid w:val="00B50536"/>
    <w:rsid w:val="00B741D7"/>
    <w:rsid w:val="00C02C0B"/>
    <w:rsid w:val="00C255CA"/>
    <w:rsid w:val="00CB3927"/>
    <w:rsid w:val="00D433C2"/>
    <w:rsid w:val="00D4533C"/>
    <w:rsid w:val="00DA6DED"/>
    <w:rsid w:val="00E34532"/>
    <w:rsid w:val="00E54B62"/>
    <w:rsid w:val="00F65679"/>
    <w:rsid w:val="00F76D28"/>
    <w:rsid w:val="00F83B64"/>
    <w:rsid w:val="00FC1F38"/>
    <w:rsid w:val="00FF1626"/>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2E221FD"/>
    <w:rsid w:val="12F53CBD"/>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4B74F4"/>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183C46"/>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10F38"/>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45B0B6E"/>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left"/>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Body Text First Indent 2"/>
    <w:basedOn w:val="11"/>
    <w:qFormat/>
    <w:uiPriority w:val="0"/>
    <w:pPr>
      <w:spacing w:line="360" w:lineRule="auto"/>
      <w:ind w:firstLine="420"/>
    </w:pPr>
    <w:rPr>
      <w:rFonts w:eastAsia="等线"/>
      <w:color w:val="000000"/>
      <w:szCs w:val="24"/>
    </w:rPr>
  </w:style>
  <w:style w:type="table" w:styleId="24">
    <w:name w:val="Table Grid"/>
    <w:basedOn w:val="2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字符"/>
    <w:basedOn w:val="25"/>
    <w:link w:val="18"/>
    <w:semiHidden/>
    <w:qFormat/>
    <w:uiPriority w:val="99"/>
    <w:rPr>
      <w:sz w:val="18"/>
      <w:szCs w:val="18"/>
    </w:rPr>
  </w:style>
  <w:style w:type="character" w:customStyle="1" w:styleId="29">
    <w:name w:val="页脚 字符"/>
    <w:basedOn w:val="25"/>
    <w:link w:val="17"/>
    <w:qFormat/>
    <w:uiPriority w:val="99"/>
    <w:rPr>
      <w:sz w:val="18"/>
      <w:szCs w:val="18"/>
    </w:rPr>
  </w:style>
  <w:style w:type="character" w:customStyle="1" w:styleId="30">
    <w:name w:val="标题 1 字符"/>
    <w:basedOn w:val="25"/>
    <w:link w:val="3"/>
    <w:qFormat/>
    <w:uiPriority w:val="9"/>
    <w:rPr>
      <w:rFonts w:eastAsia="方正小标宋简体"/>
      <w:bCs/>
      <w:kern w:val="44"/>
      <w:sz w:val="44"/>
      <w:szCs w:val="44"/>
    </w:rPr>
  </w:style>
  <w:style w:type="character" w:customStyle="1" w:styleId="31">
    <w:name w:val="标题 2 字符"/>
    <w:basedOn w:val="25"/>
    <w:link w:val="4"/>
    <w:qFormat/>
    <w:uiPriority w:val="9"/>
    <w:rPr>
      <w:rFonts w:eastAsia="方正小标宋简体" w:asciiTheme="majorHAnsi" w:hAnsiTheme="majorHAnsi" w:cstheme="majorBidi"/>
      <w:bCs/>
      <w:kern w:val="2"/>
      <w:sz w:val="36"/>
      <w:szCs w:val="32"/>
    </w:rPr>
  </w:style>
  <w:style w:type="character" w:customStyle="1" w:styleId="32">
    <w:name w:val="标题 3 字符"/>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8"/>
    <w:semiHidden/>
    <w:qFormat/>
    <w:uiPriority w:val="99"/>
    <w:rPr>
      <w:sz w:val="16"/>
      <w:szCs w:val="16"/>
    </w:rPr>
  </w:style>
  <w:style w:type="character" w:customStyle="1" w:styleId="41">
    <w:name w:val="列出段落 字符"/>
    <w:link w:val="33"/>
    <w:qFormat/>
    <w:uiPriority w:val="34"/>
  </w:style>
  <w:style w:type="paragraph" w:customStyle="1" w:styleId="42">
    <w:name w:val="1"/>
    <w:basedOn w:val="1"/>
    <w:next w:val="13"/>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6">
    <w:name w:val="标题3 字符"/>
    <w:link w:val="47"/>
    <w:qFormat/>
    <w:uiPriority w:val="0"/>
    <w:rPr>
      <w:rFonts w:eastAsia="仿宋"/>
      <w:bCs/>
      <w:sz w:val="32"/>
      <w:szCs w:val="32"/>
    </w:rPr>
  </w:style>
  <w:style w:type="paragraph" w:customStyle="1" w:styleId="47">
    <w:name w:val="标题3"/>
    <w:basedOn w:val="5"/>
    <w:next w:val="6"/>
    <w:link w:val="46"/>
    <w:qFormat/>
    <w:uiPriority w:val="0"/>
    <w:pPr>
      <w:numPr>
        <w:ilvl w:val="0"/>
        <w:numId w:val="1"/>
      </w:numPr>
    </w:pPr>
    <w:rPr>
      <w:rFonts w:eastAsia="仿宋" w:asciiTheme="minorHAnsi" w:hAnsiTheme="minorHAnsi" w:cstheme="minorBidi"/>
      <w:b w:val="0"/>
      <w:kern w:val="0"/>
    </w:rPr>
  </w:style>
  <w:style w:type="character" w:customStyle="1" w:styleId="48">
    <w:name w:val="标题 4 字符"/>
    <w:basedOn w:val="25"/>
    <w:link w:val="6"/>
    <w:semiHidden/>
    <w:qFormat/>
    <w:uiPriority w:val="9"/>
    <w:rPr>
      <w:rFonts w:asciiTheme="majorHAnsi" w:hAnsiTheme="majorHAnsi" w:eastAsiaTheme="majorEastAsia" w:cstheme="majorBidi"/>
      <w:b/>
      <w:bCs/>
      <w:kern w:val="2"/>
      <w:sz w:val="28"/>
      <w:szCs w:val="28"/>
    </w:rPr>
  </w:style>
  <w:style w:type="paragraph" w:customStyle="1" w:styleId="49">
    <w:name w:val="列出段落3"/>
    <w:basedOn w:val="1"/>
    <w:qFormat/>
    <w:uiPriority w:val="0"/>
    <w:pPr>
      <w:ind w:firstLine="420" w:firstLineChars="200"/>
    </w:pPr>
    <w:rPr>
      <w:rFonts w:ascii="Calibri" w:hAnsi="Calibri" w:eastAsia="宋体" w:cs="Times New Roman"/>
    </w:rPr>
  </w:style>
  <w:style w:type="character" w:customStyle="1" w:styleId="50">
    <w:name w:val="font31"/>
    <w:basedOn w:val="25"/>
    <w:qFormat/>
    <w:uiPriority w:val="0"/>
    <w:rPr>
      <w:rFonts w:ascii="宋体" w:hAnsi="宋体" w:eastAsia="宋体" w:cs="宋体"/>
      <w:b/>
      <w:bCs/>
      <w:color w:val="000000"/>
      <w:sz w:val="20"/>
      <w:szCs w:val="20"/>
      <w:u w:val="none"/>
    </w:rPr>
  </w:style>
  <w:style w:type="character" w:customStyle="1" w:styleId="51">
    <w:name w:val="font41"/>
    <w:basedOn w:val="25"/>
    <w:qFormat/>
    <w:uiPriority w:val="0"/>
    <w:rPr>
      <w:rFonts w:ascii="宋体" w:hAnsi="宋体" w:eastAsia="宋体" w:cs="宋体"/>
      <w:color w:val="000000"/>
      <w:sz w:val="20"/>
      <w:szCs w:val="20"/>
      <w:u w:val="none"/>
    </w:rPr>
  </w:style>
  <w:style w:type="character" w:customStyle="1" w:styleId="52">
    <w:name w:val="font51"/>
    <w:basedOn w:val="25"/>
    <w:qFormat/>
    <w:uiPriority w:val="0"/>
    <w:rPr>
      <w:rFonts w:hint="default" w:ascii="Arial" w:hAnsi="Arial" w:cs="Arial"/>
      <w:color w:val="000000"/>
      <w:sz w:val="7"/>
      <w:szCs w:val="7"/>
      <w:u w:val="none"/>
    </w:rPr>
  </w:style>
  <w:style w:type="character" w:customStyle="1" w:styleId="53">
    <w:name w:val="font61"/>
    <w:basedOn w:val="25"/>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6093</Words>
  <Characters>6391</Characters>
  <Lines>223</Lines>
  <Paragraphs>62</Paragraphs>
  <TotalTime>5</TotalTime>
  <ScaleCrop>false</ScaleCrop>
  <LinksUpToDate>false</LinksUpToDate>
  <CharactersWithSpaces>7174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2024-11-07T01:47:00Z</dcterms:created>
  <dc:creator>陈义春</dc:creator>
  <cp:lastModifiedBy>琳</cp:lastModifiedBy>
  <dcterms:modified xsi:type="dcterms:W3CDTF">2024-11-22T08:58:23Z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E7F3CC0FF23942D7B931507C12D80B9F_13</vt:lpwstr>
  </property>
</Properties>
</file>