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sz w:val="52"/>
          <w:szCs w:val="52"/>
          <w:highlight w:val="none"/>
        </w:rPr>
      </w:pPr>
    </w:p>
    <w:p>
      <w:pPr>
        <w:numPr>
          <w:ilvl w:val="0"/>
          <w:numId w:val="0"/>
        </w:numPr>
        <w:ind w:leftChars="0"/>
        <w:jc w:val="center"/>
        <w:rPr>
          <w:rFonts w:hint="eastAsia" w:ascii="方正小标宋简体" w:hAnsi="方正小标宋简体" w:eastAsia="方正小标宋简体" w:cs="方正小标宋简体"/>
          <w:color w:val="auto"/>
          <w:sz w:val="52"/>
          <w:szCs w:val="52"/>
          <w:highlight w:val="none"/>
          <w:u w:val="none"/>
          <w:lang w:eastAsia="zh-CN"/>
        </w:rPr>
      </w:pPr>
      <w:r>
        <w:rPr>
          <w:rFonts w:hint="eastAsia" w:ascii="方正小标宋简体" w:hAnsi="方正小标宋简体" w:eastAsia="方正小标宋简体" w:cs="方正小标宋简体"/>
          <w:color w:val="auto"/>
          <w:sz w:val="52"/>
          <w:szCs w:val="52"/>
          <w:highlight w:val="none"/>
          <w:u w:val="none"/>
          <w:lang w:eastAsia="zh-CN"/>
        </w:rPr>
        <w:t>广州市净水有限公司大坦沙分公司</w:t>
      </w:r>
    </w:p>
    <w:p>
      <w:pPr>
        <w:numPr>
          <w:ilvl w:val="0"/>
          <w:numId w:val="0"/>
        </w:numPr>
        <w:ind w:leftChars="0"/>
        <w:jc w:val="center"/>
        <w:rPr>
          <w:rFonts w:hint="eastAsia" w:ascii="方正小标宋简体" w:hAnsi="方正小标宋简体" w:eastAsia="方正小标宋简体" w:cs="方正小标宋简体"/>
          <w:color w:val="auto"/>
          <w:sz w:val="52"/>
          <w:szCs w:val="52"/>
          <w:highlight w:val="none"/>
          <w:u w:val="none"/>
          <w:lang w:eastAsia="zh-CN"/>
        </w:rPr>
      </w:pPr>
      <w:r>
        <w:rPr>
          <w:rFonts w:hint="eastAsia" w:ascii="方正小标宋简体" w:hAnsi="方正小标宋简体" w:eastAsia="方正小标宋简体" w:cs="方正小标宋简体"/>
          <w:color w:val="auto"/>
          <w:sz w:val="52"/>
          <w:szCs w:val="52"/>
          <w:highlight w:val="none"/>
          <w:u w:val="none"/>
          <w:lang w:eastAsia="zh-CN"/>
        </w:rPr>
        <w:t>一二期干化车间监控优化项目</w:t>
      </w:r>
    </w:p>
    <w:p>
      <w:pPr>
        <w:pStyle w:val="2"/>
        <w:rPr>
          <w:rFonts w:hint="eastAsia" w:ascii="方正小标宋简体" w:hAnsi="方正小标宋简体" w:eastAsia="方正小标宋简体" w:cs="方正小标宋简体"/>
          <w:sz w:val="52"/>
          <w:szCs w:val="52"/>
        </w:rPr>
      </w:pPr>
    </w:p>
    <w:p>
      <w:pPr>
        <w:numPr>
          <w:ilvl w:val="0"/>
          <w:numId w:val="0"/>
        </w:numPr>
        <w:ind w:leftChars="0"/>
        <w:jc w:val="center"/>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both"/>
        <w:rPr>
          <w:rFonts w:hint="eastAsia" w:ascii="仿宋_GB2312" w:eastAsia="仿宋_GB2312"/>
          <w:color w:val="auto"/>
          <w:sz w:val="32"/>
          <w:szCs w:val="32"/>
          <w:highlight w:val="none"/>
        </w:rPr>
      </w:pPr>
    </w:p>
    <w:p>
      <w:pPr>
        <w:pStyle w:val="2"/>
        <w:rPr>
          <w:rFonts w:hint="eastAsia"/>
        </w:rPr>
      </w:pPr>
    </w:p>
    <w:p>
      <w:pPr>
        <w:jc w:val="center"/>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w:t>
      </w:r>
      <w:r>
        <w:rPr>
          <w:rFonts w:hint="eastAsia" w:ascii="黑体" w:hAnsi="黑体" w:eastAsia="黑体" w:cs="仿宋_GB2312"/>
          <w:color w:val="auto"/>
          <w:sz w:val="32"/>
          <w:szCs w:val="32"/>
          <w:highlight w:val="none"/>
          <w:lang w:val="en-US" w:eastAsia="zh-CN"/>
        </w:rPr>
        <w:t>四</w:t>
      </w:r>
      <w:r>
        <w:rPr>
          <w:rFonts w:hint="eastAsia" w:ascii="黑体" w:hAnsi="黑体" w:eastAsia="黑体" w:cs="仿宋_GB2312"/>
          <w:color w:val="auto"/>
          <w:sz w:val="32"/>
          <w:szCs w:val="32"/>
          <w:highlight w:val="none"/>
        </w:rPr>
        <w:t>年</w:t>
      </w:r>
      <w:r>
        <w:rPr>
          <w:rFonts w:hint="eastAsia" w:ascii="黑体" w:hAnsi="黑体" w:eastAsia="黑体" w:cs="仿宋_GB2312"/>
          <w:color w:val="auto"/>
          <w:sz w:val="32"/>
          <w:szCs w:val="32"/>
          <w:highlight w:val="none"/>
          <w:lang w:val="en-US" w:eastAsia="zh-CN"/>
        </w:rPr>
        <w:t>十一</w:t>
      </w:r>
      <w:r>
        <w:rPr>
          <w:rFonts w:hint="eastAsia" w:ascii="黑体" w:hAnsi="黑体" w:eastAsia="黑体" w:cs="仿宋_GB2312"/>
          <w:color w:val="auto"/>
          <w:sz w:val="32"/>
          <w:szCs w:val="32"/>
          <w:highlight w:val="none"/>
        </w:rPr>
        <w:t>月</w:t>
      </w:r>
    </w:p>
    <w:p>
      <w:pPr>
        <w:rPr>
          <w:color w:val="auto"/>
          <w:highlight w:val="none"/>
        </w:rPr>
        <w:sectPr>
          <w:headerReference r:id="rId3" w:type="first"/>
          <w:footerReference r:id="rId5" w:type="first"/>
          <w:footerReference r:id="rId4" w:type="default"/>
          <w:pgSz w:w="11906" w:h="16838"/>
          <w:pgMar w:top="2098" w:right="1474" w:bottom="1985" w:left="1588" w:header="851" w:footer="992" w:gutter="0"/>
          <w:pgNumType w:start="0"/>
          <w:cols w:space="425" w:num="1"/>
          <w:titlePg/>
          <w:docGrid w:type="lines" w:linePitch="312" w:charSpace="0"/>
        </w:sectPr>
      </w:pPr>
    </w:p>
    <w:p>
      <w:pPr>
        <w:pStyle w:val="2"/>
      </w:pPr>
    </w:p>
    <w:p>
      <w:pPr>
        <w:pStyle w:val="36"/>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20"/>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20"/>
        <w:numPr>
          <w:ilvl w:val="0"/>
          <w:numId w:val="1"/>
        </w:numPr>
        <w:tabs>
          <w:tab w:val="right" w:pos="8844"/>
        </w:tabs>
        <w:rPr>
          <w:color w:val="auto"/>
          <w:highlight w:val="none"/>
        </w:rPr>
      </w:pPr>
      <w:r>
        <w:rPr>
          <w:rFonts w:hint="eastAsia"/>
          <w:color w:val="auto"/>
          <w:highlight w:val="none"/>
          <w:lang w:val="en-US" w:eastAsia="zh-CN"/>
        </w:rPr>
        <w:t>供应商须知</w:t>
      </w:r>
    </w:p>
    <w:p>
      <w:pPr>
        <w:pStyle w:val="20"/>
        <w:numPr>
          <w:ilvl w:val="0"/>
          <w:numId w:val="1"/>
        </w:numPr>
        <w:tabs>
          <w:tab w:val="right" w:pos="8844"/>
        </w:tabs>
        <w:rPr>
          <w:color w:val="auto"/>
          <w:highlight w:val="none"/>
        </w:rPr>
      </w:pPr>
      <w:r>
        <w:rPr>
          <w:rFonts w:hint="eastAsia"/>
          <w:color w:val="auto"/>
          <w:highlight w:val="none"/>
          <w:lang w:val="en-US" w:eastAsia="zh-CN"/>
        </w:rPr>
        <w:t>采购方法</w:t>
      </w:r>
    </w:p>
    <w:p>
      <w:pPr>
        <w:pStyle w:val="20"/>
        <w:numPr>
          <w:ilvl w:val="0"/>
          <w:numId w:val="1"/>
        </w:numPr>
        <w:tabs>
          <w:tab w:val="right" w:pos="8844"/>
        </w:tabs>
        <w:rPr>
          <w:color w:val="auto"/>
          <w:highlight w:val="none"/>
        </w:rPr>
      </w:pPr>
      <w:r>
        <w:rPr>
          <w:rFonts w:hint="eastAsia"/>
          <w:color w:val="auto"/>
          <w:highlight w:val="none"/>
          <w:lang w:val="en-US" w:eastAsia="zh-CN"/>
        </w:rPr>
        <w:t>评审方法</w:t>
      </w:r>
    </w:p>
    <w:p>
      <w:pPr>
        <w:pStyle w:val="20"/>
        <w:numPr>
          <w:ilvl w:val="0"/>
          <w:numId w:val="1"/>
        </w:numPr>
        <w:tabs>
          <w:tab w:val="right" w:pos="8844"/>
        </w:tabs>
        <w:rPr>
          <w:color w:val="auto"/>
          <w:highlight w:val="none"/>
        </w:rPr>
      </w:pPr>
      <w:r>
        <w:rPr>
          <w:rFonts w:hint="eastAsia"/>
          <w:color w:val="auto"/>
          <w:highlight w:val="none"/>
          <w:lang w:val="en-US" w:eastAsia="zh-CN"/>
        </w:rPr>
        <w:t>采购需求</w:t>
      </w:r>
    </w:p>
    <w:p>
      <w:pPr>
        <w:pStyle w:val="20"/>
        <w:numPr>
          <w:ilvl w:val="0"/>
          <w:numId w:val="1"/>
        </w:numPr>
        <w:tabs>
          <w:tab w:val="right" w:pos="8844"/>
        </w:tabs>
        <w:rPr>
          <w:color w:val="auto"/>
          <w:highlight w:val="none"/>
        </w:rPr>
      </w:pPr>
      <w:r>
        <w:rPr>
          <w:rFonts w:hint="eastAsia"/>
          <w:color w:val="auto"/>
          <w:highlight w:val="none"/>
        </w:rPr>
        <w:t>合同草案</w:t>
      </w:r>
    </w:p>
    <w:p>
      <w:pPr>
        <w:pStyle w:val="20"/>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3"/>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rFonts w:hint="eastAsia"/>
          <w:color w:val="auto"/>
          <w:highlight w:val="none"/>
        </w:rPr>
      </w:pPr>
      <w:bookmarkStart w:id="0" w:name="_Toc18145"/>
      <w:bookmarkStart w:id="1" w:name="_Toc26148"/>
    </w:p>
    <w:p>
      <w:pPr>
        <w:rPr>
          <w:rFonts w:hint="eastAsia"/>
          <w:color w:val="auto"/>
          <w:highlight w:val="none"/>
        </w:rPr>
      </w:pPr>
    </w:p>
    <w:p>
      <w:pPr>
        <w:pStyle w:val="3"/>
        <w:rPr>
          <w:rFonts w:hint="eastAsia"/>
          <w:color w:val="auto"/>
          <w:highlight w:val="none"/>
        </w:rPr>
      </w:pPr>
      <w:bookmarkStart w:id="2" w:name="_Toc1711"/>
      <w:bookmarkStart w:id="3" w:name="_Toc17696"/>
    </w:p>
    <w:p>
      <w:pPr>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3"/>
        <w:rPr>
          <w:rFonts w:hint="eastAsia"/>
          <w:color w:val="auto"/>
          <w:highlight w:val="none"/>
        </w:rPr>
      </w:pPr>
      <w:bookmarkStart w:id="4" w:name="_Toc11322"/>
      <w:bookmarkStart w:id="5" w:name="_Toc7519"/>
      <w:bookmarkStart w:id="6" w:name="_Toc1669"/>
      <w:bookmarkStart w:id="7" w:name="_Toc17801"/>
      <w:bookmarkStart w:id="8" w:name="_Toc19609"/>
      <w:bookmarkStart w:id="9" w:name="_Toc4275"/>
      <w:bookmarkStart w:id="10" w:name="_Toc31938"/>
    </w:p>
    <w:p>
      <w:pPr>
        <w:pStyle w:val="3"/>
        <w:rPr>
          <w:rFonts w:hint="eastAsia"/>
          <w:color w:val="auto"/>
          <w:highlight w:val="none"/>
        </w:rPr>
      </w:pPr>
    </w:p>
    <w:p>
      <w:pPr>
        <w:pStyle w:val="3"/>
        <w:rPr>
          <w:rFonts w:hint="eastAsia" w:asciiTheme="majorEastAsia" w:hAnsiTheme="majorEastAsia" w:eastAsiaTheme="majorEastAsia" w:cstheme="majorEastAsia"/>
          <w:color w:val="auto"/>
          <w:highlight w:val="none"/>
        </w:rPr>
      </w:pPr>
    </w:p>
    <w:p>
      <w:pPr>
        <w:rPr>
          <w:rFonts w:hint="eastAsia" w:asciiTheme="majorEastAsia" w:hAnsiTheme="majorEastAsia" w:eastAsiaTheme="majorEastAsia" w:cstheme="majorEastAsia"/>
        </w:rPr>
      </w:pPr>
    </w:p>
    <w:p>
      <w:pPr>
        <w:pStyle w:val="4"/>
        <w:rPr>
          <w:rFonts w:hint="eastAsia"/>
          <w:color w:val="auto"/>
          <w:highlight w:val="none"/>
        </w:rPr>
      </w:pPr>
      <w:r>
        <w:rPr>
          <w:rFonts w:hint="eastAsia"/>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2376805</wp:posOffset>
                </wp:positionH>
                <wp:positionV relativeFrom="paragraph">
                  <wp:posOffset>591185</wp:posOffset>
                </wp:positionV>
                <wp:extent cx="958850" cy="0"/>
                <wp:effectExtent l="0" t="0" r="0" b="0"/>
                <wp:wrapNone/>
                <wp:docPr id="1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7.15pt;margin-top:46.55pt;height:0pt;width:75.5pt;z-index:251668480;mso-width-relative:page;mso-height-relative:page;" filled="f" stroked="t" coordsize="21600,21600" o:gfxdata="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4F6K9cAAAAJAQAADwAAAAAAAAABACAAAAAiAAAAZHJzL2Rvd25yZXYueG1sUEsBAhQA&#10;FAAAAAgAh07iQHrpRGfzAQAA5AMAAA4AAAAAAAAAAQAgAAAAJgEAAGRycy9lMm9Eb2MueG1sUEsF&#10;BgAAAAAGAAYAWQEAAIsFAAAAAA==&#10;">
                <v:fill on="f" focussize="0,0"/>
                <v:stroke color="#000000" joinstyle="round"/>
                <v:imagedata o:title=""/>
                <o:lock v:ext="edit" aspectratio="f"/>
              </v:shape>
            </w:pict>
          </mc:Fallback>
        </mc:AlternateContent>
      </w:r>
      <w:r>
        <w:rPr>
          <w:rFonts w:hint="eastAsia"/>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2362200</wp:posOffset>
                </wp:positionH>
                <wp:positionV relativeFrom="paragraph">
                  <wp:posOffset>91440</wp:posOffset>
                </wp:positionV>
                <wp:extent cx="958850" cy="0"/>
                <wp:effectExtent l="0" t="0" r="0" b="0"/>
                <wp:wrapNone/>
                <wp:docPr id="1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6pt;margin-top:7.2pt;height:0pt;width:75.5pt;z-index:251667456;mso-width-relative:page;mso-height-relative:page;" filled="f" stroked="t" coordsize="21600,21600" o:gfxdata="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irzSNcAAAAJAQAADwAAAAAAAAABACAAAAAiAAAAZHJzL2Rvd25yZXYueG1sUEsBAhQA&#10;FAAAAAgAh07iQA+sh4jzAQAA5AMAAA4AAAAAAAAAAQAgAAAAJgEAAGRycy9lMm9Eb2MueG1sUEsF&#10;BgAAAAAGAAYAWQEAAIsFA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8"/>
        <w:rPr>
          <w:rFonts w:hint="eastAsia" w:asciiTheme="majorEastAsia" w:hAnsiTheme="majorEastAsia" w:eastAsiaTheme="majorEastAsia" w:cstheme="majorEastAsia"/>
          <w:color w:val="auto"/>
          <w:highlight w:val="none"/>
        </w:rPr>
      </w:pPr>
    </w:p>
    <w:p>
      <w:pPr>
        <w:pStyle w:val="4"/>
        <w:rPr>
          <w:rFonts w:hint="eastAsia"/>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hint="eastAsia" w:asciiTheme="majorEastAsia" w:hAnsiTheme="majorEastAsia" w:eastAsiaTheme="majorEastAsia" w:cstheme="majorEastAsia"/>
          <w:color w:val="auto"/>
          <w:sz w:val="44"/>
          <w:szCs w:val="44"/>
          <w:highlight w:val="none"/>
        </w:rPr>
      </w:pPr>
    </w:p>
    <w:p>
      <w:pPr>
        <w:adjustRightInd w:val="0"/>
        <w:snapToGrid w:val="0"/>
        <w:spacing w:beforeLines="50" w:afterLines="50" w:line="600" w:lineRule="exact"/>
        <w:jc w:val="center"/>
        <w:rPr>
          <w:rFonts w:hint="eastAsia" w:asciiTheme="majorEastAsia" w:hAnsiTheme="majorEastAsia" w:eastAsiaTheme="majorEastAsia" w:cstheme="majorEastAsia"/>
          <w:color w:val="auto"/>
          <w:sz w:val="44"/>
          <w:szCs w:val="44"/>
          <w:highlight w:val="none"/>
        </w:rPr>
      </w:pPr>
    </w:p>
    <w:p>
      <w:pPr>
        <w:pStyle w:val="23"/>
        <w:rPr>
          <w:rFonts w:hint="eastAsia" w:asciiTheme="majorEastAsia" w:hAnsiTheme="majorEastAsia" w:eastAsiaTheme="majorEastAsia" w:cstheme="majorEastAsia"/>
          <w:color w:val="auto"/>
          <w:sz w:val="44"/>
          <w:szCs w:val="44"/>
          <w:highlight w:val="none"/>
        </w:rPr>
      </w:pPr>
    </w:p>
    <w:p>
      <w:pPr>
        <w:pStyle w:val="23"/>
        <w:ind w:left="0" w:leftChars="0" w:firstLine="0" w:firstLineChars="0"/>
        <w:rPr>
          <w:rFonts w:ascii="方正小标宋简体" w:eastAsia="方正小标宋简体"/>
          <w:color w:val="auto"/>
          <w:sz w:val="44"/>
          <w:szCs w:val="44"/>
          <w:highlight w:val="none"/>
        </w:rPr>
      </w:pPr>
    </w:p>
    <w:p>
      <w:pPr>
        <w:pStyle w:val="23"/>
        <w:ind w:left="0" w:leftChars="0" w:firstLine="0" w:firstLineChars="0"/>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3"/>
        <w:rPr>
          <w:rFonts w:hint="eastAsia" w:asciiTheme="majorEastAsia" w:hAnsiTheme="majorEastAsia" w:eastAsiaTheme="majorEastAsia" w:cstheme="majorEastAsia"/>
          <w:color w:val="auto"/>
          <w:highlight w:val="none"/>
          <w:lang w:eastAsia="zh-CN"/>
        </w:rPr>
      </w:pPr>
      <w:bookmarkStart w:id="11" w:name="_Toc9680"/>
      <w:bookmarkStart w:id="12" w:name="_Toc21373"/>
      <w:r>
        <w:rPr>
          <w:rFonts w:hint="eastAsia" w:asciiTheme="majorEastAsia" w:hAnsiTheme="majorEastAsia" w:eastAsiaTheme="majorEastAsia" w:cstheme="majorEastAsia"/>
          <w:color w:val="auto"/>
          <w:highlight w:val="none"/>
          <w:lang w:eastAsia="zh-CN"/>
        </w:rPr>
        <w:t>采购公告（采购邀请书）</w:t>
      </w:r>
    </w:p>
    <w:bookmarkEnd w:id="11"/>
    <w:bookmarkEnd w:id="12"/>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eastAsia="zh-CN"/>
        </w:rPr>
        <w:t>广州市净水有限公司大坦沙分公司一二期干化车间监控优化项目</w:t>
      </w:r>
      <w:r>
        <w:rPr>
          <w:rFonts w:hint="eastAsia" w:ascii="仿宋_GB2312" w:eastAsia="仿宋_GB2312"/>
          <w:color w:val="auto"/>
          <w:sz w:val="28"/>
          <w:szCs w:val="28"/>
          <w:highlight w:val="none"/>
        </w:rPr>
        <w:t>已具备采购条件，</w:t>
      </w:r>
      <w:r>
        <w:rPr>
          <w:rFonts w:hint="eastAsia" w:ascii="仿宋_GB2312" w:eastAsia="仿宋_GB2312"/>
          <w:sz w:val="28"/>
          <w:szCs w:val="28"/>
        </w:rPr>
        <w:t>现</w:t>
      </w:r>
      <w:r>
        <w:rPr>
          <w:rFonts w:hint="eastAsia" w:ascii="仿宋_GB2312" w:eastAsia="仿宋_GB2312"/>
          <w:sz w:val="28"/>
          <w:szCs w:val="28"/>
          <w:lang w:val="en-US" w:eastAsia="zh-CN"/>
        </w:rPr>
        <w:t>邀请合格</w:t>
      </w:r>
      <w:r>
        <w:rPr>
          <w:rFonts w:hint="eastAsia" w:ascii="仿宋_GB2312" w:eastAsia="仿宋_GB2312"/>
          <w:sz w:val="28"/>
          <w:szCs w:val="28"/>
          <w:u w:val="none"/>
          <w:lang w:val="en-US" w:eastAsia="zh-CN"/>
        </w:rPr>
        <w:t>单位</w:t>
      </w:r>
      <w:r>
        <w:rPr>
          <w:rFonts w:hint="eastAsia" w:ascii="仿宋_GB2312" w:eastAsia="仿宋_GB2312"/>
          <w:sz w:val="28"/>
          <w:szCs w:val="28"/>
        </w:rPr>
        <w:t>参加本</w:t>
      </w:r>
      <w:r>
        <w:rPr>
          <w:rFonts w:hint="eastAsia" w:ascii="仿宋_GB2312" w:eastAsia="仿宋_GB2312"/>
          <w:sz w:val="28"/>
          <w:szCs w:val="28"/>
        </w:rPr>
        <w:sym w:font="Wingdings 2" w:char="0052"/>
      </w:r>
      <w:r>
        <w:rPr>
          <w:rFonts w:hint="eastAsia" w:ascii="仿宋_GB2312" w:eastAsia="仿宋_GB2312"/>
          <w:sz w:val="28"/>
          <w:szCs w:val="28"/>
        </w:rPr>
        <w:t xml:space="preserve">施工  □货物 </w:t>
      </w:r>
      <w:r>
        <w:rPr>
          <w:rFonts w:hint="eastAsia" w:ascii="仿宋_GB2312" w:eastAsia="仿宋_GB2312"/>
          <w:sz w:val="28"/>
          <w:szCs w:val="28"/>
        </w:rPr>
        <w:sym w:font="Wingdings 2" w:char="00A3"/>
      </w:r>
      <w:r>
        <w:rPr>
          <w:rFonts w:hint="eastAsia" w:ascii="仿宋_GB2312" w:eastAsia="仿宋_GB2312"/>
          <w:sz w:val="28"/>
          <w:szCs w:val="28"/>
        </w:rPr>
        <w:t>服务项目采购活动，采用</w:t>
      </w:r>
      <w:r>
        <w:rPr>
          <w:rFonts w:hint="eastAsia" w:ascii="仿宋_GB2312" w:eastAsia="仿宋_GB2312"/>
          <w:sz w:val="28"/>
          <w:szCs w:val="28"/>
          <w:u w:val="single"/>
        </w:rPr>
        <w:sym w:font="Wingdings 2" w:char="00A3"/>
      </w:r>
      <w:r>
        <w:rPr>
          <w:rFonts w:hint="eastAsia" w:ascii="仿宋_GB2312" w:eastAsia="仿宋_GB2312"/>
          <w:sz w:val="28"/>
          <w:szCs w:val="28"/>
          <w:u w:val="single"/>
          <w:lang w:val="en-US" w:eastAsia="zh-CN"/>
        </w:rPr>
        <w:t>邀请</w:t>
      </w:r>
      <w:r>
        <w:rPr>
          <w:rFonts w:hint="eastAsia" w:ascii="仿宋_GB2312" w:eastAsia="仿宋_GB2312"/>
          <w:sz w:val="28"/>
          <w:szCs w:val="28"/>
          <w:u w:val="single"/>
        </w:rPr>
        <w:t>询比</w:t>
      </w:r>
      <w:r>
        <w:rPr>
          <w:rFonts w:hint="eastAsia" w:ascii="仿宋_GB2312" w:eastAsia="仿宋_GB2312"/>
          <w:sz w:val="28"/>
          <w:szCs w:val="28"/>
          <w:u w:val="single"/>
          <w:lang w:val="en-US" w:eastAsia="zh-CN"/>
        </w:rPr>
        <w:t xml:space="preserve"> </w:t>
      </w:r>
      <w:r>
        <w:rPr>
          <w:rFonts w:hint="eastAsia" w:ascii="仿宋_GB2312" w:eastAsia="仿宋_GB2312"/>
          <w:sz w:val="28"/>
          <w:szCs w:val="28"/>
          <w:u w:val="single"/>
          <w:lang w:val="en-US" w:eastAsia="zh-CN"/>
        </w:rPr>
        <w:sym w:font="Wingdings 2" w:char="0052"/>
      </w:r>
      <w:r>
        <w:rPr>
          <w:rFonts w:hint="eastAsia" w:ascii="仿宋_GB2312" w:eastAsia="仿宋_GB2312"/>
          <w:sz w:val="28"/>
          <w:szCs w:val="28"/>
          <w:u w:val="single"/>
          <w:lang w:val="en-US" w:eastAsia="zh-CN"/>
        </w:rPr>
        <w:t>公开询价</w:t>
      </w:r>
      <w:r>
        <w:rPr>
          <w:rFonts w:hint="eastAsia" w:ascii="仿宋_GB2312" w:eastAsia="仿宋_GB2312"/>
          <w:sz w:val="28"/>
          <w:szCs w:val="28"/>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eastAsia="zh-CN"/>
        </w:rPr>
        <w:t>广州市净水有限公司大坦沙分公司一二期干化车间监控优化项目</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lang w:val="en-US" w:eastAsia="zh-CN"/>
        </w:rPr>
        <w:t>XJ-20241120-3</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 xml:space="preserve">自有资金 </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hint="eastAsia" w:ascii="仿宋_GB2312" w:eastAsia="仿宋_GB2312"/>
          <w:color w:val="auto"/>
          <w:sz w:val="28"/>
          <w:szCs w:val="28"/>
          <w:highlight w:val="none"/>
          <w:u w:val="single"/>
          <w:lang w:val="en-US" w:eastAsia="zh-CN"/>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u w:val="single"/>
          <w:lang w:val="en-US" w:eastAsia="zh-CN"/>
        </w:rPr>
        <w:t>340235.38</w:t>
      </w:r>
      <w:r>
        <w:rPr>
          <w:rFonts w:hint="eastAsia" w:ascii="仿宋_GB2312" w:eastAsia="仿宋_GB2312" w:cstheme="minorBidi"/>
          <w:color w:val="auto"/>
          <w:kern w:val="2"/>
          <w:sz w:val="28"/>
          <w:szCs w:val="28"/>
          <w:highlight w:val="none"/>
          <w:u w:val="none"/>
          <w:lang w:val="en-US" w:eastAsia="zh-CN" w:bidi="ar"/>
        </w:rPr>
        <w:t>元</w:t>
      </w:r>
    </w:p>
    <w:tbl>
      <w:tblPr>
        <w:tblStyle w:val="24"/>
        <w:tblW w:w="91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464"/>
        <w:gridCol w:w="936"/>
        <w:gridCol w:w="2651"/>
        <w:gridCol w:w="1031"/>
        <w:gridCol w:w="1031"/>
        <w:gridCol w:w="940"/>
        <w:gridCol w:w="1042"/>
        <w:gridCol w:w="10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25" w:hRule="atLeast"/>
          <w:jc w:val="center"/>
        </w:trPr>
        <w:tc>
          <w:tcPr>
            <w:tcW w:w="464"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序号</w:t>
            </w:r>
          </w:p>
        </w:tc>
        <w:tc>
          <w:tcPr>
            <w:tcW w:w="936"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所属单位</w:t>
            </w:r>
          </w:p>
        </w:tc>
        <w:tc>
          <w:tcPr>
            <w:tcW w:w="2651"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子项目名称</w:t>
            </w:r>
          </w:p>
        </w:tc>
        <w:tc>
          <w:tcPr>
            <w:tcW w:w="1031"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最高限价（元）</w:t>
            </w:r>
          </w:p>
        </w:tc>
        <w:tc>
          <w:tcPr>
            <w:tcW w:w="1031"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税前价   （元）</w:t>
            </w:r>
          </w:p>
        </w:tc>
        <w:tc>
          <w:tcPr>
            <w:tcW w:w="940"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税率</w:t>
            </w:r>
          </w:p>
        </w:tc>
        <w:tc>
          <w:tcPr>
            <w:tcW w:w="104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绿色施工安全防护措施费（元）</w:t>
            </w:r>
          </w:p>
        </w:tc>
        <w:tc>
          <w:tcPr>
            <w:tcW w:w="104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暂列金额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9"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i w:val="0"/>
                <w:color w:val="auto"/>
                <w:kern w:val="0"/>
                <w:sz w:val="22"/>
                <w:szCs w:val="22"/>
                <w:u w:val="none"/>
                <w:lang w:val="en-US" w:eastAsia="zh-CN" w:bidi="ar"/>
              </w:rPr>
            </w:pPr>
            <w:r>
              <w:rPr>
                <w:rFonts w:ascii="宋体" w:hAnsi="宋体" w:eastAsia="宋体" w:cs="宋体"/>
                <w:color w:val="auto"/>
                <w:kern w:val="0"/>
                <w:sz w:val="20"/>
                <w:szCs w:val="20"/>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i w:val="0"/>
                <w:color w:val="auto"/>
                <w:sz w:val="21"/>
                <w:szCs w:val="21"/>
                <w:u w:val="none"/>
              </w:rPr>
            </w:pPr>
            <w:r>
              <w:rPr>
                <w:rFonts w:hint="eastAsia" w:ascii="宋体" w:hAnsi="宋体" w:eastAsia="宋体" w:cs="宋体"/>
                <w:color w:val="auto"/>
                <w:kern w:val="0"/>
                <w:sz w:val="20"/>
                <w:szCs w:val="20"/>
                <w:lang w:val="en-US" w:eastAsia="zh-CN" w:bidi="ar"/>
              </w:rPr>
              <w:t>大坦沙分</w:t>
            </w:r>
            <w:r>
              <w:rPr>
                <w:rFonts w:ascii="宋体" w:hAnsi="宋体" w:eastAsia="宋体" w:cs="宋体"/>
                <w:color w:val="auto"/>
                <w:kern w:val="0"/>
                <w:sz w:val="20"/>
                <w:szCs w:val="20"/>
                <w:lang w:val="en-US" w:eastAsia="zh-CN" w:bidi="ar"/>
              </w:rPr>
              <w:t>公司</w:t>
            </w:r>
          </w:p>
        </w:tc>
        <w:tc>
          <w:tcPr>
            <w:tcW w:w="2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大坦沙分公司一二期干化车间监控优化项目</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default" w:ascii="宋体" w:hAnsi="宋体" w:eastAsia="宋体" w:cs="宋体"/>
                <w:color w:val="auto"/>
                <w:kern w:val="0"/>
                <w:sz w:val="20"/>
                <w:szCs w:val="20"/>
                <w:lang w:val="en-US" w:eastAsia="zh-CN" w:bidi="ar"/>
              </w:rPr>
              <w:t>340235.38</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312142.55</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highlight w:val="yellow"/>
                <w:lang w:val="en-US" w:eastAsia="zh-CN" w:bidi="ar"/>
              </w:rPr>
            </w:pPr>
            <w:r>
              <w:rPr>
                <w:rFonts w:hint="eastAsia" w:ascii="宋体" w:hAnsi="宋体" w:eastAsia="宋体" w:cs="宋体"/>
                <w:color w:val="auto"/>
                <w:kern w:val="0"/>
                <w:sz w:val="20"/>
                <w:szCs w:val="20"/>
                <w:lang w:val="en-US" w:eastAsia="zh-CN" w:bidi="ar"/>
              </w:rPr>
              <w:t>9%</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5948.1</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27626.41</w:t>
            </w:r>
          </w:p>
        </w:tc>
      </w:tr>
    </w:tbl>
    <w:p>
      <w:pPr>
        <w:shd w:val="clear"/>
        <w:adjustRightInd w:val="0"/>
        <w:snapToGrid w:val="0"/>
        <w:spacing w:line="400" w:lineRule="exact"/>
        <w:jc w:val="left"/>
        <w:rPr>
          <w:rFonts w:hint="eastAsia" w:ascii="仿宋_GB2312" w:eastAsia="仿宋_GB2312"/>
          <w:color w:val="auto"/>
          <w:sz w:val="28"/>
          <w:szCs w:val="28"/>
          <w:highlight w:val="none"/>
          <w:u w:val="none"/>
        </w:rPr>
      </w:pPr>
      <w:r>
        <w:rPr>
          <w:rFonts w:hint="eastAsia" w:ascii="仿宋_GB2312" w:eastAsia="仿宋_GB2312"/>
          <w:color w:val="auto"/>
          <w:sz w:val="28"/>
          <w:szCs w:val="28"/>
          <w:highlight w:val="none"/>
          <w:u w:val="none"/>
          <w:lang w:val="en-US" w:eastAsia="zh-CN"/>
        </w:rPr>
        <w:t xml:space="preserve">  </w:t>
      </w:r>
      <w:r>
        <w:rPr>
          <w:rFonts w:hint="eastAsia" w:ascii="仿宋" w:hAnsi="仿宋" w:eastAsia="仿宋" w:cs="仿宋"/>
          <w:b/>
          <w:bCs/>
          <w:color w:val="auto"/>
          <w:sz w:val="28"/>
          <w:szCs w:val="28"/>
          <w:highlight w:val="none"/>
          <w:lang w:val="zh-CN"/>
        </w:rPr>
        <w:t>绿色施工安全防护措施费</w:t>
      </w:r>
      <w:r>
        <w:rPr>
          <w:rFonts w:hint="eastAsia" w:ascii="仿宋" w:hAnsi="仿宋" w:eastAsia="仿宋" w:cs="仿宋"/>
          <w:b/>
          <w:bCs/>
          <w:color w:val="auto"/>
          <w:sz w:val="28"/>
          <w:szCs w:val="28"/>
          <w:highlight w:val="none"/>
          <w:lang w:val="en-US" w:eastAsia="zh-CN"/>
        </w:rPr>
        <w:t>及暂列金</w:t>
      </w:r>
      <w:r>
        <w:rPr>
          <w:rFonts w:hint="eastAsia" w:ascii="仿宋" w:hAnsi="仿宋" w:eastAsia="仿宋" w:cs="仿宋"/>
          <w:b/>
          <w:bCs/>
          <w:color w:val="auto"/>
          <w:sz w:val="28"/>
          <w:szCs w:val="28"/>
          <w:highlight w:val="none"/>
          <w:lang w:val="zh-CN"/>
        </w:rPr>
        <w:t>为非竞争性费用，在报价时须按询价文件规定的金额填写，不得参与竞争，否则按无效报价处理。</w:t>
      </w: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hint="eastAsia" w:ascii="仿宋_GB2312" w:eastAsia="仿宋_GB2312"/>
          <w:color w:val="auto"/>
          <w:sz w:val="28"/>
          <w:szCs w:val="28"/>
          <w:highlight w:val="none"/>
          <w:u w:val="single"/>
        </w:rPr>
      </w:pP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keepNext w:val="0"/>
        <w:keepLines w:val="0"/>
        <w:widowControl/>
        <w:suppressLineNumbers w:val="0"/>
        <w:shd w:val="clear"/>
        <w:wordWrap/>
        <w:adjustRightInd w:val="0"/>
        <w:snapToGrid w:val="0"/>
        <w:spacing w:line="600" w:lineRule="exact"/>
        <w:ind w:left="420" w:right="-370" w:rightChars="-176" w:hanging="420" w:hangingChars="150"/>
        <w:jc w:val="left"/>
        <w:textAlignment w:val="auto"/>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2.1采购内容和范围：</w:t>
      </w:r>
    </w:p>
    <w:p>
      <w:pPr>
        <w:keepNext w:val="0"/>
        <w:keepLines w:val="0"/>
        <w:widowControl/>
        <w:suppressLineNumbers w:val="0"/>
        <w:shd w:val="clear"/>
        <w:wordWrap/>
        <w:adjustRightInd w:val="0"/>
        <w:snapToGrid w:val="0"/>
        <w:spacing w:line="600" w:lineRule="exact"/>
        <w:ind w:left="559" w:leftChars="266" w:right="-370" w:rightChars="-176" w:firstLine="140" w:firstLineChars="50"/>
        <w:jc w:val="left"/>
        <w:textAlignment w:val="auto"/>
        <w:rPr>
          <w:rFonts w:hint="eastAsia" w:ascii="仿宋_GB2312" w:eastAsia="仿宋_GB2312" w:hAnsiTheme="minorHAnsi" w:cstheme="minorBidi"/>
          <w:color w:val="auto"/>
          <w:kern w:val="2"/>
          <w:sz w:val="28"/>
          <w:szCs w:val="28"/>
          <w:highlight w:val="none"/>
          <w:lang w:val="en-US" w:eastAsia="zh-CN" w:bidi="ar"/>
        </w:rPr>
      </w:pPr>
      <w:r>
        <w:rPr>
          <w:rFonts w:hint="eastAsia" w:ascii="仿宋_GB2312" w:eastAsia="仿宋_GB2312"/>
          <w:color w:val="auto"/>
          <w:sz w:val="28"/>
          <w:szCs w:val="28"/>
          <w:highlight w:val="none"/>
          <w:lang w:eastAsia="zh-CN"/>
        </w:rPr>
        <w:t>（</w:t>
      </w:r>
      <w:r>
        <w:rPr>
          <w:rFonts w:hint="eastAsia" w:ascii="仿宋_GB2312" w:eastAsia="仿宋_GB2312" w:hAnsiTheme="minorHAnsi" w:cstheme="minorBidi"/>
          <w:color w:val="auto"/>
          <w:kern w:val="2"/>
          <w:sz w:val="28"/>
          <w:szCs w:val="28"/>
          <w:highlight w:val="none"/>
          <w:lang w:val="en-US" w:eastAsia="zh-CN" w:bidi="ar"/>
        </w:rPr>
        <w:t>1</w:t>
      </w:r>
      <w:r>
        <w:rPr>
          <w:rFonts w:hint="eastAsia" w:ascii="仿宋_GB2312" w:eastAsia="仿宋_GB2312" w:cstheme="minorBidi"/>
          <w:color w:val="auto"/>
          <w:kern w:val="2"/>
          <w:sz w:val="28"/>
          <w:szCs w:val="28"/>
          <w:highlight w:val="none"/>
          <w:lang w:val="en-US" w:eastAsia="zh-CN" w:bidi="ar"/>
        </w:rPr>
        <w:t>）</w:t>
      </w:r>
      <w:r>
        <w:rPr>
          <w:rFonts w:hint="eastAsia" w:ascii="仿宋_GB2312" w:eastAsia="仿宋_GB2312" w:hAnsiTheme="minorHAnsi" w:cstheme="minorBidi"/>
          <w:color w:val="auto"/>
          <w:kern w:val="2"/>
          <w:sz w:val="28"/>
          <w:szCs w:val="28"/>
          <w:highlight w:val="none"/>
          <w:lang w:val="en-US" w:eastAsia="zh-CN" w:bidi="ar"/>
        </w:rPr>
        <w:t>在干化车间板框机隔离罩内按照图1加装防爆球型摄像头，敷设六类网线套DN25 镀锌钢管至干化车间一楼监控箱，并配置 NVR超脑算法分析主机， NVR超脑算法分析主机用于识别厂内生产区域安全行为。</w:t>
      </w:r>
    </w:p>
    <w:p>
      <w:pPr>
        <w:adjustRightInd w:val="0"/>
        <w:snapToGrid w:val="0"/>
        <w:spacing w:line="600" w:lineRule="exact"/>
        <w:ind w:left="0" w:leftChars="0" w:right="-370" w:rightChars="-176" w:firstLine="560" w:firstLineChars="200"/>
        <w:jc w:val="left"/>
        <w:rPr>
          <w:rFonts w:hint="eastAsia" w:ascii="仿宋_GB2312" w:eastAsia="仿宋_GB2312"/>
          <w:color w:val="auto"/>
          <w:sz w:val="28"/>
          <w:szCs w:val="28"/>
          <w:highlight w:val="none"/>
        </w:rPr>
      </w:pPr>
      <w:r>
        <w:rPr>
          <w:rFonts w:hint="eastAsia" w:ascii="仿宋_GB2312" w:eastAsia="仿宋_GB2312" w:cstheme="minorBidi"/>
          <w:color w:val="auto"/>
          <w:kern w:val="2"/>
          <w:sz w:val="28"/>
          <w:szCs w:val="28"/>
          <w:highlight w:val="none"/>
          <w:lang w:val="en-US" w:eastAsia="zh-CN" w:bidi="ar"/>
        </w:rPr>
        <w:t>（</w:t>
      </w:r>
      <w:r>
        <w:rPr>
          <w:rFonts w:hint="eastAsia" w:ascii="仿宋_GB2312" w:eastAsia="仿宋_GB2312" w:hAnsiTheme="minorHAnsi" w:cstheme="minorBidi"/>
          <w:color w:val="auto"/>
          <w:kern w:val="2"/>
          <w:sz w:val="28"/>
          <w:szCs w:val="28"/>
          <w:highlight w:val="none"/>
          <w:lang w:val="en-US" w:eastAsia="zh-CN" w:bidi="ar"/>
        </w:rPr>
        <w:t>2</w:t>
      </w:r>
      <w:r>
        <w:rPr>
          <w:rFonts w:hint="eastAsia" w:ascii="仿宋_GB2312" w:eastAsia="仿宋_GB2312" w:cstheme="minorBidi"/>
          <w:color w:val="auto"/>
          <w:kern w:val="2"/>
          <w:sz w:val="28"/>
          <w:szCs w:val="28"/>
          <w:highlight w:val="none"/>
          <w:lang w:val="en-US" w:eastAsia="zh-CN" w:bidi="ar"/>
        </w:rPr>
        <w:t>）</w:t>
      </w:r>
      <w:r>
        <w:rPr>
          <w:rFonts w:hint="eastAsia" w:ascii="仿宋_GB2312" w:eastAsia="仿宋_GB2312" w:hAnsiTheme="minorHAnsi" w:cstheme="minorBidi"/>
          <w:color w:val="auto"/>
          <w:kern w:val="2"/>
          <w:sz w:val="28"/>
          <w:szCs w:val="28"/>
          <w:highlight w:val="none"/>
          <w:lang w:val="en-US" w:eastAsia="zh-CN" w:bidi="ar"/>
        </w:rPr>
        <w:t>在干化车间板框机隔离罩内敷设DN10镀锌钢管及喷雾喷嘴65个，喷雾颗粒100微米-200微米大小（3号喷嘴），并配置一台工业喷雾主机。</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2.2项目工期：</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计划工期   □交货期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服务期为</w:t>
      </w:r>
    </w:p>
    <w:tbl>
      <w:tblPr>
        <w:tblStyle w:val="25"/>
        <w:tblW w:w="4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0"/>
        <w:gridCol w:w="2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30" w:type="dxa"/>
            <w:vAlign w:val="center"/>
          </w:tcPr>
          <w:p>
            <w:pPr>
              <w:pStyle w:val="6"/>
              <w:shd w:val="clear"/>
              <w:ind w:left="0" w:leftChars="0" w:firstLine="0" w:firstLineChars="0"/>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项目</w:t>
            </w:r>
          </w:p>
        </w:tc>
        <w:tc>
          <w:tcPr>
            <w:tcW w:w="2330" w:type="dxa"/>
            <w:vAlign w:val="center"/>
          </w:tcPr>
          <w:p>
            <w:pPr>
              <w:pStyle w:val="6"/>
              <w:shd w:val="clear"/>
              <w:ind w:left="0" w:leftChars="0" w:firstLine="0" w:firstLineChars="0"/>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计划工期（天）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330" w:type="dxa"/>
            <w:vAlign w:val="center"/>
          </w:tcPr>
          <w:p>
            <w:pPr>
              <w:pStyle w:val="6"/>
              <w:shd w:val="clear"/>
              <w:ind w:left="0" w:leftChars="0" w:firstLine="0" w:firstLineChars="0"/>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项目一</w:t>
            </w:r>
          </w:p>
        </w:tc>
        <w:tc>
          <w:tcPr>
            <w:tcW w:w="2330" w:type="dxa"/>
            <w:vAlign w:val="center"/>
          </w:tcPr>
          <w:p>
            <w:pPr>
              <w:pStyle w:val="6"/>
              <w:shd w:val="clear"/>
              <w:ind w:left="0" w:leftChars="0" w:firstLine="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w:t>
            </w:r>
          </w:p>
        </w:tc>
      </w:tr>
    </w:tbl>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2.3地点：</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建设地点  □交货地点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服务地点位于</w:t>
      </w:r>
      <w:r>
        <w:rPr>
          <w:rFonts w:hint="eastAsia" w:ascii="仿宋_GB2312" w:eastAsia="仿宋_GB2312"/>
          <w:color w:val="auto"/>
          <w:sz w:val="28"/>
          <w:szCs w:val="28"/>
          <w:highlight w:val="none"/>
          <w:u w:val="single"/>
          <w:lang w:val="en-US" w:eastAsia="zh-CN"/>
        </w:rPr>
        <w:t>大坦沙分公司</w:t>
      </w:r>
      <w:r>
        <w:rPr>
          <w:rFonts w:hint="eastAsia" w:ascii="仿宋_GB2312" w:eastAsia="仿宋_GB2312"/>
          <w:color w:val="auto"/>
          <w:sz w:val="28"/>
          <w:szCs w:val="28"/>
          <w:highlight w:val="none"/>
          <w:u w:val="single"/>
        </w:rPr>
        <w:t xml:space="preserve">        </w:t>
      </w:r>
    </w:p>
    <w:p>
      <w:pPr>
        <w:shd w:val="clear"/>
        <w:adjustRightInd w:val="0"/>
        <w:snapToGrid w:val="0"/>
        <w:spacing w:line="600" w:lineRule="exact"/>
        <w:ind w:left="420" w:right="-370" w:rightChars="-176" w:hanging="420" w:hangingChars="150"/>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2.4质量要求：</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施工质量要求   </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货物质量标准或主要技术性能指标</w:t>
      </w:r>
    </w:p>
    <w:p>
      <w:pPr>
        <w:shd w:val="clear"/>
        <w:adjustRightInd w:val="0"/>
        <w:snapToGrid w:val="0"/>
        <w:spacing w:line="600" w:lineRule="exact"/>
        <w:ind w:left="420" w:right="-370" w:rightChars="-176" w:hanging="420" w:hangingChars="15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□服务质量要求或服务标准如下：</w:t>
      </w:r>
      <w:r>
        <w:rPr>
          <w:rFonts w:hint="eastAsia" w:ascii="仿宋_GB2312" w:eastAsia="仿宋_GB2312"/>
          <w:color w:val="auto"/>
          <w:sz w:val="28"/>
          <w:szCs w:val="28"/>
          <w:highlight w:val="none"/>
          <w:u w:val="single"/>
        </w:rPr>
        <w:t xml:space="preserve"> 按合同条款和有关技术标准规范进</w:t>
      </w:r>
    </w:p>
    <w:p>
      <w:pPr>
        <w:shd w:val="clear"/>
        <w:adjustRightInd w:val="0"/>
        <w:snapToGrid w:val="0"/>
        <w:spacing w:line="600" w:lineRule="exact"/>
        <w:ind w:left="420" w:right="-370" w:rightChars="-176" w:hanging="420" w:hangingChars="150"/>
        <w:jc w:val="left"/>
        <w:rPr>
          <w:rFonts w:hint="eastAsia" w:ascii="仿宋_GB2312" w:eastAsia="仿宋_GB2312"/>
          <w:color w:val="auto"/>
          <w:sz w:val="28"/>
          <w:szCs w:val="28"/>
          <w:highlight w:val="none"/>
          <w:u w:val="single"/>
          <w:shd w:val="clear"/>
          <w:lang w:val="en-US" w:eastAsia="zh-CN"/>
        </w:rPr>
      </w:pPr>
      <w:r>
        <w:rPr>
          <w:rFonts w:hint="eastAsia" w:ascii="仿宋_GB2312" w:eastAsia="仿宋_GB2312"/>
          <w:color w:val="auto"/>
          <w:sz w:val="28"/>
          <w:szCs w:val="28"/>
          <w:highlight w:val="none"/>
          <w:u w:val="single"/>
        </w:rPr>
        <w:t>行验收。使用的各种材料必须符合设计和有关技术标准规范要求</w:t>
      </w:r>
      <w:r>
        <w:rPr>
          <w:rFonts w:hint="eastAsia" w:ascii="仿宋_GB2312" w:eastAsia="仿宋_GB2312"/>
          <w:color w:val="auto"/>
          <w:sz w:val="28"/>
          <w:szCs w:val="28"/>
          <w:highlight w:val="none"/>
          <w:u w:val="single"/>
          <w:shd w:val="clear"/>
          <w:lang w:val="en-US" w:eastAsia="zh-CN"/>
        </w:rPr>
        <w:t>（详</w:t>
      </w:r>
    </w:p>
    <w:p>
      <w:pPr>
        <w:shd w:val="clear"/>
        <w:adjustRightInd w:val="0"/>
        <w:snapToGrid w:val="0"/>
        <w:spacing w:line="600" w:lineRule="exact"/>
        <w:ind w:left="420" w:right="-370" w:rightChars="-176" w:hanging="420" w:hangingChars="150"/>
        <w:jc w:val="left"/>
        <w:rPr>
          <w:rFonts w:hint="eastAsia" w:ascii="仿宋_GB2312" w:eastAsia="仿宋_GB2312"/>
          <w:color w:val="auto"/>
          <w:sz w:val="28"/>
          <w:szCs w:val="28"/>
          <w:highlight w:val="none"/>
          <w:u w:val="single"/>
          <w:shd w:val="clear"/>
          <w:lang w:val="en-US" w:eastAsia="zh-CN"/>
        </w:rPr>
      </w:pPr>
      <w:r>
        <w:rPr>
          <w:rFonts w:hint="eastAsia" w:ascii="仿宋_GB2312" w:eastAsia="仿宋_GB2312"/>
          <w:color w:val="auto"/>
          <w:sz w:val="28"/>
          <w:szCs w:val="28"/>
          <w:highlight w:val="none"/>
          <w:u w:val="single"/>
          <w:shd w:val="clear"/>
          <w:lang w:val="en-US" w:eastAsia="zh-CN"/>
        </w:rPr>
        <w:t>见采购需求）</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pStyle w:val="22"/>
        <w:keepNext w:val="0"/>
        <w:keepLines w:val="0"/>
        <w:widowControl/>
        <w:suppressLineNumbers w:val="0"/>
        <w:ind w:left="0" w:firstLine="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52"/>
      </w:r>
      <w:r>
        <w:rPr>
          <w:rFonts w:hint="eastAsia" w:ascii="仿宋_GB2312" w:eastAsia="仿宋_GB2312" w:hAnsiTheme="minorHAnsi" w:cstheme="minorBidi"/>
          <w:color w:val="auto"/>
          <w:kern w:val="2"/>
          <w:sz w:val="28"/>
          <w:szCs w:val="28"/>
          <w:highlight w:val="none"/>
          <w:u w:val="single"/>
          <w:lang w:val="en-US" w:eastAsia="zh-CN" w:bidi="ar-SA"/>
        </w:rPr>
        <w:t>（2）供应商应当具备建筑机电工程专业承包三级（或以上）资质；同时具有建设主管部门颁发且在有效期内的《安全生产许可证》资质。</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hint="eastAsia" w:ascii="仿宋_GB2312" w:eastAsia="仿宋_GB2312"/>
          <w:color w:val="0000FF"/>
          <w:sz w:val="28"/>
          <w:szCs w:val="28"/>
          <w:highlight w:val="none"/>
        </w:rPr>
      </w:pP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single"/>
          <w:lang w:val="en-US" w:eastAsia="zh-CN"/>
        </w:rPr>
        <w:t xml:space="preserve"> 2022 </w:t>
      </w:r>
      <w:r>
        <w:rPr>
          <w:rFonts w:hint="eastAsia" w:ascii="仿宋_GB2312" w:eastAsia="仿宋_GB2312"/>
          <w:color w:val="auto"/>
          <w:sz w:val="28"/>
          <w:szCs w:val="28"/>
          <w:highlight w:val="none"/>
          <w:lang w:val="en-US" w:eastAsia="zh-CN"/>
        </w:rPr>
        <w:t>年1月1日至今，</w:t>
      </w:r>
      <w:r>
        <w:rPr>
          <w:rFonts w:hint="eastAsia" w:ascii="仿宋_GB2312" w:eastAsia="仿宋_GB2312"/>
          <w:color w:val="auto"/>
          <w:sz w:val="28"/>
          <w:szCs w:val="28"/>
          <w:highlight w:val="none"/>
        </w:rPr>
        <w:t>供应商</w:t>
      </w:r>
      <w:r>
        <w:rPr>
          <w:rFonts w:hint="eastAsia" w:ascii="仿宋_GB2312" w:eastAsia="仿宋_GB2312"/>
          <w:color w:val="auto"/>
          <w:sz w:val="28"/>
          <w:szCs w:val="28"/>
          <w:highlight w:val="none"/>
          <w:lang w:val="en-US" w:eastAsia="zh-CN"/>
        </w:rPr>
        <w:t>最少</w:t>
      </w:r>
      <w:r>
        <w:rPr>
          <w:rFonts w:hint="eastAsia" w:ascii="仿宋_GB2312" w:eastAsia="仿宋_GB2312"/>
          <w:color w:val="auto"/>
          <w:sz w:val="28"/>
          <w:szCs w:val="28"/>
          <w:highlight w:val="none"/>
        </w:rPr>
        <w:t>具有</w:t>
      </w:r>
      <w:r>
        <w:rPr>
          <w:rFonts w:hint="eastAsia" w:ascii="仿宋_GB2312" w:eastAsia="仿宋_GB2312"/>
          <w:color w:val="auto"/>
          <w:sz w:val="28"/>
          <w:szCs w:val="28"/>
          <w:highlight w:val="none"/>
          <w:lang w:val="en-US" w:eastAsia="zh-CN"/>
        </w:rPr>
        <w:t>一项</w:t>
      </w:r>
      <w:r>
        <w:rPr>
          <w:rFonts w:hint="eastAsia" w:ascii="仿宋_GB2312" w:eastAsia="仿宋_GB2312"/>
          <w:color w:val="auto"/>
          <w:sz w:val="28"/>
          <w:szCs w:val="28"/>
          <w:highlight w:val="none"/>
          <w:u w:val="single"/>
          <w:lang w:val="en-US" w:eastAsia="zh-CN"/>
        </w:rPr>
        <w:t xml:space="preserve"> / </w:t>
      </w:r>
      <w:r>
        <w:rPr>
          <w:rFonts w:hint="eastAsia" w:ascii="仿宋_GB2312" w:eastAsia="仿宋_GB2312"/>
          <w:color w:val="auto"/>
          <w:sz w:val="28"/>
          <w:szCs w:val="28"/>
          <w:highlight w:val="none"/>
        </w:rPr>
        <w:t>项目的业绩。（提供合同复印件证明，包括但不限于项目名称、金额及实施内容、合同盖章</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发票证明、</w:t>
      </w:r>
      <w:r>
        <w:rPr>
          <w:rFonts w:hint="eastAsia" w:ascii="仿宋_GB2312" w:eastAsia="仿宋_GB2312"/>
          <w:color w:val="auto"/>
          <w:sz w:val="28"/>
          <w:szCs w:val="28"/>
          <w:highlight w:val="none"/>
        </w:rPr>
        <w:t>签订日期，加盖单位公章）</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）项目负责人应当具备</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机电</w:t>
      </w:r>
      <w:r>
        <w:rPr>
          <w:rFonts w:hint="eastAsia" w:ascii="仿宋_GB2312" w:eastAsia="仿宋_GB2312" w:hAnsiTheme="minorHAnsi" w:cstheme="minorBidi"/>
          <w:color w:val="auto"/>
          <w:sz w:val="28"/>
          <w:szCs w:val="28"/>
          <w:highlight w:val="none"/>
          <w:u w:val="single"/>
        </w:rPr>
        <w:t>专业二级（或以上级别）的注册建造师，同时持有项目负责人安全生产考核合格证（B类）（或能够提供广东省建筑施工企业管理人员安全生产考核信息系统安全生产管理人员证书信息的网页截图）</w:t>
      </w:r>
      <w:r>
        <w:rPr>
          <w:rFonts w:hint="eastAsia" w:ascii="仿宋_GB2312" w:eastAsia="仿宋_GB2312" w:hAnsiTheme="minorHAnsi" w:cstheme="minorBidi"/>
          <w:color w:val="auto"/>
          <w:sz w:val="28"/>
          <w:szCs w:val="28"/>
          <w:highlight w:val="none"/>
          <w:u w:val="single"/>
          <w:lang w:eastAsia="zh-CN"/>
        </w:rPr>
        <w:t>；</w:t>
      </w:r>
      <w:r>
        <w:rPr>
          <w:rFonts w:hint="eastAsia" w:ascii="仿宋_GB2312" w:eastAsia="仿宋_GB2312"/>
          <w:color w:val="auto"/>
          <w:sz w:val="28"/>
          <w:szCs w:val="28"/>
          <w:highlight w:val="none"/>
          <w:u w:val="single"/>
        </w:rPr>
        <w:t>（注：根据广东省建设信息中心关于启用新版“广东省建设执业资格注册管理信息系统”的通知，注册建造师电子证书须由本人在个人签名处手写签名，未手写签名或与签名图像笔迹不一致的，电子证书无效）</w:t>
      </w:r>
      <w:r>
        <w:rPr>
          <w:rFonts w:hint="eastAsia" w:ascii="仿宋_GB2312" w:eastAsia="仿宋_GB2312"/>
          <w:color w:val="auto"/>
          <w:sz w:val="28"/>
          <w:szCs w:val="28"/>
          <w:highlight w:val="none"/>
          <w:u w:val="none"/>
        </w:rPr>
        <w:t>资格条件</w:t>
      </w:r>
      <w:r>
        <w:rPr>
          <w:rFonts w:hint="eastAsia" w:ascii="仿宋_GB2312" w:eastAsia="仿宋_GB2312"/>
          <w:color w:val="auto"/>
          <w:sz w:val="28"/>
          <w:szCs w:val="28"/>
          <w:highlight w:val="none"/>
          <w:u w:val="none"/>
          <w:lang w:eastAsia="zh-CN"/>
        </w:rPr>
        <w:t>。</w:t>
      </w:r>
    </w:p>
    <w:p>
      <w:pPr>
        <w:pStyle w:val="23"/>
        <w:adjustRightInd w:val="0"/>
        <w:snapToGrid w:val="0"/>
        <w:spacing w:line="600" w:lineRule="exact"/>
        <w:ind w:firstLine="0"/>
        <w:jc w:val="left"/>
        <w:rPr>
          <w:rFonts w:hint="eastAsia" w:ascii="仿宋_GB2312" w:eastAsia="仿宋_GB2312"/>
          <w:color w:val="auto"/>
          <w:sz w:val="28"/>
          <w:szCs w:val="28"/>
          <w:highlight w:val="none"/>
          <w:u w:val="single"/>
          <w:lang w:val="en-US"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）其他要求：</w:t>
      </w:r>
      <w:r>
        <w:rPr>
          <w:rFonts w:hint="eastAsia" w:ascii="仿宋_GB2312" w:eastAsia="仿宋_GB2312"/>
          <w:color w:val="auto"/>
          <w:sz w:val="28"/>
          <w:szCs w:val="28"/>
          <w:highlight w:val="none"/>
          <w:u w:val="single"/>
        </w:rPr>
        <w:t xml:space="preserve"> </w:t>
      </w:r>
      <w:r>
        <w:rPr>
          <w:rFonts w:hint="eastAsia" w:ascii="仿宋_GB2312" w:hAnsi="仿宋_GB2312" w:eastAsia="仿宋_GB2312" w:cs="仿宋_GB2312"/>
          <w:color w:val="auto"/>
          <w:sz w:val="28"/>
          <w:szCs w:val="28"/>
          <w:u w:val="single"/>
        </w:rPr>
        <w:t>专职安全人员要求：须具有安全生产考核合格证（C类）（或能够提供广东省建筑施工企业管理人员安全生产考核信息系统安全生产管理人员证书信息的网页截图）</w:t>
      </w:r>
      <w:r>
        <w:rPr>
          <w:rFonts w:hint="eastAsia" w:ascii="仿宋_GB2312" w:hAnsi="仿宋_GB2312" w:eastAsia="仿宋_GB2312" w:cs="仿宋_GB2312"/>
          <w:color w:val="auto"/>
          <w:sz w:val="28"/>
          <w:szCs w:val="28"/>
          <w:u w:val="single"/>
          <w:lang w:eastAsia="zh-CN"/>
        </w:rPr>
        <w:t>。</w:t>
      </w:r>
      <w:r>
        <w:rPr>
          <w:rFonts w:hint="eastAsia" w:ascii="仿宋_GB2312" w:hAnsi="仿宋_GB2312" w:eastAsia="仿宋_GB2312" w:cs="仿宋_GB2312"/>
          <w:color w:val="auto"/>
          <w:sz w:val="28"/>
          <w:szCs w:val="28"/>
          <w:u w:val="single"/>
          <w:lang w:val="en-US" w:eastAsia="zh-CN"/>
        </w:rPr>
        <w:t>项目负责人不得同时兼任本项目专职安全人员。</w:t>
      </w:r>
      <w:r>
        <w:rPr>
          <w:rFonts w:hint="eastAsia" w:ascii="仿宋_GB2312" w:eastAsia="仿宋_GB2312"/>
          <w:color w:val="auto"/>
          <w:sz w:val="28"/>
          <w:szCs w:val="28"/>
          <w:highlight w:val="none"/>
          <w:u w:val="single"/>
          <w:lang w:val="en-US" w:eastAsia="zh-CN"/>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须出具不得存在情形承诺函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（2）与本项目其他供应商存在控股或管理关系。</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（3）被本项目所在地省级以上行业主管部门依法暂停、取消投标或禁止参加采购活动且处于有效期内的。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（4）处于被责令停产停业、暂扣或者吊销执照、暂扣或者吊销许可证、吊销资质证书状态。</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（5）进入清算程序，或被宣告破产，或其他丧失履约能力情形的。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（6）近三年内因发生质量或安全生产事故等受到行政处罚且在处罚期内的。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（7）被最高人民法院在“信用中国”网站（www.creditchina.gov.cn）或各级信用信息共享平台中列入失信被执行人名单。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（8）被“全国企业信用信息公示系统”（网址：http://www.gsxt.gov.cn/）</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列入经营异常名录和严重违法企业名单。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0</w:t>
      </w:r>
      <w:r>
        <w:rPr>
          <w:rFonts w:hint="eastAsia" w:ascii="仿宋_GB2312" w:eastAsia="仿宋_GB2312"/>
          <w:color w:val="auto"/>
          <w:sz w:val="28"/>
          <w:szCs w:val="28"/>
          <w:highlight w:val="none"/>
        </w:rPr>
        <w:t>）其他违法违纪行为，经审查认为不宜被邀请参加采购活动的。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rPr>
        <w:t>）其他禁止情形：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25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下载采购文件</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无需报名。</w:t>
      </w:r>
      <w:r>
        <w:rPr>
          <w:rFonts w:hint="eastAsia" w:ascii="仿宋_GB2312" w:eastAsia="仿宋_GB2312"/>
          <w:color w:val="auto"/>
          <w:sz w:val="28"/>
          <w:szCs w:val="28"/>
          <w:highlight w:val="none"/>
        </w:rPr>
        <w:t xml:space="preserve"> </w:t>
      </w:r>
    </w:p>
    <w:p>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color w:val="auto"/>
          <w:sz w:val="28"/>
          <w:szCs w:val="28"/>
          <w:highlight w:val="none"/>
        </w:rPr>
        <w:t>不组织</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ind w:left="0" w:firstLine="0" w:firstLineChars="0"/>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.1递交响应文件集合时间：</w:t>
      </w:r>
      <w:r>
        <w:rPr>
          <w:rFonts w:hint="eastAsia" w:ascii="仿宋_GB2312" w:eastAsia="仿宋_GB2312"/>
          <w:color w:val="auto"/>
          <w:sz w:val="28"/>
          <w:szCs w:val="28"/>
          <w:highlight w:val="none"/>
          <w:u w:val="single"/>
          <w:lang w:val="en-US" w:eastAsia="zh-CN"/>
        </w:rPr>
        <w:t xml:space="preserve"> 2024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11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 xml:space="preserve"> 26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 xml:space="preserve"> 14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lang w:val="en-US" w:eastAsia="zh-CN"/>
        </w:rPr>
        <w:t xml:space="preserve"> 30 </w:t>
      </w:r>
      <w:r>
        <w:rPr>
          <w:rFonts w:hint="eastAsia" w:ascii="仿宋_GB2312" w:eastAsia="仿宋_GB2312"/>
          <w:color w:val="auto"/>
          <w:sz w:val="28"/>
          <w:szCs w:val="28"/>
          <w:highlight w:val="none"/>
        </w:rPr>
        <w:t>分至</w:t>
      </w:r>
      <w:r>
        <w:rPr>
          <w:rFonts w:hint="eastAsia" w:ascii="仿宋_GB2312" w:eastAsia="仿宋_GB2312"/>
          <w:color w:val="auto"/>
          <w:sz w:val="28"/>
          <w:szCs w:val="28"/>
          <w:highlight w:val="none"/>
          <w:u w:val="single"/>
          <w:lang w:val="en-US" w:eastAsia="zh-CN"/>
        </w:rPr>
        <w:t xml:space="preserve"> 2024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11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26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 xml:space="preserve"> 15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rPr>
        <w:t>00</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rPr>
        <w:t>分（北京时间）</w:t>
      </w:r>
      <w:r>
        <w:rPr>
          <w:rFonts w:hint="eastAsia" w:ascii="仿宋_GB2312" w:eastAsia="仿宋_GB2312"/>
          <w:color w:val="auto"/>
          <w:sz w:val="28"/>
          <w:szCs w:val="28"/>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6.2</w:t>
      </w:r>
      <w:r>
        <w:rPr>
          <w:rFonts w:hint="eastAsia" w:ascii="仿宋_GB2312" w:eastAsia="仿宋_GB2312"/>
          <w:color w:val="auto"/>
          <w:sz w:val="28"/>
          <w:szCs w:val="28"/>
          <w:highlight w:val="none"/>
        </w:rPr>
        <w:t>递交响应文件截止时间：</w:t>
      </w:r>
      <w:r>
        <w:rPr>
          <w:rFonts w:hint="eastAsia" w:ascii="仿宋_GB2312" w:eastAsia="仿宋_GB2312"/>
          <w:color w:val="auto"/>
          <w:sz w:val="28"/>
          <w:szCs w:val="28"/>
          <w:highlight w:val="none"/>
          <w:u w:val="single"/>
          <w:lang w:val="en-US" w:eastAsia="zh-CN"/>
        </w:rPr>
        <w:t xml:space="preserve"> 2024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11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26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 xml:space="preserve"> 15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rPr>
        <w:t>00</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rPr>
        <w:t>分（北京时间）</w:t>
      </w:r>
      <w:r>
        <w:rPr>
          <w:rFonts w:hint="eastAsia" w:ascii="仿宋_GB2312" w:eastAsia="仿宋_GB2312"/>
          <w:color w:val="auto"/>
          <w:sz w:val="28"/>
          <w:szCs w:val="28"/>
          <w:highlight w:val="none"/>
          <w:lang w:eastAsia="zh-CN"/>
        </w:rPr>
        <w:t>。</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递交地址：</w:t>
      </w:r>
      <w:r>
        <w:rPr>
          <w:rFonts w:hint="eastAsia" w:ascii="仿宋_GB2312" w:eastAsia="仿宋_GB2312"/>
          <w:color w:val="auto"/>
          <w:sz w:val="28"/>
          <w:szCs w:val="28"/>
          <w:highlight w:val="none"/>
          <w:lang w:val="en-US" w:eastAsia="zh-CN"/>
        </w:rPr>
        <w:t>广州市天河区临江大道501号</w:t>
      </w:r>
      <w:r>
        <w:rPr>
          <w:rFonts w:hint="eastAsia" w:ascii="仿宋_GB2312" w:eastAsia="仿宋_GB2312"/>
          <w:color w:val="auto"/>
          <w:sz w:val="28"/>
          <w:szCs w:val="28"/>
          <w:highlight w:val="none"/>
          <w:u w:val="single"/>
          <w:lang w:val="en-US" w:eastAsia="zh-CN"/>
        </w:rPr>
        <w:t>广州市净水有限公司6楼招标部</w:t>
      </w:r>
      <w:r>
        <w:rPr>
          <w:rFonts w:hint="eastAsia" w:ascii="仿宋_GB2312" w:eastAsia="仿宋_GB2312"/>
          <w:color w:val="auto"/>
          <w:sz w:val="28"/>
          <w:szCs w:val="28"/>
          <w:highlight w:val="none"/>
        </w:rPr>
        <w:t>。</w:t>
      </w:r>
    </w:p>
    <w:p>
      <w:pPr>
        <w:pStyle w:val="6"/>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注：授权委托人须通过“广州净水公司”微信公众号（提前）预约，填写访客预约信息。待被访部室审核员审批通过后，凭访客手机生成的“通行访客码”通行。于门岗处测温并扫码填写调查问卷，手机显示问卷“提交成功”后方可进入。</w:t>
      </w:r>
    </w:p>
    <w:p>
      <w:pPr>
        <w:pStyle w:val="6"/>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响应文件递交预约信息填写：</w:t>
      </w:r>
    </w:p>
    <w:p>
      <w:pPr>
        <w:pStyle w:val="6"/>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（1）通过“广州净水公司”微信公众号或来访时扫码进行访客预约登记。</w:t>
      </w:r>
    </w:p>
    <w:p>
      <w:pPr>
        <w:pStyle w:val="6"/>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（2）“组织”选择“公司本部”，“部门”选择“招投标合同管理部”。</w:t>
      </w:r>
    </w:p>
    <w:p>
      <w:pPr>
        <w:pStyle w:val="6"/>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（3）“被访人员”选择“招标部”，“手机号”：“62315524”。</w:t>
      </w:r>
    </w:p>
    <w:p>
      <w:pPr>
        <w:pStyle w:val="6"/>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（4）“详细描述”：找XX，递交XX项目响应文件。</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w:t>
      </w:r>
      <w:r>
        <w:rPr>
          <w:rFonts w:hint="eastAsia" w:ascii="仿宋_GB2312" w:hAnsi="仿宋" w:eastAsia="仿宋_GB2312"/>
          <w:color w:val="auto"/>
          <w:sz w:val="28"/>
          <w:szCs w:val="28"/>
          <w:highlight w:val="none"/>
          <w:lang w:eastAsia="zh-CN"/>
        </w:rPr>
        <w:t>，</w:t>
      </w:r>
      <w:r>
        <w:rPr>
          <w:rFonts w:hint="eastAsia" w:ascii="仿宋_GB2312" w:hAnsi="仿宋" w:eastAsia="仿宋_GB2312"/>
          <w:color w:val="auto"/>
          <w:sz w:val="28"/>
          <w:szCs w:val="28"/>
          <w:highlight w:val="none"/>
          <w:lang w:val="en-US" w:eastAsia="zh-CN"/>
        </w:rPr>
        <w:t>并由授权人亲自递交至净水公司</w:t>
      </w:r>
      <w:r>
        <w:rPr>
          <w:rFonts w:ascii="仿宋_GB2312" w:hAnsi="仿宋" w:eastAsia="仿宋_GB2312"/>
          <w:color w:val="auto"/>
          <w:sz w:val="28"/>
          <w:szCs w:val="28"/>
          <w:highlight w:val="none"/>
        </w:rPr>
        <w:t>。如潜在响应人或其他利害关系人对采购人答复仍持有异议的，可按相关规定进行投诉。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广州市净水有限公司招标部</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38890841</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.联系方式</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黄工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ind w:firstLine="1960" w:firstLineChars="700"/>
              <w:jc w:val="left"/>
              <w:rPr>
                <w:rFonts w:ascii="仿宋_GB2312" w:eastAsia="仿宋_GB2312"/>
                <w:color w:val="auto"/>
                <w:sz w:val="28"/>
                <w:szCs w:val="28"/>
                <w:highlight w:val="none"/>
              </w:rPr>
            </w:pP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pStyle w:val="23"/>
        <w:ind w:left="0" w:leftChars="0" w:firstLine="0" w:firstLineChars="0"/>
        <w:rPr>
          <w:rFonts w:hint="eastAsia"/>
        </w:rPr>
      </w:pPr>
      <w:bookmarkStart w:id="13" w:name="_Toc7340"/>
      <w:bookmarkStart w:id="14" w:name="_Toc2324"/>
      <w:bookmarkStart w:id="15" w:name="_Toc19295"/>
      <w:bookmarkStart w:id="16" w:name="_Toc16705"/>
      <w:bookmarkStart w:id="17" w:name="_Toc2331"/>
      <w:bookmarkStart w:id="18" w:name="_Toc16557"/>
      <w:bookmarkStart w:id="19" w:name="_Toc25603"/>
      <w:bookmarkStart w:id="20" w:name="_Toc32588"/>
      <w:bookmarkStart w:id="21" w:name="_Toc23749"/>
      <w:bookmarkStart w:id="22" w:name="_Toc9448"/>
      <w:bookmarkStart w:id="23" w:name="_Toc10891"/>
    </w:p>
    <w:p>
      <w:pPr>
        <w:pStyle w:val="23"/>
        <w:rPr>
          <w:rFonts w:hint="eastAsia"/>
        </w:rPr>
      </w:pPr>
    </w:p>
    <w:p>
      <w:pPr>
        <w:pStyle w:val="23"/>
        <w:ind w:left="0" w:leftChars="0" w:firstLine="0" w:firstLineChars="0"/>
        <w:rPr>
          <w:rFonts w:hint="eastAsia"/>
        </w:rPr>
      </w:pPr>
    </w:p>
    <w:p>
      <w:pPr>
        <w:pStyle w:val="23"/>
        <w:ind w:left="0" w:leftChars="0" w:firstLine="0" w:firstLineChars="0"/>
        <w:rPr>
          <w:rFonts w:hint="eastAsia"/>
        </w:rPr>
      </w:pPr>
    </w:p>
    <w:p>
      <w:pPr>
        <w:pStyle w:val="23"/>
        <w:ind w:left="0" w:leftChars="0" w:firstLine="0" w:firstLineChars="0"/>
        <w:rPr>
          <w:rFonts w:hint="eastAsia"/>
        </w:rPr>
      </w:pPr>
    </w:p>
    <w:p>
      <w:pPr>
        <w:pStyle w:val="23"/>
        <w:ind w:left="0" w:leftChars="0" w:firstLine="0" w:firstLineChars="0"/>
        <w:rPr>
          <w:rFonts w:hint="eastAsia"/>
        </w:rPr>
      </w:pPr>
    </w:p>
    <w:p>
      <w:pPr>
        <w:pStyle w:val="23"/>
        <w:rPr>
          <w:rFonts w:hint="eastAsia"/>
        </w:rPr>
      </w:pPr>
    </w:p>
    <w:p>
      <w:pPr>
        <w:pStyle w:val="23"/>
        <w:rPr>
          <w:rFonts w:hint="eastAsia"/>
        </w:rPr>
      </w:pPr>
    </w:p>
    <w:p>
      <w:pPr>
        <w:pStyle w:val="3"/>
        <w:jc w:val="both"/>
        <w:rPr>
          <w:rFonts w:hint="eastAsia"/>
          <w:color w:val="auto"/>
          <w:highlight w:val="none"/>
        </w:rPr>
      </w:pPr>
    </w:p>
    <w:p>
      <w:pPr>
        <w:pStyle w:val="3"/>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2348230</wp:posOffset>
                </wp:positionH>
                <wp:positionV relativeFrom="paragraph">
                  <wp:posOffset>22225</wp:posOffset>
                </wp:positionV>
                <wp:extent cx="958850" cy="0"/>
                <wp:effectExtent l="0" t="0" r="0" b="0"/>
                <wp:wrapNone/>
                <wp:docPr id="1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4.9pt;margin-top:1.75pt;height:0pt;width:75.5pt;z-index:251669504;mso-width-relative:page;mso-height-relative:page;" filled="f" stroked="t" coordsize="21600,21600" o:gfxdata="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KphTdQAAAAHAQAADwAAAAAAAAABACAAAAAiAAAAZHJzL2Rvd25yZXYueG1sUEsBAhQAFAAA&#10;AAgAh07iQPZi7erzAQAA5AMAAA4AAAAAAAAAAQAgAAAAIwEAAGRycy9lMm9Eb2MueG1sUEsFBgAA&#10;AAAGAAYAWQEAAIg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2326640</wp:posOffset>
                </wp:positionH>
                <wp:positionV relativeFrom="paragraph">
                  <wp:posOffset>544830</wp:posOffset>
                </wp:positionV>
                <wp:extent cx="958850" cy="0"/>
                <wp:effectExtent l="0" t="0" r="0" b="0"/>
                <wp:wrapNone/>
                <wp:docPr id="14"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3.2pt;margin-top:42.9pt;height:0pt;width:75.5pt;z-index:251670528;mso-width-relative:page;mso-height-relative:page;" filled="f" stroked="t" coordsize="21600,21600" o:gfxdata="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nPOXNg6cbv&#10;Pn//9enL7deftz++sck8a9QHrCl05TbxtMOwiZnwoY02/4kKOxRdj2dd1SExQYcvZ/P5jBQX967q&#10;IS9ETK+VtywbDccUQe+6tPLO0eX5OCmywv4NJqpMifcJuahxrM/w0xmBAw1jS0NApg1ECN2u5KI3&#10;Wl5rY3IGxt12ZSLbQx6I8mV+hPtXWC6yBuyGuOIaRqVTIF85ydIxkFKOXgjPLVglOTOKHlS2CBDq&#10;BNpcEkmljaMOssSDqNnaenksWpdzuvzS42lQ83T9uS/ZD4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MV6Bz1gAAAAkBAAAPAAAAAAAAAAEAIAAAACIAAABkcnMvZG93bnJldi54bWxQSwECFAAU&#10;AAAACACHTuJAl6dV2v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4"/>
        <w:rPr>
          <w:rFonts w:hint="eastAsia" w:asciiTheme="majorEastAsia" w:hAnsiTheme="majorEastAsia" w:eastAsiaTheme="majorEastAsia" w:cstheme="majorEastAsia"/>
          <w:color w:val="auto"/>
          <w:highlight w:val="none"/>
        </w:rPr>
      </w:pPr>
    </w:p>
    <w:p>
      <w:pPr>
        <w:pStyle w:val="4"/>
        <w:rPr>
          <w:rFonts w:hint="eastAsia"/>
          <w:color w:val="auto"/>
          <w:highlight w:val="none"/>
        </w:rPr>
      </w:pPr>
      <w:bookmarkStart w:id="24" w:name="_Toc3416"/>
      <w:bookmarkStart w:id="25" w:name="_Toc2339"/>
      <w:r>
        <w:rPr>
          <w:rFonts w:hint="eastAsia"/>
          <w:color w:val="auto"/>
          <w:highlight w:val="none"/>
        </w:rPr>
        <w:t>供应商须知</w:t>
      </w:r>
      <w:bookmarkEnd w:id="24"/>
      <w:bookmarkEnd w:id="25"/>
    </w:p>
    <w:p>
      <w:pPr>
        <w:adjustRightInd w:val="0"/>
        <w:snapToGrid w:val="0"/>
        <w:spacing w:beforeLines="50" w:afterLines="50" w:line="600" w:lineRule="exact"/>
        <w:ind w:left="643" w:hanging="643" w:hangingChars="200"/>
        <w:jc w:val="left"/>
        <w:rPr>
          <w:rFonts w:hint="eastAsia" w:asciiTheme="majorEastAsia" w:hAnsiTheme="majorEastAsia" w:eastAsiaTheme="majorEastAsia" w:cstheme="maj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ajorEastAsia" w:hAnsiTheme="majorEastAsia" w:eastAsiaTheme="majorEastAsia" w:cstheme="maj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ajorEastAsia" w:hAnsiTheme="majorEastAsia" w:eastAsiaTheme="majorEastAsia" w:cstheme="maj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ajorEastAsia" w:hAnsiTheme="majorEastAsia" w:eastAsiaTheme="majorEastAsia" w:cstheme="maj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numPr>
          <w:ilvl w:val="0"/>
          <w:numId w:val="3"/>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3"/>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不一致情形</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合同签订阶段，如采购文件内容与响应文件格式工程量清单存在不一致情形，则以响应文件格式工程量清单为准。如采购文件条款与合同存在不一致情形，则以合同为准。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2.20</w:t>
            </w:r>
          </w:p>
        </w:tc>
        <w:tc>
          <w:tcPr>
            <w:tcW w:w="1263"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响应性</w:t>
            </w:r>
          </w:p>
        </w:tc>
        <w:tc>
          <w:tcPr>
            <w:tcW w:w="5979" w:type="dxa"/>
            <w:tcBorders>
              <w:right w:val="nil"/>
            </w:tcBorders>
            <w:vAlign w:val="center"/>
          </w:tcPr>
          <w:p>
            <w:pPr>
              <w:adjustRightInd w:val="0"/>
              <w:snapToGrid w:val="0"/>
              <w:ind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文件中，所有要求均为实质性响应条款，供应商如有任何一条负偏离则导致投标（报价）无效，将按无效响应处理。供应商应按采购文件的规定及附件要求的内容和格式完整地填写和提供资料。供应商必须对响应文件所提供的全部资料的真实性承担法律责任，并无条件接受采购人对其中任何资料进行核实（核对原件）的要求。采购人核对发现有不一致或供应商无正当理由不按时提供原件的，按成交无效处理。</w:t>
            </w:r>
          </w:p>
        </w:tc>
      </w:tr>
    </w:tbl>
    <w:p>
      <w:pPr>
        <w:adjustRightInd w:val="0"/>
        <w:snapToGrid w:val="0"/>
        <w:spacing w:beforeLines="50" w:afterLines="50" w:line="560" w:lineRule="exact"/>
        <w:ind w:left="0" w:firstLine="0" w:firstLineChars="0"/>
        <w:jc w:val="left"/>
        <w:rPr>
          <w:rFonts w:hint="eastAsia" w:asciiTheme="minorEastAsia" w:hAnsiTheme="minorEastAsia"/>
          <w:b/>
          <w:color w:val="auto"/>
          <w:sz w:val="32"/>
          <w:szCs w:val="32"/>
          <w:highlight w:val="none"/>
          <w:lang w:val="en-US" w:eastAsia="zh-CN"/>
        </w:rPr>
      </w:pPr>
    </w:p>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spacing w:line="560" w:lineRule="exact"/>
        <w:ind w:firstLine="555"/>
        <w:jc w:val="lef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（10）非法定代表人或</w:t>
      </w:r>
      <w:r>
        <w:rPr>
          <w:rFonts w:hint="eastAsia" w:ascii="仿宋_GB2312" w:eastAsia="仿宋_GB2312" w:hAnsiTheme="minorHAnsi"/>
          <w:color w:val="auto"/>
          <w:sz w:val="28"/>
          <w:szCs w:val="28"/>
          <w:highlight w:val="none"/>
          <w:lang w:val="en-US" w:eastAsia="zh-CN"/>
        </w:rPr>
        <w:t>授权委托代理人</w:t>
      </w:r>
      <w:r>
        <w:rPr>
          <w:rFonts w:hint="eastAsia" w:ascii="仿宋_GB2312" w:eastAsia="仿宋_GB2312"/>
          <w:color w:val="auto"/>
          <w:sz w:val="28"/>
          <w:szCs w:val="28"/>
          <w:highlight w:val="none"/>
          <w:lang w:val="en-US" w:eastAsia="zh-CN"/>
        </w:rPr>
        <w:t>递交响应文件。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 供应商或其他利害关系人可以对采购公告</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采购邀请书</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、采购文件、成交候选人等提出异议。异议应在采购公告或文件规定的时间内、成交候选人公示期间通过规定的异议渠道提出，并递交异议函和必要的证明材料。</w:t>
      </w:r>
      <w:r>
        <w:rPr>
          <w:rFonts w:hint="eastAsia" w:ascii="仿宋_GB2312" w:eastAsia="仿宋_GB2312"/>
          <w:color w:val="auto"/>
          <w:sz w:val="28"/>
          <w:szCs w:val="28"/>
          <w:highlight w:val="none"/>
          <w:lang w:val="en-US" w:eastAsia="zh-CN"/>
        </w:rPr>
        <w:t>须按附件5表格提出</w:t>
      </w:r>
      <w:r>
        <w:rPr>
          <w:rFonts w:hint="eastAsia" w:ascii="仿宋_GB2312" w:eastAsia="仿宋_GB2312"/>
          <w:color w:val="auto"/>
          <w:sz w:val="28"/>
          <w:szCs w:val="28"/>
          <w:highlight w:val="none"/>
        </w:rPr>
        <w:t>异议</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异议</w:t>
      </w:r>
      <w:r>
        <w:rPr>
          <w:rFonts w:hint="eastAsia" w:ascii="仿宋_GB2312" w:eastAsia="仿宋_GB2312"/>
          <w:color w:val="auto"/>
          <w:sz w:val="28"/>
          <w:szCs w:val="28"/>
          <w:highlight w:val="none"/>
        </w:rPr>
        <w:t>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line="560" w:lineRule="exact"/>
        <w:ind w:firstLine="573"/>
        <w:jc w:val="left"/>
        <w:rPr>
          <w:rFonts w:hint="eastAsia" w:ascii="仿宋_GB2312" w:eastAsia="仿宋_GB2312"/>
          <w:color w:val="auto"/>
          <w:sz w:val="28"/>
          <w:szCs w:val="28"/>
          <w:highlight w:val="none"/>
        </w:rPr>
      </w:pP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hint="default" w:asciiTheme="majorEastAsia" w:hAnsiTheme="majorEastAsia" w:eastAsiaTheme="majorEastAsia"/>
          <w:b/>
          <w:color w:val="auto"/>
          <w:sz w:val="28"/>
          <w:szCs w:val="28"/>
          <w:highlight w:val="none"/>
          <w:lang w:val="en-US" w:eastAsia="zh-CN"/>
        </w:rPr>
      </w:pPr>
      <w:r>
        <w:rPr>
          <w:rFonts w:hint="eastAsia" w:asciiTheme="majorEastAsia" w:hAnsiTheme="majorEastAsia" w:eastAsiaTheme="majorEastAsia"/>
          <w:b/>
          <w:color w:val="auto"/>
          <w:sz w:val="28"/>
          <w:szCs w:val="28"/>
          <w:highlight w:val="none"/>
          <w:lang w:val="en-US" w:eastAsia="zh-CN"/>
        </w:rPr>
        <w:t xml:space="preserve">  </w:t>
      </w:r>
      <w:r>
        <w:rPr>
          <w:rFonts w:hint="eastAsia" w:ascii="仿宋_GB2312" w:eastAsia="仿宋_GB2312" w:hAnsiTheme="minorHAnsi"/>
          <w:b w:val="0"/>
          <w:color w:val="auto"/>
          <w:sz w:val="28"/>
          <w:szCs w:val="28"/>
          <w:highlight w:val="none"/>
          <w:lang w:val="en-US" w:eastAsia="zh-CN"/>
        </w:rPr>
        <w:t xml:space="preserve">  </w:t>
      </w:r>
      <w:r>
        <w:rPr>
          <w:rFonts w:hint="eastAsia" w:ascii="仿宋_GB2312" w:eastAsia="仿宋_GB2312"/>
          <w:b w:val="0"/>
          <w:color w:val="auto"/>
          <w:sz w:val="28"/>
          <w:szCs w:val="28"/>
          <w:highlight w:val="none"/>
          <w:lang w:val="en-US" w:eastAsia="zh-CN"/>
        </w:rPr>
        <w:t xml:space="preserve"> </w:t>
      </w:r>
      <w:r>
        <w:rPr>
          <w:rFonts w:hint="eastAsia" w:ascii="仿宋_GB2312" w:eastAsia="仿宋_GB2312"/>
          <w:color w:val="auto"/>
          <w:sz w:val="28"/>
          <w:szCs w:val="28"/>
          <w:highlight w:val="none"/>
        </w:rPr>
        <w:t>附件</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：关于**项目异议书</w:t>
      </w: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3"/>
        <w:rPr>
          <w:rFonts w:asciiTheme="majorEastAsia" w:hAnsiTheme="majorEastAsia" w:eastAsiaTheme="majorEastAsia"/>
          <w:b/>
          <w:color w:val="auto"/>
          <w:sz w:val="28"/>
          <w:szCs w:val="28"/>
          <w:highlight w:val="none"/>
        </w:rPr>
      </w:pPr>
    </w:p>
    <w:p>
      <w:pPr>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br w:type="page"/>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8"/>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5"/>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8"/>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3"/>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8"/>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8"/>
        <w:rPr>
          <w:color w:val="auto"/>
          <w:highlight w:val="none"/>
        </w:rPr>
      </w:pPr>
    </w:p>
    <w:p>
      <w:pPr>
        <w:pStyle w:val="38"/>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lang w:val="en-US" w:eastAsia="zh-CN"/>
        </w:rPr>
        <w:t>5</w:t>
      </w:r>
      <w:r>
        <w:rPr>
          <w:rFonts w:hint="eastAsia" w:asciiTheme="majorEastAsia" w:hAnsiTheme="majorEastAsia" w:eastAsiaTheme="majorEastAsia"/>
          <w:b/>
          <w:color w:val="auto"/>
          <w:sz w:val="28"/>
          <w:szCs w:val="28"/>
          <w:highlight w:val="none"/>
        </w:rPr>
        <w:t xml:space="preserve"> </w:t>
      </w:r>
    </w:p>
    <w:p>
      <w:pPr>
        <w:jc w:val="both"/>
        <w:rPr>
          <w:rFonts w:hint="eastAsia" w:ascii="宋体" w:hAnsi="宋体" w:cs="宋体"/>
          <w:b/>
          <w:bCs/>
          <w:sz w:val="44"/>
          <w:szCs w:val="44"/>
          <w:highlight w:val="none"/>
        </w:rPr>
      </w:pPr>
    </w:p>
    <w:p>
      <w:pPr>
        <w:jc w:val="center"/>
        <w:rPr>
          <w:rFonts w:ascii="宋体" w:hAnsi="宋体" w:cs="宋体"/>
          <w:b/>
          <w:bCs/>
          <w:sz w:val="44"/>
          <w:szCs w:val="44"/>
          <w:highlight w:val="none"/>
        </w:rPr>
      </w:pPr>
      <w:r>
        <w:rPr>
          <w:rFonts w:hint="eastAsia" w:ascii="宋体" w:hAnsi="宋体" w:cs="宋体"/>
          <w:b/>
          <w:bCs/>
          <w:sz w:val="44"/>
          <w:szCs w:val="44"/>
          <w:highlight w:val="none"/>
        </w:rPr>
        <w:t>关于</w:t>
      </w:r>
      <w:r>
        <w:rPr>
          <w:rFonts w:hint="eastAsia" w:ascii="宋体" w:hAnsi="宋体" w:cs="宋体"/>
          <w:b/>
          <w:bCs/>
          <w:sz w:val="44"/>
          <w:szCs w:val="44"/>
          <w:highlight w:val="none"/>
          <w:lang w:val="en-US" w:eastAsia="zh-CN"/>
        </w:rPr>
        <w:t>**</w:t>
      </w:r>
      <w:r>
        <w:rPr>
          <w:rFonts w:ascii="宋体" w:hAnsi="宋体" w:cs="宋体"/>
          <w:b/>
          <w:bCs/>
          <w:sz w:val="44"/>
          <w:szCs w:val="44"/>
          <w:highlight w:val="none"/>
        </w:rPr>
        <w:t>项目异议书</w:t>
      </w:r>
    </w:p>
    <w:p>
      <w:pPr>
        <w:widowControl/>
        <w:spacing w:line="408" w:lineRule="auto"/>
        <w:jc w:val="center"/>
        <w:rPr>
          <w:rFonts w:hAnsi="宋体" w:cs="仿宋_GB2312"/>
          <w:kern w:val="0"/>
          <w:sz w:val="24"/>
          <w:highlight w:val="none"/>
        </w:rPr>
      </w:pPr>
      <w:r>
        <w:rPr>
          <w:rFonts w:hAnsi="宋体" w:cs="仿宋_GB2312"/>
          <w:kern w:val="0"/>
          <w:sz w:val="24"/>
          <w:highlight w:val="none"/>
        </w:rPr>
        <w:t>(参考格式)</w:t>
      </w:r>
    </w:p>
    <w:p>
      <w:pPr>
        <w:rPr>
          <w:kern w:val="0"/>
          <w:sz w:val="28"/>
          <w:szCs w:val="28"/>
          <w:highlight w:val="none"/>
        </w:rPr>
      </w:pPr>
      <w:r>
        <w:rPr>
          <w:rFonts w:hint="eastAsia"/>
          <w:kern w:val="0"/>
          <w:sz w:val="28"/>
          <w:szCs w:val="28"/>
          <w:highlight w:val="none"/>
        </w:rPr>
        <w:t>项目名称：</w:t>
      </w:r>
    </w:p>
    <w:p>
      <w:pPr>
        <w:widowControl/>
        <w:jc w:val="left"/>
        <w:rPr>
          <w:rFonts w:hAnsi="宋体" w:cs="宋体"/>
          <w:kern w:val="0"/>
          <w:sz w:val="28"/>
          <w:szCs w:val="28"/>
          <w:highlight w:val="none"/>
        </w:rPr>
      </w:pPr>
      <w:r>
        <w:rPr>
          <w:rFonts w:hint="eastAsia" w:hAnsi="宋体" w:cs="仿宋_GB2312"/>
          <w:bCs/>
          <w:kern w:val="0"/>
          <w:sz w:val="28"/>
          <w:szCs w:val="28"/>
          <w:highlight w:val="none"/>
        </w:rPr>
        <w:t>异议人：</w:t>
      </w:r>
    </w:p>
    <w:p>
      <w:pPr>
        <w:widowControl/>
        <w:jc w:val="left"/>
        <w:rPr>
          <w:rFonts w:hAnsi="宋体" w:cs="宋体"/>
          <w:kern w:val="0"/>
          <w:sz w:val="28"/>
          <w:szCs w:val="28"/>
          <w:highlight w:val="none"/>
        </w:rPr>
      </w:pPr>
      <w:r>
        <w:rPr>
          <w:rFonts w:hint="eastAsia" w:hAnsi="宋体" w:cs="仿宋_GB2312"/>
          <w:kern w:val="0"/>
          <w:sz w:val="28"/>
          <w:szCs w:val="28"/>
          <w:highlight w:val="none"/>
        </w:rPr>
        <w:t>住所地：</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邮编：</w:t>
      </w:r>
    </w:p>
    <w:p>
      <w:pPr>
        <w:widowControl/>
        <w:jc w:val="left"/>
        <w:rPr>
          <w:rFonts w:hint="eastAsia" w:hAnsi="宋体" w:eastAsia="宋体" w:cs="宋体"/>
          <w:kern w:val="0"/>
          <w:sz w:val="28"/>
          <w:szCs w:val="28"/>
          <w:highlight w:val="none"/>
          <w:lang w:eastAsia="zh-CN"/>
        </w:rPr>
      </w:pPr>
      <w:r>
        <w:rPr>
          <w:rFonts w:hint="eastAsia" w:hAnsi="宋体" w:cs="仿宋_GB2312"/>
          <w:kern w:val="0"/>
          <w:sz w:val="28"/>
          <w:szCs w:val="28"/>
          <w:highlight w:val="none"/>
        </w:rPr>
        <w:t>法定代表人：</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r>
        <w:rPr>
          <w:rFonts w:hint="eastAsia" w:hAnsi="宋体" w:cs="仿宋_GB2312"/>
          <w:kern w:val="0"/>
          <w:sz w:val="28"/>
          <w:szCs w:val="28"/>
          <w:highlight w:val="none"/>
          <w:lang w:eastAsia="zh-CN"/>
        </w:rPr>
        <w:t>：</w:t>
      </w:r>
    </w:p>
    <w:p>
      <w:pPr>
        <w:widowControl/>
        <w:jc w:val="left"/>
        <w:rPr>
          <w:rFonts w:hAnsi="宋体" w:cs="宋体"/>
          <w:kern w:val="0"/>
          <w:sz w:val="28"/>
          <w:szCs w:val="28"/>
          <w:highlight w:val="none"/>
        </w:rPr>
      </w:pPr>
      <w:r>
        <w:rPr>
          <w:rFonts w:hint="eastAsia" w:hAnsi="宋体" w:cs="仿宋_GB2312"/>
          <w:kern w:val="0"/>
          <w:sz w:val="28"/>
          <w:szCs w:val="28"/>
          <w:highlight w:val="none"/>
        </w:rPr>
        <w:t>异议人授权代表：</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性别：</w:t>
      </w:r>
    </w:p>
    <w:p>
      <w:pPr>
        <w:widowControl/>
        <w:jc w:val="left"/>
        <w:rPr>
          <w:rFonts w:hAnsi="宋体" w:cs="宋体"/>
          <w:kern w:val="0"/>
          <w:sz w:val="28"/>
          <w:szCs w:val="28"/>
          <w:highlight w:val="none"/>
        </w:rPr>
      </w:pPr>
      <w:r>
        <w:rPr>
          <w:rFonts w:hint="eastAsia" w:hAnsi="宋体" w:cs="仿宋_GB2312"/>
          <w:kern w:val="0"/>
          <w:sz w:val="28"/>
          <w:szCs w:val="28"/>
          <w:highlight w:val="none"/>
        </w:rPr>
        <w:t>住址：</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p>
    <w:p>
      <w:pPr>
        <w:widowControl/>
        <w:jc w:val="left"/>
        <w:rPr>
          <w:rFonts w:hAnsi="宋体" w:cs="宋体"/>
          <w:kern w:val="0"/>
          <w:sz w:val="28"/>
          <w:szCs w:val="28"/>
          <w:highlight w:val="none"/>
        </w:rPr>
      </w:pPr>
      <w:r>
        <w:rPr>
          <w:rFonts w:hint="eastAsia" w:hAnsi="宋体" w:cs="仿宋_GB2312"/>
          <w:bCs/>
          <w:kern w:val="0"/>
          <w:sz w:val="28"/>
          <w:szCs w:val="28"/>
          <w:highlight w:val="none"/>
        </w:rPr>
        <w:t>提起异议事项的基本事实：</w:t>
      </w:r>
    </w:p>
    <w:p>
      <w:pPr>
        <w:widowControl/>
        <w:jc w:val="left"/>
        <w:rPr>
          <w:rFonts w:hAnsi="宋体" w:cs="宋体"/>
          <w:kern w:val="0"/>
          <w:sz w:val="28"/>
          <w:szCs w:val="28"/>
          <w:highlight w:val="non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相关请求及主张：</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有效线索和相关证明材料：</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异议提起人与项目有利害关系的证明材料（见说明）：</w:t>
      </w:r>
    </w:p>
    <w:p>
      <w:pPr>
        <w:widowControl/>
        <w:jc w:val="left"/>
        <w:rPr>
          <w:rFonts w:hAnsi="宋体" w:cs="宋体"/>
          <w:kern w:val="0"/>
          <w:sz w:val="28"/>
          <w:szCs w:val="28"/>
          <w:highlight w:val="none"/>
        </w:rPr>
      </w:pPr>
      <w:r>
        <w:rPr>
          <w:rFonts w:hAnsi="宋体" w:cs="仿宋_GB2312"/>
          <w:kern w:val="0"/>
          <w:sz w:val="28"/>
          <w:szCs w:val="28"/>
          <w:highlight w:val="none"/>
        </w:rPr>
        <w:t xml:space="preserve">  此致</w:t>
      </w:r>
    </w:p>
    <w:p>
      <w:pPr>
        <w:widowControl/>
        <w:jc w:val="left"/>
        <w:rPr>
          <w:rFonts w:hAnsi="宋体" w:cs="宋体"/>
          <w:kern w:val="0"/>
          <w:sz w:val="28"/>
          <w:szCs w:val="28"/>
          <w:highlight w:val="none"/>
        </w:rPr>
      </w:pPr>
      <w:r>
        <w:rPr>
          <w:rFonts w:hint="eastAsia" w:hAnsi="宋体" w:cs="仿宋_GB2312"/>
          <w:kern w:val="0"/>
          <w:sz w:val="28"/>
          <w:szCs w:val="28"/>
          <w:highlight w:val="none"/>
          <w:u w:val="single"/>
        </w:rPr>
        <w:t>（采购人）</w:t>
      </w: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宋体"/>
          <w:kern w:val="0"/>
          <w:sz w:val="28"/>
          <w:szCs w:val="28"/>
          <w:highlight w:val="none"/>
        </w:rPr>
      </w:pPr>
      <w:r>
        <w:rPr>
          <w:rFonts w:hint="eastAsia" w:hAnsi="宋体" w:cs="仿宋_GB2312"/>
          <w:kern w:val="0"/>
          <w:sz w:val="28"/>
          <w:szCs w:val="28"/>
          <w:highlight w:val="none"/>
        </w:rPr>
        <w:t>异议人（公章）：</w:t>
      </w:r>
    </w:p>
    <w:p>
      <w:pPr>
        <w:widowControl/>
        <w:ind w:left="99" w:leftChars="47" w:firstLine="1960" w:firstLineChars="700"/>
        <w:jc w:val="left"/>
        <w:rPr>
          <w:rFonts w:hAnsi="宋体" w:cs="仿宋_GB2312"/>
          <w:kern w:val="0"/>
          <w:sz w:val="28"/>
          <w:szCs w:val="28"/>
          <w:highlight w:val="none"/>
        </w:rPr>
      </w:pPr>
    </w:p>
    <w:p>
      <w:pPr>
        <w:widowControl/>
        <w:ind w:left="99" w:leftChars="47" w:firstLine="1960" w:firstLineChars="700"/>
        <w:jc w:val="left"/>
        <w:rPr>
          <w:rFonts w:hAnsi="宋体" w:cs="仿宋_GB2312"/>
          <w:kern w:val="0"/>
          <w:sz w:val="28"/>
          <w:szCs w:val="28"/>
          <w:highlight w:val="none"/>
          <w:u w:val="single"/>
        </w:rPr>
      </w:pPr>
      <w:r>
        <w:rPr>
          <w:rFonts w:hint="eastAsia" w:hAnsi="宋体" w:cs="仿宋_GB2312"/>
          <w:kern w:val="0"/>
          <w:sz w:val="28"/>
          <w:szCs w:val="28"/>
          <w:highlight w:val="none"/>
        </w:rPr>
        <w:t>法定代表人或授权代表（签字）</w:t>
      </w:r>
    </w:p>
    <w:p>
      <w:pPr>
        <w:widowControl/>
        <w:ind w:left="99" w:leftChars="47" w:firstLine="1960" w:firstLineChars="700"/>
        <w:jc w:val="left"/>
        <w:rPr>
          <w:rFonts w:hAnsi="宋体" w:cs="仿宋_GB2312"/>
          <w:kern w:val="0"/>
          <w:sz w:val="28"/>
          <w:szCs w:val="28"/>
          <w:highlight w:val="none"/>
          <w:u w:val="single"/>
        </w:rPr>
      </w:pPr>
    </w:p>
    <w:p>
      <w:pPr>
        <w:widowControl/>
        <w:ind w:firstLine="560" w:firstLineChars="200"/>
        <w:jc w:val="center"/>
        <w:rPr>
          <w:rFonts w:hAnsi="宋体" w:cs="宋体"/>
          <w:kern w:val="0"/>
          <w:sz w:val="28"/>
          <w:szCs w:val="28"/>
          <w:highlight w:val="none"/>
        </w:rPr>
      </w:pPr>
      <w:r>
        <w:rPr>
          <w:rFonts w:hAnsi="宋体" w:cs="仿宋_GB2312"/>
          <w:kern w:val="0"/>
          <w:sz w:val="28"/>
          <w:szCs w:val="28"/>
          <w:highlight w:val="none"/>
        </w:rPr>
        <w:t xml:space="preserve">                                     年    月   日</w:t>
      </w:r>
    </w:p>
    <w:p>
      <w:pPr>
        <w:widowControl/>
        <w:jc w:val="left"/>
        <w:rPr>
          <w:rFonts w:hAnsi="宋体" w:cs="仿宋_GB2312"/>
          <w:bCs/>
          <w:kern w:val="0"/>
          <w:sz w:val="24"/>
          <w:highlight w:val="none"/>
        </w:rPr>
      </w:pPr>
    </w:p>
    <w:p>
      <w:pPr>
        <w:rPr>
          <w:rFonts w:hAnsi="仿宋"/>
          <w:sz w:val="24"/>
          <w:highlight w:val="none"/>
        </w:rPr>
      </w:pPr>
      <w:r>
        <w:rPr>
          <w:rFonts w:hint="eastAsia" w:hAnsi="仿宋"/>
          <w:sz w:val="24"/>
          <w:highlight w:val="none"/>
        </w:rPr>
        <w:t>说明：</w:t>
      </w:r>
    </w:p>
    <w:p>
      <w:pPr>
        <w:rPr>
          <w:rFonts w:hAnsi="仿宋"/>
          <w:sz w:val="24"/>
          <w:highlight w:val="none"/>
        </w:rPr>
      </w:pPr>
    </w:p>
    <w:p>
      <w:pPr>
        <w:rPr>
          <w:rFonts w:hAnsi="仿宋"/>
          <w:sz w:val="24"/>
          <w:highlight w:val="none"/>
        </w:rPr>
      </w:pPr>
      <w:r>
        <w:rPr>
          <w:rFonts w:hAnsi="仿宋"/>
          <w:sz w:val="24"/>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rPr>
          <w:rFonts w:hAnsi="仿宋"/>
          <w:sz w:val="24"/>
          <w:highlight w:val="none"/>
        </w:rPr>
      </w:pPr>
      <w:r>
        <w:rPr>
          <w:rFonts w:hAnsi="仿宋"/>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hAnsi="仿宋"/>
          <w:sz w:val="24"/>
          <w:highlight w:val="none"/>
        </w:rPr>
      </w:pPr>
      <w:r>
        <w:rPr>
          <w:rFonts w:hAnsi="仿宋"/>
          <w:sz w:val="24"/>
          <w:highlight w:val="none"/>
        </w:rPr>
        <w:t>3.为证明与异议项目有利害关系，投标人以外的其他异议提起人应当提供相应证明材料：</w:t>
      </w:r>
    </w:p>
    <w:p>
      <w:pPr>
        <w:rPr>
          <w:rFonts w:hAnsi="仿宋"/>
          <w:sz w:val="24"/>
          <w:highlight w:val="none"/>
        </w:rPr>
      </w:pPr>
      <w:r>
        <w:rPr>
          <w:rFonts w:hint="eastAsia" w:hAnsi="仿宋"/>
          <w:sz w:val="24"/>
          <w:highlight w:val="none"/>
        </w:rPr>
        <w:t>（</w:t>
      </w:r>
      <w:r>
        <w:rPr>
          <w:rFonts w:hAnsi="仿宋"/>
          <w:sz w:val="24"/>
          <w:highlight w:val="none"/>
        </w:rPr>
        <w:t>1）属潜在投标人的，提交符合法定有关资格要求的证明文件；</w:t>
      </w:r>
    </w:p>
    <w:p>
      <w:pPr>
        <w:rPr>
          <w:rFonts w:hAnsi="仿宋"/>
          <w:sz w:val="24"/>
          <w:highlight w:val="none"/>
        </w:rPr>
      </w:pPr>
      <w:r>
        <w:rPr>
          <w:rFonts w:hint="eastAsia" w:hAnsi="仿宋"/>
          <w:sz w:val="24"/>
          <w:highlight w:val="none"/>
        </w:rPr>
        <w:t>（</w:t>
      </w:r>
      <w:r>
        <w:rPr>
          <w:rFonts w:hAnsi="仿宋"/>
          <w:sz w:val="24"/>
          <w:highlight w:val="none"/>
        </w:rPr>
        <w:t>2）属特定分包人或者供应商的，提交证明其与该项目投标人绑定投标的附条件生效协议以及能证明其能履行该协议项下的合同义务的能力的证明文件。</w:t>
      </w:r>
      <w:r>
        <w:rPr>
          <w:rFonts w:hAnsi="仿宋"/>
          <w:sz w:val="24"/>
          <w:highlight w:val="none"/>
        </w:rPr>
        <w:tab/>
      </w:r>
    </w:p>
    <w:p>
      <w:pPr>
        <w:rPr>
          <w:rFonts w:hAnsi="仿宋"/>
          <w:sz w:val="24"/>
          <w:highlight w:val="none"/>
        </w:rPr>
      </w:pPr>
      <w:r>
        <w:rPr>
          <w:rFonts w:hint="eastAsia" w:hAnsi="仿宋"/>
          <w:sz w:val="24"/>
          <w:highlight w:val="none"/>
        </w:rPr>
        <w:t>（</w:t>
      </w:r>
      <w:r>
        <w:rPr>
          <w:rFonts w:hAnsi="仿宋"/>
          <w:sz w:val="24"/>
          <w:highlight w:val="none"/>
        </w:rPr>
        <w:t>3）可证明与异议项目有利害关系的其他证明文件。</w:t>
      </w: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rFonts w:hint="eastAsia" w:asciiTheme="minorHAnsi" w:hAnsiTheme="minorHAnsi" w:cstheme="minorBidi"/>
          <w:color w:val="auto"/>
          <w:kern w:val="44"/>
          <w:sz w:val="44"/>
          <w:szCs w:val="44"/>
          <w:highlight w:val="none"/>
        </w:rPr>
      </w:pPr>
      <w:bookmarkStart w:id="26" w:name="_Toc2867"/>
      <w:bookmarkStart w:id="27" w:name="_Toc21455"/>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0288" behindDoc="0" locked="0" layoutInCell="1" allowOverlap="1">
                <wp:simplePos x="0" y="0"/>
                <wp:positionH relativeFrom="column">
                  <wp:posOffset>2332990</wp:posOffset>
                </wp:positionH>
                <wp:positionV relativeFrom="paragraph">
                  <wp:posOffset>724535</wp:posOffset>
                </wp:positionV>
                <wp:extent cx="958850" cy="0"/>
                <wp:effectExtent l="0" t="0" r="0" b="0"/>
                <wp:wrapNone/>
                <wp:docPr id="2"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3.7pt;margin-top:57.05pt;height:0pt;width:75.5pt;z-index:251660288;mso-width-relative:page;mso-height-relative:page;" filled="f" stroked="t" coordsize="21600,21600" o:gfxdata="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y4bPOXNg6cJ/&#10;fvr26+Pnuy8/7r5/ZYus0BCwpsCNu4mnHYabmOke2mjzn4iwQ1H1eFZVHRITdPhisVwuSG9x76oe&#10;8kLE9Ep5y7LRcEwRdNenjXeOrs7HWREV9q8xUWVKvE/IRY1jQ4afLwgcaBRbGgEybSA66LqSi95o&#10;ea2NyRkYu93GRLaHPA7ly/wI96+wXGQL2I9xxTUOSq9AvnSSpWMgoRy9D55bsEpyZhQ9p2wRINQJ&#10;tLkkkkobRx1kiUdRs7Xz8li0Lud09aXH05jm2fpzX7Ifnub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MsqITXAAAACwEAAA8AAAAAAAAAAQAgAAAAIgAAAGRycy9kb3ducmV2LnhtbFBLAQIUABQA&#10;AAAIAIdO4kC0bYq18QEAAOIDAAAOAAAAAAAAAAEAIAAAACYBAABkcnMvZTJvRG9jLnhtbFBLBQYA&#10;AAAABgAGAFkBAACJBQ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59264" behindDoc="0" locked="0" layoutInCell="1" allowOverlap="1">
                <wp:simplePos x="0" y="0"/>
                <wp:positionH relativeFrom="column">
                  <wp:posOffset>2325370</wp:posOffset>
                </wp:positionH>
                <wp:positionV relativeFrom="paragraph">
                  <wp:posOffset>137795</wp:posOffset>
                </wp:positionV>
                <wp:extent cx="958850" cy="0"/>
                <wp:effectExtent l="0" t="0" r="0" b="0"/>
                <wp:wrapNone/>
                <wp:docPr id="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1pt;margin-top:10.85pt;height:0pt;width:75.5pt;z-index:251659264;mso-width-relative:page;mso-height-relative:page;" filled="f" stroked="t" coordsize="21600,21600" o:gfxdata="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mcObB04Xef&#10;v//69OX268/bH9/Y86xQH7CmwJXbxNMOwyZmuoc22vwnIuxQVD2eVVWHxAQdvpzN5zPSW9y7qoe8&#10;EDG9Vt6ybDQcUwS969LKO0dX5+OkiAr7N5ioMiXeJ+SixrE+w09nBA40ii2NAJk2EB10u5KL3mh5&#10;rY3JGRh325WJbA95HMqX+RHuX2G5yBqwG+KKaxiUToF85SRLx0BCOXofPLdgleTMKHpO2SJAqBNo&#10;c0kklTaOOsgSD6Jma+vlsWhdzunqS4+nMc2z9ee+ZD88ze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C0PytYAAAAJAQAADwAAAAAAAAABACAAAAAiAAAAZHJzL2Rvd25yZXYueG1sUEsBAhQAFAAA&#10;AAgAh07iQBcgxbn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38"/>
        <w:rPr>
          <w:color w:val="auto"/>
          <w:highlight w:val="none"/>
        </w:rPr>
      </w:pPr>
    </w:p>
    <w:p>
      <w:pPr>
        <w:pStyle w:val="4"/>
        <w:rPr>
          <w:color w:val="auto"/>
          <w:highlight w:val="none"/>
        </w:rPr>
      </w:pPr>
      <w:bookmarkStart w:id="28" w:name="_Toc7040"/>
      <w:bookmarkStart w:id="29" w:name="_Toc7303"/>
      <w:bookmarkStart w:id="30" w:name="_Toc88209934"/>
      <w:bookmarkStart w:id="31" w:name="_Toc87616371"/>
      <w:r>
        <w:rPr>
          <w:rFonts w:hint="eastAsia"/>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4"/>
        <w:rPr>
          <w:color w:val="auto"/>
          <w:highlight w:val="none"/>
        </w:rPr>
      </w:pPr>
      <w:bookmarkStart w:id="32" w:name="_Toc24895"/>
      <w:bookmarkStart w:id="33" w:name="_Toc3789"/>
      <w:r>
        <w:rPr>
          <w:rFonts w:hint="eastAsia"/>
          <w:color w:val="auto"/>
          <w:highlight w:val="none"/>
        </w:rPr>
        <w:t>询比采购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w:t>
      </w:r>
      <w:r>
        <w:rPr>
          <w:rFonts w:hint="eastAsia" w:asciiTheme="minorEastAsia" w:hAnsiTheme="minorEastAsia"/>
          <w:b/>
          <w:color w:val="auto"/>
          <w:sz w:val="28"/>
          <w:szCs w:val="28"/>
          <w:highlight w:val="none"/>
          <w:lang w:val="en-US" w:eastAsia="zh-CN"/>
        </w:rPr>
        <w:t>价</w:t>
      </w:r>
    </w:p>
    <w:tbl>
      <w:tblPr>
        <w:tblStyle w:val="25"/>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6"/>
        <w:ind w:left="0" w:leftChars="0" w:firstLine="0" w:firstLineChars="0"/>
        <w:rPr>
          <w:rFonts w:ascii="仿宋_GB2312" w:eastAsia="仿宋_GB2312"/>
          <w:color w:val="auto"/>
          <w:sz w:val="28"/>
          <w:szCs w:val="28"/>
          <w:highlight w:val="none"/>
        </w:rPr>
      </w:pPr>
    </w:p>
    <w:p>
      <w:pPr>
        <w:pStyle w:val="6"/>
        <w:rPr>
          <w:rFonts w:ascii="仿宋_GB2312" w:eastAsia="仿宋_GB2312"/>
          <w:color w:val="auto"/>
          <w:sz w:val="28"/>
          <w:szCs w:val="28"/>
          <w:highlight w:val="none"/>
        </w:rPr>
      </w:pPr>
    </w:p>
    <w:p>
      <w:pPr>
        <w:pStyle w:val="6"/>
        <w:rPr>
          <w:rFonts w:ascii="仿宋_GB2312" w:eastAsia="仿宋_GB2312"/>
          <w:color w:val="auto"/>
          <w:sz w:val="28"/>
          <w:szCs w:val="28"/>
          <w:highlight w:val="none"/>
        </w:rPr>
      </w:pPr>
    </w:p>
    <w:p>
      <w:pPr>
        <w:adjustRightInd w:val="0"/>
        <w:snapToGrid w:val="0"/>
        <w:spacing w:line="600" w:lineRule="exact"/>
        <w:jc w:val="left"/>
        <w:rPr>
          <w:rFonts w:ascii="仿宋_GB2312" w:eastAsia="仿宋_GB2312"/>
          <w:color w:val="auto"/>
          <w:sz w:val="28"/>
          <w:szCs w:val="28"/>
          <w:highlight w:val="none"/>
        </w:rPr>
      </w:pPr>
    </w:p>
    <w:p>
      <w:pPr>
        <w:pStyle w:val="3"/>
        <w:rPr>
          <w:color w:val="auto"/>
          <w:highlight w:val="none"/>
        </w:rPr>
      </w:pPr>
      <w:bookmarkStart w:id="34" w:name="_Toc20594"/>
      <w:bookmarkStart w:id="35" w:name="_Toc23581"/>
      <w:bookmarkStart w:id="36" w:name="_Toc7437"/>
      <w:bookmarkStart w:id="37" w:name="_Toc3156"/>
      <w:bookmarkStart w:id="38" w:name="_Toc4952"/>
      <w:bookmarkStart w:id="39" w:name="_Toc7118"/>
      <w:bookmarkStart w:id="40" w:name="_Toc14870"/>
      <w:bookmarkStart w:id="41" w:name="_Toc14552"/>
      <w:bookmarkStart w:id="42" w:name="_Toc19759"/>
      <w:bookmarkStart w:id="43" w:name="_Toc19050"/>
      <w:bookmarkStart w:id="44" w:name="_Toc10930"/>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2325370</wp:posOffset>
                </wp:positionH>
                <wp:positionV relativeFrom="paragraph">
                  <wp:posOffset>197485</wp:posOffset>
                </wp:positionV>
                <wp:extent cx="958850" cy="0"/>
                <wp:effectExtent l="0" t="0" r="0" b="0"/>
                <wp:wrapNone/>
                <wp:docPr id="3"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15.55pt;height:0pt;width:75.5pt;z-index:251661312;mso-width-relative:page;mso-height-relative:page;" filled="f" stroked="t" coordsize="21600,21600" o:gfxdata="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OvQYzWAAAACQEAAA8AAAAAAAAAAQAgAAAAIgAAAGRycy9kb3ducmV2LnhtbFBLAQIUABQA&#10;AAAIAIdO4kCQMcCw8gEAAOIDAAAOAAAAAAAAAAEAIAAAACUBAABkcnMvZTJvRG9jLnhtbFBLBQYA&#10;AAAABgAGAFkBAACJ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2313305</wp:posOffset>
                </wp:positionH>
                <wp:positionV relativeFrom="paragraph">
                  <wp:posOffset>779145</wp:posOffset>
                </wp:positionV>
                <wp:extent cx="958850" cy="0"/>
                <wp:effectExtent l="0" t="0" r="0" b="0"/>
                <wp:wrapNone/>
                <wp:docPr id="4"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2.15pt;margin-top:61.35pt;height:0pt;width:75.5pt;z-index:251662336;mso-width-relative:page;mso-height-relative:page;" filled="f" stroked="t" coordsize="21600,21600" o:gfxdata="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FPOXNg6cJ/&#10;fvr26+Pn2y8/br9/Zc+zQn3AmgJXbhNPOwybmOke2mjzn4iwQ1H1eFZVHRITdPhiNp/PSG9x56ru&#10;80LE9Ep5y7LRcEwR9K5LK+8cXZ2PkyIq7F9josqUeJeQixrH+gw/nRE40Ci2NAJk2kB00O1KLnqj&#10;5bU2Jmdg3G1XJrI95HEoX+ZHuH+F5SJrwG6IK65hUDoF8qWTLB0DCeXoffDcglWSM6PoOWWLAKFO&#10;oM0lkVTaOOogSzyImq2tl8eidTmnqy89nsY0z9af+5J9/zS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QDvqb1wAAAAsBAAAPAAAAAAAAAAEAIAAAACIAAABkcnMvZG93bnJldi54bWxQSwECFAAU&#10;AAAACACHTuJAe51jF/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8"/>
        <w:rPr>
          <w:color w:val="auto"/>
          <w:highlight w:val="none"/>
        </w:rPr>
      </w:pPr>
    </w:p>
    <w:p>
      <w:pPr>
        <w:pStyle w:val="3"/>
        <w:rPr>
          <w:color w:val="auto"/>
          <w:highlight w:val="none"/>
        </w:rPr>
      </w:pPr>
      <w:bookmarkStart w:id="45" w:name="_Toc22212"/>
      <w:bookmarkStart w:id="46" w:name="_Toc7831"/>
      <w:bookmarkStart w:id="47" w:name="_Toc87616378"/>
      <w:bookmarkStart w:id="48" w:name="_Toc12177"/>
      <w:bookmarkStart w:id="49" w:name="_Toc6308"/>
      <w:bookmarkStart w:id="50" w:name="_Toc29345"/>
      <w:bookmarkStart w:id="51" w:name="_Toc21079"/>
      <w:bookmarkStart w:id="52" w:name="_Toc88209941"/>
      <w:bookmarkStart w:id="53" w:name="_Toc29484"/>
      <w:bookmarkStart w:id="54" w:name="_Toc13898"/>
      <w:bookmarkStart w:id="55" w:name="_Toc30530"/>
      <w:bookmarkStart w:id="56" w:name="_Toc21840"/>
      <w:bookmarkStart w:id="57" w:name="_Toc32607"/>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6"/>
        <w:rPr>
          <w:rFonts w:ascii="方正小标宋简体" w:eastAsia="方正小标宋简体"/>
          <w:color w:val="auto"/>
          <w:sz w:val="44"/>
          <w:szCs w:val="44"/>
          <w:highlight w:val="none"/>
        </w:rPr>
      </w:pPr>
    </w:p>
    <w:p>
      <w:pPr>
        <w:pStyle w:val="6"/>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4"/>
        <w:rPr>
          <w:color w:val="auto"/>
          <w:highlight w:val="none"/>
        </w:rPr>
      </w:pPr>
      <w:bookmarkStart w:id="58" w:name="_Toc23033"/>
      <w:bookmarkStart w:id="59" w:name="_Toc26826"/>
      <w:r>
        <w:rPr>
          <w:rFonts w:hint="eastAsia"/>
          <w:color w:val="auto"/>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5"/>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ind w:left="0" w:leftChars="0" w:firstLine="0" w:firstLineChars="0"/>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3"/>
        <w:rPr>
          <w:rFonts w:hint="eastAsia"/>
          <w:color w:val="auto"/>
          <w:highlight w:val="none"/>
        </w:rPr>
      </w:pPr>
      <w:bookmarkStart w:id="60" w:name="_Toc88209947"/>
    </w:p>
    <w:p>
      <w:pPr>
        <w:rPr>
          <w:rFonts w:hint="eastAsia"/>
          <w:color w:val="auto"/>
          <w:highlight w:val="none"/>
        </w:rPr>
      </w:pPr>
    </w:p>
    <w:p>
      <w:pPr>
        <w:rPr>
          <w:rFonts w:hint="eastAsia"/>
          <w:color w:val="auto"/>
          <w:highlight w:val="none"/>
        </w:rPr>
      </w:pPr>
    </w:p>
    <w:p>
      <w:pPr>
        <w:pStyle w:val="3"/>
        <w:rPr>
          <w:rFonts w:hint="eastAsia"/>
          <w:color w:val="auto"/>
          <w:highlight w:val="none"/>
        </w:rPr>
      </w:pPr>
    </w:p>
    <w:p>
      <w:pPr>
        <w:pStyle w:val="3"/>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2340610</wp:posOffset>
                </wp:positionH>
                <wp:positionV relativeFrom="paragraph">
                  <wp:posOffset>545465</wp:posOffset>
                </wp:positionV>
                <wp:extent cx="958850" cy="0"/>
                <wp:effectExtent l="0" t="0" r="0" b="0"/>
                <wp:wrapNone/>
                <wp:docPr id="16"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4.3pt;margin-top:42.95pt;height:0pt;width:75.5pt;z-index:251672576;mso-width-relative:page;mso-height-relative:page;" filled="f" stroked="t" coordsize="21600,21600" o:gfxdata="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sDxnT1gAAAAkBAAAPAAAAAAAAAAEAIAAAACIAAABkcnMvZG93bnJldi54bWxQSwECFAAU&#10;AAAACACHTuJAKY52sPMBAADkAwAADgAAAAAAAAABACAAAAAl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2329180</wp:posOffset>
                </wp:positionH>
                <wp:positionV relativeFrom="paragraph">
                  <wp:posOffset>60325</wp:posOffset>
                </wp:positionV>
                <wp:extent cx="958850" cy="0"/>
                <wp:effectExtent l="0" t="0" r="0" b="0"/>
                <wp:wrapNone/>
                <wp:docPr id="1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3.4pt;margin-top:4.75pt;height:0pt;width:75.5pt;z-index:251671552;mso-width-relative:page;mso-height-relative:page;" filled="f" stroked="t" coordsize="21600,21600" o:gfxdata="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RLkkQ1AAAAAcBAAAPAAAAAAAAAAEAIAAAACIAAABkcnMvZG93bnJldi54bWxQSwECFAAUAAAA&#10;CACHTuJAXMu1X/IBAADkAwAADgAAAAAAAAABACAAAAAjAQAAZHJzL2Uyb0RvYy54bWxQSwUGAAAA&#10;AAYABgBZAQAAhw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4"/>
        <w:rPr>
          <w:rFonts w:hint="eastAsia"/>
          <w:color w:val="auto"/>
          <w:highlight w:val="none"/>
        </w:rPr>
      </w:pPr>
    </w:p>
    <w:p>
      <w:pPr>
        <w:pStyle w:val="4"/>
        <w:rPr>
          <w:rFonts w:hint="eastAsia"/>
          <w:color w:val="auto"/>
          <w:szCs w:val="44"/>
          <w:highlight w:val="none"/>
        </w:rPr>
      </w:pPr>
      <w:r>
        <w:rPr>
          <w:rFonts w:hint="eastAsia"/>
          <w:color w:val="auto"/>
          <w:szCs w:val="44"/>
          <w:highlight w:val="none"/>
        </w:rPr>
        <w:t>采购需求</w:t>
      </w: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eastAsia="方正小标宋简体"/>
          <w:lang w:eastAsia="zh-CN"/>
        </w:rPr>
      </w:pPr>
    </w:p>
    <w:p>
      <w:pPr>
        <w:rPr>
          <w:rFonts w:hint="eastAsia"/>
          <w:lang w:eastAsia="zh-CN"/>
        </w:rPr>
      </w:pPr>
    </w:p>
    <w:p>
      <w:pPr>
        <w:numPr>
          <w:ilvl w:val="0"/>
          <w:numId w:val="4"/>
        </w:numPr>
        <w:rPr>
          <w:rFonts w:hint="eastAsia" w:ascii="仿宋_GB2312" w:eastAsia="仿宋_GB2312"/>
          <w:color w:val="auto"/>
          <w:sz w:val="32"/>
          <w:szCs w:val="32"/>
          <w:highlight w:val="none"/>
          <w:u w:val="none"/>
          <w:lang w:val="en-US" w:eastAsia="zh-CN"/>
        </w:rPr>
      </w:pPr>
      <w:r>
        <w:rPr>
          <w:rFonts w:hint="eastAsia" w:ascii="仿宋_GB2312" w:eastAsia="仿宋_GB2312"/>
          <w:color w:val="auto"/>
          <w:sz w:val="32"/>
          <w:szCs w:val="32"/>
          <w:highlight w:val="none"/>
          <w:u w:val="none"/>
          <w:lang w:val="en-US" w:eastAsia="zh-CN"/>
        </w:rPr>
        <w:t>项目说明</w:t>
      </w:r>
    </w:p>
    <w:p>
      <w:pPr>
        <w:pStyle w:val="6"/>
        <w:numPr>
          <w:ilvl w:val="0"/>
          <w:numId w:val="0"/>
        </w:numPr>
        <w:rPr>
          <w:rFonts w:hint="default" w:ascii="仿宋" w:hAnsi="仿宋" w:eastAsia="仿宋" w:cs="仿宋"/>
          <w:b/>
          <w:bCs/>
          <w:sz w:val="28"/>
          <w:szCs w:val="22"/>
          <w:lang w:val="en-US" w:eastAsia="zh-CN"/>
        </w:rPr>
      </w:pPr>
      <w:r>
        <w:rPr>
          <w:rFonts w:hint="eastAsia" w:ascii="仿宋" w:hAnsi="仿宋" w:eastAsia="仿宋" w:cs="仿宋"/>
          <w:b/>
          <w:bCs/>
          <w:sz w:val="28"/>
          <w:szCs w:val="22"/>
          <w:lang w:val="en-US" w:eastAsia="zh-CN"/>
        </w:rPr>
        <w:t>实施方案</w:t>
      </w:r>
    </w:p>
    <w:bookmarkEnd w:id="60"/>
    <w:p>
      <w:pPr>
        <w:numPr>
          <w:ilvl w:val="0"/>
          <w:numId w:val="5"/>
        </w:numPr>
        <w:spacing w:line="360" w:lineRule="auto"/>
        <w:ind w:left="0" w:leftChars="0" w:firstLine="420" w:firstLineChars="0"/>
        <w:rPr>
          <w:rFonts w:hint="eastAsia" w:ascii="仿宋" w:hAnsi="仿宋" w:eastAsia="仿宋" w:cs="仿宋"/>
          <w:sz w:val="28"/>
          <w:szCs w:val="32"/>
          <w:lang w:val="en-US" w:eastAsia="zh-CN"/>
        </w:rPr>
      </w:pPr>
      <w:bookmarkStart w:id="61" w:name="_Toc25925"/>
      <w:bookmarkStart w:id="62" w:name="_Toc1284"/>
      <w:bookmarkStart w:id="63" w:name="_Toc18538"/>
      <w:bookmarkStart w:id="64" w:name="_Toc23330"/>
      <w:bookmarkStart w:id="65" w:name="_Toc4680"/>
      <w:bookmarkStart w:id="66" w:name="_Toc1496"/>
      <w:bookmarkStart w:id="67" w:name="_Toc29835"/>
      <w:bookmarkStart w:id="68" w:name="_Toc537"/>
      <w:bookmarkStart w:id="69" w:name="_Toc23353"/>
      <w:bookmarkStart w:id="70" w:name="_Toc15570"/>
      <w:bookmarkStart w:id="71" w:name="_Toc12135"/>
      <w:r>
        <w:rPr>
          <w:rFonts w:hint="eastAsia" w:ascii="仿宋" w:hAnsi="仿宋" w:eastAsia="仿宋" w:cs="仿宋"/>
          <w:sz w:val="28"/>
          <w:szCs w:val="32"/>
          <w:lang w:val="en-US" w:eastAsia="zh-CN"/>
        </w:rPr>
        <w:t>板框机隔离罩周边加装监控：</w:t>
      </w:r>
    </w:p>
    <w:p>
      <w:pPr>
        <w:numPr>
          <w:ilvl w:val="0"/>
          <w:numId w:val="6"/>
        </w:numPr>
        <w:spacing w:line="360" w:lineRule="auto"/>
        <w:ind w:left="420" w:leftChars="0" w:firstLine="470" w:firstLineChars="168"/>
        <w:rPr>
          <w:rFonts w:hint="eastAsia" w:ascii="仿宋" w:hAnsi="仿宋" w:eastAsia="仿宋" w:cs="仿宋"/>
          <w:sz w:val="28"/>
          <w:szCs w:val="32"/>
          <w:highlight w:val="none"/>
          <w:lang w:val="en-US" w:eastAsia="zh-CN"/>
        </w:rPr>
      </w:pPr>
      <w:r>
        <w:rPr>
          <w:rFonts w:hint="eastAsia" w:ascii="仿宋" w:hAnsi="仿宋" w:eastAsia="仿宋" w:cs="仿宋"/>
          <w:sz w:val="28"/>
          <w:szCs w:val="32"/>
          <w:highlight w:val="none"/>
          <w:lang w:val="en-US" w:eastAsia="zh-CN"/>
        </w:rPr>
        <w:t>按图1所示位置安装11台防爆球型摄像头；</w:t>
      </w:r>
    </w:p>
    <w:p>
      <w:pPr>
        <w:numPr>
          <w:ilvl w:val="0"/>
          <w:numId w:val="6"/>
        </w:numPr>
        <w:spacing w:line="360" w:lineRule="auto"/>
        <w:ind w:left="420" w:leftChars="0" w:firstLine="470" w:firstLineChars="168"/>
        <w:rPr>
          <w:rFonts w:hint="eastAsia" w:ascii="仿宋" w:hAnsi="仿宋" w:eastAsia="仿宋" w:cs="仿宋"/>
          <w:sz w:val="28"/>
          <w:szCs w:val="32"/>
          <w:highlight w:val="none"/>
          <w:lang w:val="en-US" w:eastAsia="zh-CN"/>
        </w:rPr>
      </w:pPr>
      <w:r>
        <w:rPr>
          <w:rFonts w:hint="eastAsia" w:ascii="仿宋" w:hAnsi="仿宋" w:eastAsia="仿宋" w:cs="仿宋"/>
          <w:sz w:val="28"/>
          <w:szCs w:val="32"/>
          <w:highlight w:val="none"/>
          <w:lang w:val="en-US" w:eastAsia="zh-CN"/>
        </w:rPr>
        <w:t>原有监控箱加一台16口POE交换机；</w:t>
      </w:r>
    </w:p>
    <w:p>
      <w:pPr>
        <w:numPr>
          <w:ilvl w:val="0"/>
          <w:numId w:val="6"/>
        </w:numPr>
        <w:spacing w:line="360" w:lineRule="auto"/>
        <w:ind w:left="420" w:leftChars="0" w:firstLine="470" w:firstLineChars="168"/>
        <w:rPr>
          <w:rFonts w:hint="eastAsia" w:ascii="仿宋" w:hAnsi="仿宋" w:eastAsia="仿宋" w:cs="仿宋"/>
          <w:sz w:val="28"/>
          <w:szCs w:val="32"/>
          <w:highlight w:val="none"/>
          <w:lang w:val="en-US" w:eastAsia="zh-CN"/>
        </w:rPr>
      </w:pPr>
      <w:r>
        <w:rPr>
          <w:rFonts w:hint="eastAsia" w:ascii="仿宋" w:hAnsi="仿宋" w:eastAsia="仿宋" w:cs="仿宋"/>
          <w:sz w:val="28"/>
          <w:szCs w:val="32"/>
          <w:highlight w:val="none"/>
          <w:lang w:val="en-US" w:eastAsia="zh-CN"/>
        </w:rPr>
        <w:t>从11个摄像头内敷设六类网线套DN25镀锌钢管至监控电箱，线及管总长300m；</w:t>
      </w:r>
    </w:p>
    <w:p>
      <w:pPr>
        <w:numPr>
          <w:ilvl w:val="0"/>
          <w:numId w:val="6"/>
        </w:numPr>
        <w:spacing w:line="360" w:lineRule="auto"/>
        <w:ind w:left="420" w:leftChars="0" w:firstLine="470" w:firstLineChars="168"/>
        <w:rPr>
          <w:rFonts w:hint="eastAsia" w:ascii="仿宋" w:hAnsi="仿宋" w:eastAsia="仿宋" w:cs="仿宋"/>
          <w:sz w:val="28"/>
          <w:szCs w:val="32"/>
          <w:highlight w:val="none"/>
          <w:lang w:val="en-US" w:eastAsia="zh-CN"/>
        </w:rPr>
      </w:pPr>
      <w:r>
        <w:rPr>
          <w:rFonts w:hint="eastAsia" w:ascii="仿宋" w:hAnsi="仿宋" w:eastAsia="仿宋" w:cs="仿宋"/>
          <w:sz w:val="28"/>
          <w:szCs w:val="32"/>
          <w:highlight w:val="none"/>
          <w:lang w:val="en-US" w:eastAsia="zh-CN"/>
        </w:rPr>
        <w:t>从监控电箱敷设单模4芯光纤沿干化车间桥架至一楼监控柜处，光纤总长80m；</w:t>
      </w:r>
    </w:p>
    <w:p>
      <w:pPr>
        <w:numPr>
          <w:ilvl w:val="0"/>
          <w:numId w:val="6"/>
        </w:numPr>
        <w:spacing w:line="360" w:lineRule="auto"/>
        <w:ind w:left="420" w:leftChars="0" w:firstLine="470" w:firstLineChars="168"/>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于中控室机房内加装2台NVR超脑算法分析主机，主机配置见表1，NVR超脑算法分析主机绑定厂内230个摄像头，识别速度为：230个摄像头使用两套算法总耗时30秒；</w:t>
      </w:r>
    </w:p>
    <w:p>
      <w:pPr>
        <w:numPr>
          <w:ilvl w:val="0"/>
          <w:numId w:val="6"/>
        </w:numPr>
        <w:spacing w:line="360" w:lineRule="auto"/>
        <w:ind w:left="420" w:leftChars="0" w:firstLine="470" w:firstLineChars="168"/>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NVR超脑算法分析主机符合GB28181相关要求，可接入256路摄像头，支持256路视频信号同时识别：1、安全帽规范佩戴，实现“谁没带安全帽”应用；2、人员倒地异常动作识别，识别方式采用轮巡画面识别，每个画面16路，本项目先用于干化车间板框机周边的监控画面识别，后续扩展至厂区内其他需要识别的监控画面，扩展不需要对其他监控摄像头进行更改，NVR超脑算法分析主机必须兼容目前大坦沙分公司所使用的“综合</w:t>
      </w:r>
      <w:r>
        <w:rPr>
          <w:rFonts w:hint="eastAsia" w:ascii="仿宋_GB2312" w:cstheme="minorBidi"/>
          <w:i w:val="0"/>
          <w:iCs w:val="0"/>
          <w:caps w:val="0"/>
          <w:color w:val="auto"/>
          <w:spacing w:val="0"/>
          <w:sz w:val="28"/>
          <w:szCs w:val="28"/>
          <w:highlight w:val="none"/>
          <w:u w:val="none"/>
          <w:shd w:val="clear"/>
          <w:lang w:val="en-US" w:eastAsia="zh-CN"/>
        </w:rPr>
        <w:t>管理</w:t>
      </w:r>
      <w:r>
        <w:rPr>
          <w:rFonts w:hint="eastAsia" w:ascii="仿宋" w:hAnsi="仿宋" w:eastAsia="仿宋" w:cs="仿宋"/>
          <w:sz w:val="28"/>
          <w:szCs w:val="32"/>
          <w:lang w:val="en-US" w:eastAsia="zh-CN"/>
        </w:rPr>
        <w:t>平台”，无条件系统支持对接集成。</w:t>
      </w:r>
    </w:p>
    <w:p>
      <w:pPr>
        <w:pStyle w:val="6"/>
        <w:rPr>
          <w:rFonts w:hint="eastAsia"/>
          <w:lang w:val="en-US" w:eastAsia="zh-CN"/>
        </w:rPr>
      </w:pPr>
    </w:p>
    <w:p>
      <w:pPr>
        <w:numPr>
          <w:ilvl w:val="0"/>
          <w:numId w:val="0"/>
        </w:numPr>
        <w:spacing w:line="360" w:lineRule="auto"/>
        <w:jc w:val="center"/>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3343275" cy="3923665"/>
            <wp:effectExtent l="0" t="0" r="9525" b="635"/>
            <wp:docPr id="18" name="图片 2" descr="摄像头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摄像头位置"/>
                    <pic:cNvPicPr>
                      <a:picLocks noChangeAspect="1"/>
                    </pic:cNvPicPr>
                  </pic:nvPicPr>
                  <pic:blipFill>
                    <a:blip r:embed="rId9"/>
                    <a:stretch>
                      <a:fillRect/>
                    </a:stretch>
                  </pic:blipFill>
                  <pic:spPr>
                    <a:xfrm>
                      <a:off x="0" y="0"/>
                      <a:ext cx="3343275" cy="3923665"/>
                    </a:xfrm>
                    <a:prstGeom prst="rect">
                      <a:avLst/>
                    </a:prstGeom>
                    <a:noFill/>
                    <a:ln>
                      <a:noFill/>
                    </a:ln>
                  </pic:spPr>
                </pic:pic>
              </a:graphicData>
            </a:graphic>
          </wp:inline>
        </w:drawing>
      </w:r>
    </w:p>
    <w:p>
      <w:pPr>
        <w:pStyle w:val="6"/>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图1 干化车间板框机隔离罩安装摄像头位置图（红色为摄像头、绿色为网线、蓝色为监控箱）</w:t>
      </w:r>
    </w:p>
    <w:tbl>
      <w:tblPr>
        <w:tblStyle w:val="24"/>
        <w:tblW w:w="96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【星光+】1/1.8＂progressive scan CMOS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【400万1/1.8"CMOS 23倍防爆球机】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最大分辨率: 2560×1440@60fps  1920×1080@60fps，分辨力不小于1500TVL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最低照度: 支持最低照度可达彩色0.0005 lx，黑白0.0001 lx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具有三种滤光片，在白天、夜晚及有雾情况下可自动切换不同的滤光片进行成像。滤光片透过率不小于95%。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焦距: 5.9~135.7 mm，23倍光学变倍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水平范围: 水平0~360°连续旋转 支持1024个预置位，支持64条巡航扫描，支持40条以上的模式路径设置，支持预置点视频冻结功能。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垂直范围: 0°～ +90°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水平速度: 水平键控速度：0.1°~300°/s,速度可设，水平预置点速度：540°/s,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垂直速度: 垂直键控速度：0.1°~240°/s,速度可设，垂直预置点速度：400°/s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主码流帧率分辨率: 50 Hz: 25 fps (2560 × 1440); 60 Hz: 30 fps (2560 × 1440)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fldChar w:fldCharType="begin"/>
            </w: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instrText xml:space="preserve"> HYPERLINK "https://xiazai.zol.com.cn/heji/12410/" \o "https://xiazai.zol.com.cn/heji/12410/" </w:instrText>
            </w: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fldChar w:fldCharType="separate"/>
            </w:r>
            <w:r>
              <w:rPr>
                <w:rStyle w:val="28"/>
                <w:rFonts w:hint="eastAsia" w:ascii="仿宋" w:hAnsi="仿宋" w:eastAsia="仿宋" w:cs="仿宋"/>
                <w:i w:val="0"/>
                <w:iCs w:val="0"/>
                <w:color w:val="000000" w:themeColor="text1"/>
                <w:sz w:val="22"/>
                <w:szCs w:val="22"/>
                <w:u w:val="none"/>
                <w14:textFill>
                  <w14:solidFill>
                    <w14:schemeClr w14:val="tx1"/>
                  </w14:solidFill>
                </w14:textFill>
              </w:rPr>
              <w:t>视频压缩标准: H.265/H.264/MJPEG/smart264/smart265</w:t>
            </w: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网络存储: NAS (NFS, SMB/ CIFS), ANR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图像增强: 120 dB超宽动态、强光抑制、电子防抖、背光补偿、区域曝光、区域聚焦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网络接口: 内置RJ45网口（支持10M/100M网络数据）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信噪比≥60dB，网络延时不大于100ms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网络传输能力满足发送2000个数据包，重复测试3次，每次丢包数不大于1个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可对经过设定区域的行人进行抓拍，可对人脸进行跟踪，生成人脸图片。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支持人脸区域自动曝光功能，可根据人脸区域的光照度变化自动调节曝光参数。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当通过IE浏览器手动点击或框选预览画面中的人脸时，设备能通过PTZ转动将人脸置于画面中心，并对人脸进行抓拍。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可通过IE浏览器实时预览设备抓拍的人脸图片，并可在历史记录中存储不小于100张人脸抓拍图片。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可识别不低于170种车辆品牌，车辆品牌识别白天准确率大于98%，晚上准确率大于97%。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可识别车辆子品牌，车辆子品牌识别白天准确率大于96%，晚上准确率大于93%。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可识别10种车辆颜色，车辆车身颜色识别准确率大于97%。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可识别10种车型，包括轿车、小型轿车、微型轿车、客车、中型客车、面包车、大货车、小货车、SUV-MPV、皮卡。车型识别白天准确率大于98%，晚上准确率大于97%。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音频: 1路音频输入，1路音频输出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报警: 支持7路报警输入接口，2路报警输出接口，支持1路音频输入和输出接口。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支持RS-485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光纤接口: 采用FC接口、波长TX1310/RX1550 nm、单纤单模、20 km传输距离光纤模块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电源: 具备较好的环境适应性，电压在AC100~240V供电条件下，设备可正常工作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防护: 室外球机应具备较好防护性能，支持IP68，TVS6000V防浪涌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防爆标志：ExdⅡCT6Gb，ExtDA21IP68T80℃（以防爆合格证为准）产品需同时提供防爆合格.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具备防暴力破坏能力：能经受30J锐器工具冲击打击外壳3次，不出现穿透洞口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工作温湿度: -40℃~60℃, 湿度小于95%RH(无凝结)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尺寸: Φ255 mm × 405 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重量: 13.2 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材质: SUS304</w:t>
            </w:r>
          </w:p>
        </w:tc>
      </w:tr>
    </w:tbl>
    <w:p>
      <w:pPr>
        <w:pStyle w:val="6"/>
        <w:jc w:val="center"/>
        <w:rPr>
          <w:rFonts w:hint="eastAsia" w:ascii="仿宋" w:hAnsi="仿宋" w:eastAsia="仿宋" w:cs="仿宋"/>
          <w:sz w:val="28"/>
          <w:szCs w:val="28"/>
          <w:lang w:val="en-US" w:eastAsia="zh-CN"/>
        </w:rPr>
      </w:pPr>
      <w:r>
        <w:rPr>
          <w:rFonts w:hint="eastAsia" w:ascii="仿宋" w:hAnsi="仿宋" w:eastAsia="仿宋" w:cs="仿宋"/>
          <w:i w:val="0"/>
          <w:iCs w:val="0"/>
          <w:color w:val="000000"/>
          <w:kern w:val="0"/>
          <w:sz w:val="28"/>
          <w:szCs w:val="28"/>
          <w:u w:val="none"/>
          <w:lang w:val="en-US" w:eastAsia="zh-CN" w:bidi="ar"/>
        </w:rPr>
        <w:t>表1 防爆球型摄像头相关参数</w:t>
      </w:r>
    </w:p>
    <w:tbl>
      <w:tblPr>
        <w:tblStyle w:val="24"/>
        <w:tblW w:w="1000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7"/>
        <w:gridCol w:w="2039"/>
        <w:gridCol w:w="75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6"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系统参数</w:t>
            </w:r>
          </w:p>
        </w:tc>
        <w:tc>
          <w:tcPr>
            <w:tcW w:w="20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视频接入路数</w:t>
            </w: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网络输入带宽</w:t>
            </w: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768Mbps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网络输出带宽</w:t>
            </w: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512Mbps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录像分辨率</w:t>
            </w: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12MP/8MP/7MP/6MP/5MP/4MP/3MP/1080p/UXGA/720p/VGA/4CIF/DCIF/2CIF/CIF/QCIF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视频参数</w:t>
            </w:r>
          </w:p>
        </w:tc>
        <w:tc>
          <w:tcPr>
            <w:tcW w:w="20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视频输出</w:t>
            </w: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2路HDMI，1路VGA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视频解码格式</w:t>
            </w: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H.265,H.264,SVAC,MPEG4,MJPEG,Smart264和Smart265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解码能力</w:t>
            </w: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5路800W或10路400W或20路1080P或40路720P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同步回放</w:t>
            </w: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最大16路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音频参数</w:t>
            </w:r>
          </w:p>
        </w:tc>
        <w:tc>
          <w:tcPr>
            <w:tcW w:w="20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音频输出</w:t>
            </w: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1路，RCA接口（线性电平，阻抗：1KΩ）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语音对讲输入</w:t>
            </w: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1个，RCA接口（电平：2.0Vp-p，阻抗：1KΩ）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智能分析</w:t>
            </w:r>
          </w:p>
        </w:tc>
        <w:tc>
          <w:tcPr>
            <w:tcW w:w="20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目标名单库</w:t>
            </w: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支持64个目标库，总库最大支持50万张目标图片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203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单引擎分析性能</w:t>
            </w: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集成人、车、行为、事件、AIOP 5大类多种算法于一体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203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4"/>
                <w:szCs w:val="24"/>
                <w:u w:val="none"/>
              </w:rPr>
            </w:pP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一、人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1、目标识别（目标抓拍、目标比对、陌生人报警、人员频次统计等）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2、人数统计（64人以内：倾斜客流统计、区域人数统计）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3、安全帽+反光衣（安全帽颜色支持红黄白蓝橙，反光衣颜色支持绿橙；支持目标编排，实现“谁没带安全帽”应用）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203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4"/>
                <w:szCs w:val="24"/>
                <w:u w:val="none"/>
              </w:rPr>
            </w:pP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二、车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1、车辆识别（车牌识别、车位状态、车牌颜色、车牌类型、主品牌、车身颜色、车辆类型）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2、电瓶车+自行车（电梯，楼道，园区）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5"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203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4"/>
                <w:szCs w:val="24"/>
                <w:u w:val="none"/>
              </w:rPr>
            </w:pP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三、行为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1、通用异常行为识别（人员倒地、人员聚集、快速移动、剧烈运动）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2、岗位规范识别（在离岗、睡岗、玩手机、人数异常、人员滞留）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3、周界防范（区域入侵、越界侦测、进入区域、离开区域）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4、抽烟+打电话（AI双检测，未内置，产品端提供模型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203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4"/>
                <w:szCs w:val="24"/>
                <w:u w:val="none"/>
              </w:rPr>
            </w:pP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四、事件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1、烟雾火点（近距离：室内、园区；远距离：森林防火、秸秆燃烧）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2、消防通道占用（室内）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3、街道事件，具体包含如下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垃圾管理：垃圾满溢、打包垃圾、晾晒垃圾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摊位管理：占道经营、店外经营、游摊小贩</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街面管理：乱堆物料、经营撑伞、违规广告、沿街晾晒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车辆管理：机动车/非机动车违停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5"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203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4"/>
                <w:szCs w:val="24"/>
                <w:u w:val="none"/>
              </w:rPr>
            </w:pP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五、AIOP</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支持检测、双检测、分类、检测+分类、语义分割、实例分割、图像比对、算法编排等AI模型加载运行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203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4"/>
                <w:szCs w:val="24"/>
                <w:u w:val="none"/>
              </w:rPr>
            </w:pP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算法能力说明：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 * 物理引擎（GPU）=4 * 虚拟引擎=4 *（400W实时视频分析能力/16路轮巡视频分析）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街道事件仅支持16路定时抓图分析，不支持虚拟引擎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其他算法均支持虚拟引擎，可实现单个GPU任意运行4种算法，每种算法运行1路分析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功能要求</w:t>
            </w:r>
          </w:p>
        </w:tc>
        <w:tc>
          <w:tcPr>
            <w:tcW w:w="20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功能要求</w:t>
            </w: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可接入、存储、转发256路分辨率为 1920×1080的视频图像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支持预览的单窗口轮巡，设备支持在多画面的固定窗口上进行轮巡预览，其他预览窗口不轮巡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支持预览时对实时视频流进行手动打标签，通过标签检索可以检索到相关的录像片段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可同时正放或倒放32 路H.265/H.264 编码、2560×1440 格式的视频图像，或者10路H.265/H.264编码、4096×2160 格式的视频图像。最多支持32路同步回放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在告警断网续传功能启用后，支持告警事件在NVR断网恢复后继续向中心平台发送，断网时间段内的告警事件不丢失</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支持设备密码口令复杂度显示且密码需满足复杂度要求才可以设置成功，密码口令中不能包含用户名、123、admin（不区分大小写）、连续四位及以上递增或递减数字（如1234、12345、4321 等）、连续四位及以上相同字符简单口令（如1111、8888、aaaa等）。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AI规则类型支持区域目标异常状态检测、跨线目标检测、区域交叠比异常检测、组合规则、全分析规则、跨线目标统计、区域目标数统计、区域交叠比统计。AI规则参数支持持续时间、报警间隔，最大报警数量、尺寸过滤、静止过滤、运动过滤、灵敏度、置信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配合接入的普通 IPC，支持对设定的检测区域内，人员是否佩戴安全帽进行自动侦测，同时检测出佩戴安全帽的颜色（红色、蓝色、黄色、橙色、白色）并根据设定条件触发报警联动。可设置最多16个多边形检测区域，通过客户端可以接受报警消息，查看报警图片，并回放关联录像。支持安全帽关联人脸报警，关联人脸库后，可对未佩戴或佩戴安全帽的人员进行人脸比对</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采用单人单次通过检测区域，100人次正确检出是否佩戴安全帽次数不少于99次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接入普通IPC，支持工服注册，可上传需要检测的工服图片到工服库，包含红色工服、白色工服、蓝色工服、后厨工服、工地工服等，最大支持20000个工服，对目标工服进行识别，并根据设定条件触发报警联动；可设置最多16个多边形检测区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接入普通IPC，支持在预览画面中展示智能信息，支持实时展示目标对象，目标属性，目标置信度，目标ID，目标位置框信息，并且智能信息能够紧跟目标移动；预览画面中展示智能信息颜色可配置（常规时绿色，报警时变成红色），字体大小可配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接入普通IPC，尺寸与面积检测，支持通过视频测量目标的实际尺寸和面积，目标误差±2%</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支持导入视觉大模型进行分析，支持视频分析、图片分析、图片二次分析过滤</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导入图片，并对图片中的数字和字母进行识别并输出结果：支持集装箱箱号识别；支持识别身份证内容、输出身份证照片，识别的内容包括姓名、性别、民族、出生日期、住址、身份证号码、签发机关和有效期。支持识别图片上叠加的OSD，输出OSD信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支持识别国内铁路车厢号；支持识别快递面单各字段内容，识别的内容包括：三段码识别、收/寄件人姓名、手机号、地址；支持识别国内船舶船身喷涂的船名 识别停车场中的车位编号</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引擎状态界面可显示引擎工作温度， 可查看引擎配置及利用率</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具有 20个GPU，支持 5种引擎功能： 人脸识别、周界防范、视频结构化、行为分析和AI算法引擎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对AI算法，1个GPU可分化成4个虚拟引擎，每个虚拟引擎支持一种AI算法；1个GPU支持4路400W摄像机的实时视频分析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离线模型和在线模型两种模型导入方式，支持第三方算法插件的导入和管理；可显示模型名称、有效期、模型标签及模型版本。支持对不同的模型进行切换，支持手动删除已导入模型库中的模型；支持展示已经添加的模型包数和总模型包数；支持自定义编辑导入的模型名称（模型名称默认为原文件名）；支持设置机动车、人体、行为分析视频算法混合运行；多算法支持按通道配置，支持模型下的算法切换</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可集成第三方算法，支持算法加载，多算法仓可按需加载不同的第三方算法，可与原有算法并行运行</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支持PyTorch模型、ONNX模型、TensorFlow模型、Caffe模型、PaddlePaddle模型，能力可涵盖检测、分类、分割、关键点等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支持插件化编排程序设置，可构建检测、分类、分割、关键点等模型串联应用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支持音频设备与视频设备独立管理，支持网络拾音器的接入、校时；最大支持256路音频设备管理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支持音视频动态调整组合分配功能，可将任一路音频与任一路视频组合成复合流编码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硬盘管理</w:t>
            </w:r>
          </w:p>
        </w:tc>
        <w:tc>
          <w:tcPr>
            <w:tcW w:w="20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盘位</w:t>
            </w: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24个SATA接口（前置热插拔）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单盘最大容量</w:t>
            </w: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最大支持10TB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阵列类型</w:t>
            </w: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RAID0、RAID1、RAID5、RAID6、RAID10、RAID50、RAID60、JBOD、支持全局热备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接口类型</w:t>
            </w: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1个eSATA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外部接口</w:t>
            </w:r>
          </w:p>
        </w:tc>
        <w:tc>
          <w:tcPr>
            <w:tcW w:w="20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网络接口</w:t>
            </w: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4个RJ45 10M/100M/1000M自适应以太网口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203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串行接口</w:t>
            </w: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RS-232：1个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203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4"/>
                <w:szCs w:val="24"/>
                <w:u w:val="none"/>
              </w:rPr>
            </w:pP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RS-485：1个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203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4"/>
                <w:szCs w:val="24"/>
                <w:u w:val="none"/>
              </w:rPr>
            </w:pP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KB接口：1个键盘485接口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USB接口</w:t>
            </w: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1个USB2.0（前置），2个USB3.0（后置）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报警输入输出</w:t>
            </w: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16进8出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一般规范</w:t>
            </w:r>
          </w:p>
        </w:tc>
        <w:tc>
          <w:tcPr>
            <w:tcW w:w="20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电源</w:t>
            </w: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AC100V~240V，550W，双电源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功耗（不含硬盘）</w:t>
            </w: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工作温度</w:t>
            </w: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工作：0℃～50℃，  储藏：-10℃～70℃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工作湿度</w:t>
            </w: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工作：10%～90%RH（无结冰、无凝露），储藏：5%～90%RH（无结冰、无凝露）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机箱</w:t>
            </w: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4U标准机箱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尺寸</w:t>
            </w: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447mm（宽）× 495mm（深）×173mm（高）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20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重量（不含硬盘）</w:t>
            </w:r>
          </w:p>
        </w:tc>
        <w:tc>
          <w:tcPr>
            <w:tcW w:w="75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≤23kg</w:t>
            </w:r>
          </w:p>
        </w:tc>
      </w:tr>
    </w:tbl>
    <w:p>
      <w:pPr>
        <w:pStyle w:val="6"/>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表2 NVR超脑算法分析主机技术参数</w:t>
      </w:r>
    </w:p>
    <w:p>
      <w:pPr>
        <w:numPr>
          <w:ilvl w:val="0"/>
          <w:numId w:val="5"/>
        </w:numPr>
        <w:spacing w:line="360" w:lineRule="auto"/>
        <w:ind w:left="0" w:leftChars="0" w:firstLine="42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板框机隔离罩加设喷雾系统：</w:t>
      </w:r>
    </w:p>
    <w:p>
      <w:pPr>
        <w:numPr>
          <w:ilvl w:val="0"/>
          <w:numId w:val="0"/>
        </w:numPr>
        <w:spacing w:line="360" w:lineRule="auto"/>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2546350" cy="2953385"/>
            <wp:effectExtent l="0" t="0" r="6350" b="18415"/>
            <wp:docPr id="21" name="图片 21" descr="ba94e306157c903aadd89ab6e3ae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a94e306157c903aadd89ab6e3ae24f"/>
                    <pic:cNvPicPr>
                      <a:picLocks noChangeAspect="1"/>
                    </pic:cNvPicPr>
                  </pic:nvPicPr>
                  <pic:blipFill>
                    <a:blip r:embed="rId10"/>
                    <a:stretch>
                      <a:fillRect/>
                    </a:stretch>
                  </pic:blipFill>
                  <pic:spPr>
                    <a:xfrm>
                      <a:off x="0" y="0"/>
                      <a:ext cx="2546350" cy="2953385"/>
                    </a:xfrm>
                    <a:prstGeom prst="rect">
                      <a:avLst/>
                    </a:prstGeom>
                  </pic:spPr>
                </pic:pic>
              </a:graphicData>
            </a:graphic>
          </wp:inline>
        </w:drawing>
      </w:r>
    </w:p>
    <w:p>
      <w:pPr>
        <w:pStyle w:val="6"/>
        <w:jc w:val="center"/>
        <w:rPr>
          <w:rFonts w:hint="eastAsia" w:ascii="仿宋" w:hAnsi="仿宋" w:eastAsia="仿宋" w:cs="仿宋"/>
          <w:sz w:val="28"/>
          <w:szCs w:val="28"/>
          <w:lang w:val="en-US" w:eastAsia="zh-CN"/>
        </w:rPr>
      </w:pPr>
      <w:r>
        <w:rPr>
          <w:rFonts w:hint="eastAsia" w:ascii="仿宋" w:hAnsi="仿宋" w:eastAsia="仿宋" w:cs="仿宋"/>
          <w:color w:val="auto"/>
          <w:sz w:val="28"/>
          <w:szCs w:val="28"/>
          <w:lang w:val="en-US" w:eastAsia="zh-CN"/>
        </w:rPr>
        <w:t>图2 喷雾管道布局图</w:t>
      </w:r>
    </w:p>
    <w:p>
      <w:pPr>
        <w:numPr>
          <w:ilvl w:val="0"/>
          <w:numId w:val="7"/>
        </w:numPr>
        <w:spacing w:line="360" w:lineRule="auto"/>
        <w:ind w:left="420" w:leftChars="0" w:firstLine="470" w:firstLineChars="168"/>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根据图2 在干化车间设置3出水通道喷雾主机（主机参数4KW、工作压力5-7bar、220V供电、自带水箱、可实现3路单独控制、带时间控制功能）；</w:t>
      </w:r>
    </w:p>
    <w:p>
      <w:pPr>
        <w:numPr>
          <w:ilvl w:val="0"/>
          <w:numId w:val="7"/>
        </w:numPr>
        <w:spacing w:line="360" w:lineRule="auto"/>
        <w:ind w:left="420" w:leftChars="0" w:firstLine="470" w:firstLineChars="168"/>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按照图2所示布设DN10不锈钢喷雾管道，每条线路安装一个手动阀门，板框机喷淋管设置在通风管下方，每个板框机3个喷头，在每个风扇位置安装2个喷头，空压机房每面墙安装2个喷头，一共65个喷头，每个风扇位置和板框机位置配一个手动阀门，喷雾管全长280m，一共58个手动阀门；</w:t>
      </w:r>
    </w:p>
    <w:p>
      <w:pPr>
        <w:numPr>
          <w:ilvl w:val="0"/>
          <w:numId w:val="7"/>
        </w:numPr>
        <w:spacing w:line="360" w:lineRule="auto"/>
        <w:ind w:left="420" w:leftChars="0" w:firstLine="470" w:firstLineChars="168"/>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从自来水接入口处敷设DN20PVC管至喷雾主机进水口，配置一个手动阀门，管长8m；</w:t>
      </w:r>
    </w:p>
    <w:p>
      <w:pPr>
        <w:jc w:val="both"/>
        <w:rPr>
          <w:rFonts w:hint="default" w:ascii="仿宋" w:hAnsi="仿宋" w:eastAsia="仿宋" w:cs="仿宋"/>
          <w:b/>
          <w:bCs/>
          <w:sz w:val="28"/>
          <w:szCs w:val="28"/>
          <w:lang w:val="en-US" w:eastAsia="zh-CN"/>
        </w:rPr>
      </w:pPr>
      <w:r>
        <w:rPr>
          <w:rFonts w:hint="eastAsia" w:ascii="仿宋" w:hAnsi="仿宋" w:eastAsia="仿宋" w:cs="仿宋"/>
          <w:sz w:val="28"/>
          <w:szCs w:val="28"/>
          <w:lang w:val="en-US" w:eastAsia="zh-CN"/>
        </w:rPr>
        <w:t>在一楼喷雾主机电箱位置加一个6A1P空气开关，敷设YJV 3*1.5电缆套DN25不锈钢线管至二楼喷雾主机处，线及线管全厂18m；</w:t>
      </w:r>
    </w:p>
    <w:p>
      <w:pPr>
        <w:ind w:firstLine="0" w:firstLineChars="0"/>
        <w:rPr>
          <w:rFonts w:hint="eastAsia" w:ascii="仿宋_GB2312" w:eastAsia="仿宋_GB2312"/>
          <w:color w:val="auto"/>
          <w:sz w:val="32"/>
          <w:szCs w:val="32"/>
          <w:highlight w:val="none"/>
          <w:lang w:val="zh-CN" w:eastAsia="zh-CN"/>
        </w:rPr>
      </w:pPr>
      <w:r>
        <w:rPr>
          <w:rFonts w:hint="eastAsia" w:ascii="仿宋_GB2312" w:eastAsia="仿宋_GB2312"/>
          <w:color w:val="auto"/>
          <w:sz w:val="32"/>
          <w:szCs w:val="32"/>
          <w:highlight w:val="none"/>
          <w:lang w:val="en-US" w:eastAsia="zh-CN"/>
        </w:rPr>
        <w:t>（二）</w:t>
      </w:r>
      <w:r>
        <w:rPr>
          <w:rFonts w:hint="eastAsia" w:ascii="仿宋_GB2312" w:eastAsia="仿宋_GB2312"/>
          <w:color w:val="auto"/>
          <w:sz w:val="32"/>
          <w:szCs w:val="32"/>
          <w:highlight w:val="none"/>
          <w:lang w:val="zh-CN" w:eastAsia="zh-CN"/>
        </w:rPr>
        <w:t>项目商务要求</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1.工期：项目一：30天。</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2.质量要求</w:t>
      </w:r>
    </w:p>
    <w:p>
      <w:pPr>
        <w:ind w:left="420" w:leftChars="200" w:firstLine="420" w:firstLineChars="150"/>
        <w:rPr>
          <w:rFonts w:hint="eastAsia" w:ascii="仿宋_GB2312" w:eastAsia="仿宋_GB2312" w:hAnsiTheme="minorHAnsi" w:cstheme="minorBidi"/>
          <w:i w:val="0"/>
          <w:iCs w:val="0"/>
          <w:caps w:val="0"/>
          <w:color w:val="auto"/>
          <w:spacing w:val="0"/>
          <w:sz w:val="28"/>
          <w:szCs w:val="28"/>
          <w:highlight w:val="none"/>
          <w:u w:val="none"/>
          <w:shd w:val="clear"/>
        </w:rPr>
      </w:pPr>
      <w:r>
        <w:rPr>
          <w:rFonts w:hint="eastAsia" w:ascii="仿宋_GB2312" w:eastAsia="仿宋_GB2312" w:cstheme="minorBidi"/>
          <w:i w:val="0"/>
          <w:iCs w:val="0"/>
          <w:caps w:val="0"/>
          <w:color w:val="auto"/>
          <w:spacing w:val="0"/>
          <w:sz w:val="28"/>
          <w:szCs w:val="28"/>
          <w:highlight w:val="none"/>
          <w:u w:val="none"/>
          <w:shd w:val="clear"/>
          <w:lang w:val="en-US" w:eastAsia="zh-CN"/>
        </w:rPr>
        <w:t>1、</w:t>
      </w:r>
      <w:r>
        <w:rPr>
          <w:rFonts w:hint="eastAsia" w:ascii="仿宋_GB2312" w:eastAsia="仿宋_GB2312" w:hAnsiTheme="minorHAnsi" w:cstheme="minorBidi"/>
          <w:i w:val="0"/>
          <w:iCs w:val="0"/>
          <w:caps w:val="0"/>
          <w:color w:val="auto"/>
          <w:spacing w:val="0"/>
          <w:sz w:val="28"/>
          <w:szCs w:val="28"/>
          <w:highlight w:val="none"/>
          <w:u w:val="none"/>
          <w:shd w:val="clear"/>
        </w:rPr>
        <w:t>电箱应安装牢固，位置合理，水平垂直，无外观损伤。</w:t>
      </w:r>
    </w:p>
    <w:p>
      <w:pPr>
        <w:ind w:left="420" w:leftChars="200" w:firstLine="420" w:firstLineChars="150"/>
        <w:rPr>
          <w:rFonts w:hint="eastAsia" w:ascii="仿宋_GB2312" w:eastAsia="仿宋_GB2312" w:hAnsiTheme="minorHAnsi" w:cstheme="minorBidi"/>
          <w:i w:val="0"/>
          <w:iCs w:val="0"/>
          <w:caps w:val="0"/>
          <w:color w:val="auto"/>
          <w:spacing w:val="0"/>
          <w:sz w:val="28"/>
          <w:szCs w:val="28"/>
          <w:highlight w:val="none"/>
          <w:u w:val="none"/>
          <w:shd w:val="clear"/>
        </w:rPr>
      </w:pPr>
      <w:r>
        <w:rPr>
          <w:rFonts w:hint="eastAsia" w:ascii="仿宋_GB2312" w:eastAsia="仿宋_GB2312" w:cstheme="minorBidi"/>
          <w:i w:val="0"/>
          <w:iCs w:val="0"/>
          <w:caps w:val="0"/>
          <w:color w:val="auto"/>
          <w:spacing w:val="0"/>
          <w:sz w:val="28"/>
          <w:szCs w:val="28"/>
          <w:highlight w:val="none"/>
          <w:u w:val="none"/>
          <w:shd w:val="clear"/>
          <w:lang w:val="en-US" w:eastAsia="zh-CN"/>
        </w:rPr>
        <w:t>2、</w:t>
      </w:r>
      <w:r>
        <w:rPr>
          <w:rFonts w:hint="eastAsia" w:ascii="仿宋_GB2312" w:eastAsia="仿宋_GB2312" w:hAnsiTheme="minorHAnsi" w:cstheme="minorBidi"/>
          <w:i w:val="0"/>
          <w:iCs w:val="0"/>
          <w:caps w:val="0"/>
          <w:color w:val="auto"/>
          <w:spacing w:val="0"/>
          <w:sz w:val="28"/>
          <w:szCs w:val="28"/>
          <w:highlight w:val="none"/>
          <w:u w:val="none"/>
          <w:shd w:val="clear"/>
        </w:rPr>
        <w:t>转换开关型号规格正确，安装牢固，接线正确，操作灵敏。</w:t>
      </w:r>
    </w:p>
    <w:p>
      <w:pPr>
        <w:ind w:left="420" w:leftChars="200" w:firstLine="420" w:firstLineChars="150"/>
        <w:rPr>
          <w:rFonts w:hint="eastAsia" w:ascii="仿宋_GB2312" w:eastAsia="仿宋_GB2312" w:cstheme="minorBidi"/>
          <w:i w:val="0"/>
          <w:iCs w:val="0"/>
          <w:caps w:val="0"/>
          <w:color w:val="auto"/>
          <w:spacing w:val="0"/>
          <w:sz w:val="28"/>
          <w:szCs w:val="28"/>
          <w:highlight w:val="none"/>
          <w:u w:val="none"/>
          <w:shd w:val="clear"/>
          <w:lang w:eastAsia="zh-CN"/>
        </w:rPr>
      </w:pPr>
      <w:r>
        <w:rPr>
          <w:rFonts w:hint="eastAsia" w:ascii="仿宋_GB2312" w:eastAsia="仿宋_GB2312" w:cstheme="minorBidi"/>
          <w:i w:val="0"/>
          <w:iCs w:val="0"/>
          <w:caps w:val="0"/>
          <w:color w:val="auto"/>
          <w:spacing w:val="0"/>
          <w:sz w:val="28"/>
          <w:szCs w:val="28"/>
          <w:highlight w:val="none"/>
          <w:u w:val="none"/>
          <w:shd w:val="clear"/>
          <w:lang w:val="en-US" w:eastAsia="zh-CN"/>
        </w:rPr>
        <w:t>3、</w:t>
      </w:r>
      <w:r>
        <w:rPr>
          <w:rFonts w:hint="eastAsia" w:ascii="仿宋_GB2312" w:eastAsia="仿宋_GB2312" w:hAnsiTheme="minorHAnsi" w:cstheme="minorBidi"/>
          <w:i w:val="0"/>
          <w:iCs w:val="0"/>
          <w:caps w:val="0"/>
          <w:color w:val="auto"/>
          <w:spacing w:val="0"/>
          <w:sz w:val="28"/>
          <w:szCs w:val="28"/>
          <w:highlight w:val="none"/>
          <w:u w:val="none"/>
          <w:shd w:val="clear"/>
        </w:rPr>
        <w:t>插座型号规格正确，安装牢固，接线紧固，接触良好</w:t>
      </w:r>
      <w:r>
        <w:rPr>
          <w:rFonts w:hint="eastAsia" w:ascii="仿宋_GB2312" w:eastAsia="仿宋_GB2312" w:cstheme="minorBidi"/>
          <w:i w:val="0"/>
          <w:iCs w:val="0"/>
          <w:caps w:val="0"/>
          <w:color w:val="auto"/>
          <w:spacing w:val="0"/>
          <w:sz w:val="28"/>
          <w:szCs w:val="28"/>
          <w:highlight w:val="none"/>
          <w:u w:val="none"/>
          <w:shd w:val="clear"/>
          <w:lang w:eastAsia="zh-CN"/>
        </w:rPr>
        <w:t>。</w:t>
      </w:r>
    </w:p>
    <w:p>
      <w:pPr>
        <w:pStyle w:val="29"/>
        <w:ind w:left="420" w:leftChars="200" w:firstLine="420" w:firstLineChars="150"/>
        <w:rPr>
          <w:rFonts w:hint="eastAsia" w:ascii="仿宋_GB2312" w:cstheme="minorBidi"/>
          <w:i w:val="0"/>
          <w:iCs w:val="0"/>
          <w:caps w:val="0"/>
          <w:color w:val="auto"/>
          <w:spacing w:val="0"/>
          <w:sz w:val="28"/>
          <w:szCs w:val="28"/>
          <w:highlight w:val="none"/>
          <w:u w:val="none"/>
          <w:shd w:val="clear"/>
          <w:lang w:val="en-US" w:eastAsia="zh-CN"/>
        </w:rPr>
      </w:pPr>
      <w:r>
        <w:rPr>
          <w:rFonts w:hint="eastAsia" w:ascii="仿宋_GB2312" w:cstheme="minorBidi"/>
          <w:i w:val="0"/>
          <w:iCs w:val="0"/>
          <w:caps w:val="0"/>
          <w:color w:val="auto"/>
          <w:spacing w:val="0"/>
          <w:sz w:val="28"/>
          <w:szCs w:val="28"/>
          <w:highlight w:val="none"/>
          <w:u w:val="none"/>
          <w:shd w:val="clear"/>
          <w:lang w:val="en-US" w:eastAsia="zh-CN"/>
        </w:rPr>
        <w:t>4、项目中所用的监控品牌须优于海康威视、大华、宇视，且</w:t>
      </w:r>
      <w:r>
        <w:rPr>
          <w:rFonts w:hint="eastAsia" w:ascii="仿宋_GB2312" w:hAnsi="仿宋_GB2312" w:cs="仿宋_GB2312"/>
          <w:color w:val="auto"/>
          <w:sz w:val="28"/>
          <w:szCs w:val="28"/>
          <w:u w:val="none"/>
          <w:lang w:val="en-US" w:eastAsia="zh-CN"/>
        </w:rPr>
        <w:t>NVR</w:t>
      </w:r>
      <w:r>
        <w:rPr>
          <w:rFonts w:hint="eastAsia" w:ascii="仿宋_GB2312" w:hAnsi="仿宋_GB2312" w:eastAsia="仿宋_GB2312" w:cs="仿宋_GB2312"/>
          <w:color w:val="auto"/>
          <w:sz w:val="28"/>
          <w:szCs w:val="28"/>
          <w:u w:val="none"/>
          <w:lang w:val="en-US" w:eastAsia="zh-CN"/>
        </w:rPr>
        <w:t>超脑算法分析主机</w:t>
      </w:r>
      <w:r>
        <w:rPr>
          <w:rFonts w:hint="eastAsia" w:ascii="仿宋_GB2312" w:cstheme="minorBidi"/>
          <w:i w:val="0"/>
          <w:iCs w:val="0"/>
          <w:caps w:val="0"/>
          <w:color w:val="auto"/>
          <w:spacing w:val="0"/>
          <w:sz w:val="28"/>
          <w:szCs w:val="28"/>
          <w:highlight w:val="none"/>
          <w:u w:val="none"/>
          <w:shd w:val="clear"/>
          <w:lang w:val="en-US" w:eastAsia="zh-CN"/>
        </w:rPr>
        <w:t>必须与监控摄像头同一品牌。</w:t>
      </w:r>
    </w:p>
    <w:p>
      <w:pPr>
        <w:pStyle w:val="29"/>
        <w:ind w:left="420" w:leftChars="200" w:firstLine="420" w:firstLineChars="150"/>
        <w:rPr>
          <w:rFonts w:hint="eastAsia" w:ascii="仿宋_GB2312" w:cstheme="minorBidi"/>
          <w:i w:val="0"/>
          <w:iCs w:val="0"/>
          <w:caps w:val="0"/>
          <w:color w:val="auto"/>
          <w:spacing w:val="0"/>
          <w:sz w:val="28"/>
          <w:szCs w:val="28"/>
          <w:highlight w:val="none"/>
          <w:u w:val="single"/>
          <w:shd w:val="clear"/>
          <w:lang w:val="en-US" w:eastAsia="zh-CN"/>
        </w:rPr>
      </w:pPr>
      <w:r>
        <w:rPr>
          <w:rFonts w:hint="eastAsia" w:ascii="仿宋_GB2312" w:cstheme="minorBidi"/>
          <w:i w:val="0"/>
          <w:iCs w:val="0"/>
          <w:caps w:val="0"/>
          <w:color w:val="auto"/>
          <w:spacing w:val="0"/>
          <w:sz w:val="28"/>
          <w:szCs w:val="28"/>
          <w:highlight w:val="none"/>
          <w:u w:val="single"/>
          <w:shd w:val="clear"/>
          <w:lang w:val="en-US" w:eastAsia="zh-CN"/>
        </w:rPr>
        <w:t>5、供应商须提供</w:t>
      </w:r>
      <w:r>
        <w:rPr>
          <w:rFonts w:hint="eastAsia" w:ascii="仿宋_GB2312" w:hAnsi="仿宋_GB2312" w:cs="仿宋_GB2312"/>
          <w:color w:val="auto"/>
          <w:sz w:val="28"/>
          <w:szCs w:val="28"/>
          <w:u w:val="single"/>
          <w:lang w:val="en-US" w:eastAsia="zh-CN"/>
        </w:rPr>
        <w:t>NVR</w:t>
      </w:r>
      <w:r>
        <w:rPr>
          <w:rFonts w:hint="eastAsia" w:ascii="仿宋_GB2312" w:hAnsi="仿宋_GB2312" w:eastAsia="仿宋_GB2312" w:cs="仿宋_GB2312"/>
          <w:color w:val="auto"/>
          <w:sz w:val="28"/>
          <w:szCs w:val="28"/>
          <w:u w:val="single"/>
          <w:lang w:val="en-US" w:eastAsia="zh-CN"/>
        </w:rPr>
        <w:t>超脑算法分析主机</w:t>
      </w:r>
      <w:r>
        <w:rPr>
          <w:rFonts w:hint="eastAsia" w:ascii="仿宋_GB2312" w:cstheme="minorBidi"/>
          <w:i w:val="0"/>
          <w:iCs w:val="0"/>
          <w:caps w:val="0"/>
          <w:color w:val="auto"/>
          <w:spacing w:val="0"/>
          <w:sz w:val="28"/>
          <w:szCs w:val="28"/>
          <w:highlight w:val="none"/>
          <w:u w:val="single"/>
          <w:shd w:val="clear"/>
          <w:lang w:val="en-US" w:eastAsia="zh-CN"/>
        </w:rPr>
        <w:t>平台兼容集成目前大坦沙分公司目前所使用的海康威视品牌的“综合管理平台系统服务”承诺；</w:t>
      </w:r>
    </w:p>
    <w:p>
      <w:pPr>
        <w:pStyle w:val="29"/>
        <w:ind w:left="420" w:leftChars="200" w:firstLine="420" w:firstLineChars="150"/>
        <w:rPr>
          <w:rFonts w:hint="eastAsia" w:ascii="仿宋_GB2312" w:cstheme="minorBidi"/>
          <w:i w:val="0"/>
          <w:iCs w:val="0"/>
          <w:caps w:val="0"/>
          <w:color w:val="auto"/>
          <w:spacing w:val="0"/>
          <w:sz w:val="28"/>
          <w:szCs w:val="28"/>
          <w:highlight w:val="none"/>
          <w:u w:val="none"/>
          <w:shd w:val="clear"/>
          <w:lang w:val="en-US" w:eastAsia="zh-CN"/>
        </w:rPr>
      </w:pPr>
      <w:r>
        <w:rPr>
          <w:rFonts w:hint="eastAsia" w:ascii="仿宋_GB2312" w:cstheme="minorBidi"/>
          <w:i w:val="0"/>
          <w:iCs w:val="0"/>
          <w:caps w:val="0"/>
          <w:color w:val="auto"/>
          <w:spacing w:val="0"/>
          <w:sz w:val="28"/>
          <w:szCs w:val="28"/>
          <w:highlight w:val="none"/>
          <w:u w:val="none"/>
          <w:shd w:val="clear"/>
          <w:lang w:val="en-US" w:eastAsia="zh-CN"/>
        </w:rPr>
        <w:t>6、项目中所用的电缆品牌须优于广州电缆厂、广日电气、白云电气。</w:t>
      </w:r>
    </w:p>
    <w:p>
      <w:pPr>
        <w:pStyle w:val="29"/>
        <w:ind w:left="420" w:leftChars="200" w:firstLine="420" w:firstLineChars="150"/>
        <w:rPr>
          <w:rFonts w:hint="eastAsia" w:ascii="仿宋_GB2312" w:cstheme="minorBidi"/>
          <w:i w:val="0"/>
          <w:iCs w:val="0"/>
          <w:caps w:val="0"/>
          <w:color w:val="auto"/>
          <w:spacing w:val="0"/>
          <w:sz w:val="28"/>
          <w:szCs w:val="28"/>
          <w:highlight w:val="none"/>
          <w:u w:val="none"/>
          <w:shd w:val="clear"/>
          <w:lang w:val="en-US" w:eastAsia="zh-CN"/>
        </w:rPr>
      </w:pPr>
      <w:r>
        <w:rPr>
          <w:rFonts w:hint="eastAsia" w:ascii="仿宋_GB2312" w:cstheme="minorBidi"/>
          <w:i w:val="0"/>
          <w:iCs w:val="0"/>
          <w:caps w:val="0"/>
          <w:color w:val="auto"/>
          <w:spacing w:val="0"/>
          <w:sz w:val="28"/>
          <w:szCs w:val="28"/>
          <w:highlight w:val="none"/>
          <w:u w:val="none"/>
          <w:shd w:val="clear"/>
          <w:lang w:val="en-US" w:eastAsia="zh-CN"/>
        </w:rPr>
        <w:t>7、项目中所使用的电气原件品牌须优于施耐德、西门子、ABB。</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3.安全文明施工要求：</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（1）在工程进行中，承包单位要注意保护场内的各种管线和设施。若有任何损坏，须立即通知有关部门和发包人，并由损坏单位承担损失和修复费用。</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4.总包及分包规定：</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承包单位不许转包，不许擅自分包, 否则，发包人有权单方面终止合同，并令其立即退场，由此而造成的经济损失由承包单位负责赔偿。</w:t>
      </w:r>
    </w:p>
    <w:p>
      <w:pPr>
        <w:numPr>
          <w:ilvl w:val="0"/>
          <w:numId w:val="8"/>
        </w:num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保修期：质保期为项目完成经验收合格之日起1年。</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color w:val="auto"/>
          <w:sz w:val="28"/>
          <w:szCs w:val="28"/>
          <w:u w:val="none"/>
          <w:lang w:eastAsia="zh-CN"/>
        </w:rPr>
        <w:t>（</w:t>
      </w:r>
      <w:r>
        <w:rPr>
          <w:rFonts w:hint="eastAsia" w:ascii="仿宋_GB2312" w:hAnsi="仿宋_GB2312" w:eastAsia="仿宋_GB2312" w:cs="仿宋_GB2312"/>
          <w:color w:val="auto"/>
          <w:sz w:val="28"/>
          <w:szCs w:val="28"/>
          <w:u w:val="none"/>
        </w:rPr>
        <w:t>1</w:t>
      </w:r>
      <w:r>
        <w:rPr>
          <w:rFonts w:hint="eastAsia" w:ascii="仿宋_GB2312" w:hAnsi="仿宋_GB2312" w:eastAsia="仿宋_GB2312" w:cs="仿宋_GB2312"/>
          <w:color w:val="auto"/>
          <w:sz w:val="28"/>
          <w:szCs w:val="28"/>
          <w:u w:val="none"/>
          <w:lang w:eastAsia="zh-CN"/>
        </w:rPr>
        <w:t>）</w:t>
      </w:r>
      <w:r>
        <w:rPr>
          <w:rFonts w:hint="eastAsia" w:ascii="仿宋_GB2312" w:hAnsi="仿宋_GB2312" w:eastAsia="仿宋_GB2312" w:cs="仿宋_GB2312"/>
          <w:sz w:val="28"/>
          <w:szCs w:val="28"/>
        </w:rPr>
        <w:t>报价人明确承诺:本项目的软硬件需提供一年免费售后服务。</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color w:val="auto"/>
          <w:sz w:val="28"/>
          <w:szCs w:val="28"/>
          <w:u w:val="none"/>
          <w:lang w:eastAsia="zh-CN"/>
        </w:rPr>
        <w:t>（</w:t>
      </w:r>
      <w:r>
        <w:rPr>
          <w:rFonts w:hint="eastAsia" w:ascii="仿宋_GB2312" w:hAnsi="仿宋_GB2312" w:eastAsia="仿宋_GB2312" w:cs="仿宋_GB2312"/>
          <w:color w:val="auto"/>
          <w:sz w:val="28"/>
          <w:szCs w:val="28"/>
          <w:u w:val="none"/>
          <w:lang w:val="en-US" w:eastAsia="zh-CN"/>
        </w:rPr>
        <w:t>2</w:t>
      </w:r>
      <w:r>
        <w:rPr>
          <w:rFonts w:hint="eastAsia" w:ascii="仿宋_GB2312" w:hAnsi="仿宋_GB2312" w:eastAsia="仿宋_GB2312" w:cs="仿宋_GB2312"/>
          <w:color w:val="auto"/>
          <w:sz w:val="28"/>
          <w:szCs w:val="28"/>
          <w:u w:val="none"/>
          <w:lang w:eastAsia="zh-CN"/>
        </w:rPr>
        <w:t>）</w:t>
      </w:r>
      <w:r>
        <w:rPr>
          <w:rFonts w:hint="eastAsia" w:ascii="仿宋_GB2312" w:hAnsi="仿宋_GB2312" w:eastAsia="仿宋_GB2312" w:cs="仿宋_GB2312"/>
          <w:sz w:val="28"/>
          <w:szCs w:val="28"/>
        </w:rPr>
        <w:t>报价人产品属于国家规定“三包”范围的，其产品质量保证期不得低于“三包”规定。</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color w:val="auto"/>
          <w:sz w:val="28"/>
          <w:szCs w:val="28"/>
          <w:u w:val="none"/>
          <w:lang w:eastAsia="zh-CN"/>
        </w:rPr>
        <w:t>（</w:t>
      </w:r>
      <w:r>
        <w:rPr>
          <w:rFonts w:hint="eastAsia" w:ascii="仿宋_GB2312" w:hAnsi="仿宋_GB2312" w:eastAsia="仿宋_GB2312" w:cs="仿宋_GB2312"/>
          <w:color w:val="auto"/>
          <w:sz w:val="28"/>
          <w:szCs w:val="28"/>
          <w:u w:val="none"/>
          <w:lang w:val="en-US" w:eastAsia="zh-CN"/>
        </w:rPr>
        <w:t>3</w:t>
      </w:r>
      <w:r>
        <w:rPr>
          <w:rFonts w:hint="eastAsia" w:ascii="仿宋_GB2312" w:hAnsi="仿宋_GB2312" w:eastAsia="仿宋_GB2312" w:cs="仿宋_GB2312"/>
          <w:color w:val="auto"/>
          <w:sz w:val="28"/>
          <w:szCs w:val="28"/>
          <w:u w:val="none"/>
          <w:lang w:eastAsia="zh-CN"/>
        </w:rPr>
        <w:t>）</w:t>
      </w:r>
      <w:r>
        <w:rPr>
          <w:rFonts w:hint="eastAsia" w:ascii="仿宋_GB2312" w:hAnsi="仿宋_GB2312" w:eastAsia="仿宋_GB2312" w:cs="仿宋_GB2312"/>
          <w:sz w:val="28"/>
          <w:szCs w:val="28"/>
        </w:rPr>
        <w:t>报价人的质量保证期承诺优于国家“三包”规定的，按承包人实际承诺执行。</w:t>
      </w:r>
    </w:p>
    <w:p>
      <w:pPr>
        <w:ind w:firstLine="560" w:firstLineChars="200"/>
        <w:rPr>
          <w:rFonts w:hint="eastAsia"/>
          <w:lang w:val="en-US" w:eastAsia="zh-CN"/>
        </w:rPr>
      </w:pPr>
      <w:r>
        <w:rPr>
          <w:rFonts w:hint="eastAsia" w:ascii="仿宋_GB2312" w:hAnsi="仿宋_GB2312" w:eastAsia="仿宋_GB2312" w:cs="仿宋_GB2312"/>
          <w:color w:val="auto"/>
          <w:sz w:val="28"/>
          <w:szCs w:val="28"/>
          <w:u w:val="none"/>
          <w:lang w:eastAsia="zh-CN"/>
        </w:rPr>
        <w:t>（</w:t>
      </w:r>
      <w:r>
        <w:rPr>
          <w:rFonts w:hint="eastAsia" w:ascii="仿宋_GB2312" w:hAnsi="仿宋_GB2312" w:eastAsia="仿宋_GB2312" w:cs="仿宋_GB2312"/>
          <w:color w:val="auto"/>
          <w:sz w:val="28"/>
          <w:szCs w:val="28"/>
          <w:u w:val="none"/>
          <w:lang w:val="en-US" w:eastAsia="zh-CN"/>
        </w:rPr>
        <w:t>4</w:t>
      </w:r>
      <w:r>
        <w:rPr>
          <w:rFonts w:hint="eastAsia" w:ascii="仿宋_GB2312" w:hAnsi="仿宋_GB2312" w:eastAsia="仿宋_GB2312" w:cs="仿宋_GB2312"/>
          <w:color w:val="auto"/>
          <w:sz w:val="28"/>
          <w:szCs w:val="28"/>
          <w:u w:val="none"/>
          <w:lang w:eastAsia="zh-CN"/>
        </w:rPr>
        <w:t>）</w:t>
      </w:r>
      <w:r>
        <w:rPr>
          <w:rFonts w:hint="eastAsia" w:ascii="仿宋_GB2312" w:hAnsi="仿宋_GB2312" w:eastAsia="仿宋_GB2312" w:cs="仿宋_GB2312"/>
          <w:color w:val="auto"/>
          <w:sz w:val="28"/>
          <w:szCs w:val="28"/>
          <w:u w:val="none"/>
          <w:lang w:val="en-US" w:eastAsia="zh-CN"/>
        </w:rPr>
        <w:t>NVR超脑算法分析主机平台</w:t>
      </w:r>
      <w:r>
        <w:rPr>
          <w:rFonts w:hint="eastAsia" w:ascii="仿宋_GB2312" w:hAnsi="仿宋_GB2312" w:eastAsia="仿宋_GB2312" w:cs="仿宋_GB2312"/>
          <w:sz w:val="28"/>
          <w:szCs w:val="28"/>
        </w:rPr>
        <w:t>产品由原厂负责标准售后服务，</w:t>
      </w:r>
      <w:r>
        <w:rPr>
          <w:rFonts w:hint="eastAsia" w:ascii="仿宋_GB2312" w:hAnsi="仿宋_GB2312" w:eastAsia="仿宋_GB2312" w:cs="仿宋_GB2312"/>
          <w:sz w:val="28"/>
          <w:szCs w:val="28"/>
          <w:lang w:val="en-US" w:eastAsia="zh-CN"/>
        </w:rPr>
        <w:t>提供原厂</w:t>
      </w:r>
      <w:r>
        <w:rPr>
          <w:rFonts w:hint="eastAsia" w:ascii="仿宋_GB2312" w:hAnsi="仿宋_GB2312" w:eastAsia="仿宋_GB2312" w:cs="仿宋_GB2312"/>
          <w:sz w:val="28"/>
          <w:szCs w:val="28"/>
        </w:rPr>
        <w:t>家售后服务承诺</w:t>
      </w:r>
      <w:r>
        <w:rPr>
          <w:rFonts w:hint="eastAsia" w:ascii="仿宋_GB2312" w:cstheme="minorBidi"/>
          <w:i w:val="0"/>
          <w:iCs w:val="0"/>
          <w:caps w:val="0"/>
          <w:color w:val="auto"/>
          <w:spacing w:val="0"/>
          <w:sz w:val="28"/>
          <w:szCs w:val="28"/>
          <w:highlight w:val="none"/>
          <w:u w:val="none"/>
          <w:shd w:val="clear"/>
          <w:lang w:val="en-US" w:eastAsia="zh-CN"/>
        </w:rPr>
        <w:t>（加盖制造商公章）</w:t>
      </w:r>
      <w:r>
        <w:rPr>
          <w:rFonts w:hint="eastAsia" w:ascii="仿宋_GB2312" w:hAnsi="仿宋_GB2312" w:eastAsia="仿宋_GB2312" w:cs="仿宋_GB2312"/>
          <w:sz w:val="28"/>
          <w:szCs w:val="28"/>
        </w:rPr>
        <w:t>。</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6.询价人将自承包人履行完合同义务之日起15个工作日内组织验收，验收要求、验收标准及方法如下：</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（1）验收依据：询价文件、询价响应文件、厂家货物技术标准说明及国家有关的质量标准规定，均为验收依据。</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（2）承包单位根据要求进行设备的安装、调试、测试后，由发包人或政府相关部门进行使用性能方面的验收。</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（3）验收合格条件</w:t>
      </w:r>
    </w:p>
    <w:p>
      <w:pPr>
        <w:ind w:firstLine="560" w:firstLineChars="200"/>
        <w:rPr>
          <w:rFonts w:hint="eastAsia" w:ascii="仿宋_GB2312" w:eastAsia="仿宋_GB2312"/>
          <w:color w:val="auto"/>
          <w:sz w:val="28"/>
          <w:szCs w:val="28"/>
          <w:highlight w:val="none"/>
          <w:u w:val="none"/>
          <w:lang w:val="en-US" w:eastAsia="zh-CN" w:bidi="ar"/>
        </w:rPr>
      </w:pPr>
      <w:r>
        <w:rPr>
          <w:rFonts w:hint="eastAsia" w:ascii="仿宋_GB2312" w:eastAsia="仿宋_GB2312"/>
          <w:color w:val="auto"/>
          <w:sz w:val="28"/>
          <w:szCs w:val="28"/>
          <w:highlight w:val="none"/>
          <w:u w:val="none"/>
          <w:lang w:val="en-US" w:eastAsia="zh-CN"/>
        </w:rPr>
        <w:t>项目完工后</w:t>
      </w:r>
      <w:r>
        <w:rPr>
          <w:rFonts w:hint="default" w:ascii="仿宋_GB2312" w:eastAsia="仿宋_GB2312"/>
          <w:color w:val="auto"/>
          <w:sz w:val="28"/>
          <w:szCs w:val="28"/>
          <w:highlight w:val="none"/>
          <w:u w:val="none"/>
          <w:lang w:val="en-US" w:eastAsia="zh-CN"/>
        </w:rPr>
        <w:t>，</w:t>
      </w:r>
      <w:r>
        <w:rPr>
          <w:rFonts w:hint="eastAsia" w:ascii="仿宋_GB2312" w:eastAsia="仿宋_GB2312" w:hAnsiTheme="minorHAnsi" w:cstheme="minorBidi"/>
          <w:i w:val="0"/>
          <w:iCs w:val="0"/>
          <w:caps w:val="0"/>
          <w:color w:val="auto"/>
          <w:spacing w:val="0"/>
          <w:sz w:val="28"/>
          <w:szCs w:val="28"/>
          <w:highlight w:val="none"/>
          <w:u w:val="none"/>
          <w:shd w:val="clear"/>
        </w:rPr>
        <w:t>电箱应安装牢固，位置合理，水平垂直，无外观损伤。转换开关型号规格正确，安装牢固，接线正确，操作灵敏。插座型号规格正确，安装牢固，接线紧固，接触良好</w:t>
      </w:r>
      <w:r>
        <w:rPr>
          <w:rFonts w:hint="eastAsia" w:ascii="仿宋_GB2312" w:eastAsia="仿宋_GB2312" w:cstheme="minorBidi"/>
          <w:i w:val="0"/>
          <w:iCs w:val="0"/>
          <w:caps w:val="0"/>
          <w:color w:val="auto"/>
          <w:spacing w:val="0"/>
          <w:sz w:val="28"/>
          <w:szCs w:val="28"/>
          <w:highlight w:val="none"/>
          <w:u w:val="none"/>
          <w:shd w:val="clear"/>
          <w:lang w:eastAsia="zh-CN"/>
        </w:rPr>
        <w:t>。</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（4）发包人有权委托我国相关具有检验资质的部门、单位、机构针对维修后设备的精度、性能进行检验。其检验结果将作为验收标准的组成部分之一。</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（5）验收时承包单位必须派代表参加。</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（6）验收过程所发生的一切费用由承包单位承担。</w:t>
      </w:r>
    </w:p>
    <w:p>
      <w:pPr>
        <w:ind w:firstLine="560" w:firstLineChars="200"/>
        <w:rPr>
          <w:rFonts w:hint="eastAsia" w:ascii="仿宋_GB2312" w:eastAsia="仿宋_GB2312" w:hAnsiTheme="minorHAnsi" w:cstheme="minorBidi"/>
          <w:i w:val="0"/>
          <w:iCs w:val="0"/>
          <w:caps w:val="0"/>
          <w:color w:val="auto"/>
          <w:spacing w:val="0"/>
          <w:sz w:val="28"/>
          <w:szCs w:val="28"/>
          <w:highlight w:val="none"/>
          <w:u w:val="none"/>
          <w:shd w:val="clear" w:fill="auto"/>
        </w:rPr>
      </w:pPr>
      <w:r>
        <w:rPr>
          <w:rFonts w:hint="eastAsia" w:ascii="仿宋_GB2312"/>
          <w:color w:val="auto"/>
          <w:sz w:val="28"/>
          <w:szCs w:val="28"/>
          <w:highlight w:val="none"/>
          <w:lang w:val="en-US" w:eastAsia="zh-CN"/>
        </w:rPr>
        <w:t>（7）</w:t>
      </w:r>
      <w:r>
        <w:rPr>
          <w:rFonts w:hint="eastAsia" w:ascii="仿宋_GB2312" w:eastAsia="仿宋_GB2312" w:cstheme="minorBidi"/>
          <w:i w:val="0"/>
          <w:iCs w:val="0"/>
          <w:caps w:val="0"/>
          <w:color w:val="auto"/>
          <w:spacing w:val="0"/>
          <w:sz w:val="28"/>
          <w:szCs w:val="28"/>
          <w:highlight w:val="none"/>
          <w:u w:val="none"/>
          <w:shd w:val="clear" w:fill="auto"/>
          <w:lang w:val="en-US" w:eastAsia="zh-CN"/>
        </w:rPr>
        <w:t>投标人</w:t>
      </w:r>
      <w:r>
        <w:rPr>
          <w:rFonts w:hint="eastAsia" w:ascii="仿宋_GB2312" w:eastAsia="仿宋_GB2312" w:hAnsiTheme="minorHAnsi" w:cstheme="minorBidi"/>
          <w:i w:val="0"/>
          <w:iCs w:val="0"/>
          <w:caps w:val="0"/>
          <w:color w:val="auto"/>
          <w:spacing w:val="0"/>
          <w:sz w:val="28"/>
          <w:szCs w:val="28"/>
          <w:highlight w:val="none"/>
          <w:u w:val="none"/>
          <w:shd w:val="clear" w:fill="auto"/>
        </w:rPr>
        <w:t>应向</w:t>
      </w:r>
      <w:r>
        <w:rPr>
          <w:rFonts w:hint="eastAsia" w:ascii="仿宋_GB2312" w:eastAsia="仿宋_GB2312" w:cstheme="minorBidi"/>
          <w:i w:val="0"/>
          <w:iCs w:val="0"/>
          <w:caps w:val="0"/>
          <w:color w:val="auto"/>
          <w:spacing w:val="0"/>
          <w:sz w:val="28"/>
          <w:szCs w:val="28"/>
          <w:highlight w:val="none"/>
          <w:u w:val="none"/>
          <w:shd w:val="clear" w:fill="auto"/>
          <w:lang w:val="en-US" w:eastAsia="zh-CN"/>
        </w:rPr>
        <w:t>发包人</w:t>
      </w:r>
      <w:r>
        <w:rPr>
          <w:rFonts w:hint="eastAsia" w:ascii="仿宋_GB2312" w:eastAsia="仿宋_GB2312" w:hAnsiTheme="minorHAnsi" w:cstheme="minorBidi"/>
          <w:i w:val="0"/>
          <w:iCs w:val="0"/>
          <w:caps w:val="0"/>
          <w:color w:val="auto"/>
          <w:spacing w:val="0"/>
          <w:sz w:val="28"/>
          <w:szCs w:val="28"/>
          <w:highlight w:val="none"/>
          <w:u w:val="none"/>
          <w:shd w:val="clear" w:fill="auto"/>
        </w:rPr>
        <w:t>完整移交所有设备控制程序，包括但不限于PLC控制程序文件、触摸屏工程文件、上位机画面工程文件、编译文件、相关文档及已授权的程序读写编辑工具。</w:t>
      </w:r>
    </w:p>
    <w:p>
      <w:pPr>
        <w:ind w:firstLine="560" w:firstLineChars="200"/>
        <w:rPr>
          <w:rFonts w:hint="eastAsia"/>
          <w:lang w:val="en-US" w:eastAsia="zh-CN"/>
        </w:rPr>
      </w:pPr>
      <w:r>
        <w:rPr>
          <w:rFonts w:hint="eastAsia" w:ascii="仿宋_GB2312" w:hAnsiTheme="minorHAnsi" w:cstheme="minorBidi"/>
          <w:i w:val="0"/>
          <w:iCs w:val="0"/>
          <w:caps w:val="0"/>
          <w:color w:val="auto"/>
          <w:spacing w:val="0"/>
          <w:sz w:val="28"/>
          <w:szCs w:val="28"/>
          <w:highlight w:val="none"/>
          <w:u w:val="none"/>
          <w:shd w:val="clear" w:fill="auto"/>
          <w:lang w:eastAsia="zh-CN"/>
        </w:rPr>
        <w:t>（</w:t>
      </w:r>
      <w:r>
        <w:rPr>
          <w:rFonts w:hint="eastAsia" w:ascii="仿宋_GB2312" w:hAnsiTheme="minorHAnsi" w:cstheme="minorBidi"/>
          <w:i w:val="0"/>
          <w:iCs w:val="0"/>
          <w:caps w:val="0"/>
          <w:color w:val="auto"/>
          <w:spacing w:val="0"/>
          <w:sz w:val="28"/>
          <w:szCs w:val="28"/>
          <w:highlight w:val="none"/>
          <w:u w:val="none"/>
          <w:shd w:val="clear" w:fill="auto"/>
          <w:lang w:val="en-US" w:eastAsia="zh-CN"/>
        </w:rPr>
        <w:t>8</w:t>
      </w:r>
      <w:r>
        <w:rPr>
          <w:rFonts w:hint="eastAsia" w:ascii="仿宋_GB2312" w:hAnsiTheme="minorHAnsi" w:cstheme="minorBidi"/>
          <w:i w:val="0"/>
          <w:iCs w:val="0"/>
          <w:caps w:val="0"/>
          <w:color w:val="auto"/>
          <w:spacing w:val="0"/>
          <w:sz w:val="28"/>
          <w:szCs w:val="28"/>
          <w:highlight w:val="none"/>
          <w:u w:val="none"/>
          <w:shd w:val="clear" w:fill="auto"/>
          <w:lang w:eastAsia="zh-CN"/>
        </w:rPr>
        <w:t>）</w:t>
      </w:r>
      <w:r>
        <w:rPr>
          <w:rFonts w:hint="eastAsia" w:ascii="仿宋_GB2312" w:eastAsia="仿宋_GB2312" w:hAnsiTheme="minorHAnsi" w:cstheme="minorBidi"/>
          <w:i w:val="0"/>
          <w:iCs w:val="0"/>
          <w:caps w:val="0"/>
          <w:color w:val="auto"/>
          <w:spacing w:val="0"/>
          <w:sz w:val="28"/>
          <w:szCs w:val="28"/>
          <w:highlight w:val="none"/>
          <w:u w:val="none"/>
          <w:shd w:val="clear" w:fill="auto"/>
        </w:rPr>
        <w:t>控制程序应确保功能完整、性能稳定，满足甲方对设备操作与控制的需求。</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7.付款方式：网银支付形式。</w:t>
      </w:r>
    </w:p>
    <w:p>
      <w:pPr>
        <w:ind w:firstLine="560" w:firstLineChars="200"/>
        <w:rPr>
          <w:rFonts w:hint="eastAsia" w:ascii="仿宋_GB2312" w:eastAsia="仿宋_GB2312"/>
          <w:color w:val="auto"/>
          <w:sz w:val="28"/>
          <w:szCs w:val="28"/>
          <w:highlight w:val="none"/>
          <w:lang w:val="zh-CN" w:eastAsia="zh-CN"/>
        </w:rPr>
      </w:pPr>
      <w:r>
        <w:rPr>
          <w:rFonts w:hint="eastAsia" w:ascii="仿宋_GB2312" w:eastAsia="仿宋_GB2312"/>
          <w:color w:val="auto"/>
          <w:sz w:val="28"/>
          <w:szCs w:val="28"/>
          <w:highlight w:val="none"/>
          <w:lang w:val="en-US" w:eastAsia="zh-CN"/>
        </w:rPr>
        <w:t>8.承包方式：</w:t>
      </w:r>
      <w:r>
        <w:rPr>
          <w:rFonts w:hint="eastAsia" w:ascii="仿宋_GB2312" w:eastAsia="仿宋_GB2312"/>
          <w:color w:val="auto"/>
          <w:sz w:val="28"/>
          <w:szCs w:val="28"/>
          <w:highlight w:val="none"/>
          <w:lang w:val="zh-CN" w:eastAsia="zh-CN"/>
        </w:rPr>
        <w:t>单价包干。</w:t>
      </w:r>
    </w:p>
    <w:p>
      <w:pPr>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br w:type="page"/>
      </w:r>
    </w:p>
    <w:p>
      <w:pPr>
        <w:rPr>
          <w:rFonts w:hint="eastAsia" w:ascii="仿宋_GB2312" w:eastAsia="仿宋_GB2312"/>
          <w:color w:val="auto"/>
          <w:sz w:val="28"/>
          <w:szCs w:val="28"/>
          <w:highlight w:val="none"/>
          <w:lang w:val="en-US" w:eastAsia="zh-CN"/>
        </w:rPr>
      </w:pPr>
    </w:p>
    <w:p>
      <w:pPr>
        <w:rPr>
          <w:rFonts w:hint="eastAsia" w:ascii="仿宋_GB2312" w:eastAsia="仿宋_GB2312"/>
          <w:color w:val="auto"/>
          <w:sz w:val="28"/>
          <w:szCs w:val="28"/>
          <w:highlight w:val="none"/>
          <w:lang w:val="en-US" w:eastAsia="zh-CN"/>
        </w:rPr>
      </w:pPr>
    </w:p>
    <w:p>
      <w:pPr>
        <w:rPr>
          <w:rFonts w:hint="eastAsia" w:ascii="仿宋_GB2312" w:eastAsia="仿宋_GB2312"/>
          <w:color w:val="auto"/>
          <w:sz w:val="28"/>
          <w:szCs w:val="28"/>
          <w:highlight w:val="none"/>
          <w:lang w:val="en-US" w:eastAsia="zh-CN"/>
        </w:rPr>
      </w:pPr>
    </w:p>
    <w:p>
      <w:pPr>
        <w:rPr>
          <w:rFonts w:hint="eastAsia" w:ascii="仿宋_GB2312" w:eastAsia="仿宋_GB2312"/>
          <w:color w:val="auto"/>
          <w:sz w:val="28"/>
          <w:szCs w:val="28"/>
          <w:highlight w:val="none"/>
          <w:lang w:val="en-US" w:eastAsia="zh-CN"/>
        </w:rPr>
      </w:pPr>
    </w:p>
    <w:p>
      <w:pPr>
        <w:rPr>
          <w:rFonts w:hint="eastAsia" w:ascii="仿宋_GB2312" w:eastAsia="仿宋_GB2312"/>
          <w:color w:val="auto"/>
          <w:sz w:val="28"/>
          <w:szCs w:val="28"/>
          <w:highlight w:val="none"/>
          <w:lang w:val="en-US" w:eastAsia="zh-CN"/>
        </w:rPr>
      </w:pPr>
    </w:p>
    <w:p>
      <w:pPr>
        <w:pStyle w:val="6"/>
        <w:rPr>
          <w:rFonts w:hint="eastAsia"/>
        </w:rPr>
      </w:pPr>
    </w:p>
    <w:bookmarkEnd w:id="61"/>
    <w:bookmarkEnd w:id="62"/>
    <w:bookmarkEnd w:id="63"/>
    <w:bookmarkEnd w:id="64"/>
    <w:bookmarkEnd w:id="65"/>
    <w:bookmarkEnd w:id="66"/>
    <w:bookmarkEnd w:id="67"/>
    <w:bookmarkEnd w:id="68"/>
    <w:bookmarkEnd w:id="69"/>
    <w:bookmarkEnd w:id="70"/>
    <w:bookmarkEnd w:id="71"/>
    <w:p>
      <w:pPr>
        <w:pStyle w:val="3"/>
        <w:rPr>
          <w:color w:val="auto"/>
          <w:highlight w:val="none"/>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2286000</wp:posOffset>
                </wp:positionH>
                <wp:positionV relativeFrom="paragraph">
                  <wp:posOffset>142875</wp:posOffset>
                </wp:positionV>
                <wp:extent cx="1009650" cy="0"/>
                <wp:effectExtent l="0" t="0" r="0" b="0"/>
                <wp:wrapNone/>
                <wp:docPr id="5" name="自选图形 8"/>
                <wp:cNvGraphicFramePr/>
                <a:graphic xmlns:a="http://schemas.openxmlformats.org/drawingml/2006/main">
                  <a:graphicData uri="http://schemas.microsoft.com/office/word/2010/wordprocessingShape">
                    <wps:wsp>
                      <wps:cNvCnPr/>
                      <wps:spPr>
                        <a:xfrm>
                          <a:off x="0" y="0"/>
                          <a:ext cx="10096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0pt;margin-top:11.25pt;height:0pt;width:79.5pt;z-index:251673600;mso-width-relative:page;mso-height-relative:page;" filled="f" stroked="t" coordsize="21600,21600" o:gfxdata="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Kqy5E1wAAAAkBAAAPAAAAAAAAAAEAIAAAACIAAABkcnMvZG93bnJldi54bWxQSwEC&#10;FAAUAAAACACHTuJA/pBpavUBAADjAwAADgAAAAAAAAABACAAAAAmAQAAZHJzL2Uyb0RvYy54bWxQ&#10;SwUGAAAAAAYABgBZAQAAjQ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2315845</wp:posOffset>
                </wp:positionH>
                <wp:positionV relativeFrom="paragraph">
                  <wp:posOffset>596265</wp:posOffset>
                </wp:positionV>
                <wp:extent cx="958850" cy="0"/>
                <wp:effectExtent l="0" t="0" r="0" b="0"/>
                <wp:wrapNone/>
                <wp:docPr id="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2.35pt;margin-top:46.95pt;height:0pt;width:75.5pt;z-index:251674624;mso-width-relative:page;mso-height-relative:page;" filled="f" stroked="t" coordsize="21600,21600" o:gfxdata="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uV1tB1wAAAAkBAAAPAAAAAAAAAAEAIAAAACIAAABkcnMvZG93bnJldi54bWxQSwECFAAU&#10;AAAACACHTuJAJB2joP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第六章</w:t>
      </w:r>
    </w:p>
    <w:p>
      <w:pPr>
        <w:pStyle w:val="38"/>
        <w:rPr>
          <w:color w:val="auto"/>
          <w:highlight w:val="none"/>
        </w:rPr>
      </w:pPr>
    </w:p>
    <w:p>
      <w:pPr>
        <w:pStyle w:val="3"/>
        <w:rPr>
          <w:color w:val="auto"/>
          <w:highlight w:val="none"/>
        </w:rPr>
      </w:pPr>
      <w:bookmarkStart w:id="72" w:name="_Toc8183"/>
      <w:bookmarkStart w:id="73" w:name="_Toc19088"/>
      <w:bookmarkStart w:id="74" w:name="_Toc88209949"/>
      <w:bookmarkStart w:id="75" w:name="_Toc13309"/>
      <w:bookmarkStart w:id="76" w:name="_Toc12721"/>
      <w:bookmarkStart w:id="77" w:name="_Toc22501"/>
      <w:bookmarkStart w:id="78" w:name="_Toc87616386"/>
      <w:bookmarkStart w:id="79" w:name="_Toc22797"/>
      <w:bookmarkStart w:id="80" w:name="_Toc12968"/>
      <w:bookmarkStart w:id="81" w:name="_Toc1375"/>
      <w:bookmarkStart w:id="82" w:name="_Toc19686"/>
      <w:bookmarkStart w:id="83" w:name="_Toc12980"/>
      <w:bookmarkStart w:id="84" w:name="_Toc323"/>
      <w:r>
        <w:rPr>
          <w:rFonts w:hint="eastAsia"/>
          <w:color w:val="auto"/>
          <w:highlight w:val="none"/>
        </w:rPr>
        <w:t>合同</w:t>
      </w:r>
      <w:bookmarkEnd w:id="72"/>
      <w:bookmarkEnd w:id="73"/>
      <w:bookmarkEnd w:id="74"/>
      <w:bookmarkEnd w:id="75"/>
      <w:bookmarkEnd w:id="76"/>
      <w:bookmarkEnd w:id="77"/>
      <w:bookmarkEnd w:id="78"/>
      <w:bookmarkEnd w:id="79"/>
      <w:bookmarkEnd w:id="80"/>
      <w:bookmarkEnd w:id="81"/>
      <w:bookmarkEnd w:id="82"/>
      <w:bookmarkEnd w:id="83"/>
      <w:bookmarkEnd w:id="84"/>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15"/>
        <w:rPr>
          <w:rFonts w:ascii="方正小标宋简体" w:eastAsia="方正小标宋简体"/>
          <w:color w:val="auto"/>
          <w:sz w:val="44"/>
          <w:szCs w:val="44"/>
          <w:highlight w:val="none"/>
        </w:rPr>
      </w:pPr>
    </w:p>
    <w:p>
      <w:pPr>
        <w:pStyle w:val="16"/>
        <w:rPr>
          <w:rFonts w:ascii="方正小标宋简体" w:eastAsia="方正小标宋简体"/>
          <w:color w:val="auto"/>
          <w:sz w:val="44"/>
          <w:szCs w:val="44"/>
          <w:highlight w:val="none"/>
        </w:rPr>
      </w:pPr>
    </w:p>
    <w:p>
      <w:pPr>
        <w:rPr>
          <w:rFonts w:ascii="方正小标宋简体" w:eastAsia="方正小标宋简体"/>
          <w:color w:val="auto"/>
          <w:sz w:val="44"/>
          <w:szCs w:val="44"/>
          <w:highlight w:val="none"/>
        </w:rPr>
      </w:pPr>
    </w:p>
    <w:p>
      <w:pPr>
        <w:rPr>
          <w:rFonts w:ascii="方正小标宋简体" w:eastAsia="方正小标宋简体"/>
          <w:color w:val="auto"/>
          <w:sz w:val="44"/>
          <w:szCs w:val="44"/>
          <w:highlight w:val="none"/>
        </w:rPr>
      </w:pPr>
    </w:p>
    <w:p>
      <w:pPr>
        <w:rPr>
          <w:rFonts w:ascii="方正小标宋简体" w:eastAsia="方正小标宋简体"/>
          <w:color w:val="auto"/>
          <w:sz w:val="44"/>
          <w:szCs w:val="44"/>
          <w:highlight w:val="none"/>
        </w:rPr>
      </w:pPr>
    </w:p>
    <w:p>
      <w:pPr>
        <w:spacing w:line="400" w:lineRule="atLeast"/>
        <w:jc w:val="center"/>
        <w:rPr>
          <w:rFonts w:hint="eastAsia" w:ascii="仿宋" w:hAnsi="仿宋" w:eastAsia="仿宋" w:cs="仿宋"/>
          <w:b/>
          <w:bCs/>
          <w:color w:val="auto"/>
          <w:sz w:val="48"/>
          <w:szCs w:val="48"/>
          <w:highlight w:val="none"/>
        </w:rPr>
      </w:pPr>
    </w:p>
    <w:p>
      <w:pPr>
        <w:spacing w:line="400" w:lineRule="atLeast"/>
        <w:jc w:val="center"/>
        <w:rPr>
          <w:rFonts w:hint="eastAsia" w:ascii="仿宋" w:hAnsi="仿宋" w:eastAsia="仿宋" w:cs="仿宋"/>
          <w:b/>
          <w:bCs/>
          <w:color w:val="auto"/>
          <w:sz w:val="48"/>
          <w:szCs w:val="48"/>
          <w:highlight w:val="none"/>
        </w:rPr>
      </w:pPr>
    </w:p>
    <w:p>
      <w:pPr>
        <w:spacing w:line="400" w:lineRule="atLeast"/>
        <w:jc w:val="center"/>
        <w:rPr>
          <w:rFonts w:hint="eastAsia" w:ascii="仿宋" w:hAnsi="仿宋" w:eastAsia="仿宋" w:cs="仿宋"/>
          <w:b/>
          <w:bCs/>
          <w:color w:val="auto"/>
          <w:sz w:val="48"/>
          <w:szCs w:val="48"/>
          <w:highlight w:val="none"/>
        </w:rPr>
      </w:pPr>
      <w:r>
        <w:rPr>
          <w:rFonts w:hint="eastAsia" w:ascii="仿宋" w:hAnsi="仿宋" w:eastAsia="仿宋" w:cs="仿宋"/>
          <w:b/>
          <w:bCs/>
          <w:color w:val="auto"/>
          <w:sz w:val="48"/>
          <w:szCs w:val="48"/>
          <w:highlight w:val="none"/>
        </w:rPr>
        <w:t>广州市净水有限公司</w:t>
      </w:r>
    </w:p>
    <w:p>
      <w:pPr>
        <w:spacing w:line="400" w:lineRule="atLeast"/>
        <w:jc w:val="center"/>
        <w:rPr>
          <w:rFonts w:hint="eastAsia" w:ascii="仿宋" w:hAnsi="仿宋" w:eastAsia="仿宋" w:cs="仿宋"/>
          <w:b/>
          <w:bCs/>
          <w:color w:val="auto"/>
          <w:sz w:val="52"/>
          <w:szCs w:val="52"/>
          <w:highlight w:val="none"/>
        </w:rPr>
      </w:pPr>
      <w:r>
        <w:rPr>
          <w:rFonts w:hint="eastAsia" w:ascii="仿宋" w:hAnsi="仿宋" w:eastAsia="仿宋" w:cs="仿宋"/>
          <w:b/>
          <w:bCs/>
          <w:color w:val="auto"/>
          <w:sz w:val="48"/>
          <w:szCs w:val="48"/>
          <w:highlight w:val="none"/>
        </w:rPr>
        <w:t>设备维修维护/技改项目合同</w:t>
      </w:r>
    </w:p>
    <w:p>
      <w:pPr>
        <w:spacing w:line="400" w:lineRule="atLeast"/>
        <w:jc w:val="center"/>
        <w:rPr>
          <w:rFonts w:hint="eastAsia" w:ascii="仿宋" w:hAnsi="仿宋" w:eastAsia="仿宋" w:cs="仿宋"/>
          <w:b/>
          <w:color w:val="auto"/>
          <w:sz w:val="28"/>
          <w:highlight w:val="none"/>
        </w:rPr>
      </w:pPr>
    </w:p>
    <w:p>
      <w:pPr>
        <w:spacing w:line="400" w:lineRule="atLeast"/>
        <w:jc w:val="center"/>
        <w:rPr>
          <w:rFonts w:hint="eastAsia" w:ascii="仿宋" w:hAnsi="仿宋" w:eastAsia="仿宋" w:cs="仿宋"/>
          <w:b/>
          <w:color w:val="auto"/>
          <w:sz w:val="28"/>
          <w:highlight w:val="none"/>
        </w:rPr>
      </w:pPr>
    </w:p>
    <w:p>
      <w:pPr>
        <w:spacing w:line="0" w:lineRule="atLeast"/>
        <w:rPr>
          <w:rFonts w:hint="eastAsia" w:ascii="仿宋" w:hAnsi="仿宋" w:eastAsia="仿宋" w:cs="仿宋"/>
          <w:b/>
          <w:color w:val="auto"/>
          <w:sz w:val="30"/>
          <w:highlight w:val="none"/>
        </w:rPr>
      </w:pPr>
    </w:p>
    <w:p>
      <w:pPr>
        <w:spacing w:line="0" w:lineRule="atLeast"/>
        <w:rPr>
          <w:rFonts w:hint="eastAsia" w:ascii="仿宋" w:hAnsi="仿宋" w:eastAsia="仿宋" w:cs="仿宋"/>
          <w:b/>
          <w:color w:val="auto"/>
          <w:sz w:val="30"/>
          <w:szCs w:val="30"/>
          <w:highlight w:val="none"/>
        </w:rPr>
      </w:pPr>
    </w:p>
    <w:p>
      <w:pPr>
        <w:pStyle w:val="29"/>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项目名称:</w:t>
      </w:r>
      <w:r>
        <w:rPr>
          <w:rFonts w:hint="eastAsia" w:ascii="仿宋" w:hAnsi="仿宋" w:eastAsia="仿宋" w:cs="仿宋"/>
          <w:b/>
          <w:color w:val="auto"/>
          <w:sz w:val="30"/>
          <w:szCs w:val="30"/>
          <w:highlight w:val="none"/>
          <w:lang w:eastAsia="zh-CN"/>
        </w:rPr>
        <w:t>大坦沙分公司一二期干化车间监控优化项目</w:t>
      </w:r>
    </w:p>
    <w:p>
      <w:pPr>
        <w:spacing w:line="400" w:lineRule="atLeast"/>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rPr>
        <w:t>项目编号：</w:t>
      </w:r>
    </w:p>
    <w:p>
      <w:pPr>
        <w:pStyle w:val="23"/>
        <w:rPr>
          <w:rFonts w:hint="eastAsia" w:ascii="仿宋" w:hAnsi="仿宋" w:eastAsia="仿宋" w:cs="仿宋"/>
          <w:color w:val="auto"/>
          <w:highlight w:val="none"/>
        </w:rPr>
      </w:pPr>
    </w:p>
    <w:p>
      <w:pPr>
        <w:spacing w:line="400" w:lineRule="atLeast"/>
        <w:rPr>
          <w:rFonts w:hint="eastAsia" w:ascii="仿宋" w:hAnsi="仿宋" w:eastAsia="仿宋" w:cs="仿宋"/>
          <w:b/>
          <w:bCs/>
          <w:color w:val="auto"/>
          <w:sz w:val="30"/>
          <w:szCs w:val="30"/>
          <w:highlight w:val="none"/>
        </w:rPr>
      </w:pPr>
      <w:r>
        <w:rPr>
          <w:rFonts w:hint="eastAsia" w:ascii="仿宋" w:hAnsi="仿宋" w:eastAsia="仿宋" w:cs="仿宋"/>
          <w:b/>
          <w:color w:val="auto"/>
          <w:sz w:val="30"/>
          <w:szCs w:val="30"/>
          <w:highlight w:val="none"/>
        </w:rPr>
        <w:t>合同编号：</w:t>
      </w:r>
      <w:r>
        <w:rPr>
          <w:rFonts w:hint="eastAsia" w:ascii="仿宋" w:hAnsi="仿宋" w:eastAsia="仿宋" w:cs="仿宋"/>
          <w:b/>
          <w:bCs/>
          <w:color w:val="auto"/>
          <w:sz w:val="30"/>
          <w:szCs w:val="30"/>
          <w:highlight w:val="none"/>
        </w:rPr>
        <w:t>穗净水合[</w:t>
      </w:r>
      <w:r>
        <w:rPr>
          <w:rFonts w:hint="eastAsia" w:ascii="仿宋" w:hAnsi="仿宋" w:eastAsia="仿宋" w:cs="仿宋"/>
          <w:b/>
          <w:bCs/>
          <w:color w:val="auto"/>
          <w:sz w:val="30"/>
          <w:szCs w:val="30"/>
          <w:highlight w:val="none"/>
          <w:lang w:val="en-US" w:eastAsia="zh-CN"/>
        </w:rPr>
        <w:t>2024</w:t>
      </w:r>
      <w:r>
        <w:rPr>
          <w:rFonts w:hint="eastAsia" w:ascii="仿宋" w:hAnsi="仿宋" w:eastAsia="仿宋" w:cs="仿宋"/>
          <w:b/>
          <w:bCs/>
          <w:color w:val="auto"/>
          <w:sz w:val="30"/>
          <w:szCs w:val="30"/>
          <w:highlight w:val="none"/>
        </w:rPr>
        <w:t>]    号</w:t>
      </w:r>
    </w:p>
    <w:p>
      <w:pPr>
        <w:spacing w:line="400" w:lineRule="atLeast"/>
        <w:rPr>
          <w:rFonts w:hint="eastAsia" w:ascii="仿宋" w:hAnsi="仿宋" w:eastAsia="仿宋" w:cs="仿宋"/>
          <w:b/>
          <w:color w:val="auto"/>
          <w:sz w:val="30"/>
          <w:szCs w:val="30"/>
          <w:highlight w:val="none"/>
        </w:rPr>
      </w:pPr>
    </w:p>
    <w:p>
      <w:pPr>
        <w:spacing w:line="400" w:lineRule="atLeas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甲方：广州市净水有限公司</w:t>
      </w:r>
    </w:p>
    <w:p>
      <w:pPr>
        <w:spacing w:line="400" w:lineRule="atLeast"/>
        <w:rPr>
          <w:rFonts w:hint="eastAsia" w:ascii="仿宋" w:hAnsi="仿宋" w:eastAsia="仿宋" w:cs="仿宋"/>
          <w:b/>
          <w:color w:val="auto"/>
          <w:sz w:val="30"/>
          <w:szCs w:val="30"/>
          <w:highlight w:val="none"/>
        </w:rPr>
      </w:pPr>
    </w:p>
    <w:p>
      <w:pPr>
        <w:spacing w:line="400" w:lineRule="atLeast"/>
        <w:rPr>
          <w:rFonts w:hint="eastAsia" w:ascii="仿宋" w:hAnsi="仿宋" w:eastAsia="仿宋" w:cs="仿宋"/>
          <w:b/>
          <w:bCs/>
          <w:color w:val="auto"/>
          <w:sz w:val="30"/>
          <w:szCs w:val="30"/>
          <w:highlight w:val="none"/>
          <w:lang w:val="en-US" w:eastAsia="zh-CN"/>
        </w:rPr>
      </w:pPr>
      <w:r>
        <w:rPr>
          <w:rFonts w:hint="eastAsia" w:ascii="仿宋" w:hAnsi="仿宋" w:eastAsia="仿宋" w:cs="仿宋"/>
          <w:b/>
          <w:color w:val="auto"/>
          <w:sz w:val="30"/>
          <w:szCs w:val="30"/>
          <w:highlight w:val="none"/>
        </w:rPr>
        <w:t>乙方</w:t>
      </w:r>
      <w:r>
        <w:rPr>
          <w:rFonts w:hint="eastAsia" w:ascii="仿宋" w:hAnsi="仿宋" w:eastAsia="仿宋" w:cs="仿宋"/>
          <w:color w:val="auto"/>
          <w:sz w:val="30"/>
          <w:szCs w:val="30"/>
          <w:highlight w:val="none"/>
        </w:rPr>
        <w:t>：</w:t>
      </w:r>
    </w:p>
    <w:p>
      <w:pPr>
        <w:spacing w:line="400" w:lineRule="atLeast"/>
        <w:rPr>
          <w:rFonts w:hint="eastAsia" w:ascii="仿宋" w:hAnsi="仿宋" w:eastAsia="仿宋" w:cs="仿宋"/>
          <w:b/>
          <w:color w:val="auto"/>
          <w:sz w:val="30"/>
          <w:szCs w:val="30"/>
          <w:highlight w:val="none"/>
        </w:rPr>
      </w:pPr>
    </w:p>
    <w:p>
      <w:pPr>
        <w:rPr>
          <w:rFonts w:hint="eastAsia" w:ascii="仿宋" w:hAnsi="仿宋" w:eastAsia="仿宋" w:cs="仿宋"/>
          <w:color w:val="auto"/>
          <w:highlight w:val="none"/>
        </w:rPr>
      </w:pPr>
    </w:p>
    <w:p>
      <w:pPr>
        <w:spacing w:line="400" w:lineRule="atLeas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签订日期：       年   月   日       </w:t>
      </w:r>
    </w:p>
    <w:p>
      <w:pPr>
        <w:spacing w:line="400" w:lineRule="atLeast"/>
        <w:rPr>
          <w:rFonts w:hint="eastAsia" w:ascii="仿宋" w:hAnsi="仿宋" w:eastAsia="仿宋" w:cs="仿宋"/>
          <w:b/>
          <w:color w:val="auto"/>
          <w:sz w:val="30"/>
          <w:highlight w:val="none"/>
        </w:rPr>
      </w:pPr>
      <w:r>
        <w:rPr>
          <w:rFonts w:hint="eastAsia" w:ascii="仿宋" w:hAnsi="仿宋" w:eastAsia="仿宋" w:cs="仿宋"/>
          <w:b/>
          <w:color w:val="auto"/>
          <w:sz w:val="30"/>
          <w:highlight w:val="none"/>
        </w:rPr>
        <w:t>签约地点：广州市</w:t>
      </w:r>
    </w:p>
    <w:p>
      <w:pPr>
        <w:spacing w:line="400" w:lineRule="atLeast"/>
        <w:rPr>
          <w:rFonts w:hint="eastAsia" w:ascii="仿宋" w:hAnsi="仿宋" w:eastAsia="仿宋" w:cs="仿宋"/>
          <w:b/>
          <w:color w:val="auto"/>
          <w:sz w:val="30"/>
          <w:highlight w:val="none"/>
        </w:rPr>
      </w:pPr>
    </w:p>
    <w:p>
      <w:pPr>
        <w:spacing w:before="93" w:beforeLines="30" w:line="50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根据《中华人民共和国民法典》及其他有关法律、行政法规，</w:t>
      </w:r>
      <w:r>
        <w:rPr>
          <w:rFonts w:hint="eastAsia" w:ascii="仿宋" w:hAnsi="仿宋" w:eastAsia="仿宋" w:cs="仿宋"/>
          <w:color w:val="auto"/>
          <w:sz w:val="24"/>
          <w:highlight w:val="none"/>
          <w:u w:val="single"/>
        </w:rPr>
        <w:t>广州市净水有限公司</w:t>
      </w:r>
      <w:r>
        <w:rPr>
          <w:rFonts w:hint="eastAsia" w:ascii="仿宋" w:hAnsi="仿宋" w:eastAsia="仿宋" w:cs="仿宋"/>
          <w:color w:val="auto"/>
          <w:sz w:val="24"/>
          <w:highlight w:val="none"/>
        </w:rPr>
        <w:t xml:space="preserve"> （以下简称“甲方”）与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（以下简称“乙方”）就</w:t>
      </w:r>
      <w:r>
        <w:rPr>
          <w:rFonts w:hint="eastAsia" w:ascii="仿宋" w:hAnsi="仿宋" w:eastAsia="仿宋" w:cs="仿宋"/>
          <w:b w:val="0"/>
          <w:bCs w:val="0"/>
          <w:color w:val="auto"/>
          <w:kern w:val="2"/>
          <w:sz w:val="24"/>
          <w:szCs w:val="24"/>
          <w:highlight w:val="none"/>
          <w:u w:val="single"/>
          <w:lang w:eastAsia="zh-CN" w:bidi="ar"/>
        </w:rPr>
        <w:t>大坦沙分公司一二期干化车间监控优化项目</w:t>
      </w:r>
      <w:r>
        <w:rPr>
          <w:rFonts w:hint="eastAsia" w:ascii="仿宋" w:hAnsi="仿宋" w:eastAsia="仿宋" w:cs="仿宋"/>
          <w:color w:val="auto"/>
          <w:sz w:val="24"/>
          <w:highlight w:val="none"/>
        </w:rPr>
        <w:t>承接工作事宜，遵循平等、自愿、公平和诚实信用的原则，双方协商一致，订立本合同。</w:t>
      </w:r>
    </w:p>
    <w:p>
      <w:pPr>
        <w:spacing w:before="93" w:beforeLines="30" w:line="500" w:lineRule="exact"/>
        <w:ind w:left="210" w:leftChars="100"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第一条 组成合同的文件及优先顺序</w:t>
      </w:r>
    </w:p>
    <w:p>
      <w:pPr>
        <w:spacing w:line="500" w:lineRule="exact"/>
        <w:ind w:firstLine="482"/>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下列文件（如有）均为本合同的组成部分，可视为能相互说明和补充的，如果合同文件存在歧义或相矛盾的地方，则根据以下次序判断：</w:t>
      </w:r>
    </w:p>
    <w:p>
      <w:pPr>
        <w:spacing w:line="500" w:lineRule="exact"/>
        <w:ind w:firstLine="482"/>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⑴ </w:t>
      </w:r>
      <w:r>
        <w:rPr>
          <w:rFonts w:hint="eastAsia" w:ascii="仿宋" w:hAnsi="仿宋" w:eastAsia="仿宋" w:cs="仿宋"/>
          <w:color w:val="auto"/>
          <w:sz w:val="24"/>
          <w:highlight w:val="none"/>
        </w:rPr>
        <w:t>在本合同实施过程双方签署的补充与修正文件</w:t>
      </w:r>
      <w:r>
        <w:rPr>
          <w:rFonts w:hint="eastAsia" w:ascii="仿宋" w:hAnsi="仿宋" w:eastAsia="仿宋" w:cs="仿宋"/>
          <w:bCs/>
          <w:color w:val="auto"/>
          <w:sz w:val="24"/>
          <w:highlight w:val="none"/>
        </w:rPr>
        <w:t>；</w:t>
      </w:r>
    </w:p>
    <w:p>
      <w:pPr>
        <w:spacing w:line="500" w:lineRule="exact"/>
        <w:ind w:firstLine="482"/>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⑵ 本合同书；</w:t>
      </w:r>
    </w:p>
    <w:p>
      <w:pPr>
        <w:spacing w:line="500" w:lineRule="exact"/>
        <w:ind w:firstLine="482"/>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⑶ </w:t>
      </w:r>
      <w:r>
        <w:rPr>
          <w:rFonts w:hint="eastAsia" w:ascii="仿宋" w:hAnsi="仿宋" w:eastAsia="仿宋" w:cs="仿宋"/>
          <w:bCs/>
          <w:color w:val="auto"/>
          <w:sz w:val="24"/>
          <w:szCs w:val="22"/>
          <w:highlight w:val="none"/>
        </w:rPr>
        <w:t>成交通知书</w:t>
      </w:r>
      <w:r>
        <w:rPr>
          <w:rFonts w:hint="eastAsia" w:ascii="仿宋" w:hAnsi="仿宋" w:eastAsia="仿宋" w:cs="仿宋"/>
          <w:bCs/>
          <w:color w:val="auto"/>
          <w:sz w:val="24"/>
          <w:highlight w:val="none"/>
        </w:rPr>
        <w:t>/委托函；</w:t>
      </w:r>
    </w:p>
    <w:p>
      <w:pPr>
        <w:spacing w:line="500" w:lineRule="exact"/>
        <w:ind w:firstLine="482"/>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⑷ 询价文件；</w:t>
      </w:r>
    </w:p>
    <w:p>
      <w:pPr>
        <w:spacing w:line="500" w:lineRule="exact"/>
        <w:ind w:firstLine="482"/>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⑸ 响应文件；</w:t>
      </w:r>
    </w:p>
    <w:p>
      <w:pPr>
        <w:spacing w:line="500" w:lineRule="exact"/>
        <w:ind w:firstLine="482"/>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⑹ 标准、规范及有关技术性文件；</w:t>
      </w:r>
    </w:p>
    <w:p>
      <w:pPr>
        <w:spacing w:line="500" w:lineRule="exact"/>
        <w:ind w:firstLine="482"/>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⑺ 图纸；</w:t>
      </w:r>
    </w:p>
    <w:p>
      <w:pPr>
        <w:spacing w:line="500" w:lineRule="exact"/>
        <w:ind w:firstLine="482"/>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⑻ 工程量清单/</w:t>
      </w:r>
      <w:r>
        <w:rPr>
          <w:rFonts w:hint="eastAsia" w:ascii="仿宋" w:hAnsi="仿宋" w:eastAsia="仿宋" w:cs="仿宋"/>
          <w:color w:val="auto"/>
          <w:sz w:val="24"/>
          <w:highlight w:val="none"/>
        </w:rPr>
        <w:t>工程报价单或预算书；</w:t>
      </w:r>
    </w:p>
    <w:p>
      <w:pPr>
        <w:spacing w:line="500" w:lineRule="exact"/>
        <w:ind w:firstLine="482"/>
        <w:rPr>
          <w:rFonts w:hint="eastAsia" w:ascii="仿宋" w:hAnsi="仿宋" w:eastAsia="仿宋" w:cs="仿宋"/>
          <w:b/>
          <w:bCs/>
          <w:color w:val="auto"/>
          <w:sz w:val="24"/>
          <w:highlight w:val="none"/>
        </w:rPr>
      </w:pPr>
      <w:r>
        <w:rPr>
          <w:rFonts w:hint="eastAsia" w:ascii="仿宋" w:hAnsi="仿宋" w:eastAsia="仿宋" w:cs="仿宋"/>
          <w:bCs/>
          <w:color w:val="auto"/>
          <w:sz w:val="24"/>
          <w:highlight w:val="none"/>
        </w:rPr>
        <w:t>⑼ 本合同其他附件；</w:t>
      </w:r>
    </w:p>
    <w:p>
      <w:pPr>
        <w:spacing w:line="500" w:lineRule="exact"/>
        <w:ind w:firstLine="482"/>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第二条 项目概况、项目承包范围</w:t>
      </w:r>
    </w:p>
    <w:p>
      <w:pPr>
        <w:ind w:left="0" w:leftChars="0" w:firstLine="420" w:firstLineChars="175"/>
        <w:jc w:val="both"/>
        <w:rPr>
          <w:rFonts w:hint="default" w:ascii="仿宋" w:hAnsi="仿宋" w:eastAsia="仿宋" w:cs="仿宋"/>
          <w:b w:val="0"/>
          <w:bCs w:val="0"/>
          <w:color w:val="auto"/>
          <w:sz w:val="24"/>
          <w:szCs w:val="24"/>
          <w:highlight w:val="none"/>
          <w:u w:val="single"/>
          <w:lang w:val="en-US" w:eastAsia="zh-CN"/>
        </w:rPr>
      </w:pPr>
      <w:r>
        <w:rPr>
          <w:rFonts w:hint="eastAsia" w:ascii="仿宋" w:hAnsi="仿宋" w:eastAsia="仿宋" w:cs="仿宋"/>
          <w:sz w:val="24"/>
          <w:szCs w:val="24"/>
        </w:rPr>
        <w:t>2.</w:t>
      </w:r>
      <w:r>
        <w:rPr>
          <w:rFonts w:hint="eastAsia" w:ascii="仿宋" w:hAnsi="仿宋" w:eastAsia="仿宋" w:cs="仿宋"/>
          <w:b w:val="0"/>
          <w:bCs w:val="0"/>
          <w:color w:val="auto"/>
          <w:sz w:val="24"/>
          <w:szCs w:val="24"/>
          <w:highlight w:val="none"/>
          <w:u w:val="single"/>
          <w:lang w:val="en-US" w:eastAsia="zh-CN"/>
        </w:rPr>
        <w:t>1项目名称：大坦沙分公司一二期干化车间监控优化</w:t>
      </w:r>
    </w:p>
    <w:p>
      <w:pPr>
        <w:spacing w:line="500" w:lineRule="exact"/>
        <w:ind w:left="0" w:leftChars="0" w:firstLine="420" w:firstLineChars="175"/>
        <w:rPr>
          <w:rFonts w:hint="eastAsia" w:ascii="仿宋" w:hAnsi="仿宋" w:eastAsia="仿宋" w:cs="仿宋"/>
          <w:sz w:val="24"/>
          <w:szCs w:val="24"/>
        </w:rPr>
      </w:pPr>
      <w:r>
        <w:rPr>
          <w:rFonts w:hint="eastAsia" w:ascii="仿宋" w:hAnsi="仿宋" w:eastAsia="仿宋" w:cs="仿宋"/>
          <w:sz w:val="24"/>
          <w:szCs w:val="24"/>
        </w:rPr>
        <w:t xml:space="preserve">2.2项目地点： </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广州市荔湾区桥中南路7、10号</w:t>
      </w:r>
      <w:r>
        <w:rPr>
          <w:rFonts w:hint="eastAsia" w:ascii="仿宋" w:hAnsi="仿宋" w:eastAsia="仿宋" w:cs="仿宋"/>
          <w:sz w:val="24"/>
          <w:szCs w:val="24"/>
          <w:u w:val="single"/>
        </w:rPr>
        <w:t>。</w:t>
      </w:r>
    </w:p>
    <w:p>
      <w:pPr>
        <w:spacing w:line="500" w:lineRule="exact"/>
        <w:ind w:left="0" w:leftChars="0" w:firstLine="420" w:firstLineChars="175"/>
        <w:rPr>
          <w:rFonts w:hint="eastAsia" w:ascii="仿宋" w:hAnsi="仿宋" w:eastAsia="仿宋" w:cs="仿宋"/>
          <w:sz w:val="24"/>
          <w:szCs w:val="24"/>
        </w:rPr>
      </w:pPr>
      <w:r>
        <w:rPr>
          <w:rFonts w:hint="eastAsia" w:ascii="仿宋" w:hAnsi="仿宋" w:eastAsia="仿宋" w:cs="仿宋"/>
          <w:sz w:val="24"/>
          <w:szCs w:val="24"/>
        </w:rPr>
        <w:t>2.3项目承包范围：包括提供所有需要的材料、机械、人工、设施、完成合同约定的工作和服务。按照甲方审核同意的方案、图纸所包括的实施范围和内容进行施工并在质量保修期内承担项目质量保修责任。</w:t>
      </w:r>
    </w:p>
    <w:p>
      <w:pPr>
        <w:spacing w:line="500" w:lineRule="exact"/>
        <w:ind w:firstLine="480" w:firstLineChars="200"/>
        <w:rPr>
          <w:rFonts w:hint="eastAsia" w:ascii="仿宋" w:hAnsi="仿宋" w:eastAsia="仿宋" w:cs="仿宋"/>
          <w:sz w:val="24"/>
          <w:szCs w:val="24"/>
          <w:u w:val="single"/>
          <w:lang w:val="en-US" w:eastAsia="zh-CN"/>
        </w:rPr>
      </w:pPr>
      <w:r>
        <w:rPr>
          <w:rFonts w:hint="eastAsia" w:ascii="仿宋" w:hAnsi="仿宋" w:eastAsia="仿宋" w:cs="仿宋"/>
          <w:sz w:val="24"/>
          <w:szCs w:val="24"/>
        </w:rPr>
        <w:t>2.4项目内容</w:t>
      </w:r>
      <w:r>
        <w:rPr>
          <w:rFonts w:hint="eastAsia" w:ascii="仿宋" w:hAnsi="仿宋" w:eastAsia="仿宋" w:cs="仿宋"/>
          <w:sz w:val="24"/>
          <w:szCs w:val="24"/>
          <w:lang w:eastAsia="zh-CN"/>
        </w:rPr>
        <w:t>：</w:t>
      </w:r>
    </w:p>
    <w:tbl>
      <w:tblPr>
        <w:tblStyle w:val="24"/>
        <w:tblpPr w:leftFromText="180" w:rightFromText="180" w:vertAnchor="text" w:horzAnchor="page" w:tblpX="1392" w:tblpY="576"/>
        <w:tblOverlap w:val="never"/>
        <w:tblW w:w="88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31"/>
        <w:gridCol w:w="1074"/>
        <w:gridCol w:w="2500"/>
        <w:gridCol w:w="47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1" w:hRule="atLeast"/>
        </w:trPr>
        <w:tc>
          <w:tcPr>
            <w:tcW w:w="531"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序号</w:t>
            </w:r>
          </w:p>
        </w:tc>
        <w:tc>
          <w:tcPr>
            <w:tcW w:w="1074"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单位</w:t>
            </w:r>
          </w:p>
        </w:tc>
        <w:tc>
          <w:tcPr>
            <w:tcW w:w="2500"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子项目名称</w:t>
            </w:r>
          </w:p>
        </w:tc>
        <w:tc>
          <w:tcPr>
            <w:tcW w:w="4734"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83" w:hRule="atLeast"/>
        </w:trPr>
        <w:tc>
          <w:tcPr>
            <w:tcW w:w="531"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107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w:t>
            </w:r>
            <w:r>
              <w:rPr>
                <w:rFonts w:ascii="宋体" w:hAnsi="宋体" w:eastAsia="宋体" w:cs="宋体"/>
                <w:color w:val="auto"/>
                <w:kern w:val="0"/>
                <w:sz w:val="20"/>
                <w:szCs w:val="20"/>
                <w:lang w:val="en-US" w:eastAsia="zh-CN" w:bidi="ar"/>
              </w:rPr>
              <w:t>公司</w:t>
            </w:r>
          </w:p>
        </w:tc>
        <w:tc>
          <w:tcPr>
            <w:tcW w:w="250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大坦沙分公司一二期干化车间监控优化项目</w:t>
            </w:r>
          </w:p>
        </w:tc>
        <w:tc>
          <w:tcPr>
            <w:tcW w:w="473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1、在干化车间板框机隔离罩内按照图1加装防爆球型摄像头，敷设六类网线套DN25 镀锌钢管至干化车间一楼监控箱，并配置 NVR超脑算法分析主机， NVR超脑算法分析主机用于识别厂内生产区域安全行为。</w:t>
            </w:r>
          </w:p>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2、在干化车间板框机隔离罩内敷设DN10镀锌钢管及喷雾喷嘴65个，喷雾颗粒100微米-200微米大小（3号喷嘴），并配置一台工业喷雾主机。</w:t>
            </w:r>
          </w:p>
        </w:tc>
      </w:tr>
    </w:tbl>
    <w:p>
      <w:pPr>
        <w:spacing w:line="500" w:lineRule="exact"/>
        <w:ind w:firstLine="480" w:firstLineChars="200"/>
        <w:rPr>
          <w:rFonts w:hint="eastAsia" w:ascii="仿宋" w:hAnsi="仿宋" w:eastAsia="仿宋" w:cs="仿宋"/>
          <w:color w:val="auto"/>
          <w:sz w:val="24"/>
          <w:szCs w:val="24"/>
          <w:highlight w:val="none"/>
          <w:lang w:val="en-US" w:eastAsia="zh-CN"/>
        </w:rPr>
      </w:pPr>
    </w:p>
    <w:p>
      <w:pPr>
        <w:spacing w:line="5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（详见技术需求）</w:t>
      </w:r>
    </w:p>
    <w:p>
      <w:pPr>
        <w:spacing w:line="50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第三条 项目承包方式</w:t>
      </w:r>
    </w:p>
    <w:p>
      <w:pPr>
        <w:spacing w:line="500" w:lineRule="exact"/>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lang w:eastAsia="zh-CN"/>
        </w:rPr>
        <w:sym w:font="Wingdings 2" w:char="0052"/>
      </w:r>
      <w:r>
        <w:rPr>
          <w:rFonts w:hint="eastAsia" w:ascii="仿宋" w:hAnsi="仿宋" w:eastAsia="仿宋" w:cs="仿宋"/>
          <w:color w:val="auto"/>
          <w:sz w:val="24"/>
          <w:highlight w:val="none"/>
        </w:rPr>
        <w:t>包工、包料、包工期、包质量、包安全、包文明施工。综合单价包干、项目措施费</w:t>
      </w:r>
      <w:r>
        <w:rPr>
          <w:rFonts w:hint="eastAsia" w:ascii="仿宋" w:hAnsi="仿宋" w:eastAsia="仿宋" w:cs="仿宋"/>
          <w:color w:val="auto"/>
          <w:sz w:val="24"/>
          <w:highlight w:val="none"/>
          <w:lang w:val="en-US" w:eastAsia="zh-CN"/>
        </w:rPr>
        <w:t>按实结算</w:t>
      </w:r>
      <w:r>
        <w:rPr>
          <w:rFonts w:hint="eastAsia" w:ascii="仿宋" w:hAnsi="仿宋" w:eastAsia="仿宋" w:cs="仿宋"/>
          <w:color w:val="auto"/>
          <w:sz w:val="24"/>
          <w:highlight w:val="none"/>
        </w:rPr>
        <w:t>。（单价包干要求附工程量报价/工程预算书）</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bCs/>
          <w:color w:val="auto"/>
          <w:sz w:val="24"/>
          <w:highlight w:val="none"/>
        </w:rPr>
        <w:sym w:font="Wingdings" w:char="00A8"/>
      </w:r>
      <w:r>
        <w:rPr>
          <w:rFonts w:hint="eastAsia" w:ascii="仿宋" w:hAnsi="仿宋" w:eastAsia="仿宋" w:cs="仿宋"/>
          <w:color w:val="auto"/>
          <w:sz w:val="24"/>
          <w:highlight w:val="none"/>
        </w:rPr>
        <w:t>包工、包料、包质量、包工期、包安全、包文明施工、包设计、包调试、包验收的施工图纸，以总价包干形式。</w:t>
      </w:r>
    </w:p>
    <w:p>
      <w:pPr>
        <w:spacing w:line="50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第四条 合同价款</w:t>
      </w:r>
    </w:p>
    <w:p>
      <w:pPr>
        <w:spacing w:line="500" w:lineRule="exact"/>
        <w:ind w:firstLine="480" w:firstLineChars="200"/>
        <w:rPr>
          <w:rFonts w:hint="eastAsia" w:ascii="仿宋" w:hAnsi="仿宋" w:eastAsia="仿宋" w:cs="仿宋"/>
          <w:bCs/>
          <w:color w:val="auto"/>
          <w:sz w:val="24"/>
          <w:highlight w:val="none"/>
          <w:bdr w:val="single" w:color="auto" w:sz="4" w:space="0"/>
        </w:rPr>
      </w:pPr>
      <w:r>
        <w:rPr>
          <w:rFonts w:hint="eastAsia" w:ascii="仿宋" w:hAnsi="仿宋" w:eastAsia="仿宋" w:cs="仿宋"/>
          <w:color w:val="auto"/>
          <w:sz w:val="24"/>
          <w:highlight w:val="none"/>
        </w:rPr>
        <w:t>4.1合同价款按以下</w:t>
      </w:r>
      <w:r>
        <w:rPr>
          <w:rFonts w:hint="eastAsia" w:ascii="仿宋" w:hAnsi="仿宋" w:eastAsia="仿宋" w:cs="仿宋"/>
          <w:color w:val="auto"/>
          <w:sz w:val="24"/>
          <w:highlight w:val="none"/>
          <w:u w:val="single"/>
        </w:rPr>
        <w:t xml:space="preserve"> (1) </w:t>
      </w:r>
      <w:r>
        <w:rPr>
          <w:rFonts w:hint="eastAsia" w:ascii="仿宋" w:hAnsi="仿宋" w:eastAsia="仿宋" w:cs="仿宋"/>
          <w:color w:val="auto"/>
          <w:sz w:val="24"/>
          <w:highlight w:val="none"/>
        </w:rPr>
        <w:t>执行。</w:t>
      </w:r>
    </w:p>
    <w:p>
      <w:pPr>
        <w:numPr>
          <w:ilvl w:val="0"/>
          <w:numId w:val="9"/>
        </w:num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合同以</w:t>
      </w:r>
      <w:r>
        <w:rPr>
          <w:rFonts w:hint="eastAsia" w:ascii="仿宋" w:hAnsi="仿宋" w:eastAsia="仿宋" w:cs="仿宋"/>
          <w:color w:val="auto"/>
          <w:sz w:val="24"/>
          <w:highlight w:val="none"/>
          <w:lang w:val="en-US" w:eastAsia="zh-CN"/>
        </w:rPr>
        <w:t>单价</w:t>
      </w:r>
      <w:r>
        <w:rPr>
          <w:rFonts w:hint="eastAsia" w:ascii="仿宋" w:hAnsi="仿宋" w:eastAsia="仿宋" w:cs="仿宋"/>
          <w:color w:val="auto"/>
          <w:sz w:val="24"/>
          <w:highlight w:val="none"/>
        </w:rPr>
        <w:t>包干形式，合同暂定总价为：</w:t>
      </w:r>
      <w:r>
        <w:rPr>
          <w:rFonts w:hint="eastAsia" w:ascii="仿宋" w:hAnsi="仿宋" w:eastAsia="仿宋" w:cs="仿宋"/>
          <w:b/>
          <w:color w:val="auto"/>
          <w:sz w:val="24"/>
          <w:highlight w:val="none"/>
          <w:u w:val="single"/>
        </w:rPr>
        <w:t xml:space="preserve">人民币 </w:t>
      </w:r>
      <w:r>
        <w:rPr>
          <w:rFonts w:hint="eastAsia" w:ascii="仿宋" w:hAnsi="仿宋" w:eastAsia="仿宋" w:cs="仿宋"/>
          <w:b/>
          <w:color w:val="auto"/>
          <w:sz w:val="24"/>
          <w:highlight w:val="none"/>
          <w:u w:val="single"/>
          <w:lang w:val="en-US" w:eastAsia="zh-CN"/>
        </w:rPr>
        <w:t xml:space="preserve">     </w:t>
      </w:r>
      <w:r>
        <w:rPr>
          <w:rFonts w:hint="eastAsia" w:ascii="仿宋" w:hAnsi="仿宋" w:eastAsia="仿宋" w:cs="仿宋"/>
          <w:b/>
          <w:color w:val="auto"/>
          <w:sz w:val="24"/>
          <w:highlight w:val="none"/>
          <w:u w:val="single"/>
        </w:rPr>
        <w:t xml:space="preserve"> 元</w:t>
      </w:r>
      <w:r>
        <w:rPr>
          <w:rFonts w:hint="eastAsia" w:ascii="仿宋" w:hAnsi="仿宋" w:eastAsia="仿宋" w:cs="仿宋"/>
          <w:color w:val="auto"/>
          <w:sz w:val="24"/>
          <w:highlight w:val="none"/>
        </w:rPr>
        <w:t>（大写:</w:t>
      </w:r>
      <w:r>
        <w:rPr>
          <w:rFonts w:hint="eastAsia" w:ascii="仿宋" w:hAnsi="仿宋" w:eastAsia="仿宋" w:cs="仿宋"/>
          <w:b/>
          <w:color w:val="auto"/>
          <w:sz w:val="24"/>
          <w:highlight w:val="none"/>
          <w:u w:val="single"/>
        </w:rPr>
        <w:t xml:space="preserve"> </w:t>
      </w:r>
      <w:r>
        <w:rPr>
          <w:rFonts w:hint="eastAsia" w:ascii="仿宋" w:hAnsi="仿宋" w:eastAsia="仿宋" w:cs="仿宋"/>
          <w:b/>
          <w:color w:val="auto"/>
          <w:sz w:val="24"/>
          <w:highlight w:val="none"/>
          <w:u w:val="single"/>
          <w:lang w:val="en-US" w:eastAsia="zh-CN"/>
        </w:rPr>
        <w:t xml:space="preserve">          </w:t>
      </w:r>
      <w:r>
        <w:rPr>
          <w:rFonts w:hint="eastAsia" w:ascii="仿宋" w:hAnsi="仿宋" w:eastAsia="仿宋" w:cs="仿宋"/>
          <w:b/>
          <w:color w:val="auto"/>
          <w:sz w:val="24"/>
          <w:highlight w:val="none"/>
          <w:u w:val="single"/>
        </w:rPr>
        <w:t xml:space="preserve"> </w:t>
      </w:r>
      <w:r>
        <w:rPr>
          <w:rFonts w:hint="eastAsia" w:ascii="仿宋" w:hAnsi="仿宋" w:eastAsia="仿宋" w:cs="仿宋"/>
          <w:color w:val="auto"/>
          <w:sz w:val="24"/>
          <w:highlight w:val="none"/>
        </w:rPr>
        <w:t>）。经甲方或甲方委托有资质第三方机构审核后，审核价作为合同结算价。若合同结算价超合同暂定总价，双方另行签订补充协议。</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综合单价</w:t>
      </w:r>
      <w:r>
        <w:rPr>
          <w:rFonts w:hint="eastAsia" w:ascii="仿宋" w:hAnsi="仿宋" w:eastAsia="仿宋" w:cs="仿宋"/>
          <w:color w:val="auto"/>
          <w:sz w:val="24"/>
          <w:highlight w:val="none"/>
          <w:lang w:val="en-US" w:eastAsia="zh-CN"/>
        </w:rPr>
        <w:t>详见</w:t>
      </w:r>
      <w:r>
        <w:rPr>
          <w:rFonts w:hint="eastAsia" w:ascii="仿宋" w:hAnsi="仿宋" w:eastAsia="仿宋" w:cs="仿宋"/>
          <w:color w:val="auto"/>
          <w:sz w:val="24"/>
          <w:highlight w:val="none"/>
        </w:rPr>
        <w:t>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工程量清单报价。</w:t>
      </w:r>
    </w:p>
    <w:p>
      <w:pPr>
        <w:autoSpaceDE w:val="0"/>
        <w:autoSpaceDN w:val="0"/>
        <w:adjustRightInd w:val="0"/>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bCs/>
          <w:color w:val="auto"/>
          <w:sz w:val="24"/>
          <w:highlight w:val="none"/>
        </w:rPr>
        <w:t>（2）</w:t>
      </w:r>
      <w:r>
        <w:rPr>
          <w:rFonts w:hint="eastAsia" w:ascii="仿宋" w:hAnsi="仿宋" w:eastAsia="仿宋" w:cs="仿宋"/>
          <w:color w:val="auto"/>
          <w:sz w:val="24"/>
          <w:highlight w:val="none"/>
        </w:rPr>
        <w:t>合同以总价包干形式，合同暂定总价为：</w:t>
      </w:r>
      <w:r>
        <w:rPr>
          <w:rFonts w:hint="eastAsia" w:ascii="仿宋" w:hAnsi="仿宋" w:eastAsia="仿宋" w:cs="仿宋"/>
          <w:b/>
          <w:color w:val="auto"/>
          <w:sz w:val="24"/>
          <w:highlight w:val="none"/>
          <w:u w:val="single"/>
        </w:rPr>
        <w:t>人民币</w:t>
      </w:r>
      <w:r>
        <w:rPr>
          <w:rFonts w:hint="eastAsia" w:ascii="仿宋" w:hAnsi="仿宋" w:eastAsia="仿宋" w:cs="仿宋"/>
          <w:color w:val="auto"/>
          <w:sz w:val="24"/>
          <w:highlight w:val="none"/>
          <w:u w:val="single"/>
        </w:rPr>
        <w:t xml:space="preserve"> / </w:t>
      </w:r>
      <w:r>
        <w:rPr>
          <w:rFonts w:hint="eastAsia" w:ascii="仿宋" w:hAnsi="仿宋" w:eastAsia="仿宋" w:cs="仿宋"/>
          <w:b/>
          <w:color w:val="auto"/>
          <w:sz w:val="24"/>
          <w:highlight w:val="none"/>
          <w:u w:val="single"/>
        </w:rPr>
        <w:t>元</w:t>
      </w:r>
      <w:r>
        <w:rPr>
          <w:rFonts w:hint="eastAsia" w:ascii="仿宋" w:hAnsi="仿宋" w:eastAsia="仿宋" w:cs="仿宋"/>
          <w:color w:val="auto"/>
          <w:sz w:val="24"/>
          <w:highlight w:val="none"/>
        </w:rPr>
        <w:t>（大写:</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）。经甲方或甲方委托有资质第三方机构审核后，若结算审核价比合同暂定总价低，则以结算审核价作为合同结算价，否则以合同暂定总价为合同结算价。</w:t>
      </w:r>
    </w:p>
    <w:p>
      <w:pPr>
        <w:tabs>
          <w:tab w:val="left" w:pos="851"/>
        </w:tabs>
        <w:adjustRightInd w:val="0"/>
        <w:snapToGrid w:val="0"/>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4.2</w:t>
      </w:r>
      <w:r>
        <w:rPr>
          <w:rFonts w:hint="eastAsia" w:ascii="仿宋" w:hAnsi="仿宋" w:eastAsia="仿宋" w:cs="仿宋"/>
          <w:color w:val="auto"/>
          <w:kern w:val="0"/>
          <w:sz w:val="24"/>
          <w:highlight w:val="none"/>
        </w:rPr>
        <w:t>本合同约定的价格为含税价价格</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税率为  %</w:t>
      </w:r>
      <w:r>
        <w:rPr>
          <w:rFonts w:hint="eastAsia" w:ascii="仿宋" w:hAnsi="仿宋" w:eastAsia="仿宋" w:cs="仿宋"/>
          <w:color w:val="auto"/>
          <w:sz w:val="24"/>
          <w:highlight w:val="none"/>
        </w:rPr>
        <w:t>），合同履行期间国家税率调整或乙方开票的实际税率与前述税率不一致的，不含税价不变，价税合计按实际税率相应调整，以开具发票时间为准。</w:t>
      </w:r>
    </w:p>
    <w:p>
      <w:pPr>
        <w:tabs>
          <w:tab w:val="left" w:pos="851"/>
        </w:tabs>
        <w:adjustRightInd w:val="0"/>
        <w:snapToGrid w:val="0"/>
        <w:spacing w:line="50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4.3因非乙方原因引起工程量报价清单中工程量发生增减，且单个子目工程量变化幅度在25%以内（含）时，按工程量报价清单中列明的子目单价结算。否则，按新增单价执行。</w:t>
      </w:r>
    </w:p>
    <w:p>
      <w:pPr>
        <w:widowControl/>
        <w:tabs>
          <w:tab w:val="left" w:pos="851"/>
        </w:tabs>
        <w:adjustRightInd w:val="0"/>
        <w:snapToGrid w:val="0"/>
        <w:spacing w:line="50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4.4合同中没有适用于变更工程项目的单价的，按新增单价执行。</w:t>
      </w:r>
    </w:p>
    <w:p>
      <w:pPr>
        <w:widowControl/>
        <w:tabs>
          <w:tab w:val="left" w:pos="851"/>
        </w:tabs>
        <w:adjustRightInd w:val="0"/>
        <w:snapToGrid w:val="0"/>
        <w:spacing w:line="50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新增单价计价原则：</w:t>
      </w:r>
    </w:p>
    <w:p>
      <w:pPr>
        <w:widowControl/>
        <w:tabs>
          <w:tab w:val="left" w:pos="851"/>
        </w:tabs>
        <w:adjustRightInd w:val="0"/>
        <w:snapToGrid w:val="0"/>
        <w:spacing w:line="50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widowControl/>
        <w:tabs>
          <w:tab w:val="left" w:pos="851"/>
        </w:tabs>
        <w:adjustRightInd w:val="0"/>
        <w:snapToGrid w:val="0"/>
        <w:spacing w:line="50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2.项目计价材料、设备价格的控制：按以下顺序作为降序优先级依次采用工程开工报告中开工日期当月的下列价格：</w:t>
      </w:r>
    </w:p>
    <w:p>
      <w:pPr>
        <w:widowControl/>
        <w:tabs>
          <w:tab w:val="left" w:pos="851"/>
        </w:tabs>
        <w:adjustRightInd w:val="0"/>
        <w:snapToGrid w:val="0"/>
        <w:spacing w:line="50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（1）《广州地区建设工程常用材料税前综合价格》（下称综合价格）。</w:t>
      </w:r>
    </w:p>
    <w:p>
      <w:pPr>
        <w:widowControl/>
        <w:tabs>
          <w:tab w:val="left" w:pos="851"/>
        </w:tabs>
        <w:adjustRightInd w:val="0"/>
        <w:snapToGrid w:val="0"/>
        <w:spacing w:line="50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（2）《广州地区建设工程材料（设备）厂商价格信息》（下称厂商价格）下浮10-20%。</w:t>
      </w:r>
    </w:p>
    <w:p>
      <w:pPr>
        <w:widowControl/>
        <w:tabs>
          <w:tab w:val="left" w:pos="851"/>
        </w:tabs>
        <w:adjustRightInd w:val="0"/>
        <w:snapToGrid w:val="0"/>
        <w:spacing w:line="50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（3）综合价格、厂商价格中缺项的，采用由北京瑞恒达建筑咨询有限公司提供服务的“慧讯网”中查到的相应材料、设备价格的工程价。</w:t>
      </w:r>
    </w:p>
    <w:p>
      <w:pPr>
        <w:widowControl/>
        <w:tabs>
          <w:tab w:val="left" w:pos="851"/>
        </w:tabs>
        <w:adjustRightInd w:val="0"/>
        <w:snapToGrid w:val="0"/>
        <w:spacing w:line="50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（4）通过市场询价双方协商确定。</w:t>
      </w:r>
    </w:p>
    <w:p>
      <w:pPr>
        <w:widowControl/>
        <w:tabs>
          <w:tab w:val="left" w:pos="851"/>
        </w:tabs>
        <w:adjustRightInd w:val="0"/>
        <w:snapToGrid w:val="0"/>
        <w:spacing w:line="5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3.按1、2组价后下浮5%计取。</w:t>
      </w:r>
    </w:p>
    <w:p>
      <w:pPr>
        <w:widowControl/>
        <w:tabs>
          <w:tab w:val="left" w:pos="851"/>
        </w:tabs>
        <w:adjustRightInd w:val="0"/>
        <w:snapToGrid w:val="0"/>
        <w:spacing w:line="50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第五条 工期及要求</w:t>
      </w:r>
    </w:p>
    <w:p>
      <w:pPr>
        <w:widowControl/>
        <w:spacing w:line="5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5.1开工日期暂定为：</w:t>
      </w:r>
      <w:r>
        <w:rPr>
          <w:rFonts w:hint="eastAsia" w:ascii="仿宋" w:hAnsi="仿宋" w:eastAsia="仿宋" w:cs="仿宋"/>
          <w:color w:val="auto"/>
          <w:sz w:val="24"/>
          <w:highlight w:val="none"/>
          <w:u w:val="single"/>
        </w:rPr>
        <w:t>合同签订后15天内</w:t>
      </w:r>
      <w:r>
        <w:rPr>
          <w:rFonts w:hint="eastAsia" w:ascii="仿宋" w:hAnsi="仿宋" w:eastAsia="仿宋" w:cs="仿宋"/>
          <w:color w:val="auto"/>
          <w:sz w:val="24"/>
          <w:highlight w:val="none"/>
        </w:rPr>
        <w:t>，具体日期以甲方发出的开工报告/</w:t>
      </w:r>
      <w:r>
        <w:rPr>
          <w:rFonts w:hint="eastAsia" w:ascii="仿宋" w:hAnsi="仿宋" w:eastAsia="仿宋" w:cs="仿宋"/>
          <w:color w:val="auto"/>
          <w:sz w:val="24"/>
          <w:highlight w:val="none"/>
          <w:lang w:val="en-US" w:eastAsia="zh-CN"/>
        </w:rPr>
        <w:t>书面</w:t>
      </w:r>
      <w:r>
        <w:rPr>
          <w:rFonts w:hint="eastAsia" w:ascii="仿宋" w:hAnsi="仿宋" w:eastAsia="仿宋" w:cs="仿宋"/>
          <w:color w:val="auto"/>
          <w:sz w:val="24"/>
          <w:highlight w:val="none"/>
        </w:rPr>
        <w:t>通知为准。乙方不能按时开工，应当于开工报告/</w:t>
      </w:r>
      <w:r>
        <w:rPr>
          <w:rFonts w:hint="eastAsia" w:ascii="仿宋" w:hAnsi="仿宋" w:eastAsia="仿宋" w:cs="仿宋"/>
          <w:color w:val="auto"/>
          <w:sz w:val="24"/>
          <w:highlight w:val="none"/>
          <w:lang w:val="en-US" w:eastAsia="zh-CN"/>
        </w:rPr>
        <w:t>书面</w:t>
      </w:r>
      <w:r>
        <w:rPr>
          <w:rFonts w:hint="eastAsia" w:ascii="仿宋" w:hAnsi="仿宋" w:eastAsia="仿宋" w:cs="仿宋"/>
          <w:color w:val="auto"/>
          <w:sz w:val="24"/>
          <w:highlight w:val="none"/>
        </w:rPr>
        <w:t>通知载明的开工日期7天前，以书面形式向甲方提出延期开工的理由。甲方应当在接到延期开工申请后的48小时内以书面形式答复乙方。甲方在接到延期开工申请后48小时内不答复，视为同意乙方要求，工期相应顺延。甲方不同意延期要求或乙方未在规定时间内提出延期开工，工期不予顺延。合同工期</w:t>
      </w:r>
      <w:r>
        <w:rPr>
          <w:rFonts w:hint="eastAsia" w:ascii="仿宋" w:hAnsi="仿宋" w:eastAsia="仿宋" w:cs="仿宋"/>
          <w:color w:val="auto"/>
          <w:sz w:val="24"/>
          <w:highlight w:val="none"/>
          <w:lang w:val="en-US" w:eastAsia="zh-CN"/>
        </w:rPr>
        <w:t>及总日历</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lang w:val="en-US" w:eastAsia="zh-CN"/>
        </w:rPr>
        <w:t>天</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highlight w:val="none"/>
        </w:rPr>
        <w:t>乙方未能按合同工期竣工验收的，每逾期一天，甲方有权要求乙方按合同暂定总价的 1%支付违约金，逾期达到</w:t>
      </w:r>
      <w:r>
        <w:rPr>
          <w:rFonts w:hint="eastAsia" w:ascii="仿宋" w:hAnsi="仿宋" w:eastAsia="仿宋" w:cs="仿宋"/>
          <w:color w:val="auto"/>
          <w:sz w:val="24"/>
          <w:highlight w:val="none"/>
          <w:u w:val="single"/>
        </w:rPr>
        <w:t>30</w:t>
      </w:r>
      <w:r>
        <w:rPr>
          <w:rFonts w:hint="eastAsia" w:ascii="仿宋" w:hAnsi="仿宋" w:eastAsia="仿宋" w:cs="仿宋"/>
          <w:color w:val="auto"/>
          <w:sz w:val="24"/>
          <w:highlight w:val="none"/>
        </w:rPr>
        <w:t>天及以上的，甲方有权解除合同并要求乙方支付</w:t>
      </w:r>
      <w:r>
        <w:rPr>
          <w:rFonts w:hint="eastAsia" w:ascii="仿宋" w:hAnsi="仿宋" w:eastAsia="仿宋" w:cs="仿宋"/>
          <w:color w:val="auto"/>
          <w:sz w:val="24"/>
          <w:highlight w:val="none"/>
          <w:u w:val="single"/>
        </w:rPr>
        <w:t>合同暂定总价的20%</w:t>
      </w:r>
      <w:r>
        <w:rPr>
          <w:rFonts w:hint="eastAsia" w:ascii="仿宋" w:hAnsi="仿宋" w:eastAsia="仿宋" w:cs="仿宋"/>
          <w:color w:val="auto"/>
          <w:sz w:val="24"/>
          <w:highlight w:val="none"/>
        </w:rPr>
        <w:t>作为违约金。</w:t>
      </w:r>
    </w:p>
    <w:p>
      <w:pPr>
        <w:widowControl/>
        <w:spacing w:line="500" w:lineRule="exact"/>
        <w:ind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5.2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合同暂定总价的5%/次作为违约金，超过三次（含三次）的，甲方有权解除合同，要求乙方支付合同暂定总价的20%作为违约金。由此造成的经济和法律责任，均由乙方负责。</w:t>
      </w:r>
    </w:p>
    <w:p>
      <w:pPr>
        <w:widowControl/>
        <w:spacing w:line="500" w:lineRule="exact"/>
        <w:ind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5.3乙方应按合同及甲方提供的技术文件要求进行本项目实施和安装。乙方未经甲方同意，不得将本项目图纸泄露或转给第三人。除乙方存档需要的图纸外，乙方应于项目质量保修期满后</w:t>
      </w:r>
      <w:r>
        <w:rPr>
          <w:rFonts w:hint="eastAsia" w:ascii="仿宋" w:hAnsi="仿宋" w:eastAsia="仿宋" w:cs="仿宋"/>
          <w:bCs/>
          <w:color w:val="auto"/>
          <w:sz w:val="24"/>
          <w:highlight w:val="none"/>
          <w:u w:val="single"/>
        </w:rPr>
        <w:t xml:space="preserve"> 7 </w:t>
      </w:r>
      <w:r>
        <w:rPr>
          <w:rFonts w:hint="eastAsia" w:ascii="仿宋" w:hAnsi="仿宋" w:eastAsia="仿宋" w:cs="仿宋"/>
          <w:bCs/>
          <w:color w:val="auto"/>
          <w:sz w:val="24"/>
          <w:highlight w:val="none"/>
        </w:rPr>
        <w:t>日内将全部图纸退还给甲方。</w:t>
      </w:r>
    </w:p>
    <w:p>
      <w:pPr>
        <w:widowControl/>
        <w:spacing w:line="500" w:lineRule="exact"/>
        <w:ind w:left="1"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5.4合同约定的项目，乙方不得转包、分包。否则，甲方有权单方面终止合同，并令其立即退场，由此而造成的经济损失由乙方负责赔偿。</w:t>
      </w:r>
    </w:p>
    <w:p>
      <w:pPr>
        <w:widowControl/>
        <w:spacing w:line="500" w:lineRule="exact"/>
        <w:ind w:left="1"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5.5乙方不履行合同义务、或履行合同义务不符合合同约定、或违反国家、省、市行业标准的，甲方有权要求乙方限期整改。乙方逾期未完成整改的，每项每超过1日支付违约金人民币1万元，超过7日，甲方有权解除合同并要求乙方支付合同暂定总价的20%作为违约金（如合同另行约定违约责任，从其约定）。</w:t>
      </w:r>
    </w:p>
    <w:p>
      <w:pPr>
        <w:pStyle w:val="14"/>
        <w:spacing w:line="500" w:lineRule="exact"/>
        <w:ind w:firstLine="448" w:firstLineChars="200"/>
        <w:outlineLvl w:val="1"/>
        <w:rPr>
          <w:rFonts w:hint="eastAsia" w:ascii="仿宋" w:hAnsi="仿宋" w:eastAsia="仿宋" w:cs="仿宋"/>
          <w:color w:val="auto"/>
          <w:spacing w:val="-8"/>
          <w:sz w:val="24"/>
          <w:szCs w:val="24"/>
          <w:highlight w:val="none"/>
        </w:rPr>
      </w:pPr>
      <w:r>
        <w:rPr>
          <w:rFonts w:hint="eastAsia" w:ascii="仿宋" w:hAnsi="仿宋" w:eastAsia="仿宋" w:cs="仿宋"/>
          <w:color w:val="auto"/>
          <w:spacing w:val="-8"/>
          <w:sz w:val="24"/>
          <w:szCs w:val="24"/>
          <w:highlight w:val="none"/>
        </w:rPr>
        <w:t>5.6乙方不得随意更换项目负责人及附件</w:t>
      </w:r>
      <w:r>
        <w:rPr>
          <w:rFonts w:hint="eastAsia" w:ascii="仿宋" w:hAnsi="仿宋" w:eastAsia="仿宋" w:cs="仿宋"/>
          <w:color w:val="auto"/>
          <w:spacing w:val="-8"/>
          <w:sz w:val="24"/>
          <w:szCs w:val="24"/>
          <w:highlight w:val="none"/>
          <w:lang w:val="en-US" w:eastAsia="zh-CN"/>
        </w:rPr>
        <w:t>5</w:t>
      </w:r>
      <w:r>
        <w:rPr>
          <w:rFonts w:hint="eastAsia" w:ascii="仿宋" w:hAnsi="仿宋" w:eastAsia="仿宋" w:cs="仿宋"/>
          <w:color w:val="auto"/>
          <w:spacing w:val="-8"/>
          <w:sz w:val="24"/>
          <w:szCs w:val="24"/>
          <w:highlight w:val="none"/>
        </w:rPr>
        <w:t>中的相关人员</w:t>
      </w:r>
      <w:r>
        <w:rPr>
          <w:rFonts w:hint="eastAsia" w:ascii="仿宋" w:hAnsi="仿宋" w:eastAsia="仿宋" w:cs="仿宋"/>
          <w:color w:val="auto"/>
          <w:spacing w:val="-8"/>
          <w:sz w:val="24"/>
          <w:szCs w:val="24"/>
          <w:highlight w:val="none"/>
          <w:lang w:eastAsia="zh-CN"/>
        </w:rPr>
        <w:t>（</w:t>
      </w:r>
      <w:r>
        <w:rPr>
          <w:rFonts w:hint="eastAsia" w:ascii="仿宋" w:hAnsi="仿宋" w:eastAsia="仿宋" w:cs="仿宋"/>
          <w:color w:val="auto"/>
          <w:spacing w:val="-8"/>
          <w:sz w:val="24"/>
          <w:szCs w:val="24"/>
          <w:highlight w:val="none"/>
          <w:lang w:val="en-US" w:eastAsia="zh-CN"/>
        </w:rPr>
        <w:t>人员名单应与乙方在响应文件中所载明人员一致</w:t>
      </w:r>
      <w:r>
        <w:rPr>
          <w:rFonts w:hint="eastAsia" w:ascii="仿宋" w:hAnsi="仿宋" w:eastAsia="仿宋" w:cs="仿宋"/>
          <w:color w:val="auto"/>
          <w:spacing w:val="-8"/>
          <w:sz w:val="24"/>
          <w:szCs w:val="24"/>
          <w:highlight w:val="none"/>
          <w:lang w:eastAsia="zh-CN"/>
        </w:rPr>
        <w:t>）</w:t>
      </w:r>
      <w:r>
        <w:rPr>
          <w:rFonts w:hint="eastAsia" w:ascii="仿宋" w:hAnsi="仿宋" w:eastAsia="仿宋" w:cs="仿宋"/>
          <w:color w:val="auto"/>
          <w:spacing w:val="-8"/>
          <w:sz w:val="24"/>
          <w:szCs w:val="24"/>
          <w:highlight w:val="none"/>
        </w:rPr>
        <w:t>，如确须更换，应提前征得甲方同意。如有违反，甲方有权解除合同并要求乙方支付</w:t>
      </w:r>
      <w:r>
        <w:rPr>
          <w:rFonts w:hint="eastAsia" w:ascii="仿宋" w:hAnsi="仿宋" w:eastAsia="仿宋" w:cs="仿宋"/>
          <w:color w:val="auto"/>
          <w:spacing w:val="-8"/>
          <w:sz w:val="24"/>
          <w:szCs w:val="24"/>
          <w:highlight w:val="none"/>
          <w:u w:val="single"/>
        </w:rPr>
        <w:t>5000元/人次</w:t>
      </w:r>
      <w:r>
        <w:rPr>
          <w:rFonts w:hint="eastAsia" w:ascii="仿宋" w:hAnsi="仿宋" w:eastAsia="仿宋" w:cs="仿宋"/>
          <w:color w:val="auto"/>
          <w:spacing w:val="-8"/>
          <w:sz w:val="24"/>
          <w:szCs w:val="24"/>
          <w:highlight w:val="none"/>
        </w:rPr>
        <w:t xml:space="preserve">作为违约金，以及赔偿由此造成的一切损失(包含质量安全事故、工期延误、增加投资等)。   </w:t>
      </w:r>
    </w:p>
    <w:p>
      <w:pPr>
        <w:widowControl/>
        <w:spacing w:line="500" w:lineRule="exact"/>
        <w:ind w:left="1" w:firstLine="448" w:firstLineChars="200"/>
        <w:jc w:val="left"/>
        <w:rPr>
          <w:rFonts w:hint="eastAsia" w:ascii="仿宋" w:hAnsi="仿宋" w:eastAsia="仿宋" w:cs="仿宋"/>
          <w:color w:val="auto"/>
          <w:spacing w:val="-8"/>
          <w:sz w:val="24"/>
          <w:szCs w:val="24"/>
          <w:highlight w:val="none"/>
        </w:rPr>
      </w:pPr>
      <w:r>
        <w:rPr>
          <w:rFonts w:hint="eastAsia" w:ascii="仿宋" w:hAnsi="仿宋" w:eastAsia="仿宋" w:cs="仿宋"/>
          <w:bCs/>
          <w:color w:val="auto"/>
          <w:spacing w:val="-8"/>
          <w:sz w:val="24"/>
          <w:szCs w:val="24"/>
          <w:highlight w:val="none"/>
        </w:rPr>
        <w:t>5.7施工过程中，项目负责人应驻场管理，否则甲方有权要求乙方支付违约</w:t>
      </w:r>
      <w:r>
        <w:rPr>
          <w:rFonts w:hint="eastAsia" w:ascii="仿宋" w:hAnsi="仿宋" w:eastAsia="仿宋" w:cs="仿宋"/>
          <w:bCs/>
          <w:color w:val="auto"/>
          <w:spacing w:val="-8"/>
          <w:sz w:val="24"/>
          <w:szCs w:val="24"/>
          <w:highlight w:val="none"/>
          <w:u w:val="single"/>
        </w:rPr>
        <w:t xml:space="preserve"> 1000元/天</w:t>
      </w:r>
      <w:r>
        <w:rPr>
          <w:rFonts w:hint="eastAsia" w:ascii="仿宋" w:hAnsi="仿宋" w:eastAsia="仿宋" w:cs="仿宋"/>
          <w:bCs/>
          <w:color w:val="auto"/>
          <w:spacing w:val="-8"/>
          <w:sz w:val="24"/>
          <w:szCs w:val="24"/>
          <w:highlight w:val="none"/>
        </w:rPr>
        <w:t>，因此造成损失的，按实际发生额赔偿。</w:t>
      </w:r>
    </w:p>
    <w:p>
      <w:pPr>
        <w:widowControl/>
        <w:spacing w:line="500" w:lineRule="exact"/>
        <w:ind w:left="1" w:firstLine="448" w:firstLineChars="200"/>
        <w:jc w:val="left"/>
        <w:rPr>
          <w:rFonts w:hint="eastAsia" w:ascii="仿宋" w:hAnsi="仿宋" w:eastAsia="仿宋" w:cs="仿宋"/>
          <w:color w:val="auto"/>
          <w:spacing w:val="-8"/>
          <w:sz w:val="24"/>
          <w:szCs w:val="24"/>
          <w:highlight w:val="none"/>
        </w:rPr>
      </w:pPr>
      <w:r>
        <w:rPr>
          <w:rFonts w:hint="eastAsia" w:ascii="仿宋" w:hAnsi="仿宋" w:eastAsia="仿宋" w:cs="仿宋"/>
          <w:color w:val="auto"/>
          <w:spacing w:val="-8"/>
          <w:sz w:val="24"/>
          <w:szCs w:val="24"/>
          <w:highlight w:val="none"/>
        </w:rPr>
        <w:t>5.8施工过程中，乙方应负责配备现场的应急物资。具体应急物资配备详见附件应急救援物资清单。</w:t>
      </w:r>
    </w:p>
    <w:p>
      <w:pPr>
        <w:widowControl/>
        <w:spacing w:line="500" w:lineRule="exact"/>
        <w:ind w:left="1" w:firstLine="448"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pacing w:val="-8"/>
          <w:sz w:val="24"/>
          <w:szCs w:val="24"/>
          <w:highlight w:val="none"/>
        </w:rPr>
        <w:t>5.9</w:t>
      </w:r>
      <w:r>
        <w:rPr>
          <w:rFonts w:hint="eastAsia" w:ascii="仿宋" w:hAnsi="仿宋" w:eastAsia="仿宋" w:cs="仿宋"/>
          <w:color w:val="auto"/>
          <w:sz w:val="24"/>
          <w:szCs w:val="24"/>
          <w:highlight w:val="none"/>
          <w:lang w:val="en-US" w:eastAsia="zh-CN"/>
        </w:rPr>
        <w:t>在合同有效期内，乙方自愿接受甲方按《营运项目承包单位日常履约考评参照表（安全）》《</w:t>
      </w:r>
      <w:r>
        <w:rPr>
          <w:rFonts w:hint="eastAsia" w:ascii="仿宋" w:hAnsi="仿宋" w:eastAsia="仿宋" w:cs="仿宋"/>
          <w:color w:val="auto"/>
          <w:sz w:val="24"/>
          <w:szCs w:val="24"/>
          <w:highlight w:val="none"/>
        </w:rPr>
        <w:t>营运项目承包单位综合履约考评表（安全）</w:t>
      </w:r>
      <w:r>
        <w:rPr>
          <w:rFonts w:hint="eastAsia" w:ascii="仿宋" w:hAnsi="仿宋" w:eastAsia="仿宋" w:cs="仿宋"/>
          <w:color w:val="auto"/>
          <w:sz w:val="24"/>
          <w:szCs w:val="24"/>
          <w:highlight w:val="none"/>
          <w:lang w:val="en-US" w:eastAsia="zh-CN"/>
        </w:rPr>
        <w:t>》处理，具体处理标准详见附件6、7。</w:t>
      </w:r>
    </w:p>
    <w:p>
      <w:pPr>
        <w:widowControl/>
        <w:spacing w:line="500" w:lineRule="exact"/>
        <w:ind w:left="1" w:firstLine="480" w:firstLineChars="200"/>
        <w:jc w:val="left"/>
        <w:rPr>
          <w:rFonts w:hint="eastAsia" w:ascii="仿宋" w:hAnsi="仿宋" w:eastAsia="仿宋" w:cs="仿宋"/>
          <w:color w:val="auto"/>
          <w:sz w:val="24"/>
          <w:szCs w:val="24"/>
          <w:highlight w:val="none"/>
          <w:lang w:val="en-US" w:eastAsia="zh-CN"/>
        </w:rPr>
      </w:pPr>
    </w:p>
    <w:p>
      <w:pPr>
        <w:spacing w:line="5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第六条 实施条件及管理要求</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6.2施工用水用电采用以下</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方式执行。</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（1）由甲方提供施工用水用电接口，水电费按合同综合单价水电含量计算，从甲方支付的工程款中直接扣回。</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（2）由甲方提供施工用水用电接口，费用按</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（月/项）目结算，由乙方向甲方或甲方下辖分公司/子公司支付。水电费用按所属供电局、自来水公司收费标准，按实计算。</w:t>
      </w:r>
    </w:p>
    <w:p>
      <w:pPr>
        <w:pStyle w:val="29"/>
        <w:spacing w:line="500" w:lineRule="exact"/>
        <w:ind w:firstLine="480" w:firstLineChars="200"/>
        <w:rPr>
          <w:rFonts w:hint="eastAsia" w:ascii="仿宋" w:hAnsi="仿宋" w:eastAsia="仿宋" w:cs="仿宋"/>
          <w:color w:val="auto"/>
          <w:kern w:val="2"/>
          <w:szCs w:val="20"/>
          <w:highlight w:val="none"/>
        </w:rPr>
      </w:pPr>
      <w:r>
        <w:rPr>
          <w:rFonts w:hint="eastAsia" w:ascii="仿宋" w:hAnsi="仿宋" w:eastAsia="仿宋" w:cs="仿宋"/>
          <w:color w:val="auto"/>
          <w:kern w:val="2"/>
          <w:szCs w:val="20"/>
          <w:highlight w:val="none"/>
        </w:rPr>
        <w:t>（3）由乙方自行负责。</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6.3施工时间安排：上午7：00-12：00，下午14：00-18：00，施工时间如需变动，以甲方的书面或口头通知为准。</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6.4进场施工人员必须严格遵守</w:t>
      </w:r>
      <w:r>
        <w:rPr>
          <w:rFonts w:hint="eastAsia" w:ascii="仿宋" w:hAnsi="仿宋" w:eastAsia="仿宋" w:cs="仿宋"/>
          <w:color w:val="auto"/>
          <w:kern w:val="10"/>
          <w:sz w:val="24"/>
          <w:highlight w:val="none"/>
        </w:rPr>
        <w:t>污水处理厂</w:t>
      </w:r>
      <w:r>
        <w:rPr>
          <w:rFonts w:hint="eastAsia" w:ascii="仿宋" w:hAnsi="仿宋" w:eastAsia="仿宋" w:cs="仿宋"/>
          <w:color w:val="auto"/>
          <w:sz w:val="24"/>
          <w:highlight w:val="none"/>
        </w:rPr>
        <w:t>一切规章制度。进入施工现场人员必须佩戴出入证，并自觉接受门岗检查。</w:t>
      </w:r>
    </w:p>
    <w:p>
      <w:pPr>
        <w:snapToGrid w:val="0"/>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6.5环境保护要求：</w:t>
      </w:r>
    </w:p>
    <w:p>
      <w:pPr>
        <w:snapToGrid w:val="0"/>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（1）做好施工噪声、废气、废水等控制；</w:t>
      </w:r>
    </w:p>
    <w:p>
      <w:pPr>
        <w:snapToGrid w:val="0"/>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（2）按照国家及广州市相关规定做好建筑垃圾的处理。</w:t>
      </w:r>
    </w:p>
    <w:p>
      <w:pPr>
        <w:snapToGrid w:val="0"/>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6.6</w:t>
      </w:r>
      <w:r>
        <w:rPr>
          <w:rFonts w:hint="eastAsia" w:ascii="仿宋" w:hAnsi="仿宋" w:eastAsia="仿宋" w:cs="仿宋"/>
          <w:color w:val="auto"/>
          <w:sz w:val="24"/>
          <w:highlight w:val="none"/>
        </w:rPr>
        <w:t>本项目开展期间，</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必须整理好本项目的所有的技术资料，不限于项目安装图、设备说明书、电气布局图等。项目竣工后，</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将所有关于本项目的技术资料整理好并交至</w:t>
      </w:r>
      <w:r>
        <w:rPr>
          <w:rFonts w:hint="eastAsia" w:ascii="仿宋" w:hAnsi="仿宋" w:eastAsia="仿宋" w:cs="仿宋"/>
          <w:color w:val="auto"/>
          <w:sz w:val="24"/>
          <w:highlight w:val="none"/>
          <w:lang w:val="en-US" w:eastAsia="zh-CN"/>
        </w:rPr>
        <w:t>甲方</w:t>
      </w:r>
      <w:r>
        <w:rPr>
          <w:rFonts w:hint="eastAsia" w:ascii="仿宋" w:hAnsi="仿宋" w:eastAsia="仿宋" w:cs="仿宋"/>
          <w:color w:val="auto"/>
          <w:sz w:val="24"/>
          <w:highlight w:val="none"/>
        </w:rPr>
        <w:t>。</w:t>
      </w:r>
    </w:p>
    <w:p>
      <w:pPr>
        <w:snapToGrid w:val="0"/>
        <w:spacing w:line="500" w:lineRule="exact"/>
        <w:ind w:firstLine="480" w:firstLineChars="200"/>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lang w:val="en-US" w:eastAsia="zh-CN"/>
        </w:rPr>
        <w:t>6.7本项目完成后，乙方要将设备使用密码交至甲方。</w:t>
      </w:r>
    </w:p>
    <w:p>
      <w:pPr>
        <w:snapToGrid w:val="0"/>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6.8</w:t>
      </w:r>
      <w:r>
        <w:rPr>
          <w:rFonts w:hint="eastAsia" w:ascii="仿宋" w:hAnsi="仿宋" w:eastAsia="仿宋" w:cs="仿宋"/>
          <w:color w:val="auto"/>
          <w:sz w:val="24"/>
          <w:highlight w:val="none"/>
        </w:rPr>
        <w:t>项目完成后，</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要完成系统详细使用说明并交至</w:t>
      </w:r>
      <w:r>
        <w:rPr>
          <w:rFonts w:hint="eastAsia" w:ascii="仿宋" w:hAnsi="仿宋" w:eastAsia="仿宋" w:cs="仿宋"/>
          <w:color w:val="auto"/>
          <w:sz w:val="24"/>
          <w:highlight w:val="none"/>
          <w:lang w:val="en-US" w:eastAsia="zh-CN"/>
        </w:rPr>
        <w:t>甲方</w:t>
      </w:r>
      <w:r>
        <w:rPr>
          <w:rFonts w:hint="eastAsia" w:ascii="仿宋" w:hAnsi="仿宋" w:eastAsia="仿宋" w:cs="仿宋"/>
          <w:color w:val="auto"/>
          <w:sz w:val="24"/>
          <w:highlight w:val="none"/>
        </w:rPr>
        <w:t>。</w:t>
      </w:r>
    </w:p>
    <w:p>
      <w:pPr>
        <w:snapToGrid w:val="0"/>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按相关法律法规及甲方相关作业施工管理要求执行。</w:t>
      </w:r>
    </w:p>
    <w:p>
      <w:pPr>
        <w:pStyle w:val="14"/>
        <w:spacing w:line="500" w:lineRule="exact"/>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b/>
          <w:bCs/>
          <w:color w:val="auto"/>
          <w:sz w:val="24"/>
          <w:szCs w:val="24"/>
          <w:highlight w:val="none"/>
        </w:rPr>
        <w:t>第七条 材料及设备供应</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本项目承包范围内所需的设备材料、成品、未成品、运输、保管、质量等责任均由乙方承担。甲方不提供材料。</w:t>
      </w:r>
    </w:p>
    <w:p>
      <w:pPr>
        <w:spacing w:line="500" w:lineRule="exact"/>
        <w:ind w:left="-2" w:leftChars="-1"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7.1采购供应的材料、其名称、品种、型号、规格、质量等，均应符合国家、地方及行业有关规范及要求。</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7.2所有材料必须具备合格证明，并保证产品的有效性。</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7.3由于乙方提供的伪劣、假冒等所有不合格材料而导致的损失、事故及一切后果，均由乙方负责并赔偿甲方所有损失，并负责更换所有已施工的不合格材料。</w:t>
      </w:r>
    </w:p>
    <w:p>
      <w:pPr>
        <w:tabs>
          <w:tab w:val="left" w:pos="360"/>
        </w:tabs>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7.4乙方必须根据投标文件/询价响应文件（如有）上主要材料的明细（包括厂家、规格、品质等级等）提供材料。工程实施时，如发现材料不一致，甲方有权拒用，造成损失由乙方承担。</w:t>
      </w:r>
    </w:p>
    <w:p>
      <w:pPr>
        <w:spacing w:line="500" w:lineRule="exact"/>
        <w:ind w:left="-2" w:leftChars="-1"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7.5 甲方有权对施工质量进行监督、检查或检验，也可自行委托第三方进行质量检验，甲方或第三方的检验结果作为最终的质量评定结果。</w:t>
      </w:r>
    </w:p>
    <w:p>
      <w:pPr>
        <w:spacing w:line="500" w:lineRule="exact"/>
        <w:ind w:left="-2" w:leftChars="-1"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7.6 承包范围之内工程所用之设备，由乙方提供。</w:t>
      </w:r>
    </w:p>
    <w:p>
      <w:pPr>
        <w:spacing w:line="500" w:lineRule="exact"/>
        <w:ind w:left="-2" w:leftChars="-1" w:firstLine="480" w:firstLineChars="200"/>
        <w:rPr>
          <w:rFonts w:hint="default" w:ascii="仿宋" w:hAnsi="仿宋" w:eastAsia="仿宋" w:cs="仿宋"/>
          <w:color w:val="auto"/>
          <w:sz w:val="24"/>
          <w:highlight w:val="none"/>
          <w:lang w:val="en-US" w:eastAsia="zh-CN"/>
        </w:rPr>
      </w:pPr>
    </w:p>
    <w:p>
      <w:pPr>
        <w:spacing w:line="500" w:lineRule="exact"/>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第八条 付</w:t>
      </w:r>
      <w:r>
        <w:rPr>
          <w:rFonts w:hint="eastAsia" w:ascii="仿宋" w:hAnsi="仿宋" w:eastAsia="仿宋" w:cs="仿宋"/>
          <w:b/>
          <w:color w:val="auto"/>
          <w:sz w:val="24"/>
          <w:highlight w:val="none"/>
        </w:rPr>
        <w:t>款及履约担保</w:t>
      </w:r>
    </w:p>
    <w:p>
      <w:pPr>
        <w:spacing w:line="500" w:lineRule="exact"/>
        <w:ind w:firstLine="480" w:firstLineChars="200"/>
        <w:rPr>
          <w:rFonts w:hint="eastAsia" w:ascii="仿宋" w:hAnsi="仿宋" w:eastAsia="仿宋" w:cs="仿宋"/>
          <w:bCs/>
          <w:color w:val="auto"/>
          <w:sz w:val="24"/>
          <w:highlight w:val="none"/>
          <w:u w:val="single"/>
        </w:rPr>
      </w:pPr>
      <w:r>
        <w:rPr>
          <w:rFonts w:hint="eastAsia" w:ascii="仿宋" w:hAnsi="仿宋" w:eastAsia="仿宋" w:cs="仿宋"/>
          <w:color w:val="auto"/>
          <w:sz w:val="24"/>
          <w:highlight w:val="none"/>
        </w:rPr>
        <w:t>8.1</w:t>
      </w:r>
      <w:r>
        <w:rPr>
          <w:rFonts w:hint="eastAsia" w:ascii="仿宋" w:hAnsi="仿宋" w:eastAsia="仿宋" w:cs="仿宋"/>
          <w:bCs/>
          <w:color w:val="auto"/>
          <w:sz w:val="24"/>
          <w:highlight w:val="none"/>
        </w:rPr>
        <w:t>预付款的支付：</w:t>
      </w:r>
      <w:r>
        <w:rPr>
          <w:rFonts w:hint="eastAsia" w:ascii="仿宋" w:hAnsi="仿宋" w:eastAsia="仿宋" w:cs="仿宋"/>
          <w:b/>
          <w:color w:val="auto"/>
          <w:sz w:val="24"/>
          <w:highlight w:val="none"/>
        </w:rPr>
        <w:sym w:font="Wingdings" w:char="00A8"/>
      </w:r>
      <w:r>
        <w:rPr>
          <w:rFonts w:hint="eastAsia" w:ascii="仿宋" w:hAnsi="仿宋" w:eastAsia="仿宋" w:cs="仿宋"/>
          <w:bCs/>
          <w:color w:val="auto"/>
          <w:sz w:val="24"/>
          <w:highlight w:val="none"/>
        </w:rPr>
        <w:t xml:space="preserve">无； </w:t>
      </w:r>
      <w:r>
        <w:rPr>
          <w:rFonts w:hint="eastAsia" w:ascii="仿宋" w:hAnsi="仿宋" w:eastAsia="仿宋" w:cs="仿宋"/>
          <w:b/>
          <w:bCs/>
          <w:color w:val="auto"/>
          <w:sz w:val="24"/>
          <w:highlight w:val="none"/>
        </w:rPr>
        <w:sym w:font="Wingdings 2" w:char="0052"/>
      </w:r>
      <w:r>
        <w:rPr>
          <w:rFonts w:hint="eastAsia" w:ascii="仿宋" w:hAnsi="仿宋" w:eastAsia="仿宋" w:cs="仿宋"/>
          <w:bCs/>
          <w:color w:val="auto"/>
          <w:sz w:val="24"/>
          <w:highlight w:val="none"/>
        </w:rPr>
        <w:t>有</w:t>
      </w:r>
      <w:r>
        <w:rPr>
          <w:rFonts w:hint="eastAsia" w:ascii="仿宋" w:hAnsi="仿宋" w:eastAsia="仿宋" w:cs="仿宋"/>
          <w:b/>
          <w:color w:val="auto"/>
          <w:sz w:val="24"/>
          <w:highlight w:val="none"/>
        </w:rPr>
        <w:t xml:space="preserve"> </w:t>
      </w:r>
      <w:r>
        <w:rPr>
          <w:rFonts w:hint="eastAsia" w:ascii="仿宋" w:hAnsi="仿宋" w:eastAsia="仿宋" w:cs="仿宋"/>
          <w:bCs/>
          <w:color w:val="auto"/>
          <w:sz w:val="24"/>
          <w:highlight w:val="none"/>
        </w:rPr>
        <w:t>合同签订后，乙方开具等额的增值税专用发票及甲方审批开工报告后</w:t>
      </w:r>
      <w:r>
        <w:rPr>
          <w:rFonts w:hint="eastAsia" w:ascii="仿宋" w:hAnsi="仿宋" w:eastAsia="仿宋" w:cs="仿宋"/>
          <w:bCs/>
          <w:color w:val="auto"/>
          <w:sz w:val="24"/>
          <w:highlight w:val="none"/>
          <w:u w:val="single"/>
        </w:rPr>
        <w:t xml:space="preserve"> 10 </w:t>
      </w:r>
      <w:r>
        <w:rPr>
          <w:rFonts w:hint="eastAsia" w:ascii="仿宋" w:hAnsi="仿宋" w:eastAsia="仿宋" w:cs="仿宋"/>
          <w:bCs/>
          <w:color w:val="auto"/>
          <w:sz w:val="24"/>
          <w:highlight w:val="none"/>
        </w:rPr>
        <w:t>个工作日内，甲方支付合同</w:t>
      </w:r>
      <w:r>
        <w:rPr>
          <w:rFonts w:hint="eastAsia" w:ascii="仿宋" w:hAnsi="仿宋" w:eastAsia="仿宋" w:cs="仿宋"/>
          <w:color w:val="auto"/>
          <w:sz w:val="24"/>
          <w:highlight w:val="none"/>
        </w:rPr>
        <w:t>暂定总价</w:t>
      </w:r>
      <w:r>
        <w:rPr>
          <w:rFonts w:hint="eastAsia" w:ascii="仿宋" w:hAnsi="仿宋" w:eastAsia="仿宋" w:cs="仿宋"/>
          <w:bCs/>
          <w:color w:val="auto"/>
          <w:sz w:val="24"/>
          <w:highlight w:val="none"/>
        </w:rPr>
        <w:t>的</w:t>
      </w:r>
      <w:r>
        <w:rPr>
          <w:rFonts w:hint="eastAsia" w:ascii="仿宋" w:hAnsi="仿宋" w:eastAsia="仿宋" w:cs="仿宋"/>
          <w:bCs/>
          <w:color w:val="auto"/>
          <w:sz w:val="24"/>
          <w:highlight w:val="none"/>
          <w:u w:val="single"/>
        </w:rPr>
        <w:t>30%</w:t>
      </w:r>
      <w:r>
        <w:rPr>
          <w:rFonts w:hint="eastAsia" w:ascii="仿宋" w:hAnsi="仿宋" w:eastAsia="仿宋" w:cs="仿宋"/>
          <w:color w:val="auto"/>
          <w:sz w:val="24"/>
          <w:highlight w:val="none"/>
        </w:rPr>
        <w:t>即</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作为预付款。</w:t>
      </w:r>
      <w:r>
        <w:rPr>
          <w:rFonts w:hint="eastAsia" w:ascii="仿宋" w:hAnsi="仿宋" w:eastAsia="仿宋" w:cs="仿宋"/>
          <w:color w:val="auto"/>
          <w:sz w:val="24"/>
          <w:highlight w:val="none"/>
        </w:rPr>
        <w:t>若合同解除或终止，乙方在</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个工作日内返还预付款（无息）。</w:t>
      </w:r>
      <w:r>
        <w:rPr>
          <w:rFonts w:hint="eastAsia" w:ascii="仿宋" w:hAnsi="仿宋" w:eastAsia="仿宋" w:cs="仿宋"/>
          <w:bCs/>
          <w:color w:val="auto"/>
          <w:kern w:val="0"/>
          <w:sz w:val="24"/>
          <w:highlight w:val="none"/>
        </w:rPr>
        <w:t>逾期未返还，每逾期一天，乙方应按合同暂定总价的</w:t>
      </w:r>
      <w:r>
        <w:rPr>
          <w:rFonts w:hint="eastAsia" w:ascii="仿宋" w:hAnsi="仿宋" w:eastAsia="仿宋" w:cs="仿宋"/>
          <w:bCs/>
          <w:color w:val="auto"/>
          <w:kern w:val="0"/>
          <w:sz w:val="24"/>
          <w:highlight w:val="none"/>
          <w:u w:val="single"/>
        </w:rPr>
        <w:t>万分之五/天</w:t>
      </w:r>
      <w:r>
        <w:rPr>
          <w:rFonts w:hint="eastAsia" w:ascii="仿宋" w:hAnsi="仿宋" w:eastAsia="仿宋" w:cs="仿宋"/>
          <w:bCs/>
          <w:color w:val="auto"/>
          <w:kern w:val="0"/>
          <w:sz w:val="24"/>
          <w:highlight w:val="none"/>
        </w:rPr>
        <w:t>支付违约金</w:t>
      </w:r>
      <w:r>
        <w:rPr>
          <w:rFonts w:hint="eastAsia" w:ascii="仿宋" w:hAnsi="仿宋" w:eastAsia="仿宋" w:cs="仿宋"/>
          <w:color w:val="auto"/>
          <w:sz w:val="24"/>
          <w:highlight w:val="none"/>
        </w:rPr>
        <w:t>。</w:t>
      </w:r>
    </w:p>
    <w:p>
      <w:pPr>
        <w:pStyle w:val="14"/>
        <w:spacing w:line="500" w:lineRule="exact"/>
        <w:ind w:firstLine="480" w:firstLineChars="200"/>
        <w:outlineLvl w:val="1"/>
        <w:rPr>
          <w:rFonts w:hint="default" w:ascii="仿宋" w:hAnsi="仿宋" w:eastAsia="仿宋" w:cs="仿宋"/>
          <w:color w:val="auto"/>
          <w:sz w:val="24"/>
          <w:highlight w:val="none"/>
          <w:u w:val="single"/>
          <w:lang w:val="en-US" w:eastAsia="zh-CN"/>
        </w:rPr>
      </w:pPr>
      <w:r>
        <w:rPr>
          <w:rFonts w:hint="eastAsia" w:ascii="仿宋" w:hAnsi="仿宋" w:eastAsia="仿宋" w:cs="仿宋"/>
          <w:color w:val="auto"/>
          <w:sz w:val="24"/>
          <w:szCs w:val="24"/>
          <w:highlight w:val="none"/>
        </w:rPr>
        <w:t>8.2</w:t>
      </w:r>
      <w:r>
        <w:rPr>
          <w:rFonts w:hint="eastAsia" w:ascii="仿宋" w:hAnsi="仿宋" w:eastAsia="仿宋" w:cs="仿宋"/>
          <w:color w:val="auto"/>
          <w:sz w:val="24"/>
          <w:szCs w:val="24"/>
          <w:highlight w:val="none"/>
          <w:lang w:val="en-US" w:eastAsia="zh-CN"/>
        </w:rPr>
        <w:t>全部</w:t>
      </w:r>
      <w:r>
        <w:rPr>
          <w:rFonts w:hint="eastAsia" w:ascii="仿宋" w:hAnsi="仿宋" w:eastAsia="仿宋" w:cs="仿宋"/>
          <w:color w:val="auto"/>
          <w:sz w:val="24"/>
          <w:szCs w:val="24"/>
          <w:highlight w:val="none"/>
        </w:rPr>
        <w:t>项目验收合格后，由乙方提交申请支付资料 15 个工作日内，甲方支付至合同暂定总价的</w:t>
      </w:r>
      <w:r>
        <w:rPr>
          <w:rFonts w:hint="eastAsia" w:ascii="仿宋" w:hAnsi="仿宋" w:eastAsia="仿宋" w:cs="仿宋"/>
          <w:color w:val="auto"/>
          <w:sz w:val="24"/>
          <w:szCs w:val="24"/>
          <w:highlight w:val="none"/>
          <w:u w:val="single"/>
          <w:lang w:val="en-US" w:eastAsia="zh-CN"/>
        </w:rPr>
        <w:t>80%即人民币       元给乙方。</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8.2.1</w:t>
      </w:r>
      <w:r>
        <w:rPr>
          <w:rFonts w:hint="eastAsia" w:ascii="仿宋" w:hAnsi="仿宋" w:eastAsia="仿宋" w:cs="仿宋"/>
          <w:color w:val="auto"/>
          <w:sz w:val="24"/>
          <w:highlight w:val="none"/>
          <w:lang w:val="en-US" w:eastAsia="zh-CN"/>
        </w:rPr>
        <w:t>全部</w:t>
      </w:r>
      <w:r>
        <w:rPr>
          <w:rFonts w:hint="eastAsia" w:ascii="仿宋" w:hAnsi="仿宋" w:eastAsia="仿宋" w:cs="仿宋"/>
          <w:color w:val="auto"/>
          <w:sz w:val="24"/>
          <w:highlight w:val="none"/>
        </w:rPr>
        <w:t>项目验收合</w:t>
      </w:r>
      <w:r>
        <w:rPr>
          <w:rFonts w:hint="eastAsia" w:ascii="仿宋" w:hAnsi="仿宋" w:eastAsia="仿宋" w:cs="仿宋"/>
          <w:color w:val="auto"/>
          <w:sz w:val="24"/>
          <w:highlight w:val="none"/>
          <w:lang w:val="en-US" w:eastAsia="zh-CN"/>
        </w:rPr>
        <w:t>格</w:t>
      </w:r>
      <w:r>
        <w:rPr>
          <w:rFonts w:hint="eastAsia" w:ascii="仿宋" w:hAnsi="仿宋" w:eastAsia="仿宋" w:cs="仿宋"/>
          <w:color w:val="auto"/>
          <w:sz w:val="24"/>
          <w:highlight w:val="none"/>
        </w:rPr>
        <w:t>后，经甲方或甲方委托有资质第三方机构审核后，由乙方提交申请支付资料</w:t>
      </w:r>
      <w:r>
        <w:rPr>
          <w:rFonts w:hint="eastAsia" w:ascii="仿宋" w:hAnsi="仿宋" w:eastAsia="仿宋" w:cs="仿宋"/>
          <w:color w:val="auto"/>
          <w:sz w:val="24"/>
          <w:highlight w:val="none"/>
          <w:u w:val="single"/>
        </w:rPr>
        <w:t>15</w:t>
      </w:r>
      <w:r>
        <w:rPr>
          <w:rFonts w:hint="eastAsia" w:ascii="仿宋" w:hAnsi="仿宋" w:eastAsia="仿宋" w:cs="仿宋"/>
          <w:color w:val="auto"/>
          <w:sz w:val="24"/>
          <w:highlight w:val="none"/>
        </w:rPr>
        <w:t>个工作日内，甲方支付至合同结算价的</w:t>
      </w:r>
      <w:r>
        <w:rPr>
          <w:rFonts w:hint="eastAsia" w:ascii="仿宋" w:hAnsi="仿宋" w:eastAsia="仿宋" w:cs="仿宋"/>
          <w:color w:val="auto"/>
          <w:sz w:val="24"/>
          <w:highlight w:val="none"/>
          <w:lang w:val="en-US" w:eastAsia="zh-CN"/>
        </w:rPr>
        <w:t>95</w:t>
      </w:r>
      <w:r>
        <w:rPr>
          <w:rFonts w:hint="eastAsia" w:ascii="仿宋" w:hAnsi="仿宋" w:eastAsia="仿宋" w:cs="仿宋"/>
          <w:color w:val="auto"/>
          <w:sz w:val="24"/>
          <w:highlight w:val="none"/>
        </w:rPr>
        <w:t>%。</w:t>
      </w:r>
    </w:p>
    <w:p>
      <w:pPr>
        <w:spacing w:line="500" w:lineRule="exact"/>
        <w:ind w:firstLine="480" w:firstLineChars="200"/>
        <w:outlineLvl w:val="9"/>
        <w:rPr>
          <w:rFonts w:hint="eastAsia" w:ascii="仿宋" w:hAnsi="仿宋" w:eastAsia="仿宋" w:cs="仿宋"/>
          <w:color w:val="auto"/>
          <w:sz w:val="24"/>
          <w:highlight w:val="none"/>
          <w:u w:val="none"/>
          <w:lang w:val="en-US" w:eastAsia="zh-CN"/>
        </w:rPr>
      </w:pPr>
      <w:r>
        <w:rPr>
          <w:rFonts w:hint="eastAsia" w:ascii="仿宋" w:hAnsi="仿宋" w:eastAsia="仿宋" w:cs="仿宋"/>
          <w:color w:val="auto"/>
          <w:sz w:val="24"/>
          <w:highlight w:val="none"/>
          <w:u w:val="none"/>
          <w:lang w:val="en-US" w:eastAsia="zh-CN"/>
        </w:rPr>
        <w:t>8.2.2质保期按合同第十条规定执行，质保期满后且乙方不存在违约情形，由乙方提交申请质保金退还资料 15 个工作日内，由甲方属下大坦沙分公司支付合同结算价的5％（质保金）给乙方（无息）。</w:t>
      </w:r>
    </w:p>
    <w:p>
      <w:pPr>
        <w:spacing w:line="500" w:lineRule="exact"/>
        <w:ind w:firstLine="480" w:firstLineChars="200"/>
        <w:outlineLvl w:val="1"/>
        <w:rPr>
          <w:rFonts w:hint="default"/>
          <w:lang w:val="en-US"/>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本项目工程款的支付单位为：</w:t>
      </w:r>
      <w:r>
        <w:rPr>
          <w:rFonts w:hint="eastAsia" w:ascii="仿宋" w:hAnsi="仿宋" w:eastAsia="仿宋" w:cs="仿宋"/>
          <w:color w:val="auto"/>
          <w:sz w:val="24"/>
          <w:highlight w:val="none"/>
          <w:u w:val="single"/>
          <w:lang w:val="en-US" w:eastAsia="zh-CN"/>
        </w:rPr>
        <w:t>广州市净水有限公司大坦沙分公司。</w:t>
      </w:r>
    </w:p>
    <w:p>
      <w:pPr>
        <w:spacing w:line="500" w:lineRule="exact"/>
        <w:ind w:firstLine="480" w:firstLineChars="200"/>
        <w:outlineLvl w:val="1"/>
        <w:rPr>
          <w:rFonts w:hint="eastAsia" w:ascii="仿宋" w:hAnsi="仿宋" w:eastAsia="仿宋" w:cs="仿宋"/>
          <w:color w:val="auto"/>
          <w:sz w:val="24"/>
          <w:highlight w:val="none"/>
        </w:rPr>
      </w:pPr>
      <w:r>
        <w:rPr>
          <w:rFonts w:hint="eastAsia" w:ascii="仿宋" w:hAnsi="仿宋" w:eastAsia="仿宋" w:cs="仿宋"/>
          <w:color w:val="auto"/>
          <w:sz w:val="24"/>
          <w:highlight w:val="none"/>
        </w:rPr>
        <w:t>8.3</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乙方收款账户：</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p>
    <w:p>
      <w:pPr>
        <w:keepNext w:val="0"/>
        <w:keepLines w:val="0"/>
        <w:pageBreakBefore w:val="0"/>
        <w:kinsoku/>
        <w:wordWrap/>
        <w:overflowPunct/>
        <w:topLinePunct w:val="0"/>
        <w:bidi w:val="0"/>
        <w:spacing w:line="460" w:lineRule="exact"/>
        <w:ind w:firstLine="1080" w:firstLineChars="45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收款账号：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384" w:lineRule="auto"/>
        <w:ind w:firstLine="1200" w:firstLineChars="50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8.4乙方在收款前需提交等额增值税专用发票给甲方。增值税专用发票信息：</w:t>
      </w:r>
    </w:p>
    <w:p>
      <w:pPr>
        <w:spacing w:line="500" w:lineRule="exact"/>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名称：广州市净水有限公司</w:t>
      </w:r>
    </w:p>
    <w:p>
      <w:pPr>
        <w:spacing w:line="500" w:lineRule="exact"/>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税号：</w:t>
      </w:r>
      <w:r>
        <w:rPr>
          <w:rFonts w:hint="eastAsia" w:ascii="仿宋" w:hAnsi="仿宋" w:eastAsia="仿宋" w:cs="仿宋"/>
          <w:color w:val="auto"/>
          <w:sz w:val="24"/>
          <w:highlight w:val="none"/>
          <w:u w:val="single"/>
        </w:rPr>
        <w:t>91440101755584729Q</w:t>
      </w:r>
    </w:p>
    <w:p>
      <w:pPr>
        <w:spacing w:line="500" w:lineRule="exact"/>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地址及电话：</w:t>
      </w:r>
      <w:r>
        <w:rPr>
          <w:rFonts w:hint="eastAsia" w:ascii="仿宋" w:hAnsi="仿宋" w:eastAsia="仿宋" w:cs="仿宋"/>
          <w:color w:val="auto"/>
          <w:sz w:val="24"/>
          <w:highlight w:val="none"/>
          <w:u w:val="single"/>
        </w:rPr>
        <w:t>广州市天河区临江大道501号 020-38890283</w:t>
      </w:r>
      <w:r>
        <w:rPr>
          <w:rFonts w:hint="eastAsia" w:ascii="仿宋" w:hAnsi="仿宋" w:eastAsia="仿宋" w:cs="仿宋"/>
          <w:color w:val="auto"/>
          <w:sz w:val="24"/>
          <w:highlight w:val="none"/>
        </w:rPr>
        <w:t>；</w:t>
      </w:r>
    </w:p>
    <w:p>
      <w:pPr>
        <w:spacing w:line="500" w:lineRule="exact"/>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开户行/账号：</w:t>
      </w:r>
      <w:r>
        <w:rPr>
          <w:rFonts w:hint="eastAsia" w:ascii="仿宋" w:hAnsi="仿宋" w:eastAsia="仿宋" w:cs="仿宋"/>
          <w:color w:val="auto"/>
          <w:sz w:val="24"/>
          <w:highlight w:val="none"/>
          <w:u w:val="single"/>
        </w:rPr>
        <w:t>民生银行广州分行0301014140006932</w:t>
      </w:r>
      <w:r>
        <w:rPr>
          <w:rFonts w:hint="eastAsia" w:ascii="仿宋" w:hAnsi="仿宋" w:eastAsia="仿宋" w:cs="仿宋"/>
          <w:color w:val="auto"/>
          <w:sz w:val="24"/>
          <w:highlight w:val="none"/>
        </w:rPr>
        <w:t xml:space="preserve">。                            </w:t>
      </w:r>
    </w:p>
    <w:p>
      <w:pPr>
        <w:spacing w:line="50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8.5履约担保：</w:t>
      </w:r>
      <w:r>
        <w:rPr>
          <w:rFonts w:hint="eastAsia" w:ascii="仿宋" w:hAnsi="仿宋" w:eastAsia="仿宋" w:cs="仿宋"/>
          <w:b/>
          <w:bCs/>
          <w:color w:val="auto"/>
          <w:sz w:val="24"/>
          <w:highlight w:val="none"/>
        </w:rPr>
        <w:sym w:font="Wingdings 2" w:char="0052"/>
      </w:r>
      <w:r>
        <w:rPr>
          <w:rFonts w:hint="eastAsia" w:ascii="仿宋" w:hAnsi="仿宋" w:eastAsia="仿宋" w:cs="仿宋"/>
          <w:bCs/>
          <w:color w:val="auto"/>
          <w:sz w:val="24"/>
          <w:highlight w:val="none"/>
        </w:rPr>
        <w:t xml:space="preserve">无；  </w:t>
      </w:r>
      <w:r>
        <w:rPr>
          <w:rFonts w:hint="eastAsia" w:ascii="仿宋" w:hAnsi="仿宋" w:eastAsia="仿宋" w:cs="仿宋"/>
          <w:b/>
          <w:bCs/>
          <w:color w:val="auto"/>
          <w:sz w:val="24"/>
          <w:highlight w:val="none"/>
        </w:rPr>
        <w:sym w:font="Wingdings 2" w:char="00A3"/>
      </w:r>
      <w:r>
        <w:rPr>
          <w:rFonts w:hint="eastAsia" w:ascii="仿宋" w:hAnsi="仿宋" w:eastAsia="仿宋" w:cs="仿宋"/>
          <w:color w:val="auto"/>
          <w:sz w:val="24"/>
          <w:highlight w:val="none"/>
        </w:rPr>
        <w:t>有 本合同签订后10日内</w:t>
      </w:r>
      <w:r>
        <w:rPr>
          <w:rFonts w:hint="eastAsia" w:ascii="仿宋" w:hAnsi="仿宋" w:eastAsia="仿宋" w:cs="仿宋"/>
          <w:color w:val="auto"/>
          <w:sz w:val="24"/>
          <w:highlight w:val="none"/>
          <w:u w:val="single"/>
        </w:rPr>
        <w:t>以合同暂定总价的10%作为履约保证金，</w:t>
      </w:r>
      <w:r>
        <w:rPr>
          <w:rFonts w:hint="eastAsia" w:ascii="仿宋" w:hAnsi="仿宋" w:eastAsia="仿宋" w:cs="仿宋"/>
          <w:color w:val="auto"/>
          <w:sz w:val="24"/>
          <w:highlight w:val="none"/>
        </w:rPr>
        <w:t>金额为：</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元（大写人民币：</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），未按时提供的，甲方有权解除合同并要求乙方支付</w:t>
      </w:r>
      <w:r>
        <w:rPr>
          <w:rFonts w:hint="eastAsia" w:ascii="仿宋" w:hAnsi="仿宋" w:eastAsia="仿宋" w:cs="仿宋"/>
          <w:color w:val="auto"/>
          <w:sz w:val="24"/>
          <w:highlight w:val="none"/>
          <w:u w:val="single"/>
        </w:rPr>
        <w:t>合同暂定总价20%</w:t>
      </w:r>
      <w:r>
        <w:rPr>
          <w:rFonts w:hint="eastAsia" w:ascii="仿宋" w:hAnsi="仿宋" w:eastAsia="仿宋" w:cs="仿宋"/>
          <w:color w:val="auto"/>
          <w:sz w:val="24"/>
          <w:highlight w:val="none"/>
        </w:rPr>
        <w:t>作为违约金。</w:t>
      </w:r>
    </w:p>
    <w:p>
      <w:pPr>
        <w:pStyle w:val="22"/>
        <w:spacing w:before="0" w:beforeAutospacing="0" w:after="0" w:afterAutospacing="0" w:line="5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8.5.1履约担保按以下任一种形式提供：</w:t>
      </w:r>
    </w:p>
    <w:p>
      <w:pPr>
        <w:pStyle w:val="22"/>
        <w:spacing w:before="0" w:beforeAutospacing="0" w:after="0" w:afterAutospacing="0" w:line="50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（1）符合甲方要求的银行独立保函，</w:t>
      </w:r>
    </w:p>
    <w:p>
      <w:pPr>
        <w:pStyle w:val="22"/>
        <w:spacing w:before="0" w:beforeAutospacing="0" w:after="0" w:afterAutospacing="0" w:line="50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（2）现金转账至甲方以下指定账户：</w:t>
      </w:r>
    </w:p>
    <w:p>
      <w:pPr>
        <w:tabs>
          <w:tab w:val="left" w:pos="1995"/>
        </w:tabs>
        <w:spacing w:line="5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户名：广州市净水有限公司</w:t>
      </w:r>
    </w:p>
    <w:p>
      <w:pPr>
        <w:tabs>
          <w:tab w:val="left" w:pos="1995"/>
        </w:tabs>
        <w:spacing w:line="5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账号：82010154900000342</w:t>
      </w:r>
    </w:p>
    <w:p>
      <w:pPr>
        <w:tabs>
          <w:tab w:val="left" w:pos="1995"/>
        </w:tabs>
        <w:spacing w:line="5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开户行：浦发银行广州分行</w:t>
      </w:r>
    </w:p>
    <w:p>
      <w:pPr>
        <w:spacing w:line="50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8.5.2履约担保的担保期限和返还</w:t>
      </w:r>
    </w:p>
    <w:p>
      <w:pPr>
        <w:spacing w:line="50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（1）履约银行保函（或现金履约保证金）的担保期限：从提供履约担保（或转账成功）之日起至合同履行完成。</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（2）履约银行保函在合同履行完成后，由乙方提出申请，甲方在28日内返还，不支付利息。</w:t>
      </w:r>
    </w:p>
    <w:p>
      <w:pPr>
        <w:spacing w:line="50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（3）延长担保期限。乙方以履约银行保函形式提交履约保证金的，在银行保函到期前，乙方应提前</w:t>
      </w:r>
      <w:r>
        <w:rPr>
          <w:rFonts w:hint="eastAsia" w:ascii="仿宋" w:hAnsi="仿宋" w:eastAsia="仿宋" w:cs="仿宋"/>
          <w:color w:val="auto"/>
          <w:sz w:val="24"/>
          <w:highlight w:val="none"/>
          <w:u w:val="single"/>
        </w:rPr>
        <w:t xml:space="preserve"> 7 </w:t>
      </w:r>
      <w:r>
        <w:rPr>
          <w:rFonts w:hint="eastAsia" w:ascii="仿宋" w:hAnsi="仿宋" w:eastAsia="仿宋" w:cs="仿宋"/>
          <w:color w:val="auto"/>
          <w:sz w:val="24"/>
          <w:highlight w:val="none"/>
        </w:rPr>
        <w:t>日向甲方提交新的保函以替换即将到期的保函。如乙方未及时提交的，甲方有权直接要求担保银行支付其担保的全部金额并解除合同。</w:t>
      </w:r>
    </w:p>
    <w:p>
      <w:pPr>
        <w:pStyle w:val="22"/>
        <w:spacing w:before="0" w:beforeAutospacing="0" w:after="0" w:afterAutospacing="0" w:line="500" w:lineRule="exact"/>
        <w:ind w:left="199" w:leftChars="95" w:firstLine="360" w:firstLineChars="150"/>
        <w:rPr>
          <w:rFonts w:hint="eastAsia" w:ascii="仿宋" w:hAnsi="仿宋" w:eastAsia="仿宋" w:cs="仿宋"/>
          <w:color w:val="auto"/>
          <w:highlight w:val="none"/>
          <w:u w:val="single"/>
        </w:rPr>
      </w:pPr>
      <w:r>
        <w:rPr>
          <w:rFonts w:hint="eastAsia" w:ascii="仿宋" w:hAnsi="仿宋" w:eastAsia="仿宋" w:cs="仿宋"/>
          <w:color w:val="auto"/>
          <w:highlight w:val="none"/>
        </w:rPr>
        <w:t>（4）现金履约保证金的退还：合同履行完成后，由乙方提出申请，甲方在</w:t>
      </w:r>
      <w:r>
        <w:rPr>
          <w:rFonts w:hint="eastAsia" w:ascii="仿宋" w:hAnsi="仿宋" w:eastAsia="仿宋" w:cs="仿宋"/>
          <w:color w:val="auto"/>
          <w:highlight w:val="none"/>
          <w:u w:val="single"/>
        </w:rPr>
        <w:t>28</w:t>
      </w:r>
      <w:r>
        <w:rPr>
          <w:rFonts w:hint="eastAsia" w:ascii="仿宋" w:hAnsi="仿宋" w:eastAsia="仿宋" w:cs="仿宋"/>
          <w:color w:val="auto"/>
          <w:highlight w:val="none"/>
        </w:rPr>
        <w:t>日内将剩余保证金（无息）返还。</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8.5.3甲方按本合同规定提取履约担保金额后，乙方应在收到甲方通知后</w:t>
      </w:r>
      <w:r>
        <w:rPr>
          <w:rFonts w:hint="eastAsia" w:ascii="仿宋" w:hAnsi="仿宋" w:eastAsia="仿宋" w:cs="仿宋"/>
          <w:color w:val="auto"/>
          <w:sz w:val="24"/>
          <w:highlight w:val="none"/>
          <w:u w:val="single"/>
        </w:rPr>
        <w:t xml:space="preserve"> 7</w:t>
      </w:r>
      <w:r>
        <w:rPr>
          <w:rFonts w:hint="eastAsia" w:ascii="仿宋" w:hAnsi="仿宋" w:eastAsia="仿宋" w:cs="仿宋"/>
          <w:color w:val="auto"/>
          <w:sz w:val="24"/>
          <w:highlight w:val="none"/>
        </w:rPr>
        <w:t>日内补足数额，逾期未补足的，则甲方有权提取履约担保的全部余额并解除合同。</w:t>
      </w:r>
    </w:p>
    <w:p>
      <w:pPr>
        <w:tabs>
          <w:tab w:val="left" w:pos="851"/>
        </w:tabs>
        <w:adjustRightInd w:val="0"/>
        <w:snapToGrid w:val="0"/>
        <w:spacing w:line="500" w:lineRule="exact"/>
        <w:ind w:firstLine="480" w:firstLineChars="200"/>
        <w:jc w:val="left"/>
        <w:outlineLvl w:val="1"/>
        <w:rPr>
          <w:rFonts w:hint="eastAsia" w:ascii="仿宋" w:hAnsi="仿宋" w:eastAsia="仿宋" w:cs="仿宋"/>
          <w:bCs/>
          <w:color w:val="auto"/>
          <w:sz w:val="24"/>
          <w:highlight w:val="none"/>
          <w:u w:val="single"/>
          <w:bdr w:val="single" w:color="auto" w:sz="4" w:space="0"/>
        </w:rPr>
      </w:pPr>
      <w:r>
        <w:rPr>
          <w:rFonts w:hint="eastAsia" w:ascii="仿宋" w:hAnsi="仿宋" w:eastAsia="仿宋" w:cs="仿宋"/>
          <w:color w:val="auto"/>
          <w:sz w:val="24"/>
          <w:highlight w:val="none"/>
        </w:rPr>
        <w:t xml:space="preserve">8.6付款方式： </w:t>
      </w:r>
      <w:r>
        <w:rPr>
          <w:rFonts w:hint="eastAsia" w:ascii="仿宋" w:hAnsi="仿宋" w:eastAsia="仿宋" w:cs="仿宋"/>
          <w:b/>
          <w:bCs/>
          <w:color w:val="auto"/>
          <w:sz w:val="24"/>
          <w:highlight w:val="none"/>
        </w:rPr>
        <w:t>☑</w:t>
      </w:r>
      <w:r>
        <w:rPr>
          <w:rFonts w:hint="eastAsia" w:ascii="仿宋" w:hAnsi="仿宋" w:eastAsia="仿宋" w:cs="仿宋"/>
          <w:color w:val="auto"/>
          <w:sz w:val="24"/>
          <w:highlight w:val="none"/>
        </w:rPr>
        <w:t xml:space="preserve">网银支付；  </w:t>
      </w: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 xml:space="preserve">支票；   </w:t>
      </w: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其他：</w:t>
      </w:r>
      <w:r>
        <w:rPr>
          <w:rFonts w:hint="eastAsia" w:ascii="仿宋" w:hAnsi="仿宋" w:eastAsia="仿宋" w:cs="仿宋"/>
          <w:color w:val="auto"/>
          <w:sz w:val="24"/>
          <w:highlight w:val="none"/>
          <w:u w:val="single"/>
        </w:rPr>
        <w:t xml:space="preserve"> /</w:t>
      </w:r>
      <w:r>
        <w:rPr>
          <w:rFonts w:hint="eastAsia" w:ascii="仿宋" w:hAnsi="仿宋" w:eastAsia="仿宋" w:cs="仿宋"/>
          <w:bCs/>
          <w:color w:val="auto"/>
          <w:sz w:val="24"/>
          <w:highlight w:val="none"/>
          <w:u w:val="single"/>
          <w:bdr w:val="single" w:color="auto" w:sz="4" w:space="0"/>
        </w:rPr>
        <w:t xml:space="preserve"> </w:t>
      </w:r>
    </w:p>
    <w:p>
      <w:pPr>
        <w:pStyle w:val="14"/>
        <w:spacing w:line="500" w:lineRule="exact"/>
        <w:ind w:firstLine="482" w:firstLineChars="200"/>
        <w:outlineLvl w:val="1"/>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第九条 竣工验收</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9.1乙方应在工程完工后30天内将经甲方审核的完整竣工资料（含竣工图）和竣工验收报告各</w:t>
      </w:r>
      <w:r>
        <w:rPr>
          <w:rFonts w:hint="eastAsia" w:ascii="仿宋" w:hAnsi="仿宋" w:eastAsia="仿宋" w:cs="仿宋"/>
          <w:color w:val="auto"/>
          <w:sz w:val="24"/>
          <w:highlight w:val="none"/>
          <w:u w:val="single"/>
        </w:rPr>
        <w:t>一式肆份</w:t>
      </w:r>
      <w:r>
        <w:rPr>
          <w:rFonts w:hint="eastAsia" w:ascii="仿宋" w:hAnsi="仿宋" w:eastAsia="仿宋" w:cs="仿宋"/>
          <w:color w:val="auto"/>
          <w:sz w:val="24"/>
          <w:highlight w:val="none"/>
        </w:rPr>
        <w:t>交甲方，不按时报送工程竣工资料的，每逾期一天，甲方要求乙方支付</w:t>
      </w:r>
      <w:r>
        <w:rPr>
          <w:rFonts w:hint="eastAsia" w:ascii="仿宋" w:hAnsi="仿宋" w:eastAsia="仿宋" w:cs="仿宋"/>
          <w:color w:val="auto"/>
          <w:sz w:val="24"/>
          <w:highlight w:val="none"/>
          <w:u w:val="single"/>
        </w:rPr>
        <w:t>合同暂定总价</w:t>
      </w:r>
      <w:r>
        <w:rPr>
          <w:rFonts w:hint="eastAsia" w:ascii="仿宋" w:hAnsi="仿宋" w:eastAsia="仿宋" w:cs="仿宋"/>
          <w:bCs/>
          <w:color w:val="auto"/>
          <w:sz w:val="24"/>
          <w:highlight w:val="none"/>
          <w:u w:val="single"/>
        </w:rPr>
        <w:t>万分之五/天</w:t>
      </w:r>
      <w:r>
        <w:rPr>
          <w:rFonts w:hint="eastAsia" w:ascii="仿宋" w:hAnsi="仿宋" w:eastAsia="仿宋" w:cs="仿宋"/>
          <w:color w:val="auto"/>
          <w:sz w:val="24"/>
          <w:highlight w:val="none"/>
        </w:rPr>
        <w:t>，并在支付合同款时抵扣。</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9.2甲方收到完整的竣工验收资料（完整的竣工验收资料：施工方案、开工/竣工报告、安全备案整套资料、本合同书、询价文件/响应文件、中标通知书/发包通知书/委托书、工程预算送审报告、工程结算书/签证记录、备件开箱记录表或送货单、竣工图等，如有必须提供）和竣工验收报告后20天内组织有关单位进行验收，工程竣工验收严格按国家、省、市、部门有关文件执行，并在验收后10天内给予认可或提出修改意见。乙方按要求修改，并承担修改的费用。</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9.3工程竣工验收通过，乙方送交完整的竣工验收资料和竣工验收报告的日期为实际竣工日期。工程按甲方要求修改后通过竣工验收的，实际竣工日期为乙方修改后提请甲方验收的日期。</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9.4竣工档案的整理和移交</w:t>
      </w:r>
    </w:p>
    <w:p>
      <w:pPr>
        <w:spacing w:line="500" w:lineRule="exact"/>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1）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spacing w:line="500" w:lineRule="exact"/>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（a）竣工文件资料、竣工图档案（原件）各一式四份；</w:t>
      </w:r>
    </w:p>
    <w:p>
      <w:pPr>
        <w:spacing w:line="500" w:lineRule="exact"/>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（b）与本款（a）项内容相同的电子版档案一式二份；</w:t>
      </w:r>
    </w:p>
    <w:p>
      <w:pPr>
        <w:spacing w:line="500" w:lineRule="exact"/>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2）乙方移交竣工档案的时限：乙方应于工程竣工验收后30天内将竣工档案提交甲方签认。乙方应于甲方签认后10天内将竣工档案移交给甲方归档并同时移交有关归档的证明文件。甲方经审查合格的，应在收到竣工档案后10天内签署档案验收意见；不合格的，乙方应按甲方要求限期补正，直至合格为止。乙方超过本条规定的时限，每逾期一天支付</w:t>
      </w:r>
      <w:r>
        <w:rPr>
          <w:rFonts w:hint="eastAsia" w:ascii="仿宋" w:hAnsi="仿宋" w:eastAsia="仿宋" w:cs="仿宋"/>
          <w:color w:val="auto"/>
          <w:sz w:val="24"/>
          <w:highlight w:val="none"/>
          <w:u w:val="single"/>
        </w:rPr>
        <w:t>合同暂定总价</w:t>
      </w:r>
      <w:r>
        <w:rPr>
          <w:rFonts w:hint="eastAsia" w:ascii="仿宋" w:hAnsi="仿宋" w:eastAsia="仿宋" w:cs="仿宋"/>
          <w:bCs/>
          <w:color w:val="auto"/>
          <w:sz w:val="24"/>
          <w:highlight w:val="none"/>
          <w:u w:val="single"/>
        </w:rPr>
        <w:t>万分之五/天</w:t>
      </w:r>
      <w:r>
        <w:rPr>
          <w:rFonts w:hint="eastAsia" w:ascii="仿宋" w:hAnsi="仿宋" w:eastAsia="仿宋" w:cs="仿宋"/>
          <w:color w:val="auto"/>
          <w:sz w:val="24"/>
          <w:highlight w:val="none"/>
        </w:rPr>
        <w:t>违约金。</w:t>
      </w:r>
    </w:p>
    <w:p>
      <w:pPr>
        <w:spacing w:line="500" w:lineRule="exact"/>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（3）电子版竣工图的编制，以甲方提供的电子版施工图为基础。乙方在移交竣工档案时，应一并移交甲方提供的电子版施工图。</w:t>
      </w:r>
    </w:p>
    <w:p>
      <w:pPr>
        <w:spacing w:line="5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电子版施工图和电子版竣工图的知识产权归属甲方所有，非经甲方许可，乙方不得以任何方式复制、备份、转让和利用。否则，由此引起的任何纠纷和责任由乙方承担。</w:t>
      </w:r>
    </w:p>
    <w:p>
      <w:pPr>
        <w:spacing w:line="5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9.5</w:t>
      </w:r>
      <w:r>
        <w:rPr>
          <w:rFonts w:hint="eastAsia" w:ascii="仿宋" w:hAnsi="仿宋" w:eastAsia="仿宋" w:cs="仿宋"/>
          <w:color w:val="auto"/>
          <w:sz w:val="24"/>
          <w:highlight w:val="none"/>
        </w:rPr>
        <w:t>本合同竣工验收结算单位为：</w:t>
      </w:r>
      <w:r>
        <w:rPr>
          <w:rFonts w:hint="eastAsia" w:ascii="仿宋" w:hAnsi="仿宋" w:eastAsia="仿宋" w:cs="仿宋"/>
          <w:color w:val="auto"/>
          <w:sz w:val="24"/>
          <w:highlight w:val="none"/>
          <w:lang w:val="en-US" w:eastAsia="zh-CN"/>
        </w:rPr>
        <w:t>广州市净水有限公司大坦沙分公司</w:t>
      </w:r>
    </w:p>
    <w:p>
      <w:pPr>
        <w:numPr>
          <w:ilvl w:val="0"/>
          <w:numId w:val="10"/>
        </w:numPr>
        <w:spacing w:before="120" w:after="156" w:afterLines="50" w:line="50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质量保证</w:t>
      </w:r>
    </w:p>
    <w:p>
      <w:pPr>
        <w:spacing w:line="5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10.1乙方保证所承包的项目质量符合国家相关标准和规范。对产品质量依据原厂商标准及国家标准从严执行。</w:t>
      </w:r>
    </w:p>
    <w:p>
      <w:pPr>
        <w:autoSpaceDE w:val="0"/>
        <w:autoSpaceDN w:val="0"/>
        <w:adjustRightInd w:val="0"/>
        <w:spacing w:line="50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bCs/>
          <w:color w:val="auto"/>
          <w:sz w:val="24"/>
          <w:highlight w:val="none"/>
        </w:rPr>
        <w:t>10.2 本项目质量保修期为</w:t>
      </w:r>
      <w:r>
        <w:rPr>
          <w:rFonts w:hint="eastAsia" w:ascii="仿宋" w:hAnsi="仿宋" w:eastAsia="仿宋" w:cs="仿宋"/>
          <w:color w:val="auto"/>
          <w:kern w:val="0"/>
          <w:sz w:val="24"/>
          <w:highlight w:val="none"/>
          <w:lang w:val="zh-CN"/>
        </w:rPr>
        <w:t>自验收合格之日起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b/>
          <w:bCs/>
          <w:color w:val="auto"/>
          <w:kern w:val="0"/>
          <w:sz w:val="24"/>
          <w:highlight w:val="none"/>
          <w:u w:val="single"/>
          <w:lang w:val="en-US" w:eastAsia="zh-CN"/>
        </w:rPr>
        <w:t>壹</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lang w:val="en-US" w:eastAsia="zh-CN"/>
        </w:rPr>
        <w:t>且不得低于法定保修期限</w:t>
      </w:r>
      <w:r>
        <w:rPr>
          <w:rFonts w:hint="eastAsia" w:ascii="仿宋" w:hAnsi="仿宋" w:eastAsia="仿宋" w:cs="仿宋"/>
          <w:color w:val="auto"/>
          <w:kern w:val="0"/>
          <w:sz w:val="24"/>
          <w:highlight w:val="none"/>
          <w:lang w:val="zh-CN"/>
        </w:rPr>
        <w:t>。</w:t>
      </w:r>
    </w:p>
    <w:p>
      <w:pPr>
        <w:spacing w:line="500" w:lineRule="exact"/>
        <w:ind w:firstLine="420" w:firstLineChars="175"/>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10.3质量保修期期间，本项目的质量问题由乙方免费提供保修服务，乙方应在收到甲方通知后</w:t>
      </w:r>
      <w:r>
        <w:rPr>
          <w:rFonts w:hint="eastAsia" w:ascii="仿宋" w:hAnsi="仿宋" w:eastAsia="仿宋" w:cs="仿宋"/>
          <w:bCs/>
          <w:color w:val="auto"/>
          <w:sz w:val="24"/>
          <w:highlight w:val="none"/>
          <w:lang w:val="en-US" w:eastAsia="zh-CN"/>
        </w:rPr>
        <w:t>7</w:t>
      </w:r>
      <w:r>
        <w:rPr>
          <w:rFonts w:hint="eastAsia" w:ascii="仿宋" w:hAnsi="仿宋" w:eastAsia="仿宋" w:cs="仿宋"/>
          <w:bCs/>
          <w:color w:val="auto"/>
          <w:sz w:val="24"/>
          <w:highlight w:val="none"/>
        </w:rPr>
        <w:t>日内派人员到场负责解决及维修，如果乙方不按时到场维修或到场后不能修复的，甲方有权委托他人予以维修，乙方承担由此发生的费用并支付</w:t>
      </w:r>
      <w:r>
        <w:rPr>
          <w:rFonts w:hint="eastAsia" w:ascii="仿宋" w:hAnsi="仿宋" w:eastAsia="仿宋" w:cs="仿宋"/>
          <w:bCs/>
          <w:color w:val="auto"/>
          <w:sz w:val="24"/>
          <w:highlight w:val="none"/>
          <w:u w:val="single"/>
        </w:rPr>
        <w:t>合同暂定总价的10%/次</w:t>
      </w:r>
      <w:r>
        <w:rPr>
          <w:rFonts w:hint="eastAsia" w:ascii="仿宋" w:hAnsi="仿宋" w:eastAsia="仿宋" w:cs="仿宋"/>
          <w:bCs/>
          <w:color w:val="auto"/>
          <w:sz w:val="24"/>
          <w:highlight w:val="none"/>
        </w:rPr>
        <w:t>作为违约金。</w:t>
      </w:r>
    </w:p>
    <w:p>
      <w:pPr>
        <w:spacing w:before="156" w:beforeLines="50" w:after="156" w:afterLines="50" w:line="500" w:lineRule="exact"/>
        <w:ind w:firstLine="422" w:firstLineChars="175"/>
        <w:jc w:val="lef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第十一条 不可抗力</w:t>
      </w:r>
    </w:p>
    <w:p>
      <w:pPr>
        <w:widowControl/>
        <w:autoSpaceDE w:val="0"/>
        <w:autoSpaceDN w:val="0"/>
        <w:adjustRightInd w:val="0"/>
        <w:spacing w:line="5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11.1 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autoSpaceDE w:val="0"/>
        <w:autoSpaceDN w:val="0"/>
        <w:adjustRightInd w:val="0"/>
        <w:spacing w:line="5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bCs/>
          <w:color w:val="auto"/>
          <w:sz w:val="24"/>
          <w:highlight w:val="none"/>
        </w:rPr>
        <w:t>地震、火山爆发、滑坡、暴雨（橙色预警及以上）、台风（黄色预警及以上）、海啸、龙卷风、大面积流行病(如：非典型性肺炎等)或瘟疫；</w:t>
      </w:r>
    </w:p>
    <w:p>
      <w:pPr>
        <w:widowControl/>
        <w:autoSpaceDE w:val="0"/>
        <w:autoSpaceDN w:val="0"/>
        <w:adjustRightInd w:val="0"/>
        <w:spacing w:line="5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bCs/>
          <w:color w:val="auto"/>
          <w:sz w:val="24"/>
          <w:highlight w:val="none"/>
        </w:rPr>
        <w:t>战争行为、入侵、武装冲突或外敌行为、封锁、暴乱、恐怖行为或军事演习；</w:t>
      </w:r>
    </w:p>
    <w:p>
      <w:pPr>
        <w:widowControl/>
        <w:autoSpaceDE w:val="0"/>
        <w:autoSpaceDN w:val="0"/>
        <w:adjustRightInd w:val="0"/>
        <w:spacing w:line="5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11.2 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autoSpaceDE w:val="0"/>
        <w:autoSpaceDN w:val="0"/>
        <w:adjustRightInd w:val="0"/>
        <w:spacing w:line="5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11.3 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before="156" w:beforeLines="50" w:after="156" w:afterLines="50" w:line="500" w:lineRule="exact"/>
        <w:ind w:firstLine="482"/>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11.4 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pacing w:before="156" w:beforeLines="50" w:after="156" w:afterLines="50" w:line="500" w:lineRule="exact"/>
        <w:ind w:firstLine="482"/>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第</w:t>
      </w:r>
      <w:r>
        <w:rPr>
          <w:rFonts w:hint="eastAsia" w:ascii="仿宋" w:hAnsi="仿宋" w:eastAsia="仿宋" w:cs="仿宋"/>
          <w:b/>
          <w:bCs/>
          <w:color w:val="auto"/>
          <w:sz w:val="24"/>
          <w:highlight w:val="none"/>
        </w:rPr>
        <w:t>十二条 争议解决</w:t>
      </w:r>
    </w:p>
    <w:p>
      <w:pPr>
        <w:spacing w:before="156" w:beforeLines="50" w:after="156" w:afterLines="50" w:line="500" w:lineRule="exact"/>
        <w:ind w:firstLine="482"/>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12.1 甲乙双方应通过友好协商，解决在执行本合同所发生的或与本合同有关的一切争议。如协商不能解决争议，任何一方均可依法向甲方所在地人民法院提起诉讼。</w:t>
      </w:r>
    </w:p>
    <w:p>
      <w:pPr>
        <w:spacing w:line="500" w:lineRule="exact"/>
        <w:ind w:firstLine="482"/>
        <w:jc w:val="left"/>
        <w:rPr>
          <w:rFonts w:hint="eastAsia" w:ascii="仿宋" w:hAnsi="仿宋" w:eastAsia="仿宋" w:cs="仿宋"/>
          <w:b/>
          <w:bCs/>
          <w:color w:val="auto"/>
          <w:sz w:val="24"/>
          <w:highlight w:val="none"/>
        </w:rPr>
      </w:pPr>
      <w:r>
        <w:rPr>
          <w:rFonts w:hint="eastAsia" w:ascii="仿宋" w:hAnsi="仿宋" w:eastAsia="仿宋" w:cs="仿宋"/>
          <w:bCs/>
          <w:color w:val="auto"/>
          <w:sz w:val="24"/>
          <w:highlight w:val="none"/>
        </w:rPr>
        <w:t xml:space="preserve">12.2 </w:t>
      </w:r>
      <w:r>
        <w:rPr>
          <w:rFonts w:hint="eastAsia" w:ascii="仿宋" w:hAnsi="仿宋" w:eastAsia="仿宋" w:cs="仿宋"/>
          <w:color w:val="auto"/>
          <w:sz w:val="24"/>
          <w:highlight w:val="none"/>
        </w:rPr>
        <w:t>在甲方同意的情况下，除有争端之外的合同其它部分在争端解决前应继续执行。</w:t>
      </w:r>
    </w:p>
    <w:p>
      <w:pPr>
        <w:spacing w:line="500" w:lineRule="exact"/>
        <w:ind w:firstLine="482"/>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第十三条 合同生效及其他</w:t>
      </w:r>
    </w:p>
    <w:p>
      <w:pPr>
        <w:spacing w:line="5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13.1本合同经双方法定代表人或授权代表签字并加盖双方公章后生效.</w:t>
      </w:r>
    </w:p>
    <w:p>
      <w:pPr>
        <w:spacing w:line="500" w:lineRule="exact"/>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13.2本合同正文一式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份，其中：甲方</w:t>
      </w:r>
      <w:r>
        <w:rPr>
          <w:rFonts w:hint="eastAsia" w:ascii="仿宋" w:hAnsi="仿宋" w:eastAsia="仿宋" w:cs="仿宋"/>
          <w:color w:val="auto"/>
          <w:sz w:val="24"/>
          <w:highlight w:val="none"/>
          <w:u w:val="single"/>
          <w:lang w:val="en-US" w:eastAsia="zh-CN"/>
        </w:rPr>
        <w:t>肆</w:t>
      </w:r>
      <w:r>
        <w:rPr>
          <w:rFonts w:hint="eastAsia" w:ascii="仿宋" w:hAnsi="仿宋" w:eastAsia="仿宋" w:cs="仿宋"/>
          <w:color w:val="auto"/>
          <w:sz w:val="24"/>
          <w:highlight w:val="none"/>
        </w:rPr>
        <w:t>份，乙方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w:t>
      </w:r>
    </w:p>
    <w:p>
      <w:pPr>
        <w:spacing w:line="500" w:lineRule="exact"/>
        <w:ind w:firstLine="48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13.3补充条款：</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无</w:t>
      </w:r>
      <w:r>
        <w:rPr>
          <w:rFonts w:hint="eastAsia" w:ascii="仿宋" w:hAnsi="仿宋" w:eastAsia="仿宋" w:cs="仿宋"/>
          <w:color w:val="auto"/>
          <w:sz w:val="24"/>
          <w:highlight w:val="none"/>
          <w:u w:val="single"/>
        </w:rPr>
        <w:t xml:space="preserve">   </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附件：1.成交通知书</w:t>
      </w:r>
    </w:p>
    <w:p>
      <w:pPr>
        <w:spacing w:line="50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2.廉洁协议</w:t>
      </w:r>
    </w:p>
    <w:p>
      <w:pPr>
        <w:spacing w:line="50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3.营运场所施工安全及消防安全协议书</w:t>
      </w:r>
    </w:p>
    <w:p>
      <w:pPr>
        <w:spacing w:line="50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4.工程量清单报价</w:t>
      </w:r>
    </w:p>
    <w:p>
      <w:pPr>
        <w:spacing w:line="50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.项目投入人员架构表</w:t>
      </w:r>
      <w:r>
        <w:rPr>
          <w:rFonts w:hint="eastAsia" w:ascii="仿宋" w:hAnsi="仿宋" w:eastAsia="仿宋" w:cs="仿宋"/>
          <w:color w:val="auto"/>
          <w:sz w:val="24"/>
          <w:highlight w:val="none"/>
          <w:lang w:val="en-US" w:eastAsia="zh-CN"/>
        </w:rPr>
        <w:t>/</w:t>
      </w:r>
      <w:r>
        <w:rPr>
          <w:rFonts w:hint="eastAsia" w:ascii="仿宋" w:hAnsi="仿宋" w:eastAsia="仿宋" w:cs="仿宋"/>
          <w:color w:val="auto"/>
          <w:spacing w:val="-8"/>
          <w:sz w:val="24"/>
          <w:szCs w:val="24"/>
          <w:highlight w:val="none"/>
        </w:rPr>
        <w:t>应急救援物资清单</w:t>
      </w:r>
    </w:p>
    <w:p>
      <w:pPr>
        <w:spacing w:line="500" w:lineRule="exact"/>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营运项目承包单位日常履约考评参照表（安全）</w:t>
      </w:r>
    </w:p>
    <w:p>
      <w:pPr>
        <w:spacing w:line="500" w:lineRule="exact"/>
        <w:ind w:left="718" w:leftChars="342"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营运项目承包单位综合履约考评表（安全）</w:t>
      </w:r>
    </w:p>
    <w:p>
      <w:pPr>
        <w:spacing w:line="500" w:lineRule="exact"/>
        <w:ind w:left="718" w:leftChars="342" w:firstLine="0" w:firstLineChars="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8.消防安全管理协议书</w:t>
      </w:r>
    </w:p>
    <w:p>
      <w:pPr>
        <w:spacing w:line="500" w:lineRule="exact"/>
        <w:ind w:left="718" w:leftChars="342"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9.消防安全承诺书</w:t>
      </w:r>
    </w:p>
    <w:p>
      <w:pPr>
        <w:spacing w:line="500" w:lineRule="exact"/>
        <w:ind w:left="718" w:leftChars="342" w:firstLine="0" w:firstLineChars="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10.技术需求</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甲方：广州市净水有限公司（盖章）     乙方：</w:t>
      </w:r>
      <w:r>
        <w:rPr>
          <w:rFonts w:hint="eastAsia" w:ascii="仿宋" w:hAnsi="仿宋" w:eastAsia="仿宋" w:cs="仿宋"/>
          <w:color w:val="auto"/>
          <w:spacing w:val="-11"/>
          <w:sz w:val="24"/>
          <w:highlight w:val="none"/>
          <w:lang w:val="en-US" w:eastAsia="zh-CN"/>
        </w:rPr>
        <w:t xml:space="preserve">      </w:t>
      </w:r>
      <w:r>
        <w:rPr>
          <w:rFonts w:hint="eastAsia" w:ascii="仿宋" w:hAnsi="仿宋" w:eastAsia="仿宋" w:cs="仿宋"/>
          <w:color w:val="auto"/>
          <w:sz w:val="24"/>
          <w:highlight w:val="none"/>
        </w:rPr>
        <w:t xml:space="preserve"> （盖章）</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                         法定代表人或</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授权代理人：                         授权代理人：</w:t>
      </w:r>
    </w:p>
    <w:p>
      <w:pPr>
        <w:keepNext w:val="0"/>
        <w:keepLines w:val="0"/>
        <w:pageBreakBefore w:val="0"/>
        <w:kinsoku/>
        <w:wordWrap/>
        <w:overflowPunct/>
        <w:topLinePunct w:val="0"/>
        <w:bidi w:val="0"/>
        <w:spacing w:line="460" w:lineRule="exact"/>
        <w:ind w:left="5280" w:hanging="5280" w:hangingChars="2200"/>
        <w:textAlignment w:val="auto"/>
        <w:rPr>
          <w:rFonts w:hint="eastAsia" w:ascii="仿宋" w:hAnsi="仿宋" w:eastAsia="仿宋" w:cs="仿宋"/>
          <w:color w:val="auto"/>
          <w:sz w:val="24"/>
          <w:highlight w:val="none"/>
          <w:lang w:val="en-US"/>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val="en-US" w:eastAsia="zh-CN"/>
        </w:rPr>
        <w:t>广州市天河区临江大道501号</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地址：</w:t>
      </w:r>
      <w:r>
        <w:rPr>
          <w:rFonts w:hint="eastAsia" w:ascii="仿宋" w:hAnsi="仿宋" w:eastAsia="仿宋" w:cs="仿宋"/>
          <w:color w:val="auto"/>
          <w:sz w:val="24"/>
          <w:highlight w:val="none"/>
          <w:lang w:val="en-US" w:eastAsia="zh-CN"/>
        </w:rPr>
        <w:t xml:space="preserve">         </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经办人：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经办人：</w:t>
      </w:r>
    </w:p>
    <w:p>
      <w:pPr>
        <w:spacing w:line="50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联系电话：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lang w:val="en-US" w:eastAsia="zh-CN"/>
        </w:rPr>
        <w:t xml:space="preserve">     </w:t>
      </w:r>
    </w:p>
    <w:p>
      <w:pPr>
        <w:spacing w:line="500" w:lineRule="exact"/>
        <w:ind w:left="6360" w:hanging="6360" w:hangingChars="265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                               传真：</w:t>
      </w:r>
    </w:p>
    <w:p>
      <w:pPr>
        <w:spacing w:line="500" w:lineRule="exact"/>
        <w:ind w:left="6360" w:hanging="6360" w:hangingChars="265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签署日期：    年    月    日         签署日期：    年    月    日  </w:t>
      </w:r>
    </w:p>
    <w:p>
      <w:pPr>
        <w:spacing w:line="240"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br w:type="page"/>
      </w:r>
    </w:p>
    <w:p>
      <w:pPr>
        <w:spacing w:line="360" w:lineRule="auto"/>
        <w:rPr>
          <w:rFonts w:hint="eastAsia" w:ascii="宋体" w:hAnsi="宋体" w:cs="宋体"/>
          <w:b/>
          <w:bCs/>
          <w:szCs w:val="21"/>
        </w:rPr>
      </w:pPr>
      <w:r>
        <w:rPr>
          <w:rFonts w:hint="eastAsia" w:ascii="宋体" w:hAnsi="宋体" w:cs="宋体"/>
          <w:b/>
          <w:bCs/>
          <w:szCs w:val="21"/>
        </w:rPr>
        <w:t>附件1  成交通知书</w:t>
      </w: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ascii="宋体" w:hAnsi="宋体" w:cs="宋体"/>
          <w:b/>
          <w:bCs/>
          <w:szCs w:val="21"/>
        </w:rPr>
      </w:pPr>
      <w:r>
        <w:rPr>
          <w:rFonts w:hint="eastAsia" w:ascii="宋体" w:hAnsi="宋体" w:cs="宋体"/>
          <w:b/>
          <w:bCs/>
          <w:szCs w:val="21"/>
        </w:rPr>
        <w:t>附件2：廉洁协议</w:t>
      </w:r>
    </w:p>
    <w:p>
      <w:pPr>
        <w:keepNext w:val="0"/>
        <w:keepLines w:val="0"/>
        <w:pageBreakBefore w:val="0"/>
        <w:kinsoku/>
        <w:wordWrap/>
        <w:overflowPunct/>
        <w:topLinePunct w:val="0"/>
        <w:autoSpaceDE/>
        <w:autoSpaceDN/>
        <w:bidi w:val="0"/>
        <w:snapToGrid/>
        <w:spacing w:line="520" w:lineRule="exact"/>
        <w:ind w:firstLine="3640" w:firstLineChars="1300"/>
        <w:jc w:val="both"/>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廉洁协议</w:t>
      </w:r>
    </w:p>
    <w:p>
      <w:pPr>
        <w:keepNext w:val="0"/>
        <w:keepLines w:val="0"/>
        <w:pageBreakBefore w:val="0"/>
        <w:kinsoku/>
        <w:wordWrap/>
        <w:overflowPunct/>
        <w:topLinePunct w:val="0"/>
        <w:autoSpaceDE/>
        <w:autoSpaceDN/>
        <w:bidi w:val="0"/>
        <w:snapToGrid/>
        <w:spacing w:line="520" w:lineRule="exact"/>
        <w:ind w:firstLine="630" w:firstLineChars="225"/>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 w:hAnsi="仿宋" w:eastAsia="仿宋" w:cs="仿宋"/>
          <w:b w:val="0"/>
          <w:bCs/>
          <w:color w:val="auto"/>
          <w:sz w:val="28"/>
          <w:szCs w:val="28"/>
          <w:highlight w:val="none"/>
          <w:u w:val="single"/>
        </w:rPr>
        <w:t>广州市净水有限公司</w:t>
      </w:r>
      <w:r>
        <w:rPr>
          <w:rFonts w:hint="eastAsia" w:ascii="仿宋" w:hAnsi="仿宋" w:eastAsia="仿宋" w:cs="仿宋"/>
          <w:b w:val="0"/>
          <w:bCs/>
          <w:color w:val="auto"/>
          <w:sz w:val="28"/>
          <w:szCs w:val="28"/>
          <w:highlight w:val="none"/>
        </w:rPr>
        <w:t>(以下称甲方)与</w:t>
      </w:r>
      <w:r>
        <w:rPr>
          <w:rFonts w:hint="eastAsia" w:ascii="仿宋" w:hAnsi="仿宋" w:eastAsia="仿宋" w:cs="仿宋"/>
          <w:b w:val="0"/>
          <w:bCs/>
          <w:color w:val="auto"/>
          <w:sz w:val="28"/>
          <w:szCs w:val="28"/>
          <w:highlight w:val="none"/>
          <w:u w:val="single"/>
          <w:lang w:val="en-US" w:eastAsia="zh-CN"/>
        </w:rPr>
        <w:t xml:space="preserve">            </w:t>
      </w:r>
      <w:r>
        <w:rPr>
          <w:rFonts w:hint="eastAsia" w:ascii="仿宋" w:hAnsi="仿宋" w:eastAsia="仿宋" w:cs="仿宋"/>
          <w:b w:val="0"/>
          <w:bCs/>
          <w:color w:val="auto"/>
          <w:sz w:val="28"/>
          <w:szCs w:val="28"/>
          <w:highlight w:val="none"/>
        </w:rPr>
        <w:t>(以下称乙方)，特此订立本协议共同遵照执行。</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（二）严格执行</w:t>
      </w:r>
      <w:r>
        <w:rPr>
          <w:rFonts w:hint="eastAsia" w:ascii="仿宋" w:hAnsi="仿宋" w:eastAsia="仿宋" w:cs="仿宋"/>
          <w:b w:val="0"/>
          <w:bCs/>
          <w:color w:val="auto"/>
          <w:sz w:val="28"/>
          <w:szCs w:val="28"/>
          <w:highlight w:val="none"/>
          <w:u w:val="single"/>
        </w:rPr>
        <w:t xml:space="preserve"> </w:t>
      </w:r>
      <w:r>
        <w:rPr>
          <w:rFonts w:hint="eastAsia" w:ascii="仿宋" w:hAnsi="仿宋" w:eastAsia="仿宋" w:cs="仿宋"/>
          <w:b w:val="0"/>
          <w:bCs/>
          <w:color w:val="auto"/>
          <w:sz w:val="28"/>
          <w:szCs w:val="28"/>
          <w:highlight w:val="none"/>
          <w:u w:val="single"/>
          <w:lang w:val="en-US" w:eastAsia="zh-CN"/>
        </w:rPr>
        <w:t xml:space="preserve">                 </w:t>
      </w:r>
      <w:r>
        <w:rPr>
          <w:rFonts w:hint="eastAsia" w:ascii="仿宋" w:hAnsi="仿宋" w:eastAsia="仿宋" w:cs="仿宋"/>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rPr>
        <w:t>（五）发现对方在业务活动中有不廉洁行为，应及时提醒对方纠正。情节严重的，应向其有关监督部门</w:t>
      </w:r>
      <w:r>
        <w:rPr>
          <w:rFonts w:hint="eastAsia" w:ascii="仿宋" w:hAnsi="仿宋" w:eastAsia="仿宋" w:cs="仿宋"/>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第二条甲方的义务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第三条乙方的义务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line="520" w:lineRule="exact"/>
        <w:ind w:left="25" w:leftChars="12" w:firstLine="560" w:firstLineChars="200"/>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（三）乙方不得以任何理由安排甲方工作人员参加可能影响相关业务公开、公正、公平性的宴请及娱乐活动。</w:t>
      </w:r>
    </w:p>
    <w:p>
      <w:pPr>
        <w:pStyle w:val="2"/>
        <w:keepNext w:val="0"/>
        <w:keepLines w:val="0"/>
        <w:pageBreakBefore w:val="0"/>
        <w:kinsoku/>
        <w:wordWrap/>
        <w:overflowPunct/>
        <w:topLinePunct w:val="0"/>
        <w:autoSpaceDE/>
        <w:autoSpaceDN/>
        <w:bidi w:val="0"/>
        <w:snapToGrid/>
        <w:spacing w:line="520" w:lineRule="exact"/>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（五）乙方不得擅自与甲方工作人员就</w:t>
      </w:r>
      <w:r>
        <w:rPr>
          <w:rFonts w:hint="eastAsia" w:ascii="仿宋" w:hAnsi="仿宋" w:eastAsia="仿宋" w:cs="仿宋"/>
          <w:b w:val="0"/>
          <w:bCs/>
          <w:color w:val="auto"/>
          <w:sz w:val="28"/>
          <w:szCs w:val="28"/>
          <w:highlight w:val="none"/>
          <w:lang w:val="en-US" w:eastAsia="zh-CN"/>
        </w:rPr>
        <w:t>主</w:t>
      </w:r>
      <w:r>
        <w:rPr>
          <w:rFonts w:hint="eastAsia" w:ascii="仿宋" w:hAnsi="仿宋" w:eastAsia="仿宋" w:cs="仿宋"/>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第四条违约责任</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甲方举报投诉联系部门：广州市净水有限公司</w:t>
      </w:r>
      <w:r>
        <w:rPr>
          <w:rFonts w:hint="eastAsia" w:ascii="仿宋" w:hAnsi="仿宋" w:eastAsia="仿宋" w:cs="仿宋"/>
          <w:b w:val="0"/>
          <w:bCs/>
          <w:color w:val="auto"/>
          <w:sz w:val="28"/>
          <w:szCs w:val="28"/>
          <w:highlight w:val="none"/>
          <w:u w:val="single"/>
        </w:rPr>
        <w:t>纪检室</w:t>
      </w:r>
      <w:r>
        <w:rPr>
          <w:rFonts w:hint="eastAsia" w:ascii="仿宋" w:hAnsi="仿宋" w:eastAsia="仿宋" w:cs="仿宋"/>
          <w:b w:val="0"/>
          <w:bCs/>
          <w:color w:val="auto"/>
          <w:sz w:val="28"/>
          <w:szCs w:val="28"/>
          <w:highlight w:val="none"/>
        </w:rPr>
        <w:t>，联系电话：</w:t>
      </w:r>
      <w:r>
        <w:rPr>
          <w:rFonts w:hint="eastAsia" w:ascii="仿宋" w:hAnsi="仿宋" w:eastAsia="仿宋" w:cs="仿宋"/>
          <w:b w:val="0"/>
          <w:bCs/>
          <w:color w:val="auto"/>
          <w:sz w:val="28"/>
          <w:szCs w:val="28"/>
          <w:highlight w:val="none"/>
          <w:u w:val="single"/>
        </w:rPr>
        <w:t xml:space="preserve"> 020-38890265 </w:t>
      </w:r>
      <w:r>
        <w:rPr>
          <w:rFonts w:hint="eastAsia" w:ascii="仿宋" w:hAnsi="仿宋" w:eastAsia="仿宋" w:cs="仿宋"/>
          <w:b w:val="0"/>
          <w:bCs/>
          <w:color w:val="auto"/>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 w:hAnsi="仿宋" w:eastAsia="仿宋" w:cs="仿宋"/>
          <w:b w:val="0"/>
          <w:bCs/>
          <w:i w:val="0"/>
          <w:iCs w:val="0"/>
          <w:caps w:val="0"/>
          <w:color w:val="auto"/>
          <w:spacing w:val="0"/>
          <w:sz w:val="28"/>
          <w:szCs w:val="28"/>
          <w:highlight w:val="none"/>
        </w:rPr>
      </w:pPr>
      <w:r>
        <w:rPr>
          <w:rFonts w:hint="eastAsia" w:ascii="仿宋" w:hAnsi="仿宋" w:eastAsia="仿宋" w:cs="仿宋"/>
          <w:b w:val="0"/>
          <w:bCs/>
          <w:i w:val="0"/>
          <w:iCs w:val="0"/>
          <w:caps w:val="0"/>
          <w:color w:val="auto"/>
          <w:spacing w:val="0"/>
          <w:sz w:val="28"/>
          <w:szCs w:val="28"/>
          <w:highlight w:val="none"/>
        </w:rPr>
        <w:t>（二）乙方及其工作人员</w:t>
      </w:r>
      <w:r>
        <w:rPr>
          <w:rFonts w:hint="eastAsia" w:ascii="仿宋" w:hAnsi="仿宋" w:eastAsia="仿宋" w:cs="仿宋"/>
          <w:b w:val="0"/>
          <w:bCs/>
          <w:i w:val="0"/>
          <w:iCs w:val="0"/>
          <w:caps w:val="0"/>
          <w:color w:val="auto"/>
          <w:spacing w:val="0"/>
          <w:sz w:val="28"/>
          <w:szCs w:val="28"/>
          <w:highlight w:val="none"/>
          <w:lang w:val="en-US" w:eastAsia="zh-CN"/>
        </w:rPr>
        <w:t>存在</w:t>
      </w:r>
      <w:r>
        <w:rPr>
          <w:rFonts w:hint="eastAsia" w:ascii="仿宋" w:hAnsi="仿宋" w:eastAsia="仿宋" w:cs="仿宋"/>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 w:hAnsi="仿宋" w:eastAsia="仿宋" w:cs="仿宋"/>
          <w:b w:val="0"/>
          <w:bCs/>
          <w:i w:val="0"/>
          <w:iCs w:val="0"/>
          <w:caps w:val="0"/>
          <w:color w:val="auto"/>
          <w:spacing w:val="0"/>
          <w:sz w:val="28"/>
          <w:szCs w:val="28"/>
          <w:highlight w:val="none"/>
          <w:lang w:val="en-US" w:eastAsia="zh-CN"/>
        </w:rPr>
        <w:t>的行为</w:t>
      </w:r>
      <w:r>
        <w:rPr>
          <w:rFonts w:hint="eastAsia" w:ascii="仿宋" w:hAnsi="仿宋" w:eastAsia="仿宋" w:cs="仿宋"/>
          <w:b w:val="0"/>
          <w:bCs/>
          <w:i w:val="0"/>
          <w:iCs w:val="0"/>
          <w:caps w:val="0"/>
          <w:color w:val="auto"/>
          <w:spacing w:val="0"/>
          <w:sz w:val="28"/>
          <w:szCs w:val="28"/>
          <w:highlight w:val="none"/>
        </w:rPr>
        <w:t>，</w:t>
      </w:r>
      <w:r>
        <w:rPr>
          <w:rFonts w:hint="eastAsia" w:ascii="仿宋" w:hAnsi="仿宋" w:eastAsia="仿宋" w:cs="仿宋"/>
          <w:b w:val="0"/>
          <w:bCs/>
          <w:i w:val="0"/>
          <w:iCs w:val="0"/>
          <w:caps w:val="0"/>
          <w:color w:val="auto"/>
          <w:spacing w:val="0"/>
          <w:sz w:val="28"/>
          <w:szCs w:val="28"/>
          <w:highlight w:val="none"/>
          <w:lang w:val="en-US" w:eastAsia="zh-CN"/>
        </w:rPr>
        <w:t>无论该行为是否与主合同有关，</w:t>
      </w:r>
      <w:r>
        <w:rPr>
          <w:rFonts w:hint="eastAsia" w:ascii="仿宋" w:hAnsi="仿宋" w:eastAsia="仿宋" w:cs="仿宋"/>
          <w:b w:val="0"/>
          <w:bCs/>
          <w:i w:val="0"/>
          <w:iCs w:val="0"/>
          <w:caps w:val="0"/>
          <w:color w:val="auto"/>
          <w:spacing w:val="0"/>
          <w:sz w:val="28"/>
          <w:szCs w:val="28"/>
          <w:highlight w:val="none"/>
        </w:rPr>
        <w:t>甲方</w:t>
      </w:r>
      <w:r>
        <w:rPr>
          <w:rFonts w:hint="eastAsia" w:ascii="仿宋" w:hAnsi="仿宋" w:eastAsia="仿宋" w:cs="仿宋"/>
          <w:b w:val="0"/>
          <w:bCs/>
          <w:i w:val="0"/>
          <w:iCs w:val="0"/>
          <w:caps w:val="0"/>
          <w:color w:val="auto"/>
          <w:spacing w:val="0"/>
          <w:sz w:val="28"/>
          <w:szCs w:val="28"/>
          <w:highlight w:val="none"/>
          <w:lang w:val="en-US" w:eastAsia="zh-CN"/>
        </w:rPr>
        <w:t>均</w:t>
      </w:r>
      <w:r>
        <w:rPr>
          <w:rFonts w:hint="eastAsia" w:ascii="仿宋" w:hAnsi="仿宋" w:eastAsia="仿宋" w:cs="仿宋"/>
          <w:b w:val="0"/>
          <w:bCs/>
          <w:i w:val="0"/>
          <w:iCs w:val="0"/>
          <w:caps w:val="0"/>
          <w:color w:val="auto"/>
          <w:spacing w:val="0"/>
          <w:sz w:val="28"/>
          <w:szCs w:val="28"/>
          <w:highlight w:val="none"/>
        </w:rPr>
        <w:t>有权根据具体情节和造成的后果，对乙方采取以下处理</w:t>
      </w:r>
      <w:r>
        <w:rPr>
          <w:rFonts w:hint="eastAsia" w:ascii="仿宋" w:hAnsi="仿宋" w:eastAsia="仿宋" w:cs="仿宋"/>
          <w:b w:val="0"/>
          <w:bCs/>
          <w:i w:val="0"/>
          <w:iCs w:val="0"/>
          <w:caps w:val="0"/>
          <w:color w:val="auto"/>
          <w:spacing w:val="0"/>
          <w:sz w:val="28"/>
          <w:szCs w:val="28"/>
          <w:highlight w:val="none"/>
          <w:lang w:val="en-US" w:eastAsia="zh-CN"/>
        </w:rPr>
        <w:t>方式</w:t>
      </w:r>
      <w:r>
        <w:rPr>
          <w:rFonts w:hint="eastAsia" w:ascii="仿宋" w:hAnsi="仿宋" w:eastAsia="仿宋" w:cs="仿宋"/>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 w:hAnsi="仿宋" w:eastAsia="仿宋" w:cs="仿宋"/>
          <w:b w:val="0"/>
          <w:bCs/>
          <w:i w:val="0"/>
          <w:iCs w:val="0"/>
          <w:caps w:val="0"/>
          <w:color w:val="auto"/>
          <w:spacing w:val="0"/>
          <w:sz w:val="28"/>
          <w:szCs w:val="28"/>
          <w:highlight w:val="none"/>
        </w:rPr>
      </w:pPr>
      <w:r>
        <w:rPr>
          <w:rFonts w:hint="eastAsia" w:ascii="仿宋" w:hAnsi="仿宋" w:eastAsia="仿宋" w:cs="仿宋"/>
          <w:b w:val="0"/>
          <w:bCs/>
          <w:i w:val="0"/>
          <w:iCs w:val="0"/>
          <w:caps w:val="0"/>
          <w:color w:val="auto"/>
          <w:spacing w:val="0"/>
          <w:sz w:val="28"/>
          <w:szCs w:val="28"/>
          <w:highlight w:val="none"/>
        </w:rPr>
        <w:t>1、扣除主合同的全部履约保证金；</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 w:hAnsi="仿宋" w:eastAsia="仿宋" w:cs="仿宋"/>
          <w:b w:val="0"/>
          <w:bCs/>
          <w:i w:val="0"/>
          <w:iCs w:val="0"/>
          <w:caps w:val="0"/>
          <w:color w:val="auto"/>
          <w:spacing w:val="0"/>
          <w:sz w:val="28"/>
          <w:szCs w:val="28"/>
          <w:highlight w:val="none"/>
        </w:rPr>
      </w:pPr>
      <w:r>
        <w:rPr>
          <w:rFonts w:hint="eastAsia" w:ascii="仿宋" w:hAnsi="仿宋" w:eastAsia="仿宋" w:cs="仿宋"/>
          <w:b w:val="0"/>
          <w:bCs/>
          <w:i w:val="0"/>
          <w:iCs w:val="0"/>
          <w:caps w:val="0"/>
          <w:color w:val="auto"/>
          <w:spacing w:val="0"/>
          <w:sz w:val="28"/>
          <w:szCs w:val="28"/>
          <w:highlight w:val="none"/>
        </w:rPr>
        <w:t>2、解除</w:t>
      </w:r>
      <w:r>
        <w:rPr>
          <w:rFonts w:hint="eastAsia" w:ascii="仿宋" w:hAnsi="仿宋" w:eastAsia="仿宋" w:cs="仿宋"/>
          <w:b w:val="0"/>
          <w:bCs/>
          <w:i w:val="0"/>
          <w:iCs w:val="0"/>
          <w:caps w:val="0"/>
          <w:color w:val="auto"/>
          <w:spacing w:val="0"/>
          <w:sz w:val="28"/>
          <w:szCs w:val="28"/>
          <w:highlight w:val="none"/>
          <w:lang w:val="en-US" w:eastAsia="zh-CN"/>
        </w:rPr>
        <w:t>主合同</w:t>
      </w:r>
      <w:r>
        <w:rPr>
          <w:rFonts w:hint="eastAsia" w:ascii="仿宋" w:hAnsi="仿宋" w:eastAsia="仿宋" w:cs="仿宋"/>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 w:hAnsi="仿宋" w:eastAsia="仿宋" w:cs="仿宋"/>
          <w:b w:val="0"/>
          <w:bCs/>
          <w:i w:val="0"/>
          <w:iCs w:val="0"/>
          <w:caps w:val="0"/>
          <w:color w:val="auto"/>
          <w:spacing w:val="0"/>
          <w:sz w:val="28"/>
          <w:szCs w:val="28"/>
          <w:highlight w:val="none"/>
        </w:rPr>
      </w:pPr>
      <w:r>
        <w:rPr>
          <w:rFonts w:hint="eastAsia" w:ascii="仿宋" w:hAnsi="仿宋" w:eastAsia="仿宋" w:cs="仿宋"/>
          <w:b w:val="0"/>
          <w:bCs/>
          <w:i w:val="0"/>
          <w:iCs w:val="0"/>
          <w:caps w:val="0"/>
          <w:color w:val="auto"/>
          <w:spacing w:val="0"/>
          <w:sz w:val="28"/>
          <w:szCs w:val="28"/>
          <w:highlight w:val="none"/>
        </w:rPr>
        <w:t>3、追究乙方其他违约责任；</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 w:hAnsi="仿宋" w:eastAsia="仿宋" w:cs="仿宋"/>
          <w:b w:val="0"/>
          <w:bCs/>
          <w:i w:val="0"/>
          <w:iCs w:val="0"/>
          <w:caps w:val="0"/>
          <w:color w:val="auto"/>
          <w:spacing w:val="0"/>
          <w:sz w:val="28"/>
          <w:szCs w:val="28"/>
          <w:highlight w:val="none"/>
        </w:rPr>
      </w:pPr>
      <w:r>
        <w:rPr>
          <w:rFonts w:hint="eastAsia" w:ascii="仿宋" w:hAnsi="仿宋" w:eastAsia="仿宋" w:cs="仿宋"/>
          <w:b w:val="0"/>
          <w:bCs/>
          <w:i w:val="0"/>
          <w:iCs w:val="0"/>
          <w:caps w:val="0"/>
          <w:color w:val="auto"/>
          <w:spacing w:val="0"/>
          <w:sz w:val="28"/>
          <w:szCs w:val="28"/>
          <w:highlight w:val="none"/>
        </w:rPr>
        <w:t>4、根据甲方的有关规章制度，在一定时间内暂停乙方参与甲方及下属单位所有项目的交易资格；</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 w:hAnsi="仿宋" w:eastAsia="仿宋" w:cs="仿宋"/>
          <w:b w:val="0"/>
          <w:bCs/>
          <w:i w:val="0"/>
          <w:iCs w:val="0"/>
          <w:caps w:val="0"/>
          <w:color w:val="auto"/>
          <w:spacing w:val="0"/>
          <w:sz w:val="28"/>
          <w:szCs w:val="28"/>
          <w:highlight w:val="none"/>
        </w:rPr>
      </w:pPr>
      <w:r>
        <w:rPr>
          <w:rFonts w:hint="eastAsia" w:ascii="仿宋" w:hAnsi="仿宋" w:eastAsia="仿宋" w:cs="仿宋"/>
          <w:b w:val="0"/>
          <w:bCs/>
          <w:i w:val="0"/>
          <w:iCs w:val="0"/>
          <w:caps w:val="0"/>
          <w:color w:val="auto"/>
          <w:spacing w:val="0"/>
          <w:sz w:val="28"/>
          <w:szCs w:val="28"/>
          <w:highlight w:val="none"/>
        </w:rPr>
        <w:t>5、根据甲方的有关规章制度，将乙方清退出甲方相关企业库；</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 w:hAnsi="仿宋" w:eastAsia="仿宋" w:cs="仿宋"/>
          <w:b w:val="0"/>
          <w:bCs/>
          <w:i w:val="0"/>
          <w:iCs w:val="0"/>
          <w:caps w:val="0"/>
          <w:color w:val="auto"/>
          <w:spacing w:val="0"/>
          <w:sz w:val="28"/>
          <w:szCs w:val="28"/>
          <w:highlight w:val="none"/>
        </w:rPr>
      </w:pPr>
      <w:r>
        <w:rPr>
          <w:rFonts w:hint="eastAsia" w:ascii="仿宋" w:hAnsi="仿宋" w:eastAsia="仿宋" w:cs="仿宋"/>
          <w:b w:val="0"/>
          <w:bCs/>
          <w:i w:val="0"/>
          <w:iCs w:val="0"/>
          <w:caps w:val="0"/>
          <w:color w:val="auto"/>
          <w:spacing w:val="0"/>
          <w:sz w:val="28"/>
          <w:szCs w:val="28"/>
          <w:highlight w:val="none"/>
        </w:rPr>
        <w:t>6、根据甲方上级单位、行政主管部门的意见、决定执行；</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 w:hAnsi="仿宋" w:eastAsia="仿宋" w:cs="仿宋"/>
          <w:b w:val="0"/>
          <w:bCs/>
          <w:i w:val="0"/>
          <w:iCs w:val="0"/>
          <w:caps w:val="0"/>
          <w:color w:val="auto"/>
          <w:spacing w:val="0"/>
          <w:sz w:val="28"/>
          <w:szCs w:val="28"/>
          <w:highlight w:val="none"/>
        </w:rPr>
      </w:pPr>
      <w:r>
        <w:rPr>
          <w:rFonts w:hint="eastAsia" w:ascii="仿宋" w:hAnsi="仿宋" w:eastAsia="仿宋" w:cs="仿宋"/>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 w:hAnsi="仿宋" w:eastAsia="仿宋" w:cs="仿宋"/>
          <w:b w:val="0"/>
          <w:bCs/>
          <w:color w:val="auto"/>
          <w:sz w:val="28"/>
          <w:szCs w:val="28"/>
          <w:highlight w:val="none"/>
        </w:rPr>
      </w:pPr>
      <w:r>
        <w:rPr>
          <w:rFonts w:hint="eastAsia" w:ascii="仿宋" w:hAnsi="仿宋" w:eastAsia="仿宋" w:cs="仿宋"/>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after="0" w:line="520" w:lineRule="exact"/>
        <w:ind w:firstLine="560" w:firstLineChars="200"/>
        <w:rPr>
          <w:rFonts w:hint="eastAsia" w:ascii="仿宋" w:hAnsi="仿宋" w:eastAsia="仿宋" w:cs="仿宋"/>
          <w:b w:val="0"/>
          <w:bCs/>
          <w:color w:val="auto"/>
          <w:kern w:val="0"/>
          <w:sz w:val="28"/>
          <w:szCs w:val="28"/>
          <w:highlight w:val="none"/>
        </w:rPr>
      </w:pPr>
      <w:r>
        <w:rPr>
          <w:rFonts w:hint="eastAsia" w:ascii="仿宋" w:hAnsi="仿宋" w:eastAsia="仿宋" w:cs="仿宋"/>
          <w:b w:val="0"/>
          <w:bCs/>
          <w:color w:val="auto"/>
          <w:sz w:val="28"/>
          <w:szCs w:val="28"/>
          <w:highlight w:val="none"/>
        </w:rPr>
        <w:t xml:space="preserve">第五条 </w:t>
      </w:r>
      <w:r>
        <w:rPr>
          <w:rFonts w:hint="eastAsia" w:ascii="仿宋" w:hAnsi="仿宋" w:eastAsia="仿宋" w:cs="仿宋"/>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第六条本协议作为</w:t>
      </w:r>
      <w:r>
        <w:rPr>
          <w:rFonts w:hint="eastAsia" w:ascii="仿宋" w:hAnsi="仿宋" w:eastAsia="仿宋" w:cs="仿宋"/>
          <w:b w:val="0"/>
          <w:bCs/>
          <w:color w:val="auto"/>
          <w:sz w:val="28"/>
          <w:szCs w:val="28"/>
          <w:highlight w:val="none"/>
          <w:u w:val="single"/>
          <w:lang w:val="en-US" w:eastAsia="zh-CN"/>
        </w:rPr>
        <w:t xml:space="preserve">               </w:t>
      </w:r>
      <w:r>
        <w:rPr>
          <w:rFonts w:hint="eastAsia" w:ascii="仿宋" w:hAnsi="仿宋" w:eastAsia="仿宋" w:cs="仿宋"/>
          <w:b w:val="0"/>
          <w:bCs/>
          <w:color w:val="auto"/>
          <w:sz w:val="28"/>
          <w:szCs w:val="28"/>
          <w:highlight w:val="none"/>
          <w:u w:val="single"/>
          <w:lang w:eastAsia="zh-CN"/>
        </w:rPr>
        <w:t>，</w:t>
      </w:r>
      <w:r>
        <w:rPr>
          <w:rFonts w:hint="eastAsia" w:ascii="仿宋" w:hAnsi="仿宋" w:eastAsia="仿宋" w:cs="仿宋"/>
          <w:b w:val="0"/>
          <w:bCs/>
          <w:color w:val="auto"/>
          <w:sz w:val="28"/>
          <w:szCs w:val="28"/>
          <w:highlight w:val="none"/>
          <w:u w:val="single"/>
          <w:lang w:val="en-US" w:eastAsia="zh-CN"/>
        </w:rPr>
        <w:t>穗净水合【    】号</w:t>
      </w:r>
      <w:r>
        <w:rPr>
          <w:rFonts w:hint="eastAsia" w:ascii="仿宋" w:hAnsi="仿宋" w:eastAsia="仿宋" w:cs="仿宋"/>
          <w:color w:val="FF0000"/>
          <w:sz w:val="28"/>
          <w:szCs w:val="28"/>
          <w:u w:val="single"/>
          <w:lang w:val="en-US" w:eastAsia="zh-CN"/>
        </w:rPr>
        <w:t xml:space="preserve"> </w:t>
      </w:r>
      <w:r>
        <w:rPr>
          <w:rFonts w:hint="eastAsia" w:ascii="仿宋" w:hAnsi="仿宋" w:eastAsia="仿宋" w:cs="仿宋"/>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第七条本协议一式</w:t>
      </w:r>
      <w:r>
        <w:rPr>
          <w:rFonts w:hint="eastAsia" w:ascii="仿宋" w:hAnsi="仿宋" w:eastAsia="仿宋" w:cs="仿宋"/>
          <w:b w:val="0"/>
          <w:bCs/>
          <w:color w:val="auto"/>
          <w:sz w:val="28"/>
          <w:szCs w:val="28"/>
          <w:highlight w:val="none"/>
          <w:u w:val="single"/>
          <w:lang w:val="en-US" w:eastAsia="zh-CN"/>
        </w:rPr>
        <w:t>陆</w:t>
      </w:r>
      <w:r>
        <w:rPr>
          <w:rFonts w:hint="eastAsia" w:ascii="仿宋" w:hAnsi="仿宋" w:eastAsia="仿宋" w:cs="仿宋"/>
          <w:b w:val="0"/>
          <w:bCs/>
          <w:color w:val="auto"/>
          <w:sz w:val="28"/>
          <w:szCs w:val="28"/>
          <w:highlight w:val="none"/>
        </w:rPr>
        <w:t>份，甲方</w:t>
      </w:r>
      <w:r>
        <w:rPr>
          <w:rFonts w:hint="eastAsia" w:ascii="仿宋" w:hAnsi="仿宋" w:eastAsia="仿宋" w:cs="仿宋"/>
          <w:b w:val="0"/>
          <w:bCs/>
          <w:color w:val="auto"/>
          <w:sz w:val="28"/>
          <w:szCs w:val="28"/>
          <w:highlight w:val="none"/>
          <w:u w:val="single"/>
          <w:lang w:val="en-US" w:eastAsia="zh-CN"/>
        </w:rPr>
        <w:t>肆</w:t>
      </w:r>
      <w:r>
        <w:rPr>
          <w:rFonts w:hint="eastAsia" w:ascii="仿宋" w:hAnsi="仿宋" w:eastAsia="仿宋" w:cs="仿宋"/>
          <w:b w:val="0"/>
          <w:bCs/>
          <w:color w:val="auto"/>
          <w:sz w:val="28"/>
          <w:szCs w:val="28"/>
          <w:highlight w:val="none"/>
        </w:rPr>
        <w:t>份，乙方</w:t>
      </w:r>
      <w:r>
        <w:rPr>
          <w:rFonts w:hint="eastAsia" w:ascii="仿宋" w:hAnsi="仿宋" w:eastAsia="仿宋" w:cs="仿宋"/>
          <w:b w:val="0"/>
          <w:bCs/>
          <w:color w:val="auto"/>
          <w:sz w:val="28"/>
          <w:szCs w:val="28"/>
          <w:highlight w:val="none"/>
          <w:u w:val="single"/>
          <w:lang w:val="en-US" w:eastAsia="zh-CN"/>
        </w:rPr>
        <w:t>贰</w:t>
      </w:r>
      <w:r>
        <w:rPr>
          <w:rFonts w:hint="eastAsia" w:ascii="仿宋" w:hAnsi="仿宋" w:eastAsia="仿宋" w:cs="仿宋"/>
          <w:b w:val="0"/>
          <w:bCs/>
          <w:color w:val="auto"/>
          <w:sz w:val="28"/>
          <w:szCs w:val="28"/>
          <w:highlight w:val="none"/>
        </w:rPr>
        <w:t>份。</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 w:hAnsi="仿宋" w:eastAsia="仿宋" w:cs="仿宋"/>
          <w:b w:val="0"/>
          <w:bCs/>
          <w:color w:val="auto"/>
          <w:sz w:val="28"/>
          <w:szCs w:val="28"/>
          <w:highlight w:val="none"/>
        </w:rPr>
      </w:pPr>
    </w:p>
    <w:p>
      <w:pPr>
        <w:keepNext w:val="0"/>
        <w:keepLines w:val="0"/>
        <w:pageBreakBefore w:val="0"/>
        <w:kinsoku/>
        <w:wordWrap/>
        <w:overflowPunct/>
        <w:topLinePunct w:val="0"/>
        <w:autoSpaceDE/>
        <w:autoSpaceDN/>
        <w:bidi w:val="0"/>
        <w:snapToGrid/>
        <w:spacing w:line="520" w:lineRule="exact"/>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甲方（盖章）：                     乙方（盖章）：</w:t>
      </w:r>
    </w:p>
    <w:p>
      <w:pPr>
        <w:keepNext w:val="0"/>
        <w:keepLines w:val="0"/>
        <w:pageBreakBefore w:val="0"/>
        <w:tabs>
          <w:tab w:val="left" w:pos="5100"/>
        </w:tabs>
        <w:kinsoku/>
        <w:wordWrap/>
        <w:overflowPunct/>
        <w:topLinePunct w:val="0"/>
        <w:autoSpaceDE/>
        <w:autoSpaceDN/>
        <w:bidi w:val="0"/>
        <w:snapToGrid/>
        <w:spacing w:line="520" w:lineRule="exact"/>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签约代表：                         签约代表：</w:t>
      </w:r>
    </w:p>
    <w:p>
      <w:pPr>
        <w:tabs>
          <w:tab w:val="left" w:pos="4170"/>
        </w:tabs>
        <w:spacing w:line="360" w:lineRule="auto"/>
        <w:rPr>
          <w:rFonts w:hint="eastAsia" w:ascii="仿宋" w:hAnsi="仿宋" w:eastAsia="仿宋" w:cs="仿宋"/>
          <w:sz w:val="28"/>
          <w:szCs w:val="28"/>
        </w:rPr>
      </w:pPr>
      <w:r>
        <w:rPr>
          <w:rFonts w:hint="eastAsia" w:ascii="仿宋" w:hAnsi="仿宋" w:eastAsia="仿宋" w:cs="仿宋"/>
          <w:b w:val="0"/>
          <w:bCs/>
          <w:color w:val="auto"/>
          <w:sz w:val="28"/>
          <w:szCs w:val="28"/>
          <w:highlight w:val="none"/>
        </w:rPr>
        <w:t>日期:    年  月  日</w:t>
      </w:r>
      <w:r>
        <w:rPr>
          <w:rFonts w:hint="eastAsia" w:ascii="仿宋" w:hAnsi="仿宋" w:eastAsia="仿宋" w:cs="仿宋"/>
          <w:b w:val="0"/>
          <w:bCs/>
          <w:color w:val="auto"/>
          <w:sz w:val="28"/>
          <w:szCs w:val="28"/>
          <w:highlight w:val="none"/>
        </w:rPr>
        <w:tab/>
      </w:r>
      <w:r>
        <w:rPr>
          <w:rFonts w:hint="eastAsia" w:ascii="仿宋" w:hAnsi="仿宋" w:eastAsia="仿宋" w:cs="仿宋"/>
          <w:b w:val="0"/>
          <w:bCs/>
          <w:color w:val="auto"/>
          <w:sz w:val="28"/>
          <w:szCs w:val="28"/>
          <w:highlight w:val="none"/>
          <w:lang w:val="en-US" w:eastAsia="zh-CN"/>
        </w:rPr>
        <w:t xml:space="preserve">     </w:t>
      </w:r>
      <w:r>
        <w:rPr>
          <w:rFonts w:hint="eastAsia" w:ascii="仿宋" w:hAnsi="仿宋" w:eastAsia="仿宋" w:cs="仿宋"/>
          <w:b w:val="0"/>
          <w:bCs/>
          <w:color w:val="auto"/>
          <w:sz w:val="28"/>
          <w:szCs w:val="28"/>
          <w:highlight w:val="none"/>
        </w:rPr>
        <w:t>日期：  年  月  日</w:t>
      </w:r>
    </w:p>
    <w:p>
      <w:pPr>
        <w:tabs>
          <w:tab w:val="left" w:pos="4170"/>
        </w:tabs>
        <w:spacing w:line="360" w:lineRule="auto"/>
        <w:rPr>
          <w:rFonts w:hint="eastAsia" w:ascii="仿宋" w:hAnsi="仿宋" w:eastAsia="仿宋" w:cs="仿宋"/>
          <w:b/>
          <w:sz w:val="28"/>
          <w:szCs w:val="28"/>
        </w:rPr>
      </w:pPr>
    </w:p>
    <w:p>
      <w:pPr>
        <w:tabs>
          <w:tab w:val="left" w:pos="4170"/>
        </w:tabs>
        <w:spacing w:line="360" w:lineRule="auto"/>
        <w:rPr>
          <w:rFonts w:hint="eastAsia" w:ascii="仿宋" w:hAnsi="仿宋" w:eastAsia="仿宋" w:cs="仿宋"/>
          <w:b/>
          <w:sz w:val="28"/>
          <w:szCs w:val="28"/>
        </w:rPr>
      </w:pPr>
    </w:p>
    <w:p>
      <w:pPr>
        <w:tabs>
          <w:tab w:val="left" w:pos="4170"/>
        </w:tabs>
        <w:spacing w:line="360" w:lineRule="auto"/>
        <w:rPr>
          <w:rFonts w:hint="eastAsia" w:ascii="宋体" w:hAnsi="宋体" w:cs="宋体"/>
          <w:b/>
          <w:szCs w:val="21"/>
        </w:rPr>
      </w:pPr>
    </w:p>
    <w:p>
      <w:pPr>
        <w:tabs>
          <w:tab w:val="left" w:pos="4170"/>
        </w:tabs>
        <w:spacing w:line="360" w:lineRule="auto"/>
        <w:rPr>
          <w:rFonts w:hint="eastAsia" w:ascii="宋体" w:hAnsi="宋体" w:cs="宋体"/>
          <w:b/>
          <w:szCs w:val="21"/>
        </w:rPr>
      </w:pPr>
    </w:p>
    <w:p>
      <w:pPr>
        <w:tabs>
          <w:tab w:val="left" w:pos="4170"/>
        </w:tabs>
        <w:spacing w:line="360" w:lineRule="auto"/>
        <w:rPr>
          <w:rFonts w:hint="eastAsia" w:ascii="宋体" w:hAnsi="宋体" w:cs="宋体"/>
          <w:b/>
          <w:szCs w:val="21"/>
        </w:rPr>
      </w:pPr>
    </w:p>
    <w:p>
      <w:pPr>
        <w:tabs>
          <w:tab w:val="left" w:pos="4170"/>
        </w:tabs>
        <w:spacing w:line="360" w:lineRule="auto"/>
        <w:rPr>
          <w:rFonts w:hint="eastAsia" w:ascii="宋体" w:hAnsi="宋体" w:cs="宋体"/>
          <w:b/>
          <w:szCs w:val="21"/>
        </w:rPr>
      </w:pPr>
    </w:p>
    <w:p>
      <w:pPr>
        <w:tabs>
          <w:tab w:val="left" w:pos="4170"/>
        </w:tabs>
        <w:spacing w:line="360" w:lineRule="auto"/>
        <w:rPr>
          <w:rFonts w:hint="eastAsia" w:ascii="宋体" w:hAnsi="宋体" w:cs="宋体"/>
          <w:b/>
          <w:szCs w:val="21"/>
        </w:rPr>
      </w:pPr>
    </w:p>
    <w:p>
      <w:pPr>
        <w:tabs>
          <w:tab w:val="left" w:pos="4170"/>
        </w:tabs>
        <w:spacing w:line="360" w:lineRule="auto"/>
        <w:rPr>
          <w:rFonts w:hint="eastAsia" w:ascii="宋体" w:hAnsi="宋体" w:cs="宋体"/>
          <w:b/>
          <w:szCs w:val="21"/>
        </w:rPr>
      </w:pPr>
    </w:p>
    <w:p>
      <w:pPr>
        <w:tabs>
          <w:tab w:val="left" w:pos="4170"/>
        </w:tabs>
        <w:spacing w:line="360" w:lineRule="auto"/>
        <w:rPr>
          <w:rFonts w:hint="eastAsia" w:ascii="宋体" w:hAnsi="宋体" w:cs="宋体"/>
          <w:b/>
          <w:szCs w:val="21"/>
        </w:rPr>
      </w:pPr>
    </w:p>
    <w:p>
      <w:pPr>
        <w:pStyle w:val="6"/>
        <w:rPr>
          <w:rFonts w:hint="eastAsia" w:ascii="宋体" w:hAnsi="宋体" w:cs="宋体"/>
          <w:b/>
          <w:szCs w:val="21"/>
        </w:rPr>
      </w:pPr>
    </w:p>
    <w:p>
      <w:pPr>
        <w:pStyle w:val="6"/>
        <w:rPr>
          <w:rFonts w:hint="eastAsia" w:ascii="宋体" w:hAnsi="宋体" w:cs="宋体"/>
          <w:b/>
          <w:szCs w:val="21"/>
        </w:rPr>
      </w:pPr>
    </w:p>
    <w:p>
      <w:pPr>
        <w:pStyle w:val="29"/>
        <w:rPr>
          <w:rFonts w:hint="eastAsia" w:ascii="宋体" w:hAnsi="宋体" w:cs="宋体"/>
          <w:b/>
          <w:szCs w:val="21"/>
        </w:rPr>
      </w:pPr>
    </w:p>
    <w:p>
      <w:pPr>
        <w:tabs>
          <w:tab w:val="left" w:pos="4170"/>
        </w:tabs>
        <w:spacing w:line="360" w:lineRule="auto"/>
        <w:rPr>
          <w:rFonts w:ascii="宋体" w:hAnsi="宋体" w:cs="宋体"/>
          <w:b/>
          <w:szCs w:val="21"/>
        </w:rPr>
      </w:pPr>
      <w:r>
        <w:rPr>
          <w:rFonts w:hint="eastAsia" w:ascii="宋体" w:hAnsi="宋体" w:cs="宋体"/>
          <w:b/>
          <w:szCs w:val="21"/>
        </w:rPr>
        <w:t>附件3：营运场所施工安全协议书</w:t>
      </w:r>
    </w:p>
    <w:p>
      <w:pPr>
        <w:spacing w:line="360" w:lineRule="auto"/>
        <w:jc w:val="center"/>
        <w:rPr>
          <w:rFonts w:ascii="宋体" w:hAnsi="宋体" w:cs="宋体"/>
          <w:b/>
          <w:bCs/>
          <w:sz w:val="24"/>
        </w:rPr>
      </w:pPr>
    </w:p>
    <w:p>
      <w:pPr>
        <w:keepNext w:val="0"/>
        <w:keepLines w:val="0"/>
        <w:pageBreakBefore w:val="0"/>
        <w:kinsoku/>
        <w:wordWrap/>
        <w:overflowPunct/>
        <w:topLinePunct w:val="0"/>
        <w:autoSpaceDE/>
        <w:autoSpaceDN/>
        <w:bidi w:val="0"/>
        <w:spacing w:line="440" w:lineRule="exact"/>
        <w:jc w:val="center"/>
        <w:textAlignment w:val="auto"/>
        <w:rPr>
          <w:rFonts w:hint="eastAsia" w:ascii="方正小标宋简体" w:hAnsi="方正小标宋简体" w:eastAsia="方正小标宋简体" w:cs="方正小标宋简体"/>
          <w:lang w:val="en-US" w:eastAsia="zh-CN"/>
        </w:rPr>
      </w:pPr>
      <w:r>
        <w:rPr>
          <w:rFonts w:hint="eastAsia" w:ascii="方正小标宋简体" w:hAnsi="方正小标宋简体" w:eastAsia="方正小标宋简体" w:cs="方正小标宋简体"/>
          <w:lang w:val="en-US" w:eastAsia="zh-CN"/>
        </w:rPr>
        <w:t>营运场所施工安全及消防安全协议书</w:t>
      </w:r>
    </w:p>
    <w:p>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kern w:val="0"/>
          <w:sz w:val="24"/>
        </w:rPr>
      </w:pPr>
    </w:p>
    <w:p>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甲方：</w:t>
      </w:r>
      <w:r>
        <w:rPr>
          <w:rFonts w:hint="eastAsia" w:ascii="仿宋_GB2312" w:hAnsi="仿宋_GB2312" w:eastAsia="仿宋_GB2312" w:cs="仿宋_GB2312"/>
          <w:sz w:val="24"/>
          <w:szCs w:val="24"/>
        </w:rPr>
        <w:t>广州市净水有限公司</w:t>
      </w:r>
    </w:p>
    <w:p>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乙方： </w:t>
      </w:r>
    </w:p>
    <w:p>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kern w:val="0"/>
          <w:sz w:val="24"/>
          <w:szCs w:val="24"/>
        </w:rPr>
      </w:pPr>
    </w:p>
    <w:p>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根据《中华人民共和国安全生产法》、</w:t>
      </w:r>
      <w:r>
        <w:rPr>
          <w:rFonts w:hint="eastAsia" w:ascii="仿宋_GB2312" w:hAnsi="仿宋_GB2312" w:eastAsia="仿宋_GB2312" w:cs="仿宋_GB2312"/>
          <w:kern w:val="0"/>
          <w:sz w:val="24"/>
          <w:szCs w:val="24"/>
          <w:lang w:eastAsia="zh-CN"/>
        </w:rPr>
        <w:t>《中华人民共和国消防法》、</w:t>
      </w:r>
      <w:r>
        <w:rPr>
          <w:rFonts w:hint="eastAsia" w:ascii="仿宋_GB2312" w:hAnsi="仿宋_GB2312" w:eastAsia="仿宋_GB2312" w:cs="仿宋_GB2312"/>
          <w:kern w:val="0"/>
          <w:sz w:val="24"/>
          <w:szCs w:val="24"/>
        </w:rPr>
        <w:t>《生产安全事故报告和调查处理条例》</w:t>
      </w:r>
      <w:r>
        <w:rPr>
          <w:rFonts w:hint="eastAsia" w:ascii="仿宋_GB2312" w:hAnsi="仿宋_GB2312" w:eastAsia="仿宋_GB2312" w:cs="仿宋_GB2312"/>
          <w:kern w:val="0"/>
          <w:sz w:val="24"/>
          <w:szCs w:val="24"/>
          <w:lang w:eastAsia="zh-CN"/>
        </w:rPr>
        <w:t>、《建设工程安全生产管理条例》</w:t>
      </w:r>
      <w:r>
        <w:rPr>
          <w:rFonts w:hint="eastAsia" w:ascii="仿宋_GB2312" w:hAnsi="仿宋_GB2312" w:eastAsia="仿宋_GB2312" w:cs="仿宋_GB2312"/>
          <w:kern w:val="0"/>
          <w:sz w:val="24"/>
          <w:szCs w:val="24"/>
        </w:rPr>
        <w:t>等国家及地方有关安全生产</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消防安全</w:t>
      </w:r>
      <w:r>
        <w:rPr>
          <w:rFonts w:hint="eastAsia" w:ascii="仿宋_GB2312" w:hAnsi="仿宋_GB2312" w:eastAsia="仿宋_GB2312" w:cs="仿宋_GB2312"/>
          <w:kern w:val="0"/>
          <w:sz w:val="24"/>
          <w:szCs w:val="24"/>
        </w:rPr>
        <w:t>法律法规，甲乙双方就安全</w:t>
      </w:r>
      <w:r>
        <w:rPr>
          <w:rFonts w:hint="eastAsia" w:ascii="仿宋_GB2312" w:hAnsi="仿宋_GB2312" w:eastAsia="仿宋_GB2312" w:cs="仿宋_GB2312"/>
          <w:kern w:val="0"/>
          <w:sz w:val="24"/>
          <w:szCs w:val="24"/>
          <w:lang w:val="en-US" w:eastAsia="zh-CN"/>
        </w:rPr>
        <w:t>及消防安全</w:t>
      </w:r>
      <w:r>
        <w:rPr>
          <w:rFonts w:hint="eastAsia" w:ascii="仿宋_GB2312" w:hAnsi="仿宋_GB2312" w:eastAsia="仿宋_GB2312" w:cs="仿宋_GB2312"/>
          <w:kern w:val="0"/>
          <w:sz w:val="24"/>
          <w:szCs w:val="24"/>
        </w:rPr>
        <w:t>事宜，</w:t>
      </w:r>
      <w:r>
        <w:rPr>
          <w:rFonts w:hint="eastAsia" w:ascii="仿宋_GB2312" w:hAnsi="仿宋_GB2312" w:eastAsia="仿宋_GB2312" w:cs="仿宋_GB2312"/>
          <w:sz w:val="24"/>
          <w:szCs w:val="24"/>
        </w:rPr>
        <w:t>经双方友好协商，达成如下协议</w:t>
      </w:r>
      <w:r>
        <w:rPr>
          <w:rFonts w:hint="eastAsia" w:ascii="仿宋_GB2312" w:hAnsi="仿宋_GB2312" w:eastAsia="仿宋_GB2312" w:cs="仿宋_GB2312"/>
          <w:kern w:val="0"/>
          <w:sz w:val="24"/>
          <w:szCs w:val="24"/>
        </w:rPr>
        <w:t>。</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一、总则</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一</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本协议是合同</w:t>
      </w:r>
      <w:r>
        <w:rPr>
          <w:rFonts w:hint="eastAsia" w:ascii="仿宋_GB2312" w:hAnsi="仿宋_GB2312" w:eastAsia="仿宋_GB2312" w:cs="仿宋_GB2312"/>
          <w:sz w:val="24"/>
          <w:szCs w:val="24"/>
          <w:u w:val="single"/>
        </w:rPr>
        <w:t xml:space="preserve">                      （穗净水合〔     〕    号） </w:t>
      </w:r>
      <w:r>
        <w:rPr>
          <w:rFonts w:hint="eastAsia" w:ascii="仿宋_GB2312" w:hAnsi="仿宋_GB2312" w:eastAsia="仿宋_GB2312" w:cs="仿宋_GB2312"/>
          <w:sz w:val="24"/>
          <w:szCs w:val="24"/>
        </w:rPr>
        <w:t>的组成部分。</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二</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color w:val="auto"/>
          <w:kern w:val="0"/>
          <w:sz w:val="24"/>
          <w:szCs w:val="24"/>
        </w:rPr>
        <w:t>甲</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rPr>
        <w:t>乙双方应遵守国家、省、市有关</w:t>
      </w:r>
      <w:r>
        <w:rPr>
          <w:rFonts w:hint="eastAsia" w:ascii="仿宋_GB2312" w:hAnsi="仿宋_GB2312" w:eastAsia="仿宋_GB2312" w:cs="仿宋_GB2312"/>
          <w:kern w:val="0"/>
          <w:sz w:val="24"/>
          <w:szCs w:val="24"/>
        </w:rPr>
        <w:t>安全生产</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color w:val="auto"/>
          <w:kern w:val="0"/>
          <w:sz w:val="24"/>
          <w:szCs w:val="24"/>
        </w:rPr>
        <w:t>消防安全的法律、法规、规章，履行</w:t>
      </w:r>
      <w:r>
        <w:rPr>
          <w:rFonts w:hint="eastAsia" w:ascii="仿宋_GB2312" w:hAnsi="仿宋_GB2312" w:eastAsia="仿宋_GB2312" w:cs="仿宋_GB2312"/>
          <w:kern w:val="0"/>
          <w:sz w:val="24"/>
          <w:szCs w:val="24"/>
          <w:lang w:val="en-US" w:eastAsia="zh-CN"/>
        </w:rPr>
        <w:t>安全生产、</w:t>
      </w:r>
      <w:r>
        <w:rPr>
          <w:rFonts w:hint="eastAsia" w:ascii="仿宋_GB2312" w:hAnsi="仿宋_GB2312" w:eastAsia="仿宋_GB2312" w:cs="仿宋_GB2312"/>
          <w:color w:val="auto"/>
          <w:kern w:val="0"/>
          <w:sz w:val="24"/>
          <w:szCs w:val="24"/>
        </w:rPr>
        <w:t>消防安全职责，保障人员生命、财产安全。</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三</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color w:val="auto"/>
          <w:kern w:val="0"/>
          <w:sz w:val="24"/>
          <w:szCs w:val="24"/>
        </w:rPr>
        <w:t>甲</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rPr>
        <w:t>乙双方应当逐级落实</w:t>
      </w:r>
      <w:r>
        <w:rPr>
          <w:rFonts w:hint="eastAsia" w:ascii="仿宋_GB2312" w:hAnsi="仿宋_GB2312" w:eastAsia="仿宋_GB2312" w:cs="仿宋_GB2312"/>
          <w:kern w:val="0"/>
          <w:sz w:val="24"/>
          <w:szCs w:val="24"/>
          <w:lang w:val="en-US" w:eastAsia="zh-CN"/>
        </w:rPr>
        <w:t>安全生产、</w:t>
      </w:r>
      <w:r>
        <w:rPr>
          <w:rFonts w:hint="eastAsia" w:ascii="仿宋_GB2312" w:hAnsi="仿宋_GB2312" w:eastAsia="仿宋_GB2312" w:cs="仿宋_GB2312"/>
          <w:color w:val="auto"/>
          <w:kern w:val="0"/>
          <w:sz w:val="24"/>
          <w:szCs w:val="24"/>
        </w:rPr>
        <w:t>消防安全责任制，明确逐级岗位人员的安全</w:t>
      </w:r>
      <w:r>
        <w:rPr>
          <w:rFonts w:hint="eastAsia" w:ascii="仿宋_GB2312" w:hAnsi="仿宋_GB2312" w:eastAsia="仿宋_GB2312" w:cs="仿宋_GB2312"/>
          <w:kern w:val="0"/>
          <w:sz w:val="24"/>
          <w:szCs w:val="24"/>
          <w:lang w:val="en-US" w:eastAsia="zh-CN"/>
        </w:rPr>
        <w:t>生产、消防安全</w:t>
      </w:r>
      <w:r>
        <w:rPr>
          <w:rFonts w:hint="eastAsia" w:ascii="仿宋_GB2312" w:hAnsi="仿宋_GB2312" w:eastAsia="仿宋_GB2312" w:cs="仿宋_GB2312"/>
          <w:color w:val="auto"/>
          <w:kern w:val="0"/>
          <w:sz w:val="24"/>
          <w:szCs w:val="24"/>
        </w:rPr>
        <w:t>职责。</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lang w:val="en-US" w:eastAsia="zh-CN"/>
        </w:rPr>
        <w:t>四</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lang w:val="en-US" w:eastAsia="zh-CN"/>
        </w:rPr>
        <w:t>本协议是对在满足法律法规规定的双方安全及消防安全责任的基础上的补充事项。</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（五）当同一个场所、池体内，甲方安排两个或以上的承包单位同时施工的，由甲方组织各承包单位签订《营运场所交叉作业安全及消防安全协议书》。</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lang w:val="en-US" w:eastAsia="zh-CN"/>
        </w:rPr>
        <w:t>六</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lang w:val="en-US" w:eastAsia="zh-CN"/>
        </w:rPr>
        <w:t>乙方的单位及人员资质（</w:t>
      </w:r>
      <w:r>
        <w:rPr>
          <w:rFonts w:hint="eastAsia" w:ascii="仿宋_GB2312" w:hAnsi="仿宋_GB2312" w:eastAsia="仿宋_GB2312" w:cs="仿宋_GB2312"/>
          <w:b/>
          <w:bCs w:val="0"/>
          <w:color w:val="auto"/>
          <w:kern w:val="0"/>
          <w:sz w:val="24"/>
          <w:szCs w:val="24"/>
          <w:lang w:val="en-US" w:eastAsia="zh-CN"/>
        </w:rPr>
        <w:t>单项选择并填写</w:t>
      </w:r>
      <w:r>
        <w:rPr>
          <w:rFonts w:hint="eastAsia" w:ascii="仿宋_GB2312" w:hAnsi="仿宋_GB2312" w:eastAsia="仿宋_GB2312" w:cs="仿宋_GB2312"/>
          <w:color w:val="auto"/>
          <w:kern w:val="0"/>
          <w:sz w:val="24"/>
          <w:szCs w:val="24"/>
          <w:lang w:val="en-US" w:eastAsia="zh-CN"/>
        </w:rPr>
        <w:t>）</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u w:val="none"/>
          <w:lang w:val="en-US" w:eastAsia="zh-CN"/>
        </w:rPr>
      </w:pPr>
      <w:r>
        <w:rPr>
          <w:rFonts w:hint="eastAsia" w:ascii="仿宋_GB2312" w:hAnsi="仿宋_GB2312" w:eastAsia="仿宋_GB2312" w:cs="仿宋_GB2312"/>
          <w:color w:val="auto"/>
          <w:kern w:val="0"/>
          <w:sz w:val="24"/>
          <w:szCs w:val="24"/>
          <w:lang w:val="en-US" w:eastAsia="zh-CN"/>
        </w:rPr>
        <w:sym w:font="Wingdings 2" w:char="00A3"/>
      </w:r>
      <w:r>
        <w:rPr>
          <w:rFonts w:hint="eastAsia" w:ascii="仿宋_GB2312" w:hAnsi="仿宋_GB2312" w:eastAsia="仿宋_GB2312" w:cs="仿宋_GB2312"/>
          <w:color w:val="auto"/>
          <w:kern w:val="0"/>
          <w:sz w:val="24"/>
          <w:szCs w:val="24"/>
          <w:lang w:val="en-US" w:eastAsia="zh-CN"/>
        </w:rPr>
        <w:t>1.详见合同第</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none"/>
          <w:lang w:val="en-US" w:eastAsia="zh-CN"/>
        </w:rPr>
        <w:t>条。</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sym w:font="Wingdings 2" w:char="00A3"/>
      </w:r>
      <w:r>
        <w:rPr>
          <w:rFonts w:hint="eastAsia" w:ascii="仿宋_GB2312" w:hAnsi="仿宋_GB2312" w:eastAsia="仿宋_GB2312" w:cs="仿宋_GB2312"/>
          <w:color w:val="auto"/>
          <w:kern w:val="0"/>
          <w:sz w:val="24"/>
          <w:szCs w:val="24"/>
          <w:lang w:val="en-US" w:eastAsia="zh-CN"/>
        </w:rPr>
        <w:t>2.详见文件《</w:t>
      </w:r>
      <w:r>
        <w:rPr>
          <w:rFonts w:hint="eastAsia" w:ascii="仿宋_GB2312" w:hAnsi="仿宋_GB2312" w:eastAsia="仿宋_GB2312" w:cs="仿宋_GB2312"/>
          <w:color w:val="auto"/>
          <w:kern w:val="0"/>
          <w:sz w:val="24"/>
          <w:szCs w:val="24"/>
          <w:u w:val="single"/>
          <w:lang w:val="en-US" w:eastAsia="zh-CN"/>
        </w:rPr>
        <w:t xml:space="preserve">           </w:t>
      </w:r>
      <w:r>
        <w:rPr>
          <w:rFonts w:hint="eastAsia" w:ascii="仿宋_GB2312" w:hAnsi="仿宋_GB2312" w:eastAsia="仿宋_GB2312" w:cs="仿宋_GB2312"/>
          <w:color w:val="auto"/>
          <w:kern w:val="0"/>
          <w:sz w:val="24"/>
          <w:szCs w:val="24"/>
          <w:lang w:val="en-US" w:eastAsia="zh-CN"/>
        </w:rPr>
        <w:t>》。</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二、甲方的安全及消防安全责任</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一</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交底告知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1.项目实施前，应告知乙方地面、周边、地下已知存在的设施，特别是涉及影响生产、应急的各类地下管线及保护要求，要求乙方在施工方案明确落实相应的具体措施；甲方规定的安全生产及消防安全管理要求，</w:t>
      </w:r>
      <w:r>
        <w:rPr>
          <w:rFonts w:hint="eastAsia" w:ascii="仿宋_GB2312" w:hAnsi="仿宋_GB2312" w:eastAsia="仿宋_GB2312" w:cs="仿宋_GB2312"/>
          <w:sz w:val="24"/>
          <w:szCs w:val="24"/>
        </w:rPr>
        <w:t>允许进出及行走的路线、禁止触动甲方设备设施等</w:t>
      </w:r>
      <w:r>
        <w:rPr>
          <w:rFonts w:hint="eastAsia" w:ascii="仿宋_GB2312" w:hAnsi="仿宋_GB2312" w:eastAsia="仿宋_GB2312" w:cs="仿宋_GB2312"/>
          <w:sz w:val="24"/>
          <w:szCs w:val="24"/>
          <w:lang w:val="en-US" w:eastAsia="zh-CN"/>
        </w:rPr>
        <w:t>；项目备案的要求。</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2.乙方进场作业前，</w:t>
      </w:r>
      <w:r>
        <w:rPr>
          <w:rFonts w:hint="eastAsia" w:ascii="仿宋_GB2312" w:hAnsi="仿宋_GB2312" w:eastAsia="仿宋_GB2312" w:cs="仿宋_GB2312"/>
          <w:sz w:val="24"/>
          <w:szCs w:val="24"/>
        </w:rPr>
        <w:t>应对乙方进行交底</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再次向乙方强调</w:t>
      </w:r>
      <w:r>
        <w:rPr>
          <w:rFonts w:hint="eastAsia" w:ascii="仿宋_GB2312" w:hAnsi="仿宋_GB2312" w:eastAsia="仿宋_GB2312" w:cs="仿宋_GB2312"/>
          <w:sz w:val="24"/>
          <w:szCs w:val="24"/>
        </w:rPr>
        <w:t>的</w:t>
      </w:r>
      <w:r>
        <w:rPr>
          <w:rFonts w:hint="eastAsia" w:ascii="仿宋_GB2312" w:hAnsi="仿宋_GB2312" w:eastAsia="仿宋_GB2312" w:cs="仿宋_GB2312"/>
          <w:sz w:val="24"/>
          <w:szCs w:val="24"/>
          <w:lang w:val="en-US" w:eastAsia="zh-CN"/>
        </w:rPr>
        <w:t>上述内容，以及施工期间的其他特殊注意事项，如生产方面的调度协调配合等</w:t>
      </w:r>
      <w:r>
        <w:rPr>
          <w:rFonts w:hint="eastAsia" w:ascii="仿宋_GB2312" w:hAnsi="仿宋_GB2312" w:eastAsia="仿宋_GB2312" w:cs="仿宋_GB2312"/>
          <w:sz w:val="24"/>
          <w:szCs w:val="24"/>
        </w:rPr>
        <w:t>。</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3.当乙方提出相关规范或乙方内部管理制度，比甲方规定的</w:t>
      </w:r>
      <w:r>
        <w:rPr>
          <w:rFonts w:hint="eastAsia" w:ascii="仿宋_GB2312" w:hAnsi="仿宋_GB2312" w:eastAsia="仿宋_GB2312" w:cs="仿宋_GB2312"/>
          <w:sz w:val="24"/>
          <w:szCs w:val="24"/>
        </w:rPr>
        <w:t>安全生产及消防安全管理要求</w:t>
      </w:r>
      <w:r>
        <w:rPr>
          <w:rFonts w:hint="eastAsia" w:ascii="仿宋_GB2312" w:hAnsi="仿宋_GB2312" w:eastAsia="仿宋_GB2312" w:cs="仿宋_GB2312"/>
          <w:sz w:val="24"/>
          <w:szCs w:val="24"/>
          <w:lang w:val="en-US" w:eastAsia="zh-CN"/>
        </w:rPr>
        <w:t>更严格的，应当接纳乙方的建议。</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（二）落实配合措施</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1.落实生产营运等相关配合措施，提供必要的施工条件。</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lang w:eastAsia="zh-CN"/>
        </w:rPr>
        <w:t>）安全及消防安全隐患</w:t>
      </w:r>
      <w:r>
        <w:rPr>
          <w:rFonts w:hint="eastAsia" w:ascii="仿宋_GB2312" w:hAnsi="仿宋_GB2312" w:eastAsia="仿宋_GB2312" w:cs="仿宋_GB2312"/>
          <w:sz w:val="24"/>
          <w:szCs w:val="24"/>
          <w:lang w:val="en-US" w:eastAsia="zh-CN"/>
        </w:rPr>
        <w:t>检查与督促整改</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lang w:eastAsia="zh-CN"/>
        </w:rPr>
        <w:t>在项目施工期，应每天不少于一次对乙方安全措施、消防安全措施投入、现场安全施工情况等进行安全、消防安全监督检查，并提出整改</w:t>
      </w:r>
      <w:r>
        <w:rPr>
          <w:rFonts w:hint="eastAsia" w:ascii="仿宋_GB2312" w:hAnsi="仿宋_GB2312" w:eastAsia="仿宋_GB2312" w:cs="仿宋_GB2312"/>
          <w:sz w:val="24"/>
          <w:szCs w:val="24"/>
          <w:lang w:val="en-US" w:eastAsia="zh-CN"/>
        </w:rPr>
        <w:t>。</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四</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重大安全风险、生产安全重大事故隐患（重大火灾隐患）等情况报告及举报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1.对乙方上报的重大安全风险、生产安全重大事故隐患（重大火灾隐患），应当如实向水投集团报告。</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2.如发现乙方瞒报重大安全风险、生产安全重大事故隐患（重大火灾隐患），甲方除向水投集团报告外，有权向属地安全应急管理部门、属地行业主管部门举报。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3.甲方发现乙方在项目范围内（含工地范围内的住宿、办公等区域）开展违法、犯罪活动，向公安部门举报。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（五）事故报告及举报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1.对乙方上报的安全事故及消防安全事故，应当按水投集团有关程序，如实向集团报告。</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2.如发现乙方瞒报安全事故及消防安全事故，甲方除向水投集团报告外，有权向属地安全应急管理部门、属地行业主管部门举报。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（六）补充条款</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eastAsia="zh-CN"/>
        </w:rPr>
        <w:t>。</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三、乙方的安全及消防安全责任</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一</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接受交底告知并复核确认安全风险，落实管控措施</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1.乙方接受甲方交底。</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2.编制的方案应响应甲方告知，明确相应的措施。</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3.根据甲方项目备案的要求，提交项目备案材料</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4.当甲方规定的安全生产及消防安全管理要求，比相关规范或乙方内部管理制度严格的，按甲方的执行。</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5.当相关规范或乙方内部管理制度，比甲方规定的安全生产及消防安全管理要求严格的，应明确告知甲方确认，并按相关规范或乙方内部管理制度执行。</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二</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告知甲方需要配合的事项</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1.向甲方告知在施工作业期间，需要甲方配合落实的措施</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落实安全及消防安全隐患排查与整改，并接受检查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lang w:eastAsia="zh-CN"/>
        </w:rPr>
        <w:t>乙方应做好的每日安全生产、消防安全巡查及开展人员安全生产、消防安全教育，确保场所、场地、区域、施工、</w:t>
      </w:r>
      <w:r>
        <w:rPr>
          <w:rFonts w:hint="eastAsia" w:ascii="仿宋_GB2312" w:hAnsi="仿宋_GB2312" w:eastAsia="仿宋_GB2312" w:cs="仿宋_GB2312"/>
          <w:sz w:val="24"/>
          <w:szCs w:val="24"/>
          <w:lang w:val="en-US" w:eastAsia="zh-CN"/>
        </w:rPr>
        <w:t>仓储、住宿、办公</w:t>
      </w:r>
      <w:r>
        <w:rPr>
          <w:rFonts w:hint="eastAsia" w:ascii="仿宋_GB2312" w:hAnsi="仿宋_GB2312" w:eastAsia="仿宋_GB2312" w:cs="仿宋_GB2312"/>
          <w:sz w:val="24"/>
          <w:szCs w:val="24"/>
          <w:lang w:eastAsia="zh-CN"/>
        </w:rPr>
        <w:t>等，符合国家、行业安全生产、消防安全相关要求，无对甲方、</w:t>
      </w:r>
      <w:r>
        <w:rPr>
          <w:rFonts w:hint="eastAsia" w:ascii="仿宋_GB2312" w:hAnsi="仿宋_GB2312" w:eastAsia="仿宋_GB2312" w:cs="仿宋_GB2312"/>
          <w:sz w:val="24"/>
          <w:szCs w:val="24"/>
          <w:lang w:val="en-US" w:eastAsia="zh-CN"/>
        </w:rPr>
        <w:t>乙方以及周边第三方</w:t>
      </w:r>
      <w:r>
        <w:rPr>
          <w:rFonts w:hint="eastAsia" w:ascii="仿宋_GB2312" w:hAnsi="仿宋_GB2312" w:eastAsia="仿宋_GB2312" w:cs="仿宋_GB2312"/>
          <w:sz w:val="24"/>
          <w:szCs w:val="24"/>
          <w:lang w:eastAsia="zh-CN"/>
        </w:rPr>
        <w:t>生产安全、消防安全、</w:t>
      </w:r>
      <w:r>
        <w:rPr>
          <w:rFonts w:hint="eastAsia" w:ascii="仿宋_GB2312" w:hAnsi="仿宋_GB2312" w:eastAsia="仿宋_GB2312" w:cs="仿宋_GB2312"/>
          <w:sz w:val="24"/>
          <w:szCs w:val="24"/>
          <w:lang w:val="en-US" w:eastAsia="zh-CN"/>
        </w:rPr>
        <w:t>人身安全等</w:t>
      </w:r>
      <w:r>
        <w:rPr>
          <w:rFonts w:hint="eastAsia" w:ascii="仿宋_GB2312" w:hAnsi="仿宋_GB2312" w:eastAsia="仿宋_GB2312" w:cs="仿宋_GB2312"/>
          <w:sz w:val="24"/>
          <w:szCs w:val="24"/>
          <w:lang w:eastAsia="zh-CN"/>
        </w:rPr>
        <w:t>构成威胁，无开展违法、犯罪活动，无存放易燃易爆危险化学品，无乙方人员擅自进入借用地块范围以外的甲方场所，有按方案落实各项措施以及及时发现并整改安全隐患、消防安全隐患，杜绝安全事故、消防安全事故。</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2.接受甲方“四不两直”的不定期检查。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重大安全风险、生产安全重大事故隐患（重大火灾隐患）报告</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1.乙方识别存在重大安全风险的，应研究并落实管控措施，降低风险等级，并向甲方、属地安全应急管理部门、属地行业主管部门上报。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2.乙方自查或被外单位检查发现生产安全重大事故隐患（重大火灾隐患）的，应当立即向甲方、属地安全应急管理部门、属地行业主管部门上报。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3.如甲方未收到乙方关于重大安全风险、生产安全重大事故隐患（重大火灾隐患）的报告，但由其他途径获知信息的，视为瞒报。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4.不得谎报信息。</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（四）事故报告</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1.项目发生安全事故及消防安全事故的，乙方应当在预案规定时间内立即向甲方上报。否则视为迟报。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2.如甲方未收到乙方关于安全事故及消防安全事故的报告，但由其他途径获知信息的，视为瞒报。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3.不得谎报信息。</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（五）补充条款</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eastAsia="zh-CN"/>
        </w:rPr>
        <w:t>。</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四、违约责任</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一</w:t>
      </w: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未发生安全事故或消防安全事故的违约责任</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1.乙方未履行安全及消防安全责任的，甲方有权按合同相关条款处理。</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2.因甲方未履行安全及消防安全责任，乙方有权按合同相关条款处理。</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（二）发生安全事故或消防安全事故的违约责任</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项目发生安全事故或消防安全事故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2.如甲方未能提供甲方履职证明的，根据责任调查报告（意见）承担责任。</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五、附则</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（一）本协议未尽事宜，依据有关法律、法规、规章处理。法律、法规、规章没有明确规定的，经双方协商处理解决。</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（二）在合同（协议）执行期间，因国家、地方、以及广州市净水有限公司印发有关文件，加强安全管理要求的，乙方应按最新要求无条件执行。如不执行，甲方有权根据合同或有关文件进行处理。</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rPr>
        <w:t>）本协议</w:t>
      </w:r>
      <w:r>
        <w:rPr>
          <w:rFonts w:hint="eastAsia" w:ascii="仿宋_GB2312" w:hAnsi="仿宋_GB2312" w:eastAsia="仿宋_GB2312" w:cs="仿宋_GB2312"/>
          <w:sz w:val="24"/>
          <w:szCs w:val="24"/>
          <w:lang w:val="en-US" w:eastAsia="zh-CN"/>
        </w:rPr>
        <w:t>作为合同的附件</w:t>
      </w:r>
      <w:r>
        <w:rPr>
          <w:rFonts w:hint="eastAsia" w:ascii="仿宋_GB2312" w:hAnsi="仿宋_GB2312" w:eastAsia="仿宋_GB2312" w:cs="仿宋_GB2312"/>
          <w:sz w:val="24"/>
          <w:szCs w:val="24"/>
        </w:rPr>
        <w:t>同时</w:t>
      </w:r>
      <w:r>
        <w:rPr>
          <w:rFonts w:hint="eastAsia" w:ascii="仿宋_GB2312" w:hAnsi="仿宋_GB2312" w:eastAsia="仿宋_GB2312" w:cs="仿宋_GB2312"/>
          <w:sz w:val="24"/>
          <w:szCs w:val="24"/>
          <w:lang w:val="en-US" w:eastAsia="zh-CN"/>
        </w:rPr>
        <w:t>签字、同事盖章</w:t>
      </w:r>
      <w:r>
        <w:rPr>
          <w:rFonts w:hint="eastAsia" w:ascii="仿宋_GB2312" w:hAnsi="仿宋_GB2312" w:eastAsia="仿宋_GB2312" w:cs="仿宋_GB2312"/>
          <w:sz w:val="24"/>
          <w:szCs w:val="24"/>
        </w:rPr>
        <w:t>、同时生效、同时终止，具有</w:t>
      </w:r>
      <w:r>
        <w:rPr>
          <w:rFonts w:hint="eastAsia" w:ascii="仿宋_GB2312" w:hAnsi="仿宋_GB2312" w:eastAsia="仿宋_GB2312" w:cs="仿宋_GB2312"/>
          <w:sz w:val="24"/>
          <w:szCs w:val="24"/>
          <w:lang w:val="en-US" w:eastAsia="zh-CN"/>
        </w:rPr>
        <w:t>同等</w:t>
      </w:r>
      <w:r>
        <w:rPr>
          <w:rFonts w:hint="eastAsia" w:ascii="仿宋_GB2312" w:hAnsi="仿宋_GB2312" w:eastAsia="仿宋_GB2312" w:cs="仿宋_GB2312"/>
          <w:sz w:val="24"/>
          <w:szCs w:val="24"/>
        </w:rPr>
        <w:t>的法律效力</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甲方、乙方双方执持数量与合同一致。</w:t>
      </w:r>
    </w:p>
    <w:p>
      <w:pPr>
        <w:rPr>
          <w:rFonts w:hint="eastAsia" w:ascii="仿宋_GB2312" w:hAnsi="仿宋_GB2312" w:eastAsia="仿宋_GB2312" w:cs="仿宋_GB2312"/>
          <w:sz w:val="24"/>
          <w:szCs w:val="24"/>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noWrap w:val="0"/>
            <w:vAlign w:val="top"/>
          </w:tcPr>
          <w:p>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甲方</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盖章</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w:t>
            </w:r>
          </w:p>
          <w:p>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签约代表：</w:t>
            </w:r>
          </w:p>
          <w:p>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联系电话：</w:t>
            </w:r>
          </w:p>
          <w:p>
            <w:pPr>
              <w:adjustRightInd w:val="0"/>
              <w:snapToGrid w:val="0"/>
              <w:spacing w:line="560" w:lineRule="exact"/>
              <w:ind w:firstLine="240" w:firstLineChars="100"/>
              <w:jc w:val="righ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年    月    日</w:t>
            </w:r>
          </w:p>
        </w:tc>
        <w:tc>
          <w:tcPr>
            <w:tcW w:w="4474" w:type="dxa"/>
            <w:noWrap w:val="0"/>
            <w:vAlign w:val="top"/>
          </w:tcPr>
          <w:p>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乙方</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盖章</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w:t>
            </w:r>
          </w:p>
          <w:p>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签约代表：</w:t>
            </w:r>
          </w:p>
          <w:p>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联系电话：</w:t>
            </w:r>
          </w:p>
          <w:p>
            <w:pPr>
              <w:adjustRightInd w:val="0"/>
              <w:snapToGrid w:val="0"/>
              <w:spacing w:line="560" w:lineRule="exact"/>
              <w:jc w:val="righ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年    月    日</w:t>
            </w:r>
          </w:p>
        </w:tc>
      </w:tr>
    </w:tbl>
    <w:p>
      <w:pPr>
        <w:ind w:left="0" w:leftChars="0" w:firstLine="0" w:firstLineChars="0"/>
        <w:rPr>
          <w:rFonts w:hint="eastAsia" w:ascii="宋体" w:hAnsi="宋体" w:cs="宋体"/>
          <w:b/>
          <w:szCs w:val="21"/>
        </w:rPr>
      </w:pPr>
      <w:r>
        <w:rPr>
          <w:rFonts w:hint="eastAsia" w:ascii="宋体" w:hAnsi="宋体" w:cs="宋体"/>
          <w:b/>
          <w:szCs w:val="21"/>
        </w:rPr>
        <w:br w:type="page"/>
      </w:r>
    </w:p>
    <w:p>
      <w:pPr>
        <w:pStyle w:val="23"/>
        <w:ind w:left="0" w:leftChars="0" w:firstLine="0" w:firstLineChars="0"/>
        <w:rPr>
          <w:rFonts w:hint="eastAsia" w:ascii="宋体" w:hAnsi="宋体" w:cs="宋体"/>
          <w:b/>
          <w:szCs w:val="21"/>
        </w:rPr>
      </w:pPr>
    </w:p>
    <w:p>
      <w:pPr>
        <w:tabs>
          <w:tab w:val="left" w:pos="4170"/>
        </w:tabs>
        <w:spacing w:line="360" w:lineRule="auto"/>
        <w:rPr>
          <w:rFonts w:hint="eastAsia"/>
        </w:rPr>
      </w:pPr>
      <w:r>
        <w:rPr>
          <w:rFonts w:hint="eastAsia" w:ascii="宋体" w:hAnsi="宋体" w:cs="宋体"/>
          <w:b/>
          <w:szCs w:val="21"/>
        </w:rPr>
        <w:t>附件</w:t>
      </w:r>
      <w:r>
        <w:rPr>
          <w:rFonts w:hint="eastAsia" w:ascii="宋体" w:hAnsi="宋体" w:cs="宋体"/>
          <w:b/>
          <w:szCs w:val="21"/>
          <w:lang w:val="en-US" w:eastAsia="zh-CN"/>
        </w:rPr>
        <w:t>4</w:t>
      </w:r>
      <w:r>
        <w:rPr>
          <w:rFonts w:hint="eastAsia" w:ascii="宋体" w:hAnsi="宋体" w:cs="宋体"/>
          <w:b/>
          <w:szCs w:val="21"/>
        </w:rPr>
        <w:t>：</w:t>
      </w:r>
      <w:r>
        <w:rPr>
          <w:rFonts w:hint="eastAsia" w:ascii="宋体" w:hAnsi="宋体" w:cs="宋体"/>
          <w:b/>
          <w:szCs w:val="21"/>
          <w:lang w:val="en-US" w:eastAsia="zh-CN"/>
        </w:rPr>
        <w:t>工程量清单报价（详见响应文件格式清单）</w:t>
      </w:r>
      <w:r>
        <w:rPr>
          <w:rFonts w:hint="eastAsia"/>
        </w:rPr>
        <w:br w:type="page"/>
      </w:r>
    </w:p>
    <w:p>
      <w:pPr>
        <w:shd w:val="clear"/>
        <w:spacing w:line="360" w:lineRule="auto"/>
        <w:rPr>
          <w:rFonts w:hint="eastAsia" w:ascii="宋体" w:hAnsi="宋体" w:cs="宋体" w:eastAsiaTheme="minorEastAsia"/>
          <w:b/>
          <w:bCs/>
          <w:color w:val="auto"/>
          <w:szCs w:val="21"/>
          <w:lang w:val="en-US" w:eastAsia="zh-CN"/>
        </w:rPr>
      </w:pPr>
      <w:r>
        <w:rPr>
          <w:rFonts w:hint="eastAsia" w:ascii="宋体" w:hAnsi="宋体" w:cs="宋体"/>
          <w:b/>
          <w:bCs/>
          <w:color w:val="auto"/>
          <w:szCs w:val="21"/>
        </w:rPr>
        <w:t>附件</w:t>
      </w:r>
      <w:r>
        <w:rPr>
          <w:rFonts w:hint="eastAsia" w:ascii="宋体" w:hAnsi="宋体" w:cs="宋体"/>
          <w:b/>
          <w:bCs/>
          <w:color w:val="auto"/>
          <w:szCs w:val="21"/>
          <w:lang w:val="en-US" w:eastAsia="zh-CN"/>
        </w:rPr>
        <w:t>5</w:t>
      </w:r>
      <w:r>
        <w:rPr>
          <w:rFonts w:hint="eastAsia" w:ascii="宋体" w:hAnsi="宋体" w:cs="宋体"/>
          <w:b/>
          <w:bCs/>
          <w:color w:val="auto"/>
          <w:szCs w:val="21"/>
        </w:rPr>
        <w:t xml:space="preserve"> ：项目投入人员架构表</w:t>
      </w:r>
      <w:r>
        <w:rPr>
          <w:rFonts w:hint="eastAsia" w:ascii="宋体" w:hAnsi="宋体" w:cs="宋体"/>
          <w:b/>
          <w:bCs/>
          <w:color w:val="auto"/>
          <w:szCs w:val="21"/>
          <w:lang w:val="en-US" w:eastAsia="zh-CN"/>
        </w:rPr>
        <w:t>/</w:t>
      </w:r>
      <w:r>
        <w:rPr>
          <w:rFonts w:ascii="宋体" w:hAnsi="宋体" w:eastAsia="宋体" w:cs="宋体"/>
          <w:sz w:val="24"/>
          <w:szCs w:val="24"/>
        </w:rPr>
        <w:t>应急救援物资清单</w:t>
      </w:r>
    </w:p>
    <w:p>
      <w:pPr>
        <w:shd w:val="clear"/>
        <w:spacing w:line="360" w:lineRule="auto"/>
        <w:jc w:val="center"/>
        <w:outlineLvl w:val="3"/>
        <w:rPr>
          <w:rFonts w:ascii="宋体" w:hAnsi="宋体" w:cs="宋体"/>
          <w:b/>
          <w:color w:val="auto"/>
          <w:sz w:val="24"/>
          <w:szCs w:val="24"/>
          <w:highlight w:val="none"/>
        </w:rPr>
      </w:pPr>
      <w:r>
        <w:rPr>
          <w:rFonts w:hint="eastAsia" w:ascii="宋体" w:hAnsi="宋体" w:cs="宋体"/>
          <w:b/>
          <w:color w:val="auto"/>
          <w:sz w:val="24"/>
          <w:szCs w:val="24"/>
          <w:highlight w:val="none"/>
        </w:rPr>
        <w:t>拟投入工程人员配备响应表</w:t>
      </w:r>
    </w:p>
    <w:tbl>
      <w:tblPr>
        <w:tblStyle w:val="24"/>
        <w:tblW w:w="45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1006"/>
        <w:gridCol w:w="824"/>
        <w:gridCol w:w="2103"/>
        <w:gridCol w:w="2284"/>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45"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岗位</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49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性别</w:t>
            </w: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身份证号</w:t>
            </w:r>
          </w:p>
        </w:tc>
        <w:tc>
          <w:tcPr>
            <w:tcW w:w="138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执业或职业资格证明</w:t>
            </w: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45"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9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45"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eastAsia="宋体" w:cs="宋体"/>
                <w:color w:val="auto"/>
                <w:sz w:val="24"/>
                <w:szCs w:val="24"/>
                <w:highlight w:val="none"/>
              </w:rPr>
              <w:t>安全员</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9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45"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现场</w:t>
            </w:r>
            <w:r>
              <w:rPr>
                <w:rFonts w:hint="eastAsia" w:ascii="宋体" w:hAnsi="宋体" w:eastAsia="宋体" w:cs="宋体"/>
                <w:color w:val="auto"/>
                <w:sz w:val="24"/>
                <w:szCs w:val="24"/>
                <w:highlight w:val="none"/>
              </w:rPr>
              <w:t>负责人</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9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45"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电工</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9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45"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焊工</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9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45"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普工</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9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45"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普工</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9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45"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普工</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9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45"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普工</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9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45"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9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bl>
    <w:p>
      <w:pPr>
        <w:shd w:val="clear"/>
        <w:adjustRightInd w:val="0"/>
        <w:snapToGrid w:val="0"/>
        <w:spacing w:line="360" w:lineRule="auto"/>
        <w:jc w:val="right"/>
        <w:rPr>
          <w:rFonts w:hint="eastAsia" w:ascii="宋体" w:hAnsi="宋体" w:eastAsia="宋体" w:cs="宋体"/>
          <w:color w:val="auto"/>
          <w:kern w:val="2"/>
          <w:sz w:val="24"/>
          <w:szCs w:val="24"/>
          <w:highlight w:val="none"/>
          <w:lang w:val="en-GB"/>
        </w:rPr>
      </w:pPr>
    </w:p>
    <w:p>
      <w:pPr>
        <w:shd w:val="clear"/>
        <w:adjustRightInd w:val="0"/>
        <w:snapToGrid w:val="0"/>
        <w:spacing w:line="360" w:lineRule="auto"/>
        <w:jc w:val="right"/>
        <w:rPr>
          <w:rFonts w:hint="eastAsia" w:ascii="宋体" w:hAnsi="宋体" w:eastAsia="宋体" w:cs="宋体"/>
          <w:color w:val="auto"/>
          <w:kern w:val="2"/>
          <w:sz w:val="24"/>
          <w:szCs w:val="24"/>
          <w:highlight w:val="none"/>
          <w:lang w:val="en-GB"/>
        </w:rPr>
      </w:pPr>
    </w:p>
    <w:p>
      <w:pPr>
        <w:shd w:val="clear"/>
        <w:adjustRightInd w:val="0"/>
        <w:snapToGrid w:val="0"/>
        <w:spacing w:line="360" w:lineRule="auto"/>
        <w:jc w:val="right"/>
        <w:rPr>
          <w:rFonts w:hint="eastAsia" w:ascii="宋体" w:hAnsi="宋体" w:eastAsia="宋体" w:cs="宋体"/>
          <w:color w:val="auto"/>
          <w:kern w:val="2"/>
          <w:sz w:val="24"/>
          <w:szCs w:val="24"/>
          <w:highlight w:val="none"/>
          <w:lang w:val="en-GB"/>
        </w:rPr>
      </w:pPr>
    </w:p>
    <w:p>
      <w:pPr>
        <w:shd w:val="clear"/>
        <w:adjustRightInd w:val="0"/>
        <w:snapToGrid w:val="0"/>
        <w:spacing w:line="360" w:lineRule="auto"/>
        <w:jc w:val="right"/>
        <w:rPr>
          <w:rFonts w:hint="eastAsia" w:ascii="宋体" w:hAnsi="宋体" w:eastAsia="宋体" w:cs="宋体"/>
          <w:color w:val="auto"/>
          <w:kern w:val="2"/>
          <w:sz w:val="24"/>
          <w:szCs w:val="24"/>
          <w:highlight w:val="none"/>
          <w:lang w:val="en-GB"/>
        </w:rPr>
      </w:pPr>
    </w:p>
    <w:p>
      <w:pPr>
        <w:shd w:val="clear"/>
        <w:adjustRightInd w:val="0"/>
        <w:snapToGrid w:val="0"/>
        <w:spacing w:line="360" w:lineRule="auto"/>
        <w:jc w:val="right"/>
        <w:rPr>
          <w:rFonts w:hint="eastAsia" w:ascii="宋体" w:hAnsi="宋体" w:eastAsia="宋体" w:cs="宋体"/>
          <w:color w:val="auto"/>
          <w:kern w:val="2"/>
          <w:sz w:val="24"/>
          <w:szCs w:val="24"/>
          <w:highlight w:val="none"/>
          <w:lang w:val="en-GB"/>
        </w:rPr>
      </w:pPr>
    </w:p>
    <w:p>
      <w:pPr>
        <w:shd w:val="clear"/>
        <w:adjustRightInd w:val="0"/>
        <w:snapToGrid w:val="0"/>
        <w:spacing w:line="360" w:lineRule="auto"/>
        <w:jc w:val="right"/>
        <w:rPr>
          <w:rFonts w:hint="eastAsia" w:ascii="宋体" w:hAnsi="宋体" w:eastAsia="宋体" w:cs="宋体"/>
          <w:color w:val="auto"/>
          <w:kern w:val="2"/>
          <w:sz w:val="24"/>
          <w:szCs w:val="24"/>
          <w:highlight w:val="none"/>
          <w:lang w:val="en-GB"/>
        </w:rPr>
      </w:pPr>
    </w:p>
    <w:p>
      <w:pPr>
        <w:shd w:val="clea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pStyle w:val="6"/>
        <w:shd w:val="clear"/>
        <w:ind w:firstLine="6480" w:firstLineChars="2700"/>
        <w:rPr>
          <w:rFonts w:hint="eastAsia" w:ascii="宋体" w:hAnsi="宋体" w:eastAsia="宋体" w:cs="Times New Roman"/>
          <w:b/>
          <w:color w:val="auto"/>
          <w:sz w:val="28"/>
          <w:szCs w:val="28"/>
          <w:highlight w:val="none"/>
          <w:lang w:val="en-US" w:eastAsia="zh-CN"/>
        </w:rPr>
      </w:pPr>
      <w:r>
        <w:rPr>
          <w:rFonts w:hint="eastAsia" w:ascii="宋体" w:hAnsi="宋体" w:eastAsia="宋体" w:cs="宋体"/>
          <w:color w:val="auto"/>
          <w:kern w:val="2"/>
          <w:sz w:val="24"/>
          <w:szCs w:val="24"/>
          <w:highlight w:val="none"/>
          <w:lang w:val="en-GB"/>
        </w:rPr>
        <w:t>年  月  日</w:t>
      </w:r>
    </w:p>
    <w:p>
      <w:pPr>
        <w:spacing w:line="360" w:lineRule="auto"/>
        <w:rPr>
          <w:rFonts w:hint="eastAsia" w:ascii="宋体" w:hAnsi="宋体" w:cs="宋体"/>
          <w:b/>
          <w:bCs/>
          <w:szCs w:val="21"/>
        </w:rPr>
      </w:pPr>
    </w:p>
    <w:p>
      <w:pPr>
        <w:pStyle w:val="10"/>
        <w:rPr>
          <w:rFonts w:hint="eastAsia"/>
          <w:lang w:val="en-US" w:eastAsia="zh-CN"/>
        </w:rPr>
      </w:pPr>
    </w:p>
    <w:p>
      <w:pPr>
        <w:pStyle w:val="10"/>
        <w:rPr>
          <w:rFonts w:hint="default" w:eastAsiaTheme="minorEastAsia"/>
          <w:lang w:val="en-US" w:eastAsia="zh-CN"/>
        </w:rPr>
      </w:pPr>
      <w:r>
        <w:rPr>
          <w:rFonts w:hint="eastAsia"/>
          <w:lang w:val="en-US" w:eastAsia="zh-CN"/>
        </w:rPr>
        <w:t>附件6</w:t>
      </w:r>
      <w:bookmarkStart w:id="135" w:name="_GoBack"/>
      <w:bookmarkEnd w:id="135"/>
    </w:p>
    <w:tbl>
      <w:tblPr>
        <w:tblStyle w:val="24"/>
        <w:tblpPr w:leftFromText="180" w:rightFromText="180" w:vertAnchor="text" w:horzAnchor="page" w:tblpX="1847" w:tblpY="783"/>
        <w:tblOverlap w:val="never"/>
        <w:tblW w:w="0" w:type="auto"/>
        <w:jc w:val="center"/>
        <w:tblLayout w:type="autofit"/>
        <w:tblCellMar>
          <w:top w:w="0" w:type="dxa"/>
          <w:left w:w="0" w:type="dxa"/>
          <w:bottom w:w="0" w:type="dxa"/>
          <w:right w:w="0" w:type="dxa"/>
        </w:tblCellMar>
      </w:tblPr>
      <w:tblGrid>
        <w:gridCol w:w="344"/>
        <w:gridCol w:w="876"/>
        <w:gridCol w:w="707"/>
        <w:gridCol w:w="2322"/>
        <w:gridCol w:w="1142"/>
        <w:gridCol w:w="1152"/>
        <w:gridCol w:w="1152"/>
        <w:gridCol w:w="1173"/>
      </w:tblGrid>
      <w:tr>
        <w:tblPrEx>
          <w:tblCellMar>
            <w:top w:w="0" w:type="dxa"/>
            <w:left w:w="0" w:type="dxa"/>
            <w:bottom w:w="0" w:type="dxa"/>
            <w:right w:w="0" w:type="dxa"/>
          </w:tblCellMar>
        </w:tblPrEx>
        <w:trPr>
          <w:trHeight w:val="300" w:hRule="atLeast"/>
          <w:jc w:val="center"/>
        </w:trPr>
        <w:tc>
          <w:tcPr>
            <w:tcW w:w="0" w:type="auto"/>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附件2-1</w:t>
            </w:r>
          </w:p>
        </w:tc>
        <w:tc>
          <w:tcPr>
            <w:tcW w:w="0" w:type="auto"/>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000000"/>
                <w:sz w:val="16"/>
                <w:szCs w:val="16"/>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0" w:type="auto"/>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color w:val="000000"/>
                <w:sz w:val="16"/>
                <w:szCs w:val="16"/>
              </w:rPr>
            </w:pPr>
          </w:p>
        </w:tc>
      </w:tr>
      <w:tr>
        <w:tblPrEx>
          <w:tblCellMar>
            <w:top w:w="0" w:type="dxa"/>
            <w:left w:w="0" w:type="dxa"/>
            <w:bottom w:w="0" w:type="dxa"/>
            <w:right w:w="0" w:type="dxa"/>
          </w:tblCellMar>
        </w:tblPrEx>
        <w:trPr>
          <w:trHeight w:val="320" w:hRule="atLeast"/>
          <w:jc w:val="center"/>
        </w:trPr>
        <w:tc>
          <w:tcPr>
            <w:tcW w:w="0" w:type="auto"/>
            <w:gridSpan w:val="8"/>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000000"/>
                <w:sz w:val="16"/>
                <w:szCs w:val="16"/>
              </w:rPr>
            </w:pPr>
            <w:r>
              <w:rPr>
                <w:rFonts w:hint="eastAsia" w:ascii="等线" w:hAnsi="等线" w:eastAsia="等线" w:cs="等线"/>
                <w:b/>
                <w:color w:val="000000"/>
                <w:kern w:val="0"/>
                <w:sz w:val="16"/>
                <w:szCs w:val="16"/>
                <w:lang w:bidi="ar"/>
              </w:rPr>
              <w:t>营运项目承包单位日常履约考评参照表（安全）</w:t>
            </w:r>
          </w:p>
        </w:tc>
      </w:tr>
      <w:tr>
        <w:tblPrEx>
          <w:tblCellMar>
            <w:top w:w="0" w:type="dxa"/>
            <w:left w:w="0" w:type="dxa"/>
            <w:bottom w:w="0" w:type="dxa"/>
            <w:right w:w="0" w:type="dxa"/>
          </w:tblCellMar>
        </w:tblPrEx>
        <w:trPr>
          <w:trHeight w:val="10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考评项目</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考评内容</w:t>
            </w:r>
          </w:p>
        </w:tc>
        <w:tc>
          <w:tcPr>
            <w:tcW w:w="0" w:type="auto"/>
            <w:gridSpan w:val="4"/>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等线" w:hAnsi="等线" w:eastAsia="等线" w:cs="等线"/>
                <w:color w:val="000000"/>
                <w:sz w:val="16"/>
                <w:szCs w:val="16"/>
              </w:rPr>
            </w:pPr>
          </w:p>
        </w:tc>
      </w:tr>
      <w:tr>
        <w:tblPrEx>
          <w:tblCellMar>
            <w:top w:w="0" w:type="dxa"/>
            <w:left w:w="0" w:type="dxa"/>
            <w:bottom w:w="0" w:type="dxa"/>
            <w:right w:w="0" w:type="dxa"/>
          </w:tblCellMar>
        </w:tblPrEx>
        <w:trPr>
          <w:trHeight w:val="4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合同金额＜5万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5万≤合同金额＜30万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30万≤合同金额＜100万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合同金额≥100万</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安全事故</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事故类型</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发生发生3人及以上重伤或发生1人及以上死亡或直接经济损失达200万元以上的安全生产事故</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按“四不放过”调查后处理</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2</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发生重伤2人安全事故的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扣合同金额的30%～50%；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扣合同金额的20%～30%；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扣合同金额的10%～20%；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扣合同金额的5%～10%;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或8万～12万</w:t>
            </w:r>
          </w:p>
        </w:tc>
      </w:tr>
      <w:tr>
        <w:tblPrEx>
          <w:tblCellMar>
            <w:top w:w="0" w:type="dxa"/>
            <w:left w:w="0" w:type="dxa"/>
            <w:bottom w:w="0" w:type="dxa"/>
            <w:right w:w="0"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3</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发生重伤1人安全事故的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扣合同金额的20%～30%;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扣合同金额的10%～20%；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扣合同金额的5%～10%；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扣合同金额的3%～5%；</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或4万～8万</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4</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发生停产、影响环境、破坏公共设施、造成不良影响等事故的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扣合同金额的10%～20%；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或2000～3000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扣合同金额的5%～10%；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扣合同金额的3%～5%；</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扣合同金额的1%～2%；</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或2万～4万</w:t>
            </w:r>
          </w:p>
        </w:tc>
      </w:tr>
      <w:tr>
        <w:tblPrEx>
          <w:tblCellMar>
            <w:top w:w="0" w:type="dxa"/>
            <w:left w:w="0" w:type="dxa"/>
            <w:bottom w:w="0" w:type="dxa"/>
            <w:right w:w="0" w:type="dxa"/>
          </w:tblCellMar>
        </w:tblPrEx>
        <w:trPr>
          <w:trHeight w:val="1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5</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事故处理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1.发生事故或事件隐瞒不报的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2.未在1小时内向业主单位上报事故的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3.拒绝、不配合事故事件调查的或事故事件调查提供虚假信息</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4.未按规定和程序组织事故调查和事故处理的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5.未及时处理导致事故扩大的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6.未落实“四不放过”的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扣合同金额的30%～50%；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扣合同金额的20%～30%；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扣合同金额的10%～20%；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扣合同金额的5%～10%;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或8万～12万</w:t>
            </w: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6</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首次备案施工单位须提供的资料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一般资料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2.施工单位对施工人员的三级安全教育材料</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3.特殊时期需要增加的资料（如新冠疫情期间，需要增加的人员健康码和行程码资料）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缺资料扣合同金额的5%或500；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缺资料扣合同金额的2%或2000；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缺资料扣合同金额的1%或4500；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缺资料扣合同金额的0.4%或8000；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资料有问题扣合同金额的0.2%或4000</w:t>
            </w:r>
          </w:p>
        </w:tc>
      </w:tr>
      <w:tr>
        <w:tblPrEx>
          <w:tblCellMar>
            <w:top w:w="0" w:type="dxa"/>
            <w:left w:w="0" w:type="dxa"/>
            <w:bottom w:w="0" w:type="dxa"/>
            <w:right w:w="0" w:type="dxa"/>
          </w:tblCellMar>
        </w:tblPrEx>
        <w:trPr>
          <w:trHeight w:val="1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施工方案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4.施工方案，应满足合同要求，内容至少包括：</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施工点介绍</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施工内容（含作业流程、风险分析、施工工艺等）</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施工设备和材料（必要时含构件测试手段等）</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 xml:space="preserve">  正常施工安全物资（主要是安全防护设备、劳保用品）</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缺施工方案扣合同金额的6%或700；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缺施工方案扣合同金额的3%或3500；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缺施工方案扣合同金额的1.5%或5000；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缺施工方案扣合同金额的0.5%或1万；</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资料有问题扣合同金额的0.3%或5000</w:t>
            </w:r>
          </w:p>
        </w:tc>
      </w:tr>
      <w:tr>
        <w:tblPrEx>
          <w:tblCellMar>
            <w:top w:w="0" w:type="dxa"/>
            <w:left w:w="0" w:type="dxa"/>
            <w:bottom w:w="0" w:type="dxa"/>
            <w:right w:w="0" w:type="dxa"/>
          </w:tblCellMar>
        </w:tblPrEx>
        <w:trPr>
          <w:trHeight w:val="2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应急预案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5.应急预案，内容至少包括：</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现场情况介绍</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风险评估</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应急流程</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应急物资清单</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 xml:space="preserve">  外单位救援力量及联系方式等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缺应急预案扣合同金额的6%或700；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缺应急预案扣合同金额的3%或3500；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缺应急预案扣合同金额的1.5%或5000；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缺应急预案扣合同金额的0.5%或1万；</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资料有问题扣合同金额的0.3%或5000</w:t>
            </w:r>
          </w:p>
        </w:tc>
      </w:tr>
      <w:tr>
        <w:tblPrEx>
          <w:tblCellMar>
            <w:top w:w="0" w:type="dxa"/>
            <w:left w:w="0" w:type="dxa"/>
            <w:bottom w:w="0" w:type="dxa"/>
            <w:right w:w="0" w:type="dxa"/>
          </w:tblCellMar>
        </w:tblPrEx>
        <w:trPr>
          <w:trHeight w:val="1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安全架构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安全责任人</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施工负责人（可与安全责任人为同一个人）</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安全员</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设备、物资管理人员</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 xml:space="preserve">  关键岗位人员、特种作业人员</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缺安全架构扣合同金额的10%或2000；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缺少任何一类人员及其职责的扣合同金额的6%或700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缺安全架构扣合同金额的5%或5000；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缺少任何一类人员及其职责的扣合同金额的2%或2000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缺安全架构扣合同金额的2%或1万；</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缺少任何一类人员及其职责的扣合同金额的1%或5000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缺安全架构扣合同金额的1%或2万；</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缺少任何一类人员及其职责的扣合同金额的0.5%或1万</w:t>
            </w:r>
          </w:p>
        </w:tc>
      </w:tr>
      <w:tr>
        <w:tblPrEx>
          <w:tblCellMar>
            <w:top w:w="0" w:type="dxa"/>
            <w:left w:w="0" w:type="dxa"/>
            <w:bottom w:w="0" w:type="dxa"/>
            <w:right w:w="0" w:type="dxa"/>
          </w:tblCellMar>
        </w:tblPrEx>
        <w:trPr>
          <w:trHeight w:val="2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10</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人员资质</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7.施工人员花名册，人员应包含：</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施工负责人（需要施工管理人员资格证书）</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一般施工人员</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可能需要进入厂区的其他人员（如监理人员、资料员等）</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注：如作业涉及危险作业，作业人员须有作业人员岗前职业病体检和筛选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缺花名册扣合同金额的5%或500；</w:t>
            </w:r>
          </w:p>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缺特种作业人员或特种作业人员不满足合同要求，扣合同金额的5%或500；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其他人员或资料有缺漏扣合同金额的3%或300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缺花名册扣合同金额的2%或2000；</w:t>
            </w:r>
          </w:p>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缺特种作业人员或特种作业人员不满足合同要求，扣合同金额的2%或2000；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其他人员或资料有缺漏扣合同金额的1%或1000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缺花名册扣合同金额的1%或4500；</w:t>
            </w:r>
          </w:p>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缺特种作业人员或特种作业人员不满足合同要求，扣合同金额的1%或4500；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其他人员或资料有缺漏扣合同金额的0.4%或2000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缺花名册扣合同金额的0.4%或8000；</w:t>
            </w:r>
          </w:p>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缺特种作业人员或特种作业人员不满足合同要求，扣合同金额的0.4%或8000；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其他人员或资料有缺漏扣合同金额的0.2%或4000</w:t>
            </w:r>
          </w:p>
        </w:tc>
      </w:tr>
      <w:tr>
        <w:tblPrEx>
          <w:tblCellMar>
            <w:top w:w="0" w:type="dxa"/>
            <w:left w:w="0" w:type="dxa"/>
            <w:bottom w:w="0" w:type="dxa"/>
            <w:right w:w="0" w:type="dxa"/>
          </w:tblCellMar>
        </w:tblPrEx>
        <w:trPr>
          <w:trHeight w:val="12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11</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施工现场管理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现场面貌</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1.施工现场未开展有效围蔽</w:t>
            </w:r>
          </w:p>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3.现场无危险源公示、告知及相应警示</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4.材料堆放存在重大隐患</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扣合同金额的0.5%或1万</w:t>
            </w: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12</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施工管理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1.现场未按施工方案落实安全防范措施的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2.危险作业未经业主人员审批先行施工的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3.未按施工方案施工的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扣合同金额的10%或2000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扣合同金额的2%或1万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扣合同金额的1%或2万</w:t>
            </w:r>
          </w:p>
        </w:tc>
      </w:tr>
      <w:tr>
        <w:tblPrEx>
          <w:tblCellMar>
            <w:top w:w="0" w:type="dxa"/>
            <w:left w:w="0" w:type="dxa"/>
            <w:bottom w:w="0" w:type="dxa"/>
            <w:right w:w="0" w:type="dxa"/>
          </w:tblCellMar>
        </w:tblPrEx>
        <w:trPr>
          <w:trHeight w:val="9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13</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每日安全交底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1.缺少书面交底、未留存书面资料或交底资料缺少交底人、被交底人及安全员签字的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2.内容未结合当天的现场状况、特点、工序，对危险因素、施工内容、安全作业和应急措施进行交底的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扣合同金额的0.3%或5000</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14</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作业行为管理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1.违反9大危险作业相关作业规范的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2.现场存在违章作业、违章指挥等违反相关安全管理规定或制度的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3.人员错误使用劳保用品3次以上的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扣合同金额的0.5%或1万</w:t>
            </w:r>
          </w:p>
        </w:tc>
      </w:tr>
      <w:tr>
        <w:tblPrEx>
          <w:tblCellMar>
            <w:top w:w="0" w:type="dxa"/>
            <w:left w:w="0" w:type="dxa"/>
            <w:bottom w:w="0" w:type="dxa"/>
            <w:right w:w="0" w:type="dxa"/>
          </w:tblCellMar>
        </w:tblPrEx>
        <w:trPr>
          <w:trHeight w:val="6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15</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安全记录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未按施工要求开展现场记录或记录内容有缺失</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扣合同金额的0.3%或5000</w:t>
            </w:r>
          </w:p>
        </w:tc>
      </w:tr>
      <w:tr>
        <w:tblPrEx>
          <w:tblCellMar>
            <w:top w:w="0" w:type="dxa"/>
            <w:left w:w="0" w:type="dxa"/>
            <w:bottom w:w="0" w:type="dxa"/>
            <w:right w:w="0"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16</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应急管理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1.未设置应急物资点，未统一存放应急物资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2.应急物资点无应急物资清单或无应急物资每日检查表</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3.无开展日常应急培训、训练、演练或无资料留档的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扣合同金额的0.3%或5000</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人员管理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人员变更无完善的手续及资料的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扣合同金额的0.3%或5000</w:t>
            </w: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隐患管理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未及时对发现的隐患开展整改的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扣合同金额的5%或500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扣合同金额的1%或4500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扣合同金额的0.4%或8000</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违反业主或上级主管部门提出的其他管理要求、文件、规定或拒不执行的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扣合同金额的3%～5%；</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或300～500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扣合同金额的1%～2%；</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或1000～2000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扣合同金额的0.5%～1%；</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或2500～4500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扣合同金额的0.3%～0.4%；</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或5000～8000</w:t>
            </w: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20</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280" w:hRule="atLeast"/>
          <w:jc w:val="center"/>
        </w:trPr>
        <w:tc>
          <w:tcPr>
            <w:tcW w:w="0" w:type="auto"/>
            <w:gridSpan w:val="8"/>
            <w:tcBorders>
              <w:top w:val="nil"/>
              <w:left w:val="nil"/>
              <w:bottom w:val="nil"/>
              <w:right w:val="nil"/>
            </w:tcBorders>
            <w:tcMar>
              <w:top w:w="12" w:type="dxa"/>
              <w:left w:w="12" w:type="dxa"/>
              <w:right w:w="12" w:type="dxa"/>
            </w:tcMar>
            <w:vAlign w:val="center"/>
          </w:tcPr>
          <w:p>
            <w:pPr>
              <w:widowControl/>
              <w:jc w:val="left"/>
              <w:textAlignment w:val="center"/>
              <w:rPr>
                <w:sz w:val="13"/>
                <w:szCs w:val="13"/>
              </w:rPr>
            </w:pPr>
            <w:r>
              <w:rPr>
                <w:rFonts w:hint="eastAsia"/>
                <w:sz w:val="13"/>
                <w:szCs w:val="13"/>
              </w:rPr>
              <w:t>注：1、与安全管理相关的考评内容具体考评标准内容参照广州市净水有限公司标准《工程项目安全管理规范》（Q/GZJSA 1-2021）执行。</w:t>
            </w:r>
          </w:p>
          <w:p>
            <w:r>
              <w:rPr>
                <w:rFonts w:hint="eastAsia" w:ascii="仿宋_GB2312" w:hAnsi="仿宋_GB2312" w:eastAsia="仿宋_GB2312" w:cs="仿宋_GB2312"/>
                <w:color w:val="000000"/>
                <w:sz w:val="13"/>
                <w:szCs w:val="13"/>
              </w:rPr>
              <w:t>2.本处理标准出自《</w:t>
            </w:r>
            <w:r>
              <w:rPr>
                <w:rFonts w:hint="eastAsia" w:ascii="宋体" w:hAnsi="宋体" w:cs="宋体"/>
                <w:color w:val="000000"/>
                <w:sz w:val="13"/>
                <w:szCs w:val="13"/>
              </w:rPr>
              <w:t>广州净水公司工程项目承包单位质量安全考评细则（试行）</w:t>
            </w:r>
            <w:r>
              <w:rPr>
                <w:rFonts w:hint="eastAsia" w:ascii="仿宋_GB2312" w:hAnsi="仿宋_GB2312" w:eastAsia="仿宋_GB2312" w:cs="仿宋_GB2312"/>
                <w:color w:val="000000"/>
                <w:sz w:val="13"/>
                <w:szCs w:val="13"/>
              </w:rPr>
              <w:t>》。</w:t>
            </w:r>
          </w:p>
          <w:p>
            <w:pPr>
              <w:pStyle w:val="23"/>
              <w:ind w:firstLine="1126"/>
              <w:rPr>
                <w:rFonts w:hint="default" w:eastAsia="仿宋_GB2312"/>
                <w:lang w:val="en-US" w:eastAsia="zh-CN"/>
              </w:rPr>
            </w:pPr>
          </w:p>
        </w:tc>
      </w:tr>
    </w:tbl>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default" w:eastAsia="宋体"/>
          <w:lang w:val="en-US" w:eastAsia="zh-CN"/>
        </w:rPr>
      </w:pPr>
      <w:r>
        <w:rPr>
          <w:rFonts w:hint="eastAsia"/>
          <w:lang w:val="en-US" w:eastAsia="zh-CN"/>
        </w:rPr>
        <w:t>附件7</w:t>
      </w:r>
    </w:p>
    <w:tbl>
      <w:tblPr>
        <w:tblStyle w:val="24"/>
        <w:tblW w:w="9300" w:type="dxa"/>
        <w:jc w:val="center"/>
        <w:tblLayout w:type="autofit"/>
        <w:tblCellMar>
          <w:top w:w="0" w:type="dxa"/>
          <w:left w:w="0" w:type="dxa"/>
          <w:bottom w:w="0" w:type="dxa"/>
          <w:right w:w="0" w:type="dxa"/>
        </w:tblCellMar>
      </w:tblPr>
      <w:tblGrid>
        <w:gridCol w:w="344"/>
        <w:gridCol w:w="454"/>
        <w:gridCol w:w="495"/>
        <w:gridCol w:w="3993"/>
        <w:gridCol w:w="1091"/>
        <w:gridCol w:w="757"/>
        <w:gridCol w:w="757"/>
        <w:gridCol w:w="757"/>
        <w:gridCol w:w="757"/>
        <w:gridCol w:w="756"/>
      </w:tblGrid>
      <w:tr>
        <w:tblPrEx>
          <w:tblCellMar>
            <w:top w:w="0" w:type="dxa"/>
            <w:left w:w="0" w:type="dxa"/>
            <w:bottom w:w="0" w:type="dxa"/>
            <w:right w:w="0" w:type="dxa"/>
          </w:tblCellMar>
        </w:tblPrEx>
        <w:trPr>
          <w:trHeight w:val="300" w:hRule="atLeast"/>
          <w:jc w:val="center"/>
        </w:trPr>
        <w:tc>
          <w:tcPr>
            <w:tcW w:w="798" w:type="dxa"/>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附件2-2</w:t>
            </w:r>
          </w:p>
        </w:tc>
        <w:tc>
          <w:tcPr>
            <w:tcW w:w="495" w:type="dxa"/>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000000"/>
                <w:sz w:val="16"/>
                <w:szCs w:val="16"/>
              </w:rPr>
            </w:pPr>
          </w:p>
        </w:tc>
        <w:tc>
          <w:tcPr>
            <w:tcW w:w="3993"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1091"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r>
      <w:tr>
        <w:tblPrEx>
          <w:tblCellMar>
            <w:top w:w="0" w:type="dxa"/>
            <w:left w:w="0" w:type="dxa"/>
            <w:bottom w:w="0" w:type="dxa"/>
            <w:right w:w="0" w:type="dxa"/>
          </w:tblCellMar>
        </w:tblPrEx>
        <w:trPr>
          <w:trHeight w:val="320" w:hRule="atLeast"/>
          <w:jc w:val="center"/>
        </w:trPr>
        <w:tc>
          <w:tcPr>
            <w:tcW w:w="0" w:type="auto"/>
            <w:gridSpan w:val="10"/>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000000"/>
                <w:sz w:val="16"/>
                <w:szCs w:val="16"/>
              </w:rPr>
            </w:pPr>
            <w:r>
              <w:rPr>
                <w:rFonts w:hint="eastAsia" w:ascii="等线" w:hAnsi="等线" w:eastAsia="等线" w:cs="等线"/>
                <w:b/>
                <w:color w:val="000000"/>
                <w:kern w:val="0"/>
                <w:sz w:val="16"/>
                <w:szCs w:val="16"/>
                <w:lang w:bidi="ar"/>
              </w:rPr>
              <w:t>营运项目承包单位综合履约考评表（安全）</w:t>
            </w:r>
          </w:p>
        </w:tc>
      </w:tr>
      <w:tr>
        <w:tblPrEx>
          <w:tblCellMar>
            <w:top w:w="0" w:type="dxa"/>
            <w:left w:w="0" w:type="dxa"/>
            <w:bottom w:w="0" w:type="dxa"/>
            <w:right w:w="0" w:type="dxa"/>
          </w:tblCellMar>
        </w:tblPrEx>
        <w:trPr>
          <w:trHeight w:val="380" w:hRule="atLeast"/>
          <w:jc w:val="center"/>
        </w:trPr>
        <w:tc>
          <w:tcPr>
            <w:tcW w:w="0" w:type="auto"/>
            <w:gridSpan w:val="4"/>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000000"/>
                <w:sz w:val="16"/>
                <w:szCs w:val="16"/>
              </w:rPr>
            </w:pPr>
            <w:r>
              <w:rPr>
                <w:rFonts w:hint="eastAsia" w:ascii="等线" w:hAnsi="等线" w:eastAsia="等线" w:cs="等线"/>
                <w:b/>
                <w:color w:val="000000"/>
                <w:kern w:val="0"/>
                <w:sz w:val="16"/>
                <w:szCs w:val="16"/>
                <w:lang w:bidi="ar"/>
              </w:rPr>
              <w:t>项目名称：</w:t>
            </w: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b/>
                <w:color w:val="000000"/>
                <w:sz w:val="16"/>
                <w:szCs w:val="16"/>
              </w:rPr>
            </w:pPr>
          </w:p>
        </w:tc>
        <w:tc>
          <w:tcPr>
            <w:tcW w:w="0" w:type="auto"/>
            <w:gridSpan w:val="5"/>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000000"/>
                <w:sz w:val="16"/>
                <w:szCs w:val="16"/>
              </w:rPr>
            </w:pPr>
            <w:r>
              <w:rPr>
                <w:rFonts w:hint="eastAsia" w:ascii="等线" w:hAnsi="等线" w:eastAsia="等线" w:cs="等线"/>
                <w:b/>
                <w:color w:val="000000"/>
                <w:kern w:val="0"/>
                <w:sz w:val="16"/>
                <w:szCs w:val="16"/>
                <w:lang w:bidi="ar"/>
              </w:rPr>
              <w:t>综合考评日期：           年        月        日</w:t>
            </w:r>
          </w:p>
        </w:tc>
      </w:tr>
      <w:tr>
        <w:tblPrEx>
          <w:tblCellMar>
            <w:top w:w="0" w:type="dxa"/>
            <w:left w:w="0" w:type="dxa"/>
            <w:bottom w:w="0" w:type="dxa"/>
            <w:right w:w="0" w:type="dxa"/>
          </w:tblCellMar>
        </w:tblPrEx>
        <w:trPr>
          <w:trHeight w:val="3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序号</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考评项目</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考评内容</w:t>
            </w:r>
          </w:p>
        </w:tc>
        <w:tc>
          <w:tcPr>
            <w:tcW w:w="109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考评标准</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监理单位考评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分公司考评</w:t>
            </w:r>
          </w:p>
        </w:tc>
        <w:tc>
          <w:tcPr>
            <w:tcW w:w="117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公司考评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综合考评</w:t>
            </w:r>
          </w:p>
        </w:tc>
      </w:tr>
      <w:tr>
        <w:tblPrEx>
          <w:tblCellMar>
            <w:top w:w="0" w:type="dxa"/>
            <w:left w:w="0" w:type="dxa"/>
            <w:bottom w:w="0" w:type="dxa"/>
            <w:right w:w="0" w:type="dxa"/>
          </w:tblCellMar>
        </w:tblPrEx>
        <w:trPr>
          <w:trHeight w:val="3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109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业务主管部门</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安全管理部门</w:t>
            </w: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30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一、加分部分</w:t>
            </w: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综合管理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受到业主单位或上级管理部门通报表扬的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加5～10分/项，可叠加</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2</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现场管理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积极配合业主单位做好安全工作及相关宣传教育，积极主动排查隐患的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加5分/项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26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二、扣分部分</w:t>
            </w:r>
          </w:p>
        </w:tc>
      </w:tr>
      <w:tr>
        <w:tblPrEx>
          <w:tblCellMar>
            <w:top w:w="0" w:type="dxa"/>
            <w:left w:w="0" w:type="dxa"/>
            <w:bottom w:w="0" w:type="dxa"/>
            <w:right w:w="0"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安全事故</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事故类型</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发生重伤1人及以上安全事故，或直接经济损失达200万元以上的安全生产事故</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发生停产、影响环境、破坏公共设施、造成不良影响等事故的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扣40分/项，可叠加，到达100分，3年内禁止来我公司投标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事故处理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1.发生事故或事件隐瞒不报的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2.未在1小时内向业主单位上报事故的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3.拒绝、不配合事故事件调查的或事故事件调查提供虚假信息</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4.未按规定和程序组织事故调查和事故处理的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5.未及时处理导致事故扩大的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6.未落实“四不放过”的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2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8</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首次备案施工单位须提供的资料</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一般资料</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2.施工单位对施工人员的三级安全教育材料</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3.特殊时期需要增加的资料（如新冠疫情期间，需要增加的人员健康码和行程码资料）</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缺资料扣3～5分/项；</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施工方案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4.施工方案，应满足合同要求，内容至少包括：</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施工点介绍</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施工内容（含作业流程、风险分析、施工工艺等）</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施工设备和材料（必要时含构件测试手段等）</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 xml:space="preserve">  正常施工安全物资（主要是安全防护设备、劳保用品）</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缺施工方案扣4～8分/项；</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3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应急预案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5.应急预案，内容至少包括：</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现场情况介绍</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风险评估</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应急流程</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应急物资清单</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 xml:space="preserve">  外单位救援力量及联系方式等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缺应急预案扣4～8分/项；</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安全架构</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安全责任人</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施工负责人（可与安全责任人为同一个人）</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安全员</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设备、物资管理人员</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 xml:space="preserve">  关键岗位人员、特种作业人员</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缺安全架构扣5～10分/项；</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缺任何一类人员及其职责有问题扣2～4分/项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2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12</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人员资质</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7.施工人员花名册，人员应包含：</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施工负责人（需要施工管理人员资格证书）</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一般施工人员</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可能需要进入厂区的其他人员（如监理人员、资料员等）</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注：如作业涉及危险作业，作业人员须有作业人员岗前职业病体检和筛选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缺花名册扣3～5分/项；</w:t>
            </w:r>
          </w:p>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缺特种作业人员或特种作业人员不满足合同要求扣3～5分/项；</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其他人员或资料有缺漏扣1～3分/项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施工现场管理</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现场面貌</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1.施工现场未开展有效围蔽</w:t>
            </w:r>
          </w:p>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3.现场无危险源公示、告知及相应警示</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4.材料堆放存在重大隐患</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14</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施工管理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1.现场未按施工方案落实安全防范措施的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2.危险作业未经业主人员审批先行施工的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3.未按施工方案施工的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8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15</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每日安全交底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1.缺少书面交底、未留存书面资料或交底资料缺少交底人、被交底人及安全员签字的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2.内容未结合当天的现场状况、特点、工序，对危险因素、施工内容、安全作业和应急措施进行交底的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作业行为管理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1.违反9大危险作业相关作业规范的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2.现场存在违章作业、违章指挥等违反相关安全管理规定或制度的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3.人员错误使用劳保用品3次以上的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安全记录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未按施工要求开展现场记录或记录内容有缺失</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7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18</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应急管理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1.未设置应急物资点，未统一存放应急物资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2.应急物资点无应急物资清单或无应急物资每日检查表</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3.无开展日常应急培训、训练、演练或无资料留档的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人员管理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人员变更无完善的手续及资料的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20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隐患管理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未及时对发现的隐患开展整改的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扣4～8分/项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21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违反业主或上级主管部门提出的其他管理要求、文件、规定或拒不执行的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扣2～5分/项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3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22</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440" w:hRule="atLeast"/>
          <w:jc w:val="center"/>
        </w:trPr>
        <w:tc>
          <w:tcPr>
            <w:tcW w:w="9302" w:type="dxa"/>
            <w:gridSpan w:val="10"/>
            <w:tcBorders>
              <w:top w:val="nil"/>
              <w:left w:val="nil"/>
              <w:bottom w:val="nil"/>
              <w:right w:val="nil"/>
            </w:tcBorders>
            <w:tcMar>
              <w:top w:w="12" w:type="dxa"/>
              <w:left w:w="12" w:type="dxa"/>
              <w:right w:w="12" w:type="dxa"/>
            </w:tcMar>
            <w:vAlign w:val="center"/>
          </w:tcPr>
          <w:p>
            <w:pPr>
              <w:widowControl/>
              <w:jc w:val="left"/>
              <w:textAlignment w:val="center"/>
              <w:rPr>
                <w:rFonts w:hint="eastAsia" w:eastAsia="宋体"/>
                <w:sz w:val="13"/>
                <w:szCs w:val="13"/>
                <w:lang w:eastAsia="zh-CN"/>
              </w:rPr>
            </w:pPr>
            <w:r>
              <w:rPr>
                <w:rFonts w:hint="eastAsia"/>
                <w:sz w:val="13"/>
                <w:szCs w:val="13"/>
              </w:rPr>
              <w:t>注：1、综合考评满分100分，各考评项目扣分不设上限；</w:t>
            </w:r>
          </w:p>
          <w:p>
            <w:pPr>
              <w:widowControl/>
              <w:jc w:val="left"/>
              <w:textAlignment w:val="center"/>
              <w:rPr>
                <w:rFonts w:hint="eastAsia" w:eastAsia="宋体"/>
                <w:sz w:val="13"/>
                <w:szCs w:val="13"/>
                <w:lang w:eastAsia="zh-CN"/>
              </w:rPr>
            </w:pPr>
            <w:r>
              <w:rPr>
                <w:rFonts w:hint="eastAsia"/>
                <w:sz w:val="13"/>
                <w:szCs w:val="13"/>
              </w:rPr>
              <w:t xml:space="preserve">    2、监理单位考评只作为参考及履职依据，不计入考评，无监理单位不需填写；</w:t>
            </w:r>
          </w:p>
          <w:p>
            <w:pPr>
              <w:widowControl/>
              <w:jc w:val="left"/>
              <w:textAlignment w:val="center"/>
              <w:rPr>
                <w:rFonts w:hint="eastAsia" w:eastAsia="宋体"/>
                <w:sz w:val="13"/>
                <w:szCs w:val="13"/>
                <w:lang w:eastAsia="zh-CN"/>
              </w:rPr>
            </w:pPr>
            <w:r>
              <w:rPr>
                <w:rFonts w:hint="eastAsia"/>
                <w:sz w:val="13"/>
                <w:szCs w:val="13"/>
              </w:rPr>
              <w:t xml:space="preserve">    3、“公司考评”业务主管部门和安全办针对本部门检查发现的内容进行扣（奖）分，项目部已经进行扣（奖）分的不重复执行；</w:t>
            </w:r>
          </w:p>
          <w:p>
            <w:pPr>
              <w:widowControl/>
              <w:jc w:val="left"/>
              <w:textAlignment w:val="center"/>
              <w:rPr>
                <w:rFonts w:hint="eastAsia" w:eastAsia="宋体"/>
                <w:sz w:val="13"/>
                <w:szCs w:val="13"/>
                <w:lang w:eastAsia="zh-CN"/>
              </w:rPr>
            </w:pPr>
            <w:r>
              <w:rPr>
                <w:rFonts w:hint="eastAsia"/>
                <w:sz w:val="13"/>
                <w:szCs w:val="13"/>
              </w:rPr>
              <w:t xml:space="preserve">    4、各分公司考评填写相应的得（扣）分数值，如奖2分则填写“2”，扣2分则填写“-2”；</w:t>
            </w:r>
          </w:p>
          <w:p>
            <w:pPr>
              <w:widowControl/>
              <w:jc w:val="left"/>
              <w:textAlignment w:val="center"/>
              <w:rPr>
                <w:rFonts w:hint="eastAsia" w:eastAsia="宋体"/>
                <w:sz w:val="13"/>
                <w:szCs w:val="13"/>
                <w:lang w:eastAsia="zh-CN"/>
              </w:rPr>
            </w:pPr>
            <w:r>
              <w:rPr>
                <w:rFonts w:hint="eastAsia"/>
                <w:sz w:val="13"/>
                <w:szCs w:val="13"/>
              </w:rPr>
              <w:t xml:space="preserve">    5、单项“综合考评”=项目部考评+公司考评；综合考评总分=各单项“综合考评”+100</w:t>
            </w:r>
          </w:p>
          <w:p>
            <w:pPr>
              <w:widowControl/>
              <w:jc w:val="left"/>
              <w:textAlignment w:val="center"/>
              <w:rPr>
                <w:rFonts w:hint="eastAsia" w:eastAsia="宋体"/>
                <w:sz w:val="13"/>
                <w:szCs w:val="13"/>
                <w:lang w:eastAsia="zh-CN"/>
              </w:rPr>
            </w:pPr>
            <w:r>
              <w:rPr>
                <w:rFonts w:hint="eastAsia"/>
                <w:sz w:val="13"/>
                <w:szCs w:val="13"/>
              </w:rPr>
              <w:t xml:space="preserve">    6、最后得分=综合考评总分X类别系数；</w:t>
            </w:r>
          </w:p>
          <w:p>
            <w:pPr>
              <w:widowControl/>
              <w:jc w:val="left"/>
              <w:textAlignment w:val="center"/>
              <w:rPr>
                <w:sz w:val="13"/>
                <w:szCs w:val="13"/>
              </w:rPr>
            </w:pPr>
            <w:r>
              <w:rPr>
                <w:rFonts w:hint="eastAsia"/>
                <w:sz w:val="13"/>
                <w:szCs w:val="13"/>
              </w:rPr>
              <w:t xml:space="preserve">    7、各考评项目具体考评标准内容参照广州市净水有限公司标准《工程项目安全管理规范》（Q/GZJSA 1-2021）执行。 </w:t>
            </w:r>
          </w:p>
          <w:p>
            <w:pPr>
              <w:ind w:firstLine="260" w:firstLineChars="200"/>
              <w:contextualSpacing/>
              <w:jc w:val="left"/>
              <w:rPr>
                <w:rFonts w:ascii="仿宋_GB2312" w:hAnsi="仿宋_GB2312" w:eastAsia="仿宋_GB2312" w:cs="仿宋_GB2312"/>
                <w:color w:val="000000"/>
                <w:sz w:val="13"/>
                <w:szCs w:val="13"/>
              </w:rPr>
            </w:pPr>
            <w:r>
              <w:rPr>
                <w:rFonts w:hint="eastAsia" w:ascii="仿宋_GB2312" w:hAnsi="仿宋_GB2312" w:eastAsia="仿宋_GB2312" w:cs="仿宋_GB2312"/>
                <w:color w:val="000000"/>
                <w:sz w:val="13"/>
                <w:szCs w:val="13"/>
              </w:rPr>
              <w:t>8、本处理标准出自《</w:t>
            </w:r>
            <w:r>
              <w:rPr>
                <w:rFonts w:hint="eastAsia" w:ascii="宋体" w:hAnsi="宋体" w:cs="宋体"/>
                <w:color w:val="000000"/>
                <w:sz w:val="13"/>
                <w:szCs w:val="13"/>
              </w:rPr>
              <w:t>广州净水公司工程项目承包单位质量安全考评细则（试行）</w:t>
            </w:r>
            <w:r>
              <w:rPr>
                <w:rFonts w:hint="eastAsia" w:ascii="仿宋_GB2312" w:hAnsi="仿宋_GB2312" w:eastAsia="仿宋_GB2312" w:cs="仿宋_GB2312"/>
                <w:color w:val="000000"/>
                <w:sz w:val="13"/>
                <w:szCs w:val="13"/>
              </w:rPr>
              <w:t>》。</w:t>
            </w:r>
          </w:p>
          <w:p>
            <w:pPr>
              <w:pStyle w:val="23"/>
              <w:ind w:firstLine="1126"/>
            </w:pPr>
          </w:p>
        </w:tc>
      </w:tr>
    </w:tbl>
    <w:p/>
    <w:p>
      <w:pPr>
        <w:pStyle w:val="6"/>
        <w:ind w:left="0" w:leftChars="0" w:firstLine="0" w:firstLineChars="0"/>
        <w:rPr>
          <w:rFonts w:hint="eastAsia" w:ascii="宋体" w:hAnsi="宋体" w:cs="宋体"/>
          <w:b/>
          <w:color w:val="auto"/>
          <w:szCs w:val="21"/>
          <w:highlight w:val="none"/>
          <w:lang w:val="en-US" w:eastAsia="zh-CN"/>
        </w:rPr>
      </w:pPr>
    </w:p>
    <w:p>
      <w:pPr>
        <w:pStyle w:val="6"/>
        <w:ind w:left="0" w:leftChars="0" w:firstLine="0" w:firstLineChars="0"/>
        <w:rPr>
          <w:rFonts w:hint="eastAsia" w:ascii="宋体" w:hAnsi="宋体" w:cs="宋体"/>
          <w:b/>
          <w:color w:val="auto"/>
          <w:szCs w:val="21"/>
          <w:highlight w:val="none"/>
          <w:lang w:val="en-US" w:eastAsia="zh-CN"/>
        </w:rPr>
      </w:pPr>
    </w:p>
    <w:p>
      <w:pPr>
        <w:pStyle w:val="6"/>
        <w:ind w:left="0" w:leftChars="0" w:firstLine="0" w:firstLineChars="0"/>
        <w:rPr>
          <w:rFonts w:hint="eastAsia" w:ascii="宋体" w:hAnsi="宋体" w:cs="宋体"/>
          <w:b/>
          <w:color w:val="auto"/>
          <w:szCs w:val="21"/>
          <w:highlight w:val="none"/>
          <w:lang w:val="en-US" w:eastAsia="zh-CN"/>
        </w:rPr>
      </w:pPr>
    </w:p>
    <w:p>
      <w:pPr>
        <w:pStyle w:val="6"/>
        <w:ind w:left="0" w:leftChars="0" w:firstLine="0" w:firstLineChars="0"/>
        <w:rPr>
          <w:rFonts w:hint="eastAsia" w:ascii="宋体" w:hAnsi="宋体" w:cs="宋体"/>
          <w:b/>
          <w:color w:val="auto"/>
          <w:szCs w:val="21"/>
          <w:highlight w:val="none"/>
          <w:lang w:val="en-US" w:eastAsia="zh-CN"/>
        </w:rPr>
      </w:pPr>
    </w:p>
    <w:p>
      <w:pPr>
        <w:pStyle w:val="6"/>
        <w:ind w:left="0" w:leftChars="0" w:firstLine="0" w:firstLineChars="0"/>
        <w:rPr>
          <w:rFonts w:hint="eastAsia" w:ascii="宋体" w:hAnsi="宋体" w:cs="宋体"/>
          <w:b/>
          <w:color w:val="auto"/>
          <w:szCs w:val="21"/>
          <w:highlight w:val="none"/>
          <w:lang w:val="en-US" w:eastAsia="zh-CN"/>
        </w:rPr>
      </w:pPr>
    </w:p>
    <w:p>
      <w:pPr>
        <w:pStyle w:val="6"/>
        <w:ind w:left="0" w:leftChars="0" w:firstLine="0" w:firstLineChars="0"/>
        <w:rPr>
          <w:rFonts w:ascii="方正小标宋简体" w:hAnsi="方正小标宋简体" w:eastAsia="方正小标宋简体" w:cs="方正小标宋简体"/>
          <w:i w:val="0"/>
          <w:iCs w:val="0"/>
          <w:caps w:val="0"/>
          <w:color w:val="000000"/>
          <w:spacing w:val="0"/>
          <w:kern w:val="0"/>
          <w:sz w:val="44"/>
          <w:szCs w:val="44"/>
          <w:lang w:val="en-US" w:eastAsia="zh-CN" w:bidi="ar"/>
        </w:rPr>
      </w:pPr>
      <w:r>
        <w:rPr>
          <w:rFonts w:hint="eastAsia" w:ascii="宋体" w:hAnsi="宋体" w:cs="宋体"/>
          <w:b/>
          <w:color w:val="auto"/>
          <w:szCs w:val="21"/>
          <w:highlight w:val="none"/>
          <w:lang w:val="en-US" w:eastAsia="zh-CN"/>
        </w:rPr>
        <w:t>附件8：消防安全管理协议书</w:t>
      </w:r>
    </w:p>
    <w:p>
      <w:pPr>
        <w:keepNext w:val="0"/>
        <w:keepLines w:val="0"/>
        <w:widowControl/>
        <w:suppressLineNumbers w:val="0"/>
        <w:spacing w:before="0" w:beforeAutospacing="0" w:after="0" w:afterAutospacing="0"/>
        <w:ind w:left="0" w:right="0"/>
        <w:jc w:val="center"/>
        <w:rPr>
          <w:rFonts w:ascii="仿宋_GB2312" w:eastAsia="仿宋_GB2312" w:cs="仿宋_GB2312"/>
          <w:sz w:val="32"/>
          <w:szCs w:val="32"/>
        </w:rPr>
      </w:pPr>
      <w:r>
        <w:rPr>
          <w:rFonts w:ascii="方正小标宋简体" w:hAnsi="方正小标宋简体" w:eastAsia="方正小标宋简体" w:cs="方正小标宋简体"/>
          <w:i w:val="0"/>
          <w:iCs w:val="0"/>
          <w:caps w:val="0"/>
          <w:color w:val="000000"/>
          <w:spacing w:val="0"/>
          <w:kern w:val="0"/>
          <w:sz w:val="44"/>
          <w:szCs w:val="44"/>
          <w:lang w:val="en-US" w:eastAsia="zh-CN" w:bidi="ar"/>
        </w:rPr>
        <w:t>消防安全管理协议书</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甲方：</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乙方：</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为加强和规范消防安全管理，预防火灾事故，明确甲乙双方消防安全责任和义务，保障人员生命、财产安全，根据《中华人民共和国消防法》、《消防安全责任制实施办法》（国办发〔2017〕87号）、《机关、团体、企业、事业企业消防安全管理规定》（公安部第61号令）、《广东省实施〈中华人民共和国消防法〉办法》等法律、法规的规定，经过甲乙双方共同协商，特制定消防安全管理协议书，甲乙双方共同遵守执行。</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一、总则</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1.甲乙双方应遵守国家、省、市有关消防安全的法律、法规、规章，贯彻“预防为主、防消结合”的方针，履行消防安全职责，保障人员生命、财产安全。</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2.甲方、乙方明确专人为本协议的消防安全责任（管理）人，对本协议涉及的场所、场地、区域、施工作业项目的消防安全工作进行管理。</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3.甲乙双方应当逐级落实消防安全责任制，明确逐级岗位人员的消防安全职责。</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二、甲乙双方消防安全责任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1.贯彻执行国家、省、市消防安全法律、法规和规章，确保消防安全工作符合法规规定。</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2.为消防安全工作提供必要的经费投入、组织和物资保障。</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3.建立并落实消防安全制度、操作规程、灭火和应急疏散预案。</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4.组织消防安全检查，督促落实隐患整改，及时处理消防安全重大问题。</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5.组织所属人员开展消防安全知识宣传、教育培训，并定期组织灭火和应急疏散演练。</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6.协助、配合有关部门对所涉及的消防安全事故的调查、取证工作。</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三、甲方消防安全责任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1.制定并落实消防安全制度，落实层级消防安全责任，开展消防安全知识宣传、教育培训。</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2.对乙方开展定期或不定期消防安全检查，发现隐患的，要求乙方立即整改；乙方不能立即整改的，甲方发出隐患整改通知书要求乙方限期整改、消除隐患。</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3.督促乙方落实消防安全措施、整改消防隐患以及及时处理消防安全重大问题。</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四、乙方消防安全责任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1.掌握本协议书涉及的场所、场地、区域、施工作业项目的消防安全情况，服从甲方的消防安全管理，并承担相应消防安全责任。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2.建立健全消防安全组织架构，明确并落实相关人员的消防安全责任。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3.建立并落实消防安全制度、操作规程和灭火和应急疏散预案，落实防火措施。</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4.依法办理有关消防安全设施、所需的消防审核、报批手续，并经主管部门验收合格后方可投入使用。</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5.负责监护甲方配置给乙方的消防设施、设备、灭火器材和消防安全警示标识，未经甲方许可乙方不得损坏、遮挡、占用或随意移动位置或挪做他用，不得占用、堵塞安全出口、疏散通道、消防车通道、防火卷帘门等部位，影响其功能及使用。</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6.配备、保障所属消防设施、设备、灭火器材和消防安全警示标识完好、有效，并进行定期检查、维修保养、检测，保证正常运转；维护、保养、检测应当作好记录，并由有关人员签字；在有效期结束前或使用后及时更换或填充材料。</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7.将容易发生火灾或一旦发生火灾可能严重危及人身和财产安全的部位确定为消防安全重点部位，设置明显的防火标志，实行严格管理，落实防火措施。</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8.对所属人员进行消防知识培训、火警发生后逃生、自救技能的学习，提高其消防安全意识、对初发火灾的自扑自救能力，使其能正确使用消防设施、设备、灭火器材，落实“会报警、会使用灭火器、懂灭火、懂疏散”的要求。</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9.落实专/兼职消防安全管理人员，对消防控制室（监控中心）人员、自动消防设施操作人员、电（气）焊工、电工等特殊岗位、工种人员做到持证上岗，要依时培训、年审。</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10.组建义务消防队，制定火警火灾处置程序，定期组织开展火警火灾处置程序的演练，一旦发生火灾应按处置程序积极组织扑救，迅速疏散人员。</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11.严禁超负荷使用电器，严禁私拉乱用电源、不安全灯具；严禁存放、使用煤气、汽油、酒精、雷管、炸药等易燃、易爆、危险化学品；严格禁止“生产、仓储、住宿”为一体的“三合一”现象。</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12.若需动用明火作业的，严格实行动火作业票审批制度，并报请甲方审批。严禁私自动火作业。</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13.配合甲方的消防安全检查并及时落实整改；同时对自查发现存在的火灾隐患，应及时消除。</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14.参加甲方或有关企业、部门组织的消防安全教育培训和消防演练，并履行相应义务。</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15.当发生火灾时，应第一时间向甲方和公安消防部门报告。</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16.如发生由乙方原因造成的火灾责任事故，乙方应自行承担全部责任。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五、消防安全隐患整改</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1.对下列违反消防安全的行为，甲方应责成乙方立即整改并督促落实，对违反规定情况和整改情况应记录在案、存档备查：</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（1）使用、储存易燃易爆危险化学品的。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（2）私自使用明火、动火作业，或者在具有火灾、爆炸危险的场所吸烟、使用明火、动火作业，或者在具有火灾、爆炸危险的场所吸烟、使用明火、动火作业的。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（3）将安全出口上锁、遮挡或者占用、堆放物品影响防火卷帘门、疏散通道、消防车通道畅通的。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（4）消火栓、灭火器材被遮挡、影响使用或者被挪作他用的。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（5）消防设施管理、值班人员和防火巡查人员脱岗的。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（6）违章关闭消防设施、切断消防电源的。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（7）乱接乱拉电线、使用不安全灯具、超负荷使用电气设备的。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（8）存在“三合一”场所的。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（9）其他违反消防安全的行为。</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2.对不能立即整改的消防隐患，甲方有权向乙方发出消防安全整改通知书，提出整改方案，责令乙方在规定期限内整改完成。</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3.在隐患未消除之前，甲方应督促乙方落实防范措施，保障安全。不能确保安全的、随时有可能引发火灾或者一旦发生火灾将严重危及人身安全的，甲方有权勒令乙方无条件整改或撤离人员。</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4.消防安全隐患整改完毕，乙方应将整改情况记录报送甲方签字确认后存档备查。</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5.对于乙方确无能力解决的重大消防安全隐患，乙方应及时向甲方报告。</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6.若乙方未在规定期限内完成整改或乙方拒绝配合整改的，且无正当理由的，甲方有权自行予以整改，产生的整改费由乙方负责支付，拒不支付的，甲方有权从乙方租金、工程进度款、运营服务费等款项中予以扣除，不足以扣除部分，甲方将通过其他途径（如合同违约条款）扣除或采取法律途径予以追缴；必要时，甲方有权或申请有关行政部门扣减乙方的诚信评价分数。若发生安全事故的，甲方可将乙方纳入到甲方的招投标黑名单中，有权申请有关行政部门暂停乙方在一段时期内不得参加甲方招标项目的投标资格。</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本协议书甲</w:t>
      </w:r>
      <w:r>
        <w:rPr>
          <w:rFonts w:hint="eastAsia" w:ascii="仿宋_GB2312" w:eastAsia="仿宋_GB2312" w:cs="仿宋_GB2312"/>
          <w:i w:val="0"/>
          <w:iCs w:val="0"/>
          <w:caps w:val="0"/>
          <w:color w:val="000000"/>
          <w:spacing w:val="0"/>
          <w:kern w:val="0"/>
          <w:sz w:val="32"/>
          <w:szCs w:val="32"/>
          <w:lang w:val="en-US" w:eastAsia="zh-CN" w:bidi="ar"/>
        </w:rPr>
        <w:t>乙</w:t>
      </w:r>
      <w:r>
        <w:rPr>
          <w:rFonts w:hint="default" w:ascii="仿宋_GB2312" w:eastAsia="仿宋_GB2312" w:cs="仿宋_GB2312" w:hAnsiTheme="minorHAnsi"/>
          <w:i w:val="0"/>
          <w:iCs w:val="0"/>
          <w:caps w:val="0"/>
          <w:color w:val="000000"/>
          <w:spacing w:val="0"/>
          <w:kern w:val="0"/>
          <w:sz w:val="32"/>
          <w:szCs w:val="32"/>
          <w:lang w:val="en-US" w:eastAsia="zh-CN" w:bidi="ar"/>
        </w:rPr>
        <w:t>双</w:t>
      </w:r>
      <w:r>
        <w:rPr>
          <w:rFonts w:hint="eastAsia" w:ascii="仿宋_GB2312" w:eastAsia="仿宋_GB2312" w:cs="仿宋_GB2312"/>
          <w:i w:val="0"/>
          <w:iCs w:val="0"/>
          <w:caps w:val="0"/>
          <w:color w:val="000000"/>
          <w:spacing w:val="0"/>
          <w:kern w:val="0"/>
          <w:sz w:val="32"/>
          <w:szCs w:val="32"/>
          <w:lang w:val="en-US" w:eastAsia="zh-CN" w:bidi="ar"/>
        </w:rPr>
        <w:t>方</w:t>
      </w:r>
      <w:r>
        <w:rPr>
          <w:rFonts w:hint="default" w:ascii="仿宋_GB2312" w:eastAsia="仿宋_GB2312" w:cs="仿宋_GB2312" w:hAnsiTheme="minorHAnsi"/>
          <w:i w:val="0"/>
          <w:iCs w:val="0"/>
          <w:caps w:val="0"/>
          <w:color w:val="000000"/>
          <w:spacing w:val="0"/>
          <w:kern w:val="0"/>
          <w:sz w:val="32"/>
          <w:szCs w:val="32"/>
          <w:lang w:val="en-US" w:eastAsia="zh-CN" w:bidi="ar"/>
        </w:rPr>
        <w:t>执持数量与</w:t>
      </w:r>
      <w:r>
        <w:rPr>
          <w:rFonts w:hint="eastAsia" w:ascii="仿宋_GB2312" w:eastAsia="仿宋_GB2312" w:cs="仿宋_GB2312"/>
          <w:i w:val="0"/>
          <w:iCs w:val="0"/>
          <w:caps w:val="0"/>
          <w:color w:val="000000"/>
          <w:spacing w:val="0"/>
          <w:kern w:val="0"/>
          <w:sz w:val="32"/>
          <w:szCs w:val="32"/>
          <w:lang w:val="en-US" w:eastAsia="zh-CN" w:bidi="ar"/>
        </w:rPr>
        <w:t>主合同</w:t>
      </w:r>
      <w:r>
        <w:rPr>
          <w:rFonts w:hint="default" w:ascii="仿宋_GB2312" w:eastAsia="仿宋_GB2312" w:cs="仿宋_GB2312" w:hAnsiTheme="minorHAnsi"/>
          <w:i w:val="0"/>
          <w:iCs w:val="0"/>
          <w:caps w:val="0"/>
          <w:color w:val="000000"/>
          <w:spacing w:val="0"/>
          <w:kern w:val="0"/>
          <w:sz w:val="32"/>
          <w:szCs w:val="32"/>
          <w:lang w:val="en-US" w:eastAsia="zh-CN" w:bidi="ar"/>
        </w:rPr>
        <w:t>一致，双方明确有效期限。</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eastAsia" w:ascii="宋体" w:hAnsi="宋体" w:eastAsia="宋体" w:cs="宋体"/>
          <w:i w:val="0"/>
          <w:iCs w:val="0"/>
          <w:caps w:val="0"/>
          <w:color w:val="000000"/>
          <w:spacing w:val="0"/>
          <w:kern w:val="0"/>
          <w:sz w:val="32"/>
          <w:szCs w:val="32"/>
          <w:lang w:val="en-US" w:eastAsia="zh-CN" w:bidi="ar"/>
        </w:rPr>
        <w:t>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甲方（盖章）：</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乙方（盖章）：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eastAsia" w:ascii="宋体" w:hAnsi="宋体" w:eastAsia="宋体" w:cs="宋体"/>
          <w:i w:val="0"/>
          <w:iCs w:val="0"/>
          <w:caps w:val="0"/>
          <w:color w:val="000000"/>
          <w:spacing w:val="0"/>
          <w:kern w:val="0"/>
          <w:sz w:val="32"/>
          <w:szCs w:val="32"/>
          <w:lang w:val="en-US" w:eastAsia="zh-CN" w:bidi="ar"/>
        </w:rPr>
        <w:t>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甲方签字：</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乙方签字:</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eastAsia" w:ascii="宋体" w:hAnsi="宋体" w:eastAsia="宋体" w:cs="宋体"/>
          <w:i w:val="0"/>
          <w:iCs w:val="0"/>
          <w:caps w:val="0"/>
          <w:color w:val="000000"/>
          <w:spacing w:val="0"/>
          <w:kern w:val="0"/>
          <w:sz w:val="32"/>
          <w:szCs w:val="32"/>
          <w:lang w:val="en-US" w:eastAsia="zh-CN" w:bidi="ar"/>
        </w:rPr>
        <w:t>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联系电话：</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联系电话：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eastAsia" w:ascii="宋体" w:hAnsi="宋体" w:eastAsia="宋体" w:cs="宋体"/>
          <w:i w:val="0"/>
          <w:iCs w:val="0"/>
          <w:caps w:val="0"/>
          <w:color w:val="000000"/>
          <w:spacing w:val="0"/>
          <w:kern w:val="0"/>
          <w:sz w:val="32"/>
          <w:szCs w:val="32"/>
          <w:lang w:val="en-US" w:eastAsia="zh-CN" w:bidi="ar"/>
        </w:rPr>
        <w:t>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联系地址：</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联系地址：</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eastAsia" w:ascii="宋体" w:hAnsi="宋体" w:eastAsia="宋体" w:cs="宋体"/>
          <w:i w:val="0"/>
          <w:iCs w:val="0"/>
          <w:caps w:val="0"/>
          <w:color w:val="000000"/>
          <w:spacing w:val="0"/>
          <w:kern w:val="0"/>
          <w:sz w:val="32"/>
          <w:szCs w:val="32"/>
          <w:lang w:val="en-US" w:eastAsia="zh-CN" w:bidi="ar"/>
        </w:rPr>
        <w:t>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签定时间：</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年</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月  日</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签定时间：  年  月  日</w:t>
      </w:r>
    </w:p>
    <w:p>
      <w:pPr>
        <w:ind w:left="0" w:leftChars="0" w:firstLine="0" w:firstLineChars="0"/>
        <w:rPr>
          <w:rFonts w:hint="eastAsia" w:ascii="仿宋_GB2312" w:hAnsi="仿宋_GB2312" w:eastAsia="仿宋_GB2312" w:cs="仿宋_GB2312"/>
          <w:b/>
          <w:bCs/>
          <w:sz w:val="24"/>
          <w:szCs w:val="24"/>
          <w:highlight w:val="none"/>
          <w:lang w:val="en-US" w:eastAsia="zh-CN"/>
        </w:rPr>
      </w:pPr>
    </w:p>
    <w:p>
      <w:pPr>
        <w:ind w:left="0" w:leftChars="0" w:firstLine="0" w:firstLineChars="0"/>
        <w:rPr>
          <w:rFonts w:hint="eastAsia" w:ascii="仿宋_GB2312" w:hAnsi="仿宋_GB2312" w:eastAsia="仿宋_GB2312" w:cs="仿宋_GB2312"/>
          <w:b/>
          <w:bCs/>
          <w:sz w:val="24"/>
          <w:szCs w:val="24"/>
          <w:highlight w:val="none"/>
          <w:lang w:val="en-US" w:eastAsia="zh-CN"/>
        </w:rPr>
      </w:pPr>
    </w:p>
    <w:p>
      <w:pPr>
        <w:ind w:left="0" w:leftChars="0" w:firstLine="0" w:firstLineChars="0"/>
        <w:rPr>
          <w:rFonts w:hint="eastAsia" w:ascii="仿宋_GB2312" w:hAnsi="仿宋_GB2312" w:eastAsia="仿宋_GB2312" w:cs="仿宋_GB2312"/>
          <w:b/>
          <w:bCs/>
          <w:sz w:val="24"/>
          <w:szCs w:val="24"/>
          <w:highlight w:val="none"/>
          <w:lang w:val="en-US" w:eastAsia="zh-CN"/>
        </w:rPr>
      </w:pPr>
    </w:p>
    <w:p>
      <w:pPr>
        <w:ind w:left="0" w:leftChars="0" w:firstLine="0" w:firstLineChars="0"/>
        <w:rPr>
          <w:rFonts w:hint="eastAsia" w:ascii="仿宋_GB2312" w:hAnsi="仿宋_GB2312" w:eastAsia="仿宋_GB2312" w:cs="仿宋_GB2312"/>
          <w:b/>
          <w:bCs/>
          <w:sz w:val="24"/>
          <w:szCs w:val="24"/>
          <w:highlight w:val="none"/>
          <w:lang w:val="en-US" w:eastAsia="zh-CN"/>
        </w:rPr>
      </w:pPr>
    </w:p>
    <w:p>
      <w:pPr>
        <w:ind w:left="0" w:leftChars="0" w:firstLine="0" w:firstLineChars="0"/>
        <w:rPr>
          <w:rFonts w:hint="eastAsia" w:ascii="仿宋_GB2312" w:hAnsi="仿宋_GB2312" w:eastAsia="仿宋_GB2312" w:cs="仿宋_GB2312"/>
          <w:b/>
          <w:bCs/>
          <w:sz w:val="24"/>
          <w:szCs w:val="24"/>
          <w:highlight w:val="none"/>
          <w:lang w:val="en-US" w:eastAsia="zh-CN"/>
        </w:rPr>
      </w:pPr>
    </w:p>
    <w:p>
      <w:pPr>
        <w:ind w:left="0" w:leftChars="0" w:firstLine="0" w:firstLineChars="0"/>
        <w:rPr>
          <w:rFonts w:hint="eastAsia" w:ascii="仿宋_GB2312" w:hAnsi="仿宋_GB2312" w:eastAsia="仿宋_GB2312" w:cs="仿宋_GB2312"/>
          <w:b/>
          <w:bCs/>
          <w:sz w:val="24"/>
          <w:szCs w:val="24"/>
          <w:highlight w:val="none"/>
          <w:lang w:val="en-US" w:eastAsia="zh-CN"/>
        </w:rPr>
      </w:pPr>
    </w:p>
    <w:p>
      <w:pPr>
        <w:ind w:left="0" w:leftChars="0" w:firstLine="0" w:firstLineChars="0"/>
        <w:rPr>
          <w:rFonts w:hint="eastAsia" w:ascii="仿宋_GB2312" w:hAnsi="仿宋_GB2312" w:eastAsia="仿宋_GB2312" w:cs="仿宋_GB2312"/>
          <w:b/>
          <w:bCs/>
          <w:sz w:val="24"/>
          <w:szCs w:val="24"/>
          <w:highlight w:val="none"/>
          <w:lang w:val="en-US" w:eastAsia="zh-CN"/>
        </w:rPr>
      </w:pPr>
    </w:p>
    <w:p>
      <w:pPr>
        <w:ind w:left="0" w:leftChars="0" w:firstLine="0" w:firstLineChars="0"/>
        <w:rPr>
          <w:rFonts w:hint="eastAsia" w:ascii="仿宋_GB2312" w:hAnsi="仿宋_GB2312" w:eastAsia="仿宋_GB2312" w:cs="仿宋_GB2312"/>
          <w:b/>
          <w:bCs/>
          <w:sz w:val="24"/>
          <w:szCs w:val="24"/>
          <w:highlight w:val="none"/>
          <w:lang w:val="en-US" w:eastAsia="zh-CN"/>
        </w:rPr>
      </w:pPr>
    </w:p>
    <w:p>
      <w:pPr>
        <w:ind w:left="0" w:leftChars="0" w:firstLine="0" w:firstLineChars="0"/>
        <w:rPr>
          <w:rFonts w:hint="eastAsia" w:ascii="仿宋_GB2312" w:hAnsi="仿宋_GB2312" w:eastAsia="仿宋_GB2312" w:cs="仿宋_GB2312"/>
          <w:b/>
          <w:bCs/>
          <w:sz w:val="24"/>
          <w:szCs w:val="24"/>
          <w:highlight w:val="none"/>
          <w:lang w:val="en-US" w:eastAsia="zh-CN"/>
        </w:rPr>
      </w:pPr>
    </w:p>
    <w:p>
      <w:pPr>
        <w:ind w:left="0" w:leftChars="0" w:firstLine="0" w:firstLineChars="0"/>
        <w:rPr>
          <w:rFonts w:hint="eastAsia" w:ascii="仿宋_GB2312" w:hAnsi="仿宋_GB2312" w:eastAsia="仿宋_GB2312" w:cs="仿宋_GB2312"/>
          <w:b/>
          <w:bCs/>
          <w:sz w:val="24"/>
          <w:szCs w:val="24"/>
          <w:highlight w:val="none"/>
          <w:lang w:val="en-US" w:eastAsia="zh-CN"/>
        </w:rPr>
      </w:pPr>
    </w:p>
    <w:p>
      <w:pPr>
        <w:pStyle w:val="29"/>
        <w:rPr>
          <w:rFonts w:hint="eastAsia" w:ascii="仿宋_GB2312" w:hAnsi="仿宋_GB2312" w:eastAsia="仿宋_GB2312" w:cs="仿宋_GB2312"/>
          <w:b/>
          <w:bCs/>
          <w:sz w:val="24"/>
          <w:szCs w:val="24"/>
          <w:highlight w:val="none"/>
          <w:lang w:val="en-US" w:eastAsia="zh-CN"/>
        </w:rPr>
      </w:pPr>
    </w:p>
    <w:p>
      <w:pPr>
        <w:ind w:left="0" w:leftChars="0" w:firstLine="0" w:firstLineChars="0"/>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附件9：消防安全承诺书</w:t>
      </w:r>
    </w:p>
    <w:p>
      <w:pPr>
        <w:keepNext w:val="0"/>
        <w:keepLines w:val="0"/>
        <w:widowControl/>
        <w:suppressLineNumbers w:val="0"/>
        <w:spacing w:before="0" w:beforeAutospacing="0" w:after="0" w:afterAutospacing="0"/>
        <w:ind w:left="0" w:right="0" w:firstLine="640"/>
        <w:jc w:val="left"/>
        <w:rPr>
          <w:rFonts w:hint="eastAsia" w:ascii="仿宋_GB2312" w:eastAsia="仿宋_GB2312" w:cs="仿宋_GB2312" w:hAnsiTheme="minorHAnsi"/>
          <w:i w:val="0"/>
          <w:iCs w:val="0"/>
          <w:caps w:val="0"/>
          <w:color w:val="000000"/>
          <w:spacing w:val="0"/>
          <w:kern w:val="0"/>
          <w:sz w:val="32"/>
          <w:szCs w:val="32"/>
          <w:lang w:val="en-US" w:eastAsia="zh-CN" w:bidi="ar"/>
        </w:rPr>
      </w:pPr>
      <w:r>
        <w:rPr>
          <w:rFonts w:hint="eastAsia" w:asciiTheme="minorEastAsia" w:hAnsiTheme="minorEastAsia" w:cstheme="minorEastAsia"/>
          <w:b/>
          <w:bCs/>
          <w:sz w:val="21"/>
          <w:szCs w:val="21"/>
          <w:highlight w:val="none"/>
          <w:lang w:val="en-US" w:eastAsia="zh-CN"/>
        </w:rPr>
        <w:t xml:space="preserve">                     </w:t>
      </w:r>
      <w:r>
        <w:rPr>
          <w:rFonts w:hint="eastAsia" w:ascii="仿宋_GB2312" w:eastAsia="仿宋_GB2312" w:cs="仿宋_GB2312" w:hAnsiTheme="minorHAnsi"/>
          <w:i w:val="0"/>
          <w:iCs w:val="0"/>
          <w:caps w:val="0"/>
          <w:color w:val="000000"/>
          <w:spacing w:val="0"/>
          <w:kern w:val="0"/>
          <w:sz w:val="32"/>
          <w:szCs w:val="32"/>
          <w:lang w:val="en-US" w:eastAsia="zh-CN" w:bidi="ar"/>
        </w:rPr>
        <w:t xml:space="preserve">  消防安全承诺书</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hAnsiTheme="minorHAnsi"/>
          <w:i w:val="0"/>
          <w:iCs w:val="0"/>
          <w:caps w:val="0"/>
          <w:color w:val="000000"/>
          <w:spacing w:val="0"/>
          <w:kern w:val="0"/>
          <w:sz w:val="32"/>
          <w:szCs w:val="32"/>
          <w:lang w:val="en-US" w:eastAsia="zh-CN" w:bidi="ar"/>
        </w:rPr>
      </w:pPr>
      <w:r>
        <w:rPr>
          <w:rFonts w:hint="eastAsia" w:ascii="仿宋_GB2312" w:eastAsia="仿宋_GB2312" w:cs="仿宋_GB2312" w:hAnsiTheme="minorHAnsi"/>
          <w:i w:val="0"/>
          <w:iCs w:val="0"/>
          <w:caps w:val="0"/>
          <w:color w:val="000000"/>
          <w:spacing w:val="0"/>
          <w:kern w:val="0"/>
          <w:sz w:val="32"/>
          <w:szCs w:val="32"/>
          <w:lang w:val="en-US" w:eastAsia="zh-CN" w:bidi="ar"/>
        </w:rPr>
        <w:t xml:space="preserve">  </w:t>
      </w:r>
      <w:r>
        <w:rPr>
          <w:rFonts w:hint="default" w:ascii="仿宋_GB2312" w:eastAsia="仿宋_GB2312" w:cs="仿宋_GB2312" w:hAnsiTheme="minorHAnsi"/>
          <w:i w:val="0"/>
          <w:iCs w:val="0"/>
          <w:caps w:val="0"/>
          <w:color w:val="000000"/>
          <w:spacing w:val="0"/>
          <w:kern w:val="0"/>
          <w:sz w:val="32"/>
          <w:szCs w:val="32"/>
          <w:lang w:val="en-US" w:eastAsia="zh-CN" w:bidi="ar"/>
        </w:rPr>
        <w:t>为贯彻执行《中华人民共和国消防法》《消防安全责任制  实施办法》 (国办法〔2017〕87号) 《机关、团体、企业、事业单位消防安全管理规定》 (公安部令第61号)和《广东省实施〈中华人民共和国消防法》办法》(广东省人大常委会公告第48号)等法律法规，落实消防安全主体责任，配备专职消防安全管理人、兼职消防安全管理人，确保消防安全，我单位郑重承诺认真开展自查自纠，对发现的隐患问题，承诺在规定时间内完成整改。</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hAnsiTheme="minorHAnsi"/>
          <w:i w:val="0"/>
          <w:iCs w:val="0"/>
          <w:caps w:val="0"/>
          <w:color w:val="000000"/>
          <w:spacing w:val="0"/>
          <w:kern w:val="0"/>
          <w:sz w:val="32"/>
          <w:szCs w:val="32"/>
          <w:lang w:val="en-US" w:eastAsia="zh-CN" w:bidi="ar"/>
        </w:rPr>
      </w:pPr>
      <w:r>
        <w:rPr>
          <w:rFonts w:hint="default" w:ascii="仿宋_GB2312" w:eastAsia="仿宋_GB2312" w:cs="仿宋_GB2312" w:hAnsiTheme="minorHAnsi"/>
          <w:i w:val="0"/>
          <w:iCs w:val="0"/>
          <w:caps w:val="0"/>
          <w:color w:val="000000"/>
          <w:spacing w:val="0"/>
          <w:kern w:val="0"/>
          <w:sz w:val="32"/>
          <w:szCs w:val="32"/>
          <w:lang w:val="en-US" w:eastAsia="zh-CN" w:bidi="ar"/>
        </w:rPr>
        <w:t>我单位将自愿接受社会公众的监督，依照承诺书内容履行好 承诺，严格按照相关消防法律法规做好消防工作，若有违反，依 据《中华人民共和国消防法》和《广东省实施&lt;中华人民共和国</w:t>
      </w:r>
    </w:p>
    <w:p>
      <w:pPr>
        <w:keepNext w:val="0"/>
        <w:keepLines w:val="0"/>
        <w:widowControl/>
        <w:suppressLineNumbers w:val="0"/>
        <w:spacing w:before="0" w:beforeAutospacing="0" w:after="0" w:afterAutospacing="0"/>
        <w:ind w:right="0"/>
        <w:jc w:val="left"/>
        <w:rPr>
          <w:rFonts w:hint="default" w:ascii="仿宋_GB2312" w:eastAsia="仿宋_GB2312" w:cs="仿宋_GB2312" w:hAnsiTheme="minorHAnsi"/>
          <w:i w:val="0"/>
          <w:iCs w:val="0"/>
          <w:caps w:val="0"/>
          <w:color w:val="000000"/>
          <w:spacing w:val="0"/>
          <w:kern w:val="0"/>
          <w:sz w:val="32"/>
          <w:szCs w:val="32"/>
          <w:lang w:val="en-US" w:eastAsia="zh-CN" w:bidi="ar"/>
        </w:rPr>
      </w:pPr>
      <w:r>
        <w:rPr>
          <w:rFonts w:hint="default" w:ascii="仿宋_GB2312" w:eastAsia="仿宋_GB2312" w:cs="仿宋_GB2312" w:hAnsiTheme="minorHAnsi"/>
          <w:i w:val="0"/>
          <w:iCs w:val="0"/>
          <w:caps w:val="0"/>
          <w:color w:val="000000"/>
          <w:spacing w:val="0"/>
          <w:kern w:val="0"/>
          <w:sz w:val="32"/>
          <w:szCs w:val="32"/>
          <w:lang w:val="en-US" w:eastAsia="zh-CN" w:bidi="ar"/>
        </w:rPr>
        <w:t>消防法〉办法》的有关规定，我单位将承担相关法律责任，切实</w:t>
      </w:r>
    </w:p>
    <w:p>
      <w:pPr>
        <w:keepNext w:val="0"/>
        <w:keepLines w:val="0"/>
        <w:widowControl/>
        <w:suppressLineNumbers w:val="0"/>
        <w:spacing w:before="0" w:beforeAutospacing="0" w:after="0" w:afterAutospacing="0"/>
        <w:ind w:right="0"/>
        <w:jc w:val="left"/>
        <w:rPr>
          <w:rFonts w:hint="default" w:ascii="仿宋_GB2312" w:eastAsia="仿宋_GB2312" w:cs="仿宋_GB2312" w:hAnsiTheme="minorHAnsi"/>
          <w:i w:val="0"/>
          <w:iCs w:val="0"/>
          <w:caps w:val="0"/>
          <w:color w:val="000000"/>
          <w:spacing w:val="0"/>
          <w:kern w:val="0"/>
          <w:sz w:val="32"/>
          <w:szCs w:val="32"/>
          <w:lang w:val="en-US" w:eastAsia="zh-CN" w:bidi="ar"/>
        </w:rPr>
      </w:pPr>
      <w:r>
        <w:rPr>
          <w:rFonts w:hint="default" w:ascii="仿宋_GB2312" w:eastAsia="仿宋_GB2312" w:cs="仿宋_GB2312" w:hAnsiTheme="minorHAnsi"/>
          <w:i w:val="0"/>
          <w:iCs w:val="0"/>
          <w:caps w:val="0"/>
          <w:color w:val="000000"/>
          <w:spacing w:val="0"/>
          <w:kern w:val="0"/>
          <w:sz w:val="32"/>
          <w:szCs w:val="32"/>
          <w:lang w:val="en-US" w:eastAsia="zh-CN" w:bidi="ar"/>
        </w:rPr>
        <w:t>做到安全自查、隐患自除、责任自负、接受监督</w:t>
      </w:r>
      <w:r>
        <w:rPr>
          <w:rFonts w:hint="eastAsia" w:ascii="仿宋_GB2312" w:eastAsia="仿宋_GB2312" w:cs="仿宋_GB2312"/>
          <w:i w:val="0"/>
          <w:iCs w:val="0"/>
          <w:caps w:val="0"/>
          <w:color w:val="000000"/>
          <w:spacing w:val="0"/>
          <w:kern w:val="0"/>
          <w:sz w:val="32"/>
          <w:szCs w:val="32"/>
          <w:lang w:val="en-US" w:eastAsia="zh-CN" w:bidi="ar"/>
        </w:rPr>
        <w:t>。</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hAnsiTheme="minorHAnsi"/>
          <w:i w:val="0"/>
          <w:iCs w:val="0"/>
          <w:caps w:val="0"/>
          <w:color w:val="000000"/>
          <w:spacing w:val="0"/>
          <w:kern w:val="0"/>
          <w:sz w:val="32"/>
          <w:szCs w:val="32"/>
          <w:lang w:val="en-US" w:eastAsia="zh-CN" w:bidi="ar"/>
        </w:rPr>
      </w:pPr>
      <w:r>
        <w:rPr>
          <w:rFonts w:hint="default" w:ascii="仿宋_GB2312" w:eastAsia="仿宋_GB2312" w:cs="仿宋_GB2312" w:hAnsiTheme="minorHAnsi"/>
          <w:i w:val="0"/>
          <w:iCs w:val="0"/>
          <w:caps w:val="0"/>
          <w:color w:val="000000"/>
          <w:spacing w:val="0"/>
          <w:kern w:val="0"/>
          <w:sz w:val="32"/>
          <w:szCs w:val="32"/>
          <w:lang w:val="en-US" w:eastAsia="zh-CN" w:bidi="ar"/>
        </w:rPr>
        <w:t>本承诺书甲方、乙方双方执持数量与主合同一致。</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hAnsiTheme="minorHAnsi"/>
          <w:i w:val="0"/>
          <w:iCs w:val="0"/>
          <w:caps w:val="0"/>
          <w:color w:val="000000"/>
          <w:spacing w:val="0"/>
          <w:kern w:val="0"/>
          <w:sz w:val="32"/>
          <w:szCs w:val="32"/>
          <w:lang w:val="en-US" w:eastAsia="zh-CN" w:bidi="ar"/>
        </w:rPr>
      </w:pPr>
      <w:r>
        <w:rPr>
          <w:rFonts w:hint="default" w:ascii="仿宋_GB2312" w:eastAsia="仿宋_GB2312" w:cs="仿宋_GB2312" w:hAnsiTheme="minorHAnsi"/>
          <w:i w:val="0"/>
          <w:iCs w:val="0"/>
          <w:caps w:val="0"/>
          <w:color w:val="000000"/>
          <w:spacing w:val="0"/>
          <w:kern w:val="0"/>
          <w:sz w:val="32"/>
          <w:szCs w:val="32"/>
          <w:lang w:val="en-US" w:eastAsia="zh-CN" w:bidi="ar"/>
        </w:rPr>
        <w:t>承诺单位(公章):</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hAnsiTheme="minorHAnsi"/>
          <w:i w:val="0"/>
          <w:iCs w:val="0"/>
          <w:caps w:val="0"/>
          <w:color w:val="000000"/>
          <w:spacing w:val="0"/>
          <w:kern w:val="0"/>
          <w:sz w:val="32"/>
          <w:szCs w:val="32"/>
          <w:lang w:val="en-US" w:eastAsia="zh-CN" w:bidi="ar"/>
        </w:rPr>
      </w:pPr>
      <w:r>
        <w:rPr>
          <w:rFonts w:hint="default" w:ascii="仿宋_GB2312" w:eastAsia="仿宋_GB2312" w:cs="仿宋_GB2312" w:hAnsiTheme="minorHAnsi"/>
          <w:i w:val="0"/>
          <w:iCs w:val="0"/>
          <w:caps w:val="0"/>
          <w:color w:val="000000"/>
          <w:spacing w:val="0"/>
          <w:kern w:val="0"/>
          <w:sz w:val="32"/>
          <w:szCs w:val="32"/>
          <w:lang w:val="en-US" w:eastAsia="zh-CN" w:bidi="ar"/>
        </w:rPr>
        <w:t>承诺人(签名):</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hAnsiTheme="minorHAnsi"/>
          <w:i w:val="0"/>
          <w:iCs w:val="0"/>
          <w:caps w:val="0"/>
          <w:color w:val="000000"/>
          <w:spacing w:val="0"/>
          <w:kern w:val="0"/>
          <w:sz w:val="32"/>
          <w:szCs w:val="32"/>
          <w:lang w:val="en-US" w:eastAsia="zh-CN" w:bidi="ar"/>
        </w:rPr>
      </w:pPr>
      <w:r>
        <w:rPr>
          <w:rFonts w:hint="default" w:ascii="仿宋_GB2312" w:eastAsia="仿宋_GB2312" w:cs="仿宋_GB2312" w:hAnsiTheme="minorHAnsi"/>
          <w:i w:val="0"/>
          <w:iCs w:val="0"/>
          <w:caps w:val="0"/>
          <w:color w:val="000000"/>
          <w:spacing w:val="0"/>
          <w:kern w:val="0"/>
          <w:sz w:val="32"/>
          <w:szCs w:val="32"/>
          <w:lang w:val="en-US" w:eastAsia="zh-CN" w:bidi="ar"/>
        </w:rPr>
        <w:t>消防安全责任人(签名):</w:t>
      </w:r>
    </w:p>
    <w:p>
      <w:pPr>
        <w:keepNext w:val="0"/>
        <w:keepLines w:val="0"/>
        <w:widowControl/>
        <w:suppressLineNumbers w:val="0"/>
        <w:spacing w:before="0" w:beforeAutospacing="0" w:after="0" w:afterAutospacing="0"/>
        <w:ind w:left="0" w:right="0" w:firstLine="5126" w:firstLineChars="1602"/>
        <w:jc w:val="left"/>
        <w:rPr>
          <w:rFonts w:hint="default" w:ascii="仿宋_GB2312" w:eastAsia="仿宋_GB2312" w:cs="仿宋_GB2312" w:hAnsiTheme="minorHAnsi"/>
          <w:i w:val="0"/>
          <w:iCs w:val="0"/>
          <w:caps w:val="0"/>
          <w:color w:val="000000"/>
          <w:spacing w:val="0"/>
          <w:kern w:val="0"/>
          <w:sz w:val="32"/>
          <w:szCs w:val="32"/>
          <w:lang w:val="en-US" w:eastAsia="zh-CN" w:bidi="ar"/>
        </w:rPr>
      </w:pPr>
      <w:r>
        <w:rPr>
          <w:rFonts w:hint="default" w:ascii="仿宋_GB2312" w:eastAsia="仿宋_GB2312" w:cs="仿宋_GB2312" w:hAnsiTheme="minorHAnsi"/>
          <w:i w:val="0"/>
          <w:iCs w:val="0"/>
          <w:caps w:val="0"/>
          <w:color w:val="000000"/>
          <w:spacing w:val="0"/>
          <w:kern w:val="0"/>
          <w:sz w:val="32"/>
          <w:szCs w:val="32"/>
          <w:lang w:val="en-US" w:eastAsia="zh-CN" w:bidi="ar"/>
        </w:rPr>
        <w:t>年</w:t>
      </w:r>
      <w:r>
        <w:rPr>
          <w:rFonts w:hint="eastAsia" w:ascii="仿宋_GB2312" w:eastAsia="仿宋_GB2312" w:cs="仿宋_GB2312"/>
          <w:i w:val="0"/>
          <w:iCs w:val="0"/>
          <w:caps w:val="0"/>
          <w:color w:val="000000"/>
          <w:spacing w:val="0"/>
          <w:kern w:val="0"/>
          <w:sz w:val="32"/>
          <w:szCs w:val="32"/>
          <w:lang w:val="en-US" w:eastAsia="zh-CN" w:bidi="ar"/>
        </w:rPr>
        <w:t xml:space="preserve">   </w:t>
      </w:r>
      <w:r>
        <w:rPr>
          <w:rFonts w:hint="default" w:ascii="仿宋_GB2312" w:eastAsia="仿宋_GB2312" w:cs="仿宋_GB2312" w:hAnsiTheme="minorHAnsi"/>
          <w:i w:val="0"/>
          <w:iCs w:val="0"/>
          <w:caps w:val="0"/>
          <w:color w:val="000000"/>
          <w:spacing w:val="0"/>
          <w:kern w:val="0"/>
          <w:sz w:val="32"/>
          <w:szCs w:val="32"/>
          <w:lang w:val="en-US" w:eastAsia="zh-CN" w:bidi="ar"/>
        </w:rPr>
        <w:t>月  日</w:t>
      </w:r>
    </w:p>
    <w:p>
      <w:pPr>
        <w:pStyle w:val="6"/>
        <w:ind w:firstLine="0"/>
        <w:rPr>
          <w:rFonts w:hint="eastAsia"/>
          <w:color w:val="auto"/>
          <w:highlight w:val="none"/>
        </w:rPr>
      </w:pPr>
    </w:p>
    <w:p/>
    <w:p>
      <w:pPr>
        <w:ind w:firstLine="422" w:firstLineChars="200"/>
        <w:rPr>
          <w:rFonts w:hint="eastAsia" w:ascii="仿宋" w:hAnsi="仿宋" w:eastAsia="仿宋" w:cs="仿宋"/>
          <w:b/>
          <w:color w:val="auto"/>
          <w:szCs w:val="21"/>
          <w:highlight w:val="none"/>
          <w:lang w:val="en-US" w:eastAsia="zh-CN"/>
        </w:rPr>
      </w:pPr>
      <w:r>
        <w:rPr>
          <w:rFonts w:hint="eastAsia" w:ascii="仿宋" w:hAnsi="仿宋" w:eastAsia="仿宋" w:cs="仿宋"/>
          <w:b/>
          <w:color w:val="auto"/>
          <w:szCs w:val="21"/>
          <w:highlight w:val="none"/>
        </w:rPr>
        <w:t>附件</w:t>
      </w:r>
      <w:r>
        <w:rPr>
          <w:rFonts w:hint="eastAsia" w:ascii="仿宋" w:hAnsi="仿宋" w:eastAsia="仿宋" w:cs="仿宋"/>
          <w:b/>
          <w:color w:val="auto"/>
          <w:szCs w:val="21"/>
          <w:highlight w:val="none"/>
          <w:lang w:val="en-US" w:eastAsia="zh-CN"/>
        </w:rPr>
        <w:t>10</w:t>
      </w:r>
      <w:r>
        <w:rPr>
          <w:rFonts w:hint="eastAsia" w:ascii="仿宋" w:hAnsi="仿宋" w:eastAsia="仿宋" w:cs="仿宋"/>
          <w:b/>
          <w:color w:val="auto"/>
          <w:szCs w:val="21"/>
          <w:highlight w:val="none"/>
        </w:rPr>
        <w:t>：</w:t>
      </w:r>
      <w:r>
        <w:rPr>
          <w:rFonts w:hint="eastAsia" w:ascii="仿宋" w:hAnsi="仿宋" w:eastAsia="仿宋" w:cs="仿宋"/>
          <w:b/>
          <w:color w:val="auto"/>
          <w:szCs w:val="21"/>
          <w:highlight w:val="none"/>
          <w:lang w:val="en-US" w:eastAsia="zh-CN"/>
        </w:rPr>
        <w:t>技术需求</w:t>
      </w:r>
    </w:p>
    <w:p>
      <w:pPr>
        <w:numPr>
          <w:ilvl w:val="0"/>
          <w:numId w:val="11"/>
        </w:numPr>
        <w:spacing w:line="360" w:lineRule="auto"/>
        <w:ind w:left="0" w:leftChars="0" w:firstLine="420" w:firstLineChars="0"/>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板框机隔离罩周边加装监控：</w:t>
      </w:r>
    </w:p>
    <w:p>
      <w:pPr>
        <w:numPr>
          <w:ilvl w:val="0"/>
          <w:numId w:val="12"/>
        </w:numPr>
        <w:spacing w:line="360" w:lineRule="auto"/>
        <w:ind w:left="420" w:leftChars="0" w:firstLine="470" w:firstLineChars="168"/>
        <w:rPr>
          <w:rFonts w:hint="eastAsia" w:ascii="仿宋" w:hAnsi="仿宋" w:eastAsia="仿宋" w:cs="仿宋"/>
          <w:sz w:val="28"/>
          <w:szCs w:val="32"/>
          <w:highlight w:val="none"/>
          <w:lang w:val="en-US" w:eastAsia="zh-CN"/>
        </w:rPr>
      </w:pPr>
      <w:r>
        <w:rPr>
          <w:rFonts w:hint="eastAsia" w:ascii="仿宋" w:hAnsi="仿宋" w:eastAsia="仿宋" w:cs="仿宋"/>
          <w:sz w:val="28"/>
          <w:szCs w:val="32"/>
          <w:highlight w:val="none"/>
          <w:lang w:val="en-US" w:eastAsia="zh-CN"/>
        </w:rPr>
        <w:t>按图1所示位置安装11台防爆球型摄像头；</w:t>
      </w:r>
    </w:p>
    <w:p>
      <w:pPr>
        <w:numPr>
          <w:ilvl w:val="0"/>
          <w:numId w:val="12"/>
        </w:numPr>
        <w:spacing w:line="360" w:lineRule="auto"/>
        <w:ind w:left="420" w:leftChars="0" w:firstLine="470" w:firstLineChars="168"/>
        <w:rPr>
          <w:rFonts w:hint="eastAsia" w:ascii="仿宋" w:hAnsi="仿宋" w:eastAsia="仿宋" w:cs="仿宋"/>
          <w:sz w:val="28"/>
          <w:szCs w:val="32"/>
          <w:highlight w:val="none"/>
          <w:lang w:val="en-US" w:eastAsia="zh-CN"/>
        </w:rPr>
      </w:pPr>
      <w:r>
        <w:rPr>
          <w:rFonts w:hint="eastAsia" w:ascii="仿宋" w:hAnsi="仿宋" w:eastAsia="仿宋" w:cs="仿宋"/>
          <w:sz w:val="28"/>
          <w:szCs w:val="32"/>
          <w:highlight w:val="none"/>
          <w:lang w:val="en-US" w:eastAsia="zh-CN"/>
        </w:rPr>
        <w:t>原有监控箱加一台16口POE交换机；</w:t>
      </w:r>
    </w:p>
    <w:p>
      <w:pPr>
        <w:numPr>
          <w:ilvl w:val="0"/>
          <w:numId w:val="12"/>
        </w:numPr>
        <w:spacing w:line="360" w:lineRule="auto"/>
        <w:ind w:left="420" w:leftChars="0" w:firstLine="470" w:firstLineChars="168"/>
        <w:rPr>
          <w:rFonts w:hint="eastAsia" w:ascii="仿宋" w:hAnsi="仿宋" w:eastAsia="仿宋" w:cs="仿宋"/>
          <w:sz w:val="28"/>
          <w:szCs w:val="32"/>
          <w:highlight w:val="none"/>
          <w:lang w:val="en-US" w:eastAsia="zh-CN"/>
        </w:rPr>
      </w:pPr>
      <w:r>
        <w:rPr>
          <w:rFonts w:hint="eastAsia" w:ascii="仿宋" w:hAnsi="仿宋" w:eastAsia="仿宋" w:cs="仿宋"/>
          <w:sz w:val="28"/>
          <w:szCs w:val="32"/>
          <w:highlight w:val="none"/>
          <w:lang w:val="en-US" w:eastAsia="zh-CN"/>
        </w:rPr>
        <w:t>从11个摄像头内敷设六类网线套DN25镀锌钢管至监控电箱，线及管总长300m；</w:t>
      </w:r>
    </w:p>
    <w:p>
      <w:pPr>
        <w:numPr>
          <w:ilvl w:val="0"/>
          <w:numId w:val="12"/>
        </w:numPr>
        <w:spacing w:line="360" w:lineRule="auto"/>
        <w:ind w:left="420" w:leftChars="0" w:firstLine="470" w:firstLineChars="168"/>
        <w:rPr>
          <w:rFonts w:hint="eastAsia" w:ascii="仿宋" w:hAnsi="仿宋" w:eastAsia="仿宋" w:cs="仿宋"/>
          <w:sz w:val="28"/>
          <w:szCs w:val="32"/>
          <w:highlight w:val="none"/>
          <w:lang w:val="en-US" w:eastAsia="zh-CN"/>
        </w:rPr>
      </w:pPr>
      <w:r>
        <w:rPr>
          <w:rFonts w:hint="eastAsia" w:ascii="仿宋" w:hAnsi="仿宋" w:eastAsia="仿宋" w:cs="仿宋"/>
          <w:sz w:val="28"/>
          <w:szCs w:val="32"/>
          <w:highlight w:val="none"/>
          <w:lang w:val="en-US" w:eastAsia="zh-CN"/>
        </w:rPr>
        <w:t>从监控电箱敷设单模4芯光纤沿干化车间桥架至一楼监控柜处，光纤总长80m；</w:t>
      </w:r>
    </w:p>
    <w:p>
      <w:pPr>
        <w:numPr>
          <w:ilvl w:val="0"/>
          <w:numId w:val="12"/>
        </w:numPr>
        <w:spacing w:line="360" w:lineRule="auto"/>
        <w:ind w:left="420" w:leftChars="0" w:firstLine="470" w:firstLineChars="168"/>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于中控室机房内加装2台超脑NVR主机，主机配置见表1，NVR主机绑定厂内230个摄像头，识别速度为：230个摄像头使用两套算法总耗时30秒；</w:t>
      </w:r>
    </w:p>
    <w:p>
      <w:pPr>
        <w:numPr>
          <w:ilvl w:val="0"/>
          <w:numId w:val="12"/>
        </w:numPr>
        <w:spacing w:line="360" w:lineRule="auto"/>
        <w:ind w:left="420" w:leftChars="0" w:firstLine="470" w:firstLineChars="168"/>
        <w:rPr>
          <w:rFonts w:hint="eastAsia" w:ascii="仿宋" w:hAnsi="仿宋" w:eastAsia="仿宋" w:cs="仿宋"/>
          <w:sz w:val="28"/>
          <w:szCs w:val="32"/>
          <w:lang w:val="en-US" w:eastAsia="zh-CN"/>
        </w:rPr>
      </w:pPr>
      <w:r>
        <w:rPr>
          <w:rFonts w:hint="eastAsia" w:ascii="仿宋" w:hAnsi="仿宋" w:eastAsia="仿宋" w:cs="仿宋"/>
          <w:sz w:val="28"/>
          <w:szCs w:val="32"/>
          <w:lang w:val="en-US" w:eastAsia="zh-CN"/>
        </w:rPr>
        <w:t>超脑主机符合GB28181相关要求，可接入256路摄像头，支持256路视频信号同时识别：1、安全帽规范佩戴，实现“谁没带安全帽”应用；2、人员倒地异常动作识别，识别方式采用轮巡画面识别，每个画面16路，本项目先用于干化车间板框机周边的监控画面识别，后续扩展至厂区内其他需要识别的监控画面，扩展不需要对其他监控摄像头进行更改，兼容目前大坦沙分公司所使用的“综合安防平台”，支持对接集成。</w:t>
      </w:r>
    </w:p>
    <w:p>
      <w:pPr>
        <w:numPr>
          <w:ilvl w:val="0"/>
          <w:numId w:val="0"/>
        </w:numPr>
        <w:spacing w:line="360" w:lineRule="auto"/>
        <w:jc w:val="center"/>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3343275" cy="3923665"/>
            <wp:effectExtent l="0" t="0" r="9525" b="635"/>
            <wp:docPr id="17" name="图片 2" descr="摄像头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摄像头位置"/>
                    <pic:cNvPicPr>
                      <a:picLocks noChangeAspect="1"/>
                    </pic:cNvPicPr>
                  </pic:nvPicPr>
                  <pic:blipFill>
                    <a:blip r:embed="rId9"/>
                    <a:stretch>
                      <a:fillRect/>
                    </a:stretch>
                  </pic:blipFill>
                  <pic:spPr>
                    <a:xfrm>
                      <a:off x="0" y="0"/>
                      <a:ext cx="3343275" cy="3923665"/>
                    </a:xfrm>
                    <a:prstGeom prst="rect">
                      <a:avLst/>
                    </a:prstGeom>
                    <a:noFill/>
                    <a:ln>
                      <a:noFill/>
                    </a:ln>
                  </pic:spPr>
                </pic:pic>
              </a:graphicData>
            </a:graphic>
          </wp:inline>
        </w:drawing>
      </w:r>
    </w:p>
    <w:p>
      <w:pPr>
        <w:pStyle w:val="6"/>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图1 干化车间板框机隔离罩安装摄像头位置图（红色为摄像头、绿色为网线、蓝色为监控箱）</w:t>
      </w:r>
    </w:p>
    <w:tbl>
      <w:tblPr>
        <w:tblStyle w:val="24"/>
        <w:tblW w:w="96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【星光+】1/1.8＂progressive scan CMOS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【400万1/1.8"CMOS 23倍防爆球机】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最大分辨率: 2560×1440@60fps  1920×1080@60fps，分辨力不小于1500TVL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最低照度: 支持最低照度可达彩色0.0005 lx，黑白0.0001 lx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具有三种滤光片，在白天、夜晚及有雾情况下可自动切换不同的滤光片进行成像。滤光片透过率不小于95%。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焦距: 5.9~135.7 mm，23倍光学变倍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水平范围: 水平0~360°连续旋转 支持1024个预置位，支持64条巡航扫描，支持40条以上的模式路径设置，支持预置点视频冻结功能。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垂直范围: 0°～ +90°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水平速度: 水平键控速度：0.1°~300°/s,速度可设，水平预置点速度：540°/s,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垂直速度: 垂直键控速度：0.1°~240°/s,速度可设，垂直预置点速度：400°/s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主码流帧率分辨率: 50 Hz: 25 fps (2560 × 1440); 60 Hz: 30 fps (2560 × 1440)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fldChar w:fldCharType="begin"/>
            </w: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instrText xml:space="preserve"> HYPERLINK "https://xiazai.zol.com.cn/heji/12410/" \o "https://xiazai.zol.com.cn/heji/12410/" </w:instrText>
            </w: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fldChar w:fldCharType="separate"/>
            </w:r>
            <w:r>
              <w:rPr>
                <w:rStyle w:val="28"/>
                <w:rFonts w:hint="eastAsia" w:ascii="仿宋" w:hAnsi="仿宋" w:eastAsia="仿宋" w:cs="仿宋"/>
                <w:i w:val="0"/>
                <w:iCs w:val="0"/>
                <w:color w:val="000000" w:themeColor="text1"/>
                <w:sz w:val="22"/>
                <w:szCs w:val="22"/>
                <w:u w:val="none"/>
                <w14:textFill>
                  <w14:solidFill>
                    <w14:schemeClr w14:val="tx1"/>
                  </w14:solidFill>
                </w14:textFill>
              </w:rPr>
              <w:t>视频压缩标准: H.265/H.264/MJPEG/smart264/smart265</w:t>
            </w: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网络存储: NAS (NFS, SMB/ CIFS), ANR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图像增强: 120 dB超宽动态、强光抑制、电子防抖、背光补偿、区域曝光、区域聚焦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网络接口: 内置RJ45网口（支持10M/100M网络数据）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信噪比≥60dB，网络延时不大于100ms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网络传输能力满足发送2000个数据包，重复测试3次，每次丢包数不大于1个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可对经过设定区域的行人进行抓拍，可对人脸进行跟踪，生成人脸图片。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支持人脸区域自动曝光功能，可根据人脸区域的光照度变化自动调节曝光参数。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当通过IE浏览器手动点击或框选预览画面中的人脸时，设备能通过PTZ转动将人脸置于画面中心，并对人脸进行抓拍。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可通过IE浏览器实时预览设备抓拍的人脸图片，并可在历史记录中存储不小于100张人脸抓拍图片。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可识别不低于170种车辆品牌，车辆品牌识别白天准确率大于98%，晚上准确率大于97%。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可识别车辆子品牌，车辆子品牌识别白天准确率大于96%，晚上准确率大于93%。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可识别10种车辆颜色，车辆车身颜色识别准确率大于97%。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可识别10种车型，包括轿车、小型轿车、微型轿车、客车、中型客车、面包车、大货车、小货车、SUV-MPV、皮卡。车型识别白天准确率大于98%，晚上准确率大于97%。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音频: 1路音频输入，1路音频输出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报警: 支持7路报警输入接口，2路报警输出接口，支持1路音频输入和输出接口。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支持RS-485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光纤接口: 采用FC接口、波长TX1310/RX1550 nm、单纤单模、20 km传输距离光纤模块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电源: 具备较好的环境适应性，电压在AC100~240V供电条件下，设备可正常工作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防护: 室外球机应具备较好防护性能，支持IP68，TVS6000V防浪涌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防爆标志：ExdⅡCT6Gb，ExtDA21IP68T80℃（以防爆合格证为准）产品需同时提供防爆合格.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具备防暴力破坏能力：能经受30J锐器工具冲击打击外壳3次，不出现穿透洞口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工作温湿度: -40℃~60℃, 湿度小于95%RH(无凝结)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尺寸: Φ255 mm × 405 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重量: 13.2 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jc w:val="center"/>
        </w:trPr>
        <w:tc>
          <w:tcPr>
            <w:tcW w:w="9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材质: SUS304</w:t>
            </w:r>
          </w:p>
        </w:tc>
      </w:tr>
    </w:tbl>
    <w:p>
      <w:pPr>
        <w:pStyle w:val="6"/>
        <w:jc w:val="center"/>
        <w:rPr>
          <w:rFonts w:hint="eastAsia" w:ascii="仿宋" w:hAnsi="仿宋" w:eastAsia="仿宋" w:cs="仿宋"/>
          <w:sz w:val="28"/>
          <w:szCs w:val="28"/>
          <w:lang w:val="en-US" w:eastAsia="zh-CN"/>
        </w:rPr>
      </w:pPr>
      <w:r>
        <w:rPr>
          <w:rFonts w:hint="eastAsia" w:ascii="仿宋" w:hAnsi="仿宋" w:eastAsia="仿宋" w:cs="仿宋"/>
          <w:i w:val="0"/>
          <w:iCs w:val="0"/>
          <w:color w:val="000000"/>
          <w:kern w:val="0"/>
          <w:sz w:val="28"/>
          <w:szCs w:val="28"/>
          <w:u w:val="none"/>
          <w:lang w:val="en-US" w:eastAsia="zh-CN" w:bidi="ar"/>
        </w:rPr>
        <w:t>表1 防爆球型摄像头相关参数</w:t>
      </w:r>
    </w:p>
    <w:tbl>
      <w:tblPr>
        <w:tblStyle w:val="24"/>
        <w:tblW w:w="1000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7"/>
        <w:gridCol w:w="1919"/>
        <w:gridCol w:w="76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系统参数</w:t>
            </w:r>
          </w:p>
        </w:tc>
        <w:tc>
          <w:tcPr>
            <w:tcW w:w="19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视频接入路数</w:t>
            </w: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19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网络输入带宽</w:t>
            </w: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768Mbps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19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网络输出带宽</w:t>
            </w: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512Mbps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19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录像分辨率</w:t>
            </w: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12MP/8MP/7MP/6MP/5MP/4MP/3MP/1080p/UXGA/720p/VGA/4CIF/DCIF/2CIF/CIF/QCIF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视频参数</w:t>
            </w:r>
          </w:p>
        </w:tc>
        <w:tc>
          <w:tcPr>
            <w:tcW w:w="19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视频输出</w:t>
            </w: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2路HDMI，1路VGA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19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视频解码格式</w:t>
            </w: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H.265,H.264,SVAC,MPEG4,MJPEG,Smart264和Smart265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19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解码能力</w:t>
            </w: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5路800W或10路400W或20路1080P或40路720P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19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同步回放</w:t>
            </w: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最大16路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音频参数</w:t>
            </w:r>
          </w:p>
        </w:tc>
        <w:tc>
          <w:tcPr>
            <w:tcW w:w="19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音频输出</w:t>
            </w: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1路，RCA接口（线性电平，阻抗：1KΩ）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19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语音对讲输入</w:t>
            </w: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1个，RCA接口（电平：2.0Vp-p，阻抗：1KΩ）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智能分析</w:t>
            </w:r>
          </w:p>
        </w:tc>
        <w:tc>
          <w:tcPr>
            <w:tcW w:w="19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目标名单库</w:t>
            </w: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支持64个目标库，总库最大支持50万张目标图片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191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单引擎分析性能</w:t>
            </w: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集成人、车、行为、事件、AIOP 5大类多种算法于一体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4"/>
                <w:szCs w:val="24"/>
                <w:u w:val="none"/>
              </w:rPr>
            </w:pP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一、人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1、目标识别（目标抓拍、目标比对、陌生人报警、人员频次统计等）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2、人数统计（64人以内：倾斜客流统计、区域人数统计）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3、安全帽+反光衣（安全帽颜色支持红黄白蓝橙，反光衣颜色支持绿橙；支持目标编排，实现“谁没带安全帽”应用）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4"/>
                <w:szCs w:val="24"/>
                <w:u w:val="none"/>
              </w:rPr>
            </w:pP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二、车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1、车辆识别（车牌识别、车位状态、车牌颜色、车牌类型、主品牌、车身颜色、车辆类型）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2、电瓶车+自行车（电梯，楼道，园区）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4"/>
                <w:szCs w:val="24"/>
                <w:u w:val="none"/>
              </w:rPr>
            </w:pP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三、行为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1、通用异常行为识别（人员倒地、人员聚集、快速移动、剧烈运动）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2、岗位规范识别（在离岗、睡岗、玩手机、人数异常、人员滞留）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3、周界防范（区域入侵、越界侦测、进入区域、离开区域）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4、抽烟+打电话（AI双检测，未内置，产品端提供模型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4"/>
                <w:szCs w:val="24"/>
                <w:u w:val="none"/>
              </w:rPr>
            </w:pP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四、事件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1、烟雾火点（近距离：室内、园区；远距离：森林防火、秸秆燃烧）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2、消防通道占用（室内）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3、街道事件，具体包含如下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垃圾管理：垃圾满溢、打包垃圾、晾晒垃圾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摊位管理：占道经营、店外经营、游摊小贩</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街面管理：乱堆物料、经营撑伞、违规广告、沿街晾晒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车辆管理：机动车/非机动车违停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4"/>
                <w:szCs w:val="24"/>
                <w:u w:val="none"/>
              </w:rPr>
            </w:pP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五、AIOP</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支持检测、双检测、分类、检测+分类、语义分割、实例分割、图像比对、算法编排等AI模型加载运行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4"/>
                <w:szCs w:val="24"/>
                <w:u w:val="none"/>
              </w:rPr>
            </w:pP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算法能力说明：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 * 物理引擎（GPU）=4 * 虚拟引擎=4 *（400W实时视频分析能力/16路轮巡视频分析）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街道事件仅支持16路定时抓图分析，不支持虚拟引擎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其他算法均支持虚拟引擎，可实现单个GPU任意运行4种算法，每种算法运行1路分析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功能要求</w:t>
            </w:r>
          </w:p>
        </w:tc>
        <w:tc>
          <w:tcPr>
            <w:tcW w:w="19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功能要求</w:t>
            </w: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可接入、存储、转发256路分辨率为 1920×1080的视频图像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支持预览的单窗口轮巡，设备支持在多画面的固定窗口上进行轮巡预览，其他预览窗口不轮巡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支持预览时对实时视频流进行手动打标签，通过标签检索可以检索到相关的录像片段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可同时正放或倒放32 路H.265/H.264 编码、2560×1440 格式的视频图像，或者10路H.265/H.264编码、4096×2160 格式的视频图像。最多支持32路同步回放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在告警断网续传功能启用后，支持告警事件在NVR断网恢复后继续向中心平台发送，断网时间段内的告警事件不丢失</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支持设备密码口令复杂度显示且密码需满足复杂度要求才可以设置成功，密码口令中不能包含用户名、123、admin（不区分大小写）、连续四位及以上递增或递减数字（如1234、12345、4321 等）、连续四位及以上相同字符简单口令（如1111、8888、aaaa等）。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AI规则类型支持区域目标异常状态检测、跨线目标检测、区域交叠比异常检测、组合规则、全分析规则、跨线目标统计、区域目标数统计、区域交叠比统计。AI规则参数支持持续时间、报警间隔，最大报警数量、尺寸过滤、静止过滤、运动过滤、灵敏度、置信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配合接入的普通 IPC，支持对设定的检测区域内，人员是否佩戴安全帽进行自动侦测，同时检测出佩戴安全帽的颜色（红色、蓝色、黄色、橙色、白色）并根据设定条件触发报警联动。可设置最多16个多边形检测区域，通过客户端可以接受报警消息，查看报警图片，并回放关联录像。支持安全帽关联人脸报警，关联人脸库后，可对未佩戴或佩戴安全帽的人员进行人脸比对</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采用单人单次通过检测区域，100人次正确检出是否佩戴安全帽次数不少于99次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接入普通IPC，支持工服注册，可上传需要检测的工服图片到工服库，包含红色工服、白色工服、蓝色工服、后厨工服、工地工服等，最大支持20000个工服，对目标工服进行识别，并根据设定条件触发报警联动；可设置最多16个多边形检测区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接入普通IPC，支持在预览画面中展示智能信息，支持实时展示目标对象，目标属性，目标置信度，目标ID，目标位置框信息，并且智能信息能够紧跟目标移动；预览画面中展示智能信息颜色可配置（常规时绿色，报警时变成红色），字体大小可配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接入普通IPC，尺寸与面积检测，支持通过视频测量目标的实际尺寸和面积，目标误差±2%</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支持导入视觉大模型进行分析，支持视频分析、图片分析、图片二次分析过滤</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导入图片，并对图片中的数字和字母进行识别并输出结果：支持集装箱箱号识别；支持识别身份证内容、输出身份证照片，识别的内容包括姓名、性别、民族、出生日期、住址、身份证号码、签发机关和有效期。支持识别图片上叠加的OSD，输出OSD信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支持识别国内铁路车厢号；支持识别快递面单各字段内容，识别的内容包括：三段码识别、收/寄件人姓名、手机号、地址；支持识别国内船舶船身喷涂的船名 识别停车场中的车位编号</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引擎状态界面可显示引擎工作温度， 可查看引擎配置及利用率</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具有 20个GPU，支持 5种引擎功能： 人脸识别、周界防范、视频结构化、行为分析和AI算法引擎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对AI算法，1个GPU可分化成4个虚拟引擎，每个虚拟引擎支持一种AI算法；1个GPU支持4路400W摄像机的实时视频分析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离线模型和在线模型两种模型导入方式，支持第三方算法插件的导入和管理；可显示模型名称、有效期、模型标签及模型版本。支持对不同的模型进行切换，支持手动删除已导入模型库中的模型；支持展示已经添加的模型包数和总模型包数；支持自定义编辑导入的模型名称（模型名称默认为原文件名）；支持设置机动车、人体、行为分析视频算法混合运行；多算法支持按通道配置，支持模型下的算法切换</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可集成第三方算法，支持算法加载，多算法仓可按需加载不同的第三方算法，可与原有算法并行运行</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支持PyTorch模型、ONNX模型、TensorFlow模型、Caffe模型、PaddlePaddle模型，能力可涵盖检测、分类、分割、关键点等</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支持插件化编排程序设置，可构建检测、分类、分割、关键点等模型串联应用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支持音频设备与视频设备独立管理，支持网络拾音器的接入、校时；最大支持256路音频设备管理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支持音视频动态调整组合分配功能，可将任一路音频与任一路视频组合成复合流编码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硬盘管理</w:t>
            </w:r>
          </w:p>
        </w:tc>
        <w:tc>
          <w:tcPr>
            <w:tcW w:w="19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盘位</w:t>
            </w: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24个SATA接口（前置热插拔）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19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单盘最大容量</w:t>
            </w: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最大支持10TB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19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阵列类型</w:t>
            </w: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RAID0、RAID1、RAID5、RAID6、RAID10、RAID50、RAID60、JBOD、支持全局热备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19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接口类型</w:t>
            </w: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1个eSATA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外部接口</w:t>
            </w:r>
          </w:p>
        </w:tc>
        <w:tc>
          <w:tcPr>
            <w:tcW w:w="19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网络接口</w:t>
            </w: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4个RJ45 10M/100M/1000M自适应以太网口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191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串行接口</w:t>
            </w: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RS-232：1个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4"/>
                <w:szCs w:val="24"/>
                <w:u w:val="none"/>
              </w:rPr>
            </w:pP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RS-485：1个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4"/>
                <w:szCs w:val="24"/>
                <w:u w:val="none"/>
              </w:rPr>
            </w:pP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KB接口：1个键盘485接口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19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USB接口</w:t>
            </w: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1个USB2.0（前置），2个USB3.0（后置）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19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报警输入输出</w:t>
            </w: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16进8出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一般规范</w:t>
            </w:r>
          </w:p>
        </w:tc>
        <w:tc>
          <w:tcPr>
            <w:tcW w:w="19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电源</w:t>
            </w: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AC100V~240V，550W，双电源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19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功耗（不含硬盘）</w:t>
            </w: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19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工作温度</w:t>
            </w: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工作：0℃～50℃，  储藏：-10℃～70℃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19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工作湿度</w:t>
            </w: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工作：10%～90%RH（无结冰、无凝露），储藏：5%～90%RH（无结冰、无凝露）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19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机箱</w:t>
            </w: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4U标准机箱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19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尺寸</w:t>
            </w: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447mm（宽）× 495mm（深）×173mm（高）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仿宋" w:hAnsi="仿宋" w:eastAsia="仿宋" w:cs="仿宋"/>
                <w:b/>
                <w:bCs/>
                <w:i w:val="0"/>
                <w:iCs w:val="0"/>
                <w:color w:val="000000"/>
                <w:sz w:val="24"/>
                <w:szCs w:val="24"/>
                <w:u w:val="none"/>
              </w:rPr>
            </w:pPr>
          </w:p>
        </w:tc>
        <w:tc>
          <w:tcPr>
            <w:tcW w:w="19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重量（不含硬盘）</w:t>
            </w:r>
          </w:p>
        </w:tc>
        <w:tc>
          <w:tcPr>
            <w:tcW w:w="76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≤23kg</w:t>
            </w:r>
          </w:p>
        </w:tc>
      </w:tr>
    </w:tbl>
    <w:p>
      <w:pPr>
        <w:pStyle w:val="6"/>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表2 NVR超脑算法分析主机技术参数</w:t>
      </w:r>
    </w:p>
    <w:p>
      <w:pPr>
        <w:numPr>
          <w:ilvl w:val="0"/>
          <w:numId w:val="11"/>
        </w:numPr>
        <w:spacing w:line="360" w:lineRule="auto"/>
        <w:ind w:left="0" w:leftChars="0" w:firstLine="42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板框机隔离罩加设喷雾系统：</w:t>
      </w:r>
    </w:p>
    <w:p>
      <w:pPr>
        <w:numPr>
          <w:ilvl w:val="0"/>
          <w:numId w:val="0"/>
        </w:numPr>
        <w:spacing w:line="360" w:lineRule="auto"/>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2928620" cy="3434715"/>
            <wp:effectExtent l="0" t="0" r="5080" b="13335"/>
            <wp:docPr id="22" name="图片 1" descr="喷雾管道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喷雾管道布局图"/>
                    <pic:cNvPicPr>
                      <a:picLocks noChangeAspect="1"/>
                    </pic:cNvPicPr>
                  </pic:nvPicPr>
                  <pic:blipFill>
                    <a:blip r:embed="rId11"/>
                    <a:stretch>
                      <a:fillRect/>
                    </a:stretch>
                  </pic:blipFill>
                  <pic:spPr>
                    <a:xfrm>
                      <a:off x="0" y="0"/>
                      <a:ext cx="2928620" cy="3434715"/>
                    </a:xfrm>
                    <a:prstGeom prst="rect">
                      <a:avLst/>
                    </a:prstGeom>
                    <a:noFill/>
                    <a:ln>
                      <a:noFill/>
                    </a:ln>
                  </pic:spPr>
                </pic:pic>
              </a:graphicData>
            </a:graphic>
          </wp:inline>
        </w:drawing>
      </w:r>
    </w:p>
    <w:p>
      <w:pPr>
        <w:pStyle w:val="6"/>
        <w:jc w:val="center"/>
        <w:rPr>
          <w:rFonts w:hint="eastAsia" w:ascii="仿宋" w:hAnsi="仿宋" w:eastAsia="仿宋" w:cs="仿宋"/>
          <w:sz w:val="28"/>
          <w:szCs w:val="28"/>
          <w:lang w:val="en-US" w:eastAsia="zh-CN"/>
        </w:rPr>
      </w:pPr>
      <w:r>
        <w:rPr>
          <w:rFonts w:hint="eastAsia" w:ascii="仿宋" w:hAnsi="仿宋" w:eastAsia="仿宋" w:cs="仿宋"/>
          <w:color w:val="auto"/>
          <w:sz w:val="28"/>
          <w:szCs w:val="28"/>
          <w:lang w:val="en-US" w:eastAsia="zh-CN"/>
        </w:rPr>
        <w:t>图2 喷雾管道布局图</w:t>
      </w:r>
    </w:p>
    <w:p>
      <w:pPr>
        <w:numPr>
          <w:ilvl w:val="0"/>
          <w:numId w:val="7"/>
        </w:numPr>
        <w:spacing w:line="360" w:lineRule="auto"/>
        <w:ind w:left="420" w:leftChars="0" w:firstLine="470" w:firstLineChars="168"/>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根据图2 在干化车间设置3出水通道喷雾主机（主机参数4KW、工作压力5-7bar、220V供电、自带水箱、可实现3路单独控制、带时间控制功能）；</w:t>
      </w:r>
    </w:p>
    <w:p>
      <w:pPr>
        <w:numPr>
          <w:ilvl w:val="0"/>
          <w:numId w:val="7"/>
        </w:numPr>
        <w:spacing w:line="360" w:lineRule="auto"/>
        <w:ind w:left="420" w:leftChars="0" w:firstLine="470" w:firstLineChars="168"/>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按照图2所示布设DN10不锈钢喷雾管道，每条线路安装一个手动阀门，板框机喷淋管设置在通风管下方，每个板框机3个喷头，在每个风扇位置安装2个喷头，空压机房每面墙安装2个喷头，一共65个喷头，每个风扇位置和板框机位置配一个手动阀门，喷雾管全长280m，一共58个手动阀门；</w:t>
      </w:r>
    </w:p>
    <w:p>
      <w:pPr>
        <w:numPr>
          <w:ilvl w:val="0"/>
          <w:numId w:val="7"/>
        </w:numPr>
        <w:spacing w:line="360" w:lineRule="auto"/>
        <w:ind w:left="420" w:leftChars="0" w:firstLine="470" w:firstLineChars="168"/>
        <w:rPr>
          <w:rFonts w:hint="eastAsia" w:ascii="仿宋_GB2312" w:eastAsia="仿宋_GB2312"/>
          <w:b/>
          <w:bCs/>
          <w:color w:val="auto"/>
          <w:sz w:val="28"/>
          <w:szCs w:val="28"/>
          <w:highlight w:val="none"/>
          <w:u w:val="none"/>
          <w:lang w:val="en-US" w:eastAsia="zh-CN"/>
        </w:rPr>
      </w:pPr>
      <w:r>
        <w:rPr>
          <w:rFonts w:hint="eastAsia" w:ascii="仿宋" w:hAnsi="仿宋" w:eastAsia="仿宋" w:cs="仿宋"/>
          <w:sz w:val="28"/>
          <w:szCs w:val="28"/>
          <w:lang w:val="en-US" w:eastAsia="zh-CN"/>
        </w:rPr>
        <w:t>从自来水接入口处敷设DN20PVC管至喷雾主机进水口，配置一个手动阀门，管长8m；</w:t>
      </w:r>
    </w:p>
    <w:p>
      <w:pPr>
        <w:numPr>
          <w:ilvl w:val="0"/>
          <w:numId w:val="7"/>
        </w:numPr>
        <w:spacing w:line="360" w:lineRule="auto"/>
        <w:ind w:left="0" w:leftChars="0" w:firstLine="887" w:firstLineChars="317"/>
        <w:rPr>
          <w:rFonts w:hint="eastAsia" w:ascii="仿宋_GB2312" w:eastAsia="仿宋_GB2312"/>
          <w:b/>
          <w:bCs/>
          <w:color w:val="auto"/>
          <w:sz w:val="28"/>
          <w:szCs w:val="28"/>
          <w:highlight w:val="none"/>
          <w:u w:val="none"/>
          <w:lang w:val="en-US" w:eastAsia="zh-CN"/>
        </w:rPr>
      </w:pPr>
      <w:r>
        <w:rPr>
          <w:rFonts w:hint="eastAsia" w:ascii="仿宋" w:hAnsi="仿宋" w:eastAsia="仿宋" w:cs="仿宋"/>
          <w:sz w:val="28"/>
          <w:szCs w:val="28"/>
          <w:lang w:val="en-US" w:eastAsia="zh-CN"/>
        </w:rPr>
        <w:t>在一楼喷雾主机电箱位置加一个6A1P空气开关，敷设YJV 3*1.5电缆套DN25不锈钢线管至二楼喷雾主机处，线及线管全厂18m；</w:t>
      </w:r>
    </w:p>
    <w:p>
      <w:pPr>
        <w:rPr>
          <w:rFonts w:hint="eastAsia" w:ascii="宋体" w:hAnsi="宋体" w:cs="宋体"/>
          <w:b/>
          <w:sz w:val="30"/>
          <w:lang w:val="en-US" w:eastAsia="zh-CN"/>
        </w:rPr>
      </w:pPr>
      <w:r>
        <w:rPr>
          <w:rFonts w:hint="eastAsia" w:ascii="宋体" w:hAnsi="宋体" w:cs="宋体"/>
          <w:b/>
          <w:sz w:val="30"/>
          <w:lang w:val="en-US" w:eastAsia="zh-CN"/>
        </w:rPr>
        <w:br w:type="page"/>
      </w:r>
    </w:p>
    <w:p/>
    <w:p>
      <w:pPr>
        <w:pStyle w:val="29"/>
        <w:rPr>
          <w:rFonts w:hint="eastAsia"/>
          <w:lang w:val="en-US" w:eastAsia="zh-CN"/>
        </w:rPr>
      </w:pPr>
    </w:p>
    <w:p>
      <w:pPr>
        <w:spacing w:line="500" w:lineRule="exact"/>
        <w:ind w:firstLine="602" w:firstLineChars="200"/>
        <w:rPr>
          <w:rFonts w:hint="eastAsia" w:ascii="宋体" w:hAnsi="宋体" w:cs="宋体"/>
          <w:b/>
          <w:sz w:val="30"/>
          <w:lang w:val="en-US" w:eastAsia="zh-CN"/>
        </w:rPr>
      </w:pPr>
    </w:p>
    <w:p>
      <w:pPr>
        <w:spacing w:line="500" w:lineRule="exact"/>
        <w:ind w:firstLine="602" w:firstLineChars="200"/>
        <w:rPr>
          <w:rFonts w:hint="eastAsia" w:ascii="宋体" w:hAnsi="宋体" w:cs="宋体"/>
          <w:b/>
          <w:sz w:val="30"/>
          <w:lang w:val="en-US" w:eastAsia="zh-CN"/>
        </w:rPr>
      </w:pPr>
    </w:p>
    <w:p>
      <w:pPr>
        <w:spacing w:line="500" w:lineRule="exact"/>
        <w:ind w:firstLine="602" w:firstLineChars="200"/>
        <w:rPr>
          <w:rFonts w:hint="eastAsia" w:ascii="宋体" w:hAnsi="宋体" w:cs="宋体"/>
          <w:b/>
          <w:sz w:val="30"/>
          <w:lang w:val="en-US" w:eastAsia="zh-CN"/>
        </w:rPr>
      </w:pPr>
    </w:p>
    <w:p>
      <w:pPr>
        <w:pStyle w:val="3"/>
        <w:rPr>
          <w:color w:val="auto"/>
          <w:highlight w:val="none"/>
        </w:rPr>
      </w:pP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2528570</wp:posOffset>
                </wp:positionH>
                <wp:positionV relativeFrom="paragraph">
                  <wp:posOffset>758825</wp:posOffset>
                </wp:positionV>
                <wp:extent cx="958850" cy="0"/>
                <wp:effectExtent l="0" t="0" r="0" b="0"/>
                <wp:wrapNone/>
                <wp:docPr id="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99.1pt;margin-top:59.75pt;height:0pt;width:75.5pt;z-index:251664384;mso-width-relative:page;mso-height-relative:page;" filled="f" stroked="t" coordsize="21600,21600" o:gfxdata="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Q69ga1wAAAAsBAAAPAAAAAAAAAAEAIAAAACIAAABkcnMvZG93bnJldi54bWxQSwECFAAU&#10;AAAACACHTuJASgL+zPIBAADj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2535555</wp:posOffset>
                </wp:positionH>
                <wp:positionV relativeFrom="paragraph">
                  <wp:posOffset>192405</wp:posOffset>
                </wp:positionV>
                <wp:extent cx="958850" cy="0"/>
                <wp:effectExtent l="0" t="0" r="0" b="0"/>
                <wp:wrapNone/>
                <wp:docPr id="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99.65pt;margin-top:15.15pt;height:0pt;width:75.5pt;z-index:251663360;mso-width-relative:page;mso-height-relative:page;" filled="f" stroked="t" coordsize="21600,21600" o:gfxdata="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gh019YAAAAJAQAADwAAAAAAAAABACAAAAAiAAAAZHJzL2Rvd25yZXYueG1sUEsBAhQAFAAA&#10;AAgAh07iQELBwJnxAQAA4wMAAA4AAAAAAAAAAQAgAAAAJQEAAGRycy9lMm9Eb2MueG1sUEsFBgAA&#10;AAAGAAYAWQEAAIgFAAAAAA==&#10;">
                <v:fill on="f" focussize="0,0"/>
                <v:stroke color="#000000" joinstyle="round"/>
                <v:imagedata o:title=""/>
                <o:lock v:ext="edit" aspectratio="f"/>
              </v:shape>
            </w:pict>
          </mc:Fallback>
        </mc:AlternateContent>
      </w:r>
      <w:r>
        <w:rPr>
          <w:rFonts w:hint="eastAsia" w:ascii="宋体" w:hAnsi="宋体" w:cs="宋体"/>
          <w:b/>
          <w:sz w:val="30"/>
          <w:lang w:val="en-US" w:eastAsia="zh-CN"/>
        </w:rPr>
        <w:t xml:space="preserve">    </w:t>
      </w:r>
      <w:bookmarkStart w:id="85" w:name="_Toc1563"/>
      <w:bookmarkStart w:id="86" w:name="_Toc16552"/>
      <w:bookmarkStart w:id="87" w:name="_Toc8147"/>
      <w:bookmarkStart w:id="88" w:name="_Toc6230"/>
      <w:bookmarkStart w:id="89" w:name="_Toc30824"/>
      <w:bookmarkStart w:id="90" w:name="_Toc23515"/>
      <w:bookmarkStart w:id="91" w:name="_Toc5129"/>
      <w:bookmarkStart w:id="92" w:name="_Toc28358"/>
      <w:bookmarkStart w:id="93" w:name="_Toc21847"/>
      <w:bookmarkStart w:id="94" w:name="_Toc3723"/>
      <w:bookmarkStart w:id="95" w:name="_Toc12169"/>
      <w:r>
        <w:rPr>
          <w:rFonts w:hint="eastAsia"/>
          <w:color w:val="auto"/>
          <w:highlight w:val="none"/>
        </w:rPr>
        <w:t>第七章</w:t>
      </w:r>
      <w:bookmarkEnd w:id="85"/>
      <w:bookmarkEnd w:id="86"/>
      <w:bookmarkEnd w:id="87"/>
      <w:bookmarkEnd w:id="88"/>
      <w:bookmarkEnd w:id="89"/>
      <w:bookmarkEnd w:id="90"/>
      <w:bookmarkEnd w:id="91"/>
      <w:bookmarkEnd w:id="92"/>
      <w:bookmarkEnd w:id="93"/>
      <w:bookmarkEnd w:id="94"/>
      <w:bookmarkEnd w:id="95"/>
    </w:p>
    <w:p>
      <w:pPr>
        <w:pStyle w:val="38"/>
        <w:rPr>
          <w:color w:val="auto"/>
          <w:highlight w:val="none"/>
        </w:rPr>
      </w:pPr>
    </w:p>
    <w:p>
      <w:pPr>
        <w:pStyle w:val="3"/>
        <w:rPr>
          <w:color w:val="auto"/>
          <w:highlight w:val="none"/>
        </w:rPr>
      </w:pPr>
      <w:bookmarkStart w:id="96" w:name="_Toc31564"/>
      <w:bookmarkStart w:id="97" w:name="_Toc24815"/>
      <w:bookmarkStart w:id="98" w:name="_Toc88209951"/>
      <w:bookmarkStart w:id="99" w:name="_Toc10840"/>
      <w:bookmarkStart w:id="100" w:name="_Toc87616388"/>
      <w:bookmarkStart w:id="101" w:name="_Toc22764"/>
      <w:bookmarkStart w:id="102" w:name="_Toc30157"/>
      <w:bookmarkStart w:id="103" w:name="_Toc24490"/>
      <w:bookmarkStart w:id="104" w:name="_Toc21675"/>
      <w:bookmarkStart w:id="105" w:name="_Toc17119"/>
      <w:bookmarkStart w:id="106" w:name="_Toc5342"/>
      <w:bookmarkStart w:id="107" w:name="_Toc12610"/>
      <w:bookmarkStart w:id="108" w:name="_Toc12769"/>
      <w:r>
        <w:rPr>
          <w:rFonts w:hint="eastAsia"/>
          <w:color w:val="auto"/>
          <w:highlight w:val="none"/>
        </w:rPr>
        <w:t>响应文件</w:t>
      </w:r>
      <w:r>
        <w:rPr>
          <w:rFonts w:hint="eastAsia"/>
          <w:color w:val="auto"/>
          <w:highlight w:val="none"/>
          <w:lang w:val="en-US" w:eastAsia="zh-CN"/>
        </w:rPr>
        <w:t>格式要求</w:t>
      </w:r>
      <w:bookmarkEnd w:id="96"/>
      <w:bookmarkEnd w:id="97"/>
      <w:bookmarkEnd w:id="98"/>
      <w:bookmarkEnd w:id="99"/>
      <w:bookmarkEnd w:id="100"/>
      <w:bookmarkEnd w:id="101"/>
      <w:bookmarkEnd w:id="102"/>
      <w:bookmarkEnd w:id="103"/>
      <w:bookmarkEnd w:id="104"/>
      <w:bookmarkEnd w:id="105"/>
      <w:bookmarkEnd w:id="106"/>
      <w:bookmarkEnd w:id="107"/>
      <w:bookmarkEnd w:id="108"/>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jc w:val="center"/>
        <w:rPr>
          <w:rFonts w:hint="eastAsia" w:ascii="方正小标宋简体" w:eastAsia="方正小标宋简体"/>
          <w:color w:val="auto"/>
          <w:sz w:val="48"/>
          <w:szCs w:val="48"/>
          <w:highlight w:val="none"/>
        </w:rPr>
      </w:pPr>
    </w:p>
    <w:p>
      <w:pPr>
        <w:jc w:val="center"/>
        <w:rPr>
          <w:rFonts w:hint="eastAsia" w:ascii="方正小标宋简体" w:eastAsia="方正小标宋简体"/>
          <w:color w:val="auto"/>
          <w:sz w:val="48"/>
          <w:szCs w:val="48"/>
          <w:highlight w:val="none"/>
        </w:rPr>
      </w:pPr>
    </w:p>
    <w:p>
      <w:pPr>
        <w:jc w:val="center"/>
        <w:rPr>
          <w:rFonts w:hint="eastAsia" w:ascii="方正小标宋简体" w:eastAsia="方正小标宋简体"/>
          <w:color w:val="auto"/>
          <w:sz w:val="48"/>
          <w:szCs w:val="48"/>
          <w:highlight w:val="none"/>
        </w:rPr>
      </w:pPr>
    </w:p>
    <w:p>
      <w:pPr>
        <w:jc w:val="center"/>
        <w:rPr>
          <w:rFonts w:hint="eastAsia" w:ascii="方正小标宋简体" w:eastAsia="方正小标宋简体"/>
          <w:color w:val="auto"/>
          <w:sz w:val="48"/>
          <w:szCs w:val="48"/>
          <w:highlight w:val="none"/>
        </w:rPr>
      </w:pPr>
    </w:p>
    <w:p>
      <w:pPr>
        <w:jc w:val="center"/>
        <w:rPr>
          <w:rFonts w:hint="eastAsia" w:ascii="方正小标宋简体" w:eastAsia="方正小标宋简体"/>
          <w:color w:val="auto"/>
          <w:sz w:val="48"/>
          <w:szCs w:val="48"/>
          <w:highlight w:val="none"/>
        </w:rPr>
      </w:pPr>
    </w:p>
    <w:p>
      <w:pPr>
        <w:jc w:val="center"/>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30"/>
          <w:szCs w:val="30"/>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09" w:name="_Toc88209952"/>
      <w:bookmarkStart w:id="110" w:name="_Toc87616389"/>
      <w:r>
        <w:rPr>
          <w:rFonts w:hint="eastAsia" w:ascii="仿宋_GB2312" w:eastAsia="仿宋_GB2312"/>
          <w:color w:val="auto"/>
          <w:sz w:val="28"/>
          <w:szCs w:val="28"/>
          <w:highlight w:val="none"/>
        </w:rPr>
        <w:t>1.响应函</w:t>
      </w:r>
      <w:bookmarkEnd w:id="109"/>
      <w:bookmarkEnd w:id="110"/>
    </w:p>
    <w:p>
      <w:pPr>
        <w:spacing w:line="600" w:lineRule="exact"/>
        <w:rPr>
          <w:rFonts w:hint="eastAsia" w:ascii="仿宋_GB2312" w:eastAsia="仿宋_GB2312"/>
          <w:color w:val="auto"/>
          <w:sz w:val="28"/>
          <w:szCs w:val="28"/>
          <w:highlight w:val="none"/>
        </w:rPr>
      </w:pPr>
      <w:bookmarkStart w:id="111" w:name="_Toc87616390"/>
      <w:bookmarkStart w:id="112" w:name="_Toc88209953"/>
      <w:r>
        <w:rPr>
          <w:rFonts w:hint="eastAsia" w:ascii="仿宋_GB2312" w:eastAsia="仿宋_GB2312"/>
          <w:color w:val="auto"/>
          <w:sz w:val="28"/>
          <w:szCs w:val="28"/>
          <w:highlight w:val="none"/>
        </w:rPr>
        <w:t>2.法定代表人证明或授权委托书</w:t>
      </w:r>
      <w:bookmarkEnd w:id="111"/>
      <w:bookmarkEnd w:id="112"/>
      <w:bookmarkStart w:id="113" w:name="_Toc87616393"/>
      <w:bookmarkStart w:id="114" w:name="_Toc88209956"/>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13"/>
      <w:bookmarkEnd w:id="114"/>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color w:val="auto"/>
          <w:highlight w:val="none"/>
        </w:rPr>
      </w:pPr>
    </w:p>
    <w:p>
      <w:pPr>
        <w:pStyle w:val="23"/>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5"/>
        <w:rPr>
          <w:rFonts w:asciiTheme="minorEastAsia" w:hAnsiTheme="minorEastAsia" w:eastAsiaTheme="minorEastAsia"/>
          <w:color w:val="auto"/>
          <w:sz w:val="28"/>
          <w:szCs w:val="28"/>
          <w:highlight w:val="none"/>
        </w:rPr>
      </w:pPr>
      <w:bookmarkStart w:id="115" w:name="_Toc12665"/>
      <w:bookmarkStart w:id="116" w:name="_Toc88209957"/>
      <w:bookmarkStart w:id="117" w:name="_Toc87616394"/>
      <w:bookmarkStart w:id="118" w:name="_Toc6313"/>
      <w:bookmarkStart w:id="119" w:name="_Toc28619645"/>
      <w:r>
        <w:rPr>
          <w:rFonts w:hint="eastAsia" w:asciiTheme="minorEastAsia" w:hAnsiTheme="minorEastAsia" w:eastAsiaTheme="minorEastAsia"/>
          <w:color w:val="auto"/>
          <w:sz w:val="28"/>
          <w:szCs w:val="28"/>
          <w:highlight w:val="none"/>
        </w:rPr>
        <w:t>1.响应函</w:t>
      </w:r>
      <w:bookmarkEnd w:id="115"/>
      <w:bookmarkEnd w:id="116"/>
      <w:bookmarkEnd w:id="117"/>
      <w:bookmarkEnd w:id="118"/>
      <w:bookmarkEnd w:id="119"/>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w:t>
      </w:r>
      <w:r>
        <w:rPr>
          <w:rFonts w:hint="eastAsia" w:ascii="仿宋_GB2312" w:hAnsi="黑体" w:eastAsia="仿宋_GB2312"/>
          <w:color w:val="auto"/>
          <w:sz w:val="28"/>
          <w:szCs w:val="28"/>
          <w:highlight w:val="none"/>
          <w:u w:val="single"/>
        </w:rPr>
        <w:t xml:space="preserve">（项目名称、项目编号、标段/标包号）   </w:t>
      </w:r>
      <w:r>
        <w:rPr>
          <w:rFonts w:hint="eastAsia" w:ascii="仿宋_GB2312" w:hAnsi="黑体" w:eastAsia="仿宋_GB2312"/>
          <w:color w:val="auto"/>
          <w:sz w:val="28"/>
          <w:szCs w:val="28"/>
          <w:highlight w:val="none"/>
        </w:rPr>
        <w:t>采购文件的全部内容，愿意以含税价人民币（大写）</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w:t>
      </w:r>
      <w:r>
        <w:rPr>
          <w:rFonts w:hint="eastAsia" w:ascii="宋体" w:hAnsi="宋体" w:eastAsia="仿宋_GB2312"/>
          <w:color w:val="auto"/>
          <w:sz w:val="28"/>
          <w:szCs w:val="28"/>
          <w:highlight w:val="none"/>
        </w:rPr>
        <w:t>¥</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rPr>
        <w:t>）的报价（其中，不含税价为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；增值税为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）完成/提供本项目</w:t>
      </w:r>
      <w:r>
        <w:rPr>
          <w:rFonts w:hint="eastAsia" w:ascii="仿宋_GB2312" w:eastAsia="仿宋_GB2312" w:hAnsiTheme="minorEastAsia"/>
          <w:color w:val="auto"/>
          <w:sz w:val="28"/>
          <w:szCs w:val="28"/>
          <w:highlight w:val="none"/>
          <w:lang w:eastAsia="zh-CN"/>
        </w:rPr>
        <w:t>☑</w:t>
      </w:r>
      <w:r>
        <w:rPr>
          <w:rFonts w:hint="eastAsia" w:ascii="仿宋_GB2312" w:hAnsi="黑体" w:eastAsia="仿宋_GB2312"/>
          <w:color w:val="auto"/>
          <w:sz w:val="28"/>
          <w:szCs w:val="28"/>
          <w:highlight w:val="none"/>
        </w:rPr>
        <w:t xml:space="preserve">工程 </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货物</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lang w:val="en-US" w:eastAsia="zh-CN"/>
        </w:rPr>
        <w:t>所</w:t>
      </w:r>
      <w:r>
        <w:rPr>
          <w:rFonts w:hint="eastAsia" w:ascii="仿宋_GB2312" w:hAnsi="黑体" w:eastAsia="仿宋_GB2312"/>
          <w:color w:val="auto"/>
          <w:sz w:val="28"/>
          <w:szCs w:val="28"/>
          <w:highlight w:val="none"/>
        </w:rPr>
        <w:t>提供NVR超脑算法分析主机平台兼容集成目前大坦沙分公司目前所使用的海康威视品牌的“综合管理平台系统服务”。</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pStyle w:val="5"/>
        <w:rPr>
          <w:rFonts w:hint="eastAsia" w:asciiTheme="minorEastAsia" w:hAnsiTheme="minorEastAsia" w:eastAsiaTheme="minorEastAsia"/>
          <w:color w:val="auto"/>
          <w:sz w:val="28"/>
          <w:szCs w:val="28"/>
          <w:highlight w:val="none"/>
        </w:rPr>
      </w:pPr>
      <w:bookmarkStart w:id="120" w:name="_Toc29833"/>
      <w:bookmarkStart w:id="121" w:name="_Toc88209958"/>
      <w:bookmarkStart w:id="122" w:name="_Toc87616395"/>
      <w:bookmarkStart w:id="123" w:name="_Toc22527"/>
    </w:p>
    <w:p>
      <w:pPr>
        <w:rPr>
          <w:rFonts w:hint="eastAsia"/>
        </w:rPr>
      </w:pPr>
    </w:p>
    <w:p>
      <w:pPr>
        <w:pStyle w:val="5"/>
        <w:numPr>
          <w:ilvl w:val="0"/>
          <w:numId w:val="3"/>
        </w:numPr>
        <w:ind w:left="562" w:leftChars="0" w:hanging="562" w:hangingChars="200"/>
        <w:rPr>
          <w:rFonts w:hint="eastAsia"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法定代表人证明或授权委托书</w:t>
      </w:r>
      <w:bookmarkEnd w:id="120"/>
      <w:bookmarkEnd w:id="121"/>
      <w:bookmarkEnd w:id="122"/>
      <w:bookmarkEnd w:id="123"/>
    </w:p>
    <w:p>
      <w:pPr>
        <w:pStyle w:val="5"/>
        <w:numPr>
          <w:ilvl w:val="0"/>
          <w:numId w:val="0"/>
        </w:numPr>
        <w:ind w:leftChars="-200" w:firstLine="562" w:firstLineChars="200"/>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40"/>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5"/>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39"/>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5"/>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5"/>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5"/>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5"/>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5"/>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s="Times New Roman"/>
          <w:color w:val="auto"/>
          <w:sz w:val="32"/>
          <w:szCs w:val="32"/>
          <w:highlight w:val="none"/>
        </w:rPr>
      </w:pPr>
      <w:r>
        <w:rPr>
          <w:rFonts w:hint="eastAsia" w:ascii="仿宋_GB2312" w:hAnsi="宋体" w:eastAsia="仿宋_GB2312"/>
          <w:color w:val="auto"/>
          <w:sz w:val="30"/>
          <w:szCs w:val="30"/>
          <w:highlight w:val="none"/>
        </w:rPr>
        <w:t>附：法定代表人身份证(正反两面)复印件</w:t>
      </w:r>
    </w:p>
    <w:p>
      <w:pPr>
        <w:pStyle w:val="15"/>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65408"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5408;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38"/>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5"/>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5"/>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5"/>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6"/>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66432"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6432;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6"/>
        <w:spacing w:after="0" w:line="600" w:lineRule="exact"/>
        <w:rPr>
          <w:rFonts w:ascii="仿宋_GB2312" w:eastAsia="仿宋_GB2312"/>
          <w:color w:val="auto"/>
          <w:highlight w:val="none"/>
        </w:rPr>
      </w:pPr>
    </w:p>
    <w:p>
      <w:pPr>
        <w:pStyle w:val="6"/>
        <w:spacing w:after="0" w:line="600" w:lineRule="exact"/>
        <w:rPr>
          <w:rFonts w:ascii="仿宋_GB2312" w:eastAsia="仿宋_GB2312"/>
          <w:color w:val="auto"/>
          <w:highlight w:val="none"/>
        </w:rPr>
      </w:pPr>
    </w:p>
    <w:p>
      <w:pPr>
        <w:pStyle w:val="6"/>
        <w:spacing w:after="0" w:line="600" w:lineRule="exact"/>
        <w:ind w:firstLine="0"/>
        <w:rPr>
          <w:rFonts w:ascii="仿宋_GB2312" w:eastAsia="仿宋_GB2312"/>
          <w:color w:val="auto"/>
          <w:highlight w:val="none"/>
        </w:rPr>
      </w:pPr>
    </w:p>
    <w:p>
      <w:pPr>
        <w:pStyle w:val="6"/>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5"/>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24" w:name="_Toc87616400"/>
      <w:bookmarkStart w:id="125" w:name="_Toc8086"/>
      <w:bookmarkStart w:id="126" w:name="_Toc19830"/>
      <w:bookmarkStart w:id="127" w:name="_Toc88209963"/>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24"/>
      <w:bookmarkEnd w:id="125"/>
      <w:bookmarkEnd w:id="126"/>
      <w:bookmarkEnd w:id="127"/>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5"/>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lang w:val="en-US" w:eastAsia="zh-CN"/>
        </w:rPr>
      </w:pPr>
      <w:bookmarkStart w:id="128" w:name="_Hlk59025866"/>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28"/>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eastAsia="宋体" w:cs="宋体"/>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（3）与本项目其他供应商存在管理关系。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（4）被本项目所在地省级以上行业主管部门依法暂停、取消投标或禁止参加采购活动且处于有效期内的。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US" w:eastAsia="zh-CN"/>
        </w:rPr>
      </w:pPr>
      <w:r>
        <w:rPr>
          <w:rFonts w:hint="eastAsia" w:ascii="宋体" w:hAnsi="宋体" w:cs="宋体" w:eastAsiaTheme="minorEastAsia"/>
          <w:color w:val="auto"/>
          <w:sz w:val="24"/>
          <w:szCs w:val="24"/>
          <w:highlight w:val="none"/>
          <w:lang w:val="en-GB"/>
        </w:rPr>
        <w:t>（5）处于被责令停产停业、暂扣或者吊销执照、暂扣或者吊销许可证、吊销资质证书状态。</w:t>
      </w:r>
      <w:r>
        <w:rPr>
          <w:rFonts w:hint="eastAsia" w:ascii="宋体" w:hAnsi="宋体" w:cs="宋体"/>
          <w:color w:val="auto"/>
          <w:sz w:val="24"/>
          <w:szCs w:val="24"/>
          <w:highlight w:val="none"/>
          <w:lang w:val="en-US" w:eastAsia="zh-CN"/>
        </w:rPr>
        <w:t xml:space="preserve"> </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（6）进入清算程序，或被宣告破产，或其他丧失履约能力情形的。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（7）近三年内因发生质量或安全生产事故等受到行政处罚且在处罚期内的。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（8）被最高人民法院在“信用中国”网站（www.creditchina.gov.cn）或各级信用信息共享平台中列入失信被执行人名单。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（9）被“信用广州”网站纳入失信被执行人名单（失信黑名单）。</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w:t>
      </w:r>
      <w:r>
        <w:rPr>
          <w:rFonts w:hint="eastAsia" w:ascii="宋体" w:hAnsi="宋体" w:cs="宋体"/>
          <w:color w:val="auto"/>
          <w:sz w:val="24"/>
          <w:szCs w:val="24"/>
          <w:highlight w:val="none"/>
          <w:lang w:val="en-US" w:eastAsia="zh-CN"/>
        </w:rPr>
        <w:t>0</w:t>
      </w:r>
      <w:r>
        <w:rPr>
          <w:rFonts w:hint="eastAsia" w:ascii="宋体" w:hAnsi="宋体" w:cs="宋体" w:eastAsiaTheme="minorEastAsia"/>
          <w:color w:val="auto"/>
          <w:sz w:val="24"/>
          <w:szCs w:val="24"/>
          <w:highlight w:val="none"/>
          <w:lang w:val="en-GB"/>
        </w:rPr>
        <w:t>）其他违法违纪行为，经审查认为不宜被邀请参加采购活动的。</w:t>
      </w: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3"/>
        <w:ind w:firstLine="0"/>
        <w:rPr>
          <w:rFonts w:hint="eastAsia"/>
          <w:color w:val="auto"/>
          <w:highlight w:val="none"/>
          <w:lang w:eastAsia="zh-CN"/>
        </w:rPr>
      </w:pPr>
    </w:p>
    <w:p>
      <w:pPr>
        <w:pStyle w:val="23"/>
        <w:ind w:firstLine="0"/>
        <w:rPr>
          <w:rFonts w:hint="eastAsia"/>
          <w:color w:val="auto"/>
          <w:highlight w:val="none"/>
          <w:lang w:eastAsia="zh-CN"/>
        </w:rPr>
      </w:pPr>
    </w:p>
    <w:p>
      <w:pPr>
        <w:jc w:val="left"/>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3"/>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4"/>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pStyle w:val="23"/>
        <w:jc w:val="right"/>
        <w:rPr>
          <w:rFonts w:hint="default" w:ascii="仿宋_GB2312" w:eastAsia="仿宋_GB2312" w:hAnsiTheme="minorEastAsia"/>
          <w:color w:val="auto"/>
          <w:sz w:val="28"/>
          <w:szCs w:val="28"/>
          <w:highlight w:val="none"/>
          <w:lang w:val="en-US" w:eastAsia="zh-CN"/>
        </w:rPr>
      </w:pPr>
      <w:r>
        <w:rPr>
          <w:rFonts w:hint="eastAsia" w:ascii="宋体" w:hAnsi="宋体" w:eastAsia="宋体" w:cs="宋体"/>
          <w:color w:val="auto"/>
          <w:kern w:val="2"/>
          <w:sz w:val="24"/>
          <w:szCs w:val="24"/>
          <w:highlight w:val="none"/>
          <w:lang w:val="en-GB"/>
        </w:rPr>
        <w:t>年  月  日</w:t>
      </w:r>
    </w:p>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pStyle w:val="6"/>
        <w:ind w:left="0" w:leftChars="0" w:firstLine="0" w:firstLineChars="0"/>
        <w:rPr>
          <w:rFonts w:hint="eastAsia" w:asciiTheme="minorEastAsia" w:hAnsiTheme="minorEastAsia" w:eastAsiaTheme="minorEastAsia"/>
          <w:color w:val="auto"/>
          <w:sz w:val="28"/>
          <w:szCs w:val="28"/>
          <w:highlight w:val="none"/>
        </w:rPr>
        <w:sectPr>
          <w:footerReference r:id="rId7" w:type="first"/>
          <w:footerReference r:id="rId6" w:type="default"/>
          <w:pgSz w:w="11906" w:h="16838"/>
          <w:pgMar w:top="2098" w:right="1474" w:bottom="1985" w:left="1588" w:header="851" w:footer="992" w:gutter="0"/>
          <w:pgNumType w:fmt="decimal" w:start="1"/>
          <w:cols w:space="425" w:num="1"/>
          <w:docGrid w:type="lines" w:linePitch="312" w:charSpace="0"/>
        </w:sectPr>
      </w:pPr>
      <w:bookmarkStart w:id="129" w:name="_Toc32430"/>
      <w:bookmarkStart w:id="130" w:name="_Toc19423"/>
    </w:p>
    <w:p>
      <w:pPr>
        <w:pStyle w:val="6"/>
        <w:ind w:left="0" w:leftChars="0" w:firstLine="0" w:firstLineChars="0"/>
        <w:rPr>
          <w:rFonts w:hint="eastAsia"/>
        </w:rPr>
      </w:pPr>
      <w:r>
        <w:rPr>
          <w:rFonts w:hint="eastAsia" w:cs="Times New Roman" w:asciiTheme="majorEastAsia" w:hAnsiTheme="majorEastAsia" w:eastAsiaTheme="majorEastAsia"/>
          <w:b/>
          <w:bCs/>
          <w:color w:val="auto"/>
          <w:kern w:val="2"/>
          <w:sz w:val="28"/>
          <w:szCs w:val="28"/>
          <w:highlight w:val="none"/>
          <w:lang w:val="en-US" w:eastAsia="zh-CN" w:bidi="ar-SA"/>
        </w:rPr>
        <w:t>5.报价</w:t>
      </w:r>
      <w:bookmarkEnd w:id="129"/>
      <w:bookmarkEnd w:id="130"/>
      <w:bookmarkStart w:id="131" w:name="_Toc88209965"/>
      <w:bookmarkStart w:id="132" w:name="_Toc6058"/>
      <w:bookmarkStart w:id="133" w:name="_Toc16386"/>
      <w:bookmarkStart w:id="134" w:name="_Toc87616402"/>
    </w:p>
    <w:p>
      <w:pPr>
        <w:tabs>
          <w:tab w:val="left" w:pos="4170"/>
        </w:tabs>
        <w:spacing w:line="360" w:lineRule="auto"/>
        <w:rPr>
          <w:rFonts w:hint="eastAsia" w:ascii="宋体" w:hAnsi="宋体" w:cs="宋体"/>
          <w:b/>
          <w:szCs w:val="21"/>
          <w:lang w:val="en-US" w:eastAsia="zh-CN"/>
        </w:rPr>
      </w:pPr>
      <w:r>
        <w:rPr>
          <w:rFonts w:hint="eastAsia" w:ascii="宋体" w:hAnsi="宋体" w:cs="宋体"/>
          <w:b/>
          <w:szCs w:val="21"/>
          <w:lang w:val="en-US" w:eastAsia="zh-CN"/>
        </w:rPr>
        <w:t>项目一、大坦沙分公司一二期干化车间监控优化项目</w:t>
      </w:r>
    </w:p>
    <w:p>
      <w:pPr>
        <w:pStyle w:val="29"/>
        <w:rPr>
          <w:rFonts w:hint="eastAsia" w:ascii="宋体" w:hAnsi="宋体" w:cs="宋体"/>
          <w:b/>
          <w:szCs w:val="21"/>
          <w:lang w:val="en-US" w:eastAsia="zh-CN"/>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66"/>
        <w:gridCol w:w="555"/>
        <w:gridCol w:w="861"/>
        <w:gridCol w:w="1116"/>
        <w:gridCol w:w="3279"/>
        <w:gridCol w:w="169"/>
        <w:gridCol w:w="268"/>
        <w:gridCol w:w="416"/>
        <w:gridCol w:w="516"/>
        <w:gridCol w:w="53"/>
        <w:gridCol w:w="363"/>
        <w:gridCol w:w="28"/>
        <w:gridCol w:w="483"/>
        <w:gridCol w:w="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1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463" w:type="pct"/>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工程名称：大坦沙分公司一二期干化车间监控优化项目</w:t>
            </w:r>
          </w:p>
        </w:tc>
        <w:tc>
          <w:tcPr>
            <w:tcW w:w="784" w:type="pct"/>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752" w:type="pct"/>
            <w:gridSpan w:val="4"/>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75" w:hRule="atLeast"/>
        </w:trPr>
        <w:tc>
          <w:tcPr>
            <w:tcW w:w="564" w:type="pct"/>
            <w:gridSpan w:val="2"/>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2992"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892"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550" w:type="pct"/>
            <w:gridSpan w:val="3"/>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6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99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89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50"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6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99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措施合计</w:t>
            </w:r>
          </w:p>
        </w:tc>
        <w:tc>
          <w:tcPr>
            <w:tcW w:w="89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50"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6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99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89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r>
              <w:rPr>
                <w:rFonts w:hint="eastAsia" w:ascii="宋体" w:hAnsi="宋体" w:eastAsia="宋体" w:cs="宋体"/>
                <w:color w:val="auto"/>
                <w:kern w:val="0"/>
                <w:sz w:val="20"/>
                <w:szCs w:val="20"/>
                <w:lang w:val="en-US" w:eastAsia="zh-CN" w:bidi="ar"/>
              </w:rPr>
              <w:t>5948.1</w:t>
            </w:r>
          </w:p>
        </w:tc>
        <w:tc>
          <w:tcPr>
            <w:tcW w:w="550"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6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99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其他措施费</w:t>
            </w:r>
          </w:p>
        </w:tc>
        <w:tc>
          <w:tcPr>
            <w:tcW w:w="89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50"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6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99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w:t>
            </w:r>
          </w:p>
        </w:tc>
        <w:tc>
          <w:tcPr>
            <w:tcW w:w="89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50"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56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299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89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r>
              <w:rPr>
                <w:rFonts w:hint="eastAsia" w:ascii="宋体" w:hAnsi="宋体" w:eastAsia="宋体" w:cs="宋体"/>
                <w:color w:val="auto"/>
                <w:kern w:val="0"/>
                <w:sz w:val="20"/>
                <w:szCs w:val="20"/>
                <w:lang w:val="en-US" w:eastAsia="zh-CN" w:bidi="ar"/>
              </w:rPr>
              <w:t>27626.41</w:t>
            </w:r>
          </w:p>
        </w:tc>
        <w:tc>
          <w:tcPr>
            <w:tcW w:w="550"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6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299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89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50"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6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299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89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50"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6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299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89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50"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6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299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89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50"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6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299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89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50"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6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299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89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50"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6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299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89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50"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6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299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89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50"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6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299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89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50"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56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99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89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50"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6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99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89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50"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6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99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总造价</w:t>
            </w:r>
          </w:p>
        </w:tc>
        <w:tc>
          <w:tcPr>
            <w:tcW w:w="89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50"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6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992" w:type="pct"/>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892"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550" w:type="pct"/>
            <w:gridSpan w:val="3"/>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95" w:hRule="atLeast"/>
        </w:trPr>
        <w:tc>
          <w:tcPr>
            <w:tcW w:w="5000" w:type="pct"/>
            <w:gridSpan w:val="1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3463" w:type="pct"/>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工程名称：大坦沙分公司一二期干化车间监控优化项目</w:t>
            </w:r>
          </w:p>
        </w:tc>
        <w:tc>
          <w:tcPr>
            <w:tcW w:w="784" w:type="pct"/>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752" w:type="pct"/>
            <w:gridSpan w:val="4"/>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5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258"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781"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615"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050"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229"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8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778"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258"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81"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5"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50"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9"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8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42"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267" w:type="pct"/>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258"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81"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5"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50"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9"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8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42"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67"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5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8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整个项目</w:t>
            </w:r>
          </w:p>
        </w:tc>
        <w:tc>
          <w:tcPr>
            <w:tcW w:w="205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2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26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4464" w:type="pct"/>
            <w:gridSpan w:val="1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267"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268"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0" w:type="pct"/>
            <w:gridSpan w:val="14"/>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3" w:type="pct"/>
            <w:gridSpan w:val="5"/>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none"/>
              </w:rPr>
            </w:pPr>
          </w:p>
        </w:tc>
        <w:tc>
          <w:tcPr>
            <w:tcW w:w="784" w:type="pct"/>
            <w:gridSpan w:val="5"/>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single"/>
              </w:rPr>
            </w:pPr>
          </w:p>
        </w:tc>
        <w:tc>
          <w:tcPr>
            <w:tcW w:w="752" w:type="pct"/>
            <w:gridSpan w:val="4"/>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1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3463" w:type="pct"/>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工程名称：大坦沙分公司一二期干化车间监控优化项目</w:t>
            </w:r>
          </w:p>
        </w:tc>
        <w:tc>
          <w:tcPr>
            <w:tcW w:w="784" w:type="pct"/>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752" w:type="pct"/>
            <w:gridSpan w:val="4"/>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5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258"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781"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615"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050"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229"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8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778"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258"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81"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5"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50"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9"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8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42"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267" w:type="pct"/>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58"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81"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5"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50"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9"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8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42"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67"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25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8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030507008001</w:t>
            </w:r>
          </w:p>
        </w:tc>
        <w:tc>
          <w:tcPr>
            <w:tcW w:w="6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防爆球型摄像头</w:t>
            </w:r>
          </w:p>
        </w:tc>
        <w:tc>
          <w:tcPr>
            <w:tcW w:w="205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【星光+】1/1.8＂progressive scan CMOS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【400 万 1/1.8"CMOS 23 倍防爆球机】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最大分辨率: 2560 × 1440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最低照度: 彩色：0.0005 Lux @ (F1.5，AGC ON), 黑白：0.0001 Lux @ (F1.5,AGC ON)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焦距: 5.9~135.7 mm，23 倍光学变倍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水平范围: 水平 0~360°连续旋转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垂直范围: 0°～ +90°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水平速度: 水平键控速度：0.1°~300°/s,速度可设，水平预置点速度：540°/s,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垂直速度: 垂直键控速度：0.1°~240°/s,速度可设，垂直预置点速度：400°/s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主码流帧率分辨率: 50 Hz: 25 fps (2560 × 1440); 60 Hz: 30 fps (2560 ×1440)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视频压缩标准: H.265/H.264/MJPEG/smart264/smart265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网络存储: NAS (NFS, SMB/ CIFS), ANR</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图像增强: 120 dB 超宽动态、强光抑制、电子防抖、背光补偿、区域曝光、区域聚焦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网络接口: 内置 RJ45 网口（支持 10M/100M 网络数据）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SD 卡扩展: 支持 Micro SD(即 TF 卡)/Micro SDHC/Micro SDXC 卡，最大支持 256G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音频: 1 路音频输入，1 路音频输出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报警: 7 进 2 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支持 RS-485</w:t>
            </w: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28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464" w:type="pct"/>
            <w:gridSpan w:val="1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267"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268"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0" w:type="pct"/>
            <w:gridSpan w:val="14"/>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3" w:type="pct"/>
            <w:gridSpan w:val="5"/>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none"/>
              </w:rPr>
            </w:pPr>
          </w:p>
        </w:tc>
        <w:tc>
          <w:tcPr>
            <w:tcW w:w="784" w:type="pct"/>
            <w:gridSpan w:val="5"/>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single"/>
              </w:rPr>
            </w:pPr>
          </w:p>
        </w:tc>
        <w:tc>
          <w:tcPr>
            <w:tcW w:w="752" w:type="pct"/>
            <w:gridSpan w:val="4"/>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1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463" w:type="pct"/>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工程名称：大坦沙分公司一二期干化车间监控优化项目</w:t>
            </w:r>
          </w:p>
        </w:tc>
        <w:tc>
          <w:tcPr>
            <w:tcW w:w="784" w:type="pct"/>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752" w:type="pct"/>
            <w:gridSpan w:val="4"/>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3 页  共 5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258"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781"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615"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050"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229"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8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778"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258"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81"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5"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50"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9"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8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42"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267" w:type="pct"/>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58"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81"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5"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50"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9"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8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42"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67"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5" w:hRule="atLeast"/>
        </w:trPr>
        <w:tc>
          <w:tcPr>
            <w:tcW w:w="25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8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05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光纤接口: 采用 FC 接口、波长 TX1310/RX1550 nm、单纤单模、20 km 传输距离光纤模块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 AC100 V~240 V，60 W Max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 Φ255 mm × 405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重量: 13.2 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 SUS304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工作温湿度: -40℃~60℃, 湿度小于 95%RH(无凝结)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防护: IP68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防爆: 防爆标志：Ex d ⅡC T6 Gb/Ex tD A21 IP68 T80℃</w:t>
            </w: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8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2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25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8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030502005001</w:t>
            </w:r>
          </w:p>
        </w:tc>
        <w:tc>
          <w:tcPr>
            <w:tcW w:w="6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六类网线</w:t>
            </w:r>
          </w:p>
        </w:tc>
        <w:tc>
          <w:tcPr>
            <w:tcW w:w="205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1.名称及规格:六类网线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2.敷设方式:综合考虑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3.包含双绞线敷设、标记、卡接、测试、分线盒安装等相关费用</w:t>
            </w: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8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2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25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8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030411001002</w:t>
            </w:r>
          </w:p>
        </w:tc>
        <w:tc>
          <w:tcPr>
            <w:tcW w:w="6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镀锌钢管  DN25</w:t>
            </w:r>
          </w:p>
        </w:tc>
        <w:tc>
          <w:tcPr>
            <w:tcW w:w="205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1.名称:镀锌钢管  DN25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2.配置形式:综合考虑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3.包含管道敷设、穿线用牵引铁线、支吊架制作安装、接线盒（箱）安装、防腐油漆、标识、接地等相关费用</w:t>
            </w: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8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2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5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8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030501012001</w:t>
            </w:r>
          </w:p>
        </w:tc>
        <w:tc>
          <w:tcPr>
            <w:tcW w:w="6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16口POE交换机</w:t>
            </w:r>
          </w:p>
        </w:tc>
        <w:tc>
          <w:tcPr>
            <w:tcW w:w="205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1.名称:16口POE交换机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2.包含本体及配件安装、接线、调试等相关费用</w:t>
            </w: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28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464" w:type="pct"/>
            <w:gridSpan w:val="1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267"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268"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0" w:type="pct"/>
            <w:gridSpan w:val="14"/>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3" w:type="pct"/>
            <w:gridSpan w:val="5"/>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none"/>
              </w:rPr>
            </w:pPr>
          </w:p>
        </w:tc>
        <w:tc>
          <w:tcPr>
            <w:tcW w:w="784" w:type="pct"/>
            <w:gridSpan w:val="5"/>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single"/>
              </w:rPr>
            </w:pPr>
          </w:p>
        </w:tc>
        <w:tc>
          <w:tcPr>
            <w:tcW w:w="752" w:type="pct"/>
            <w:gridSpan w:val="4"/>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1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463" w:type="pct"/>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工程名称：大坦沙分公司一二期干化车间监控优化项目</w:t>
            </w:r>
          </w:p>
        </w:tc>
        <w:tc>
          <w:tcPr>
            <w:tcW w:w="784" w:type="pct"/>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752" w:type="pct"/>
            <w:gridSpan w:val="4"/>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4 页  共 5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258"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781"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615"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050"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229"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8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778"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258"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81"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5"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50"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9"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8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42"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267" w:type="pct"/>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58"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81"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5"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50"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9"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8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42"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67"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0" w:hRule="atLeast"/>
        </w:trPr>
        <w:tc>
          <w:tcPr>
            <w:tcW w:w="25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8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030506007001</w:t>
            </w:r>
          </w:p>
        </w:tc>
        <w:tc>
          <w:tcPr>
            <w:tcW w:w="6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NVR超脑主机</w:t>
            </w:r>
          </w:p>
        </w:tc>
        <w:tc>
          <w:tcPr>
            <w:tcW w:w="205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1.名称:NVR超脑主机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2.视频接入路数 256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3.视频输出 2 路 HDMI，1 路 VGA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4.支持 64 个目标库，总库最大支持 50 万张目标图片集成人、车、行为、事件、AIOP 5 大类多种算法于一体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5.电源:AC100V~240V，550W，双电源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6.机箱:4U 标准机箱 447mm（宽）× 495mm（深）×173mm（高）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7.其他详见技术参数</w:t>
            </w: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28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5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8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030506008001</w:t>
            </w:r>
          </w:p>
        </w:tc>
        <w:tc>
          <w:tcPr>
            <w:tcW w:w="6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监控系统调试</w:t>
            </w:r>
          </w:p>
        </w:tc>
        <w:tc>
          <w:tcPr>
            <w:tcW w:w="205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1.名称:监控系统调试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2.11台摄像头</w:t>
            </w: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w:t>
            </w:r>
          </w:p>
        </w:tc>
        <w:tc>
          <w:tcPr>
            <w:tcW w:w="28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5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8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030502007001</w:t>
            </w:r>
          </w:p>
        </w:tc>
        <w:tc>
          <w:tcPr>
            <w:tcW w:w="6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单模4芯光纤</w:t>
            </w:r>
          </w:p>
        </w:tc>
        <w:tc>
          <w:tcPr>
            <w:tcW w:w="205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1.名称:单模 4 芯光纤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2.包含光纤敷设、光纤连接、标记、卡接、测试</w:t>
            </w: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8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2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590" w:hRule="atLeast"/>
        </w:trPr>
        <w:tc>
          <w:tcPr>
            <w:tcW w:w="25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8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030817004001</w:t>
            </w:r>
          </w:p>
        </w:tc>
        <w:tc>
          <w:tcPr>
            <w:tcW w:w="6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喷雾主机</w:t>
            </w:r>
          </w:p>
        </w:tc>
        <w:tc>
          <w:tcPr>
            <w:tcW w:w="205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1.名称:喷雾主机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2.规格:主机参数 4KW、工作压力5-7bar、220V 供电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3.配置:自带水箱、可实现 3 路单独控制、带时间控制功能</w:t>
            </w: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28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5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8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030901003001</w:t>
            </w:r>
          </w:p>
        </w:tc>
        <w:tc>
          <w:tcPr>
            <w:tcW w:w="6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喷雾喷嘴</w:t>
            </w:r>
          </w:p>
        </w:tc>
        <w:tc>
          <w:tcPr>
            <w:tcW w:w="205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1.名称:喷雾喷嘴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2.规格:3号喷嘴 喷雾颗粒 100 微米-200 微米</w:t>
            </w: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8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2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5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8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031001003001</w:t>
            </w:r>
          </w:p>
        </w:tc>
        <w:tc>
          <w:tcPr>
            <w:tcW w:w="6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不锈钢管 DN10</w:t>
            </w:r>
          </w:p>
        </w:tc>
        <w:tc>
          <w:tcPr>
            <w:tcW w:w="205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1.名称:不锈钢管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2.规格:DN10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3.管道、管件的制作、安装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4.支架制作安装刷漆防腐</w:t>
            </w: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8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w:t>
            </w:r>
          </w:p>
        </w:tc>
        <w:tc>
          <w:tcPr>
            <w:tcW w:w="2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080" w:hRule="atLeast"/>
        </w:trPr>
        <w:tc>
          <w:tcPr>
            <w:tcW w:w="25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78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031001006001</w:t>
            </w:r>
          </w:p>
        </w:tc>
        <w:tc>
          <w:tcPr>
            <w:tcW w:w="6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PVC管 DN20</w:t>
            </w:r>
          </w:p>
        </w:tc>
        <w:tc>
          <w:tcPr>
            <w:tcW w:w="205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1.名称:PVC管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2.规格:DN20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3.管道、管件的制作、安装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4.支架制作安装刷漆防腐</w:t>
            </w: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8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5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8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030703005001</w:t>
            </w:r>
          </w:p>
        </w:tc>
        <w:tc>
          <w:tcPr>
            <w:tcW w:w="6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PVC手动球阀</w:t>
            </w:r>
          </w:p>
        </w:tc>
        <w:tc>
          <w:tcPr>
            <w:tcW w:w="205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1.名称:PVC手动球阀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2.型号:DN10</w:t>
            </w: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8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2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5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78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030703005002</w:t>
            </w:r>
          </w:p>
        </w:tc>
        <w:tc>
          <w:tcPr>
            <w:tcW w:w="6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PVC手动球阀</w:t>
            </w:r>
          </w:p>
        </w:tc>
        <w:tc>
          <w:tcPr>
            <w:tcW w:w="205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1.名称:PVC手动球阀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2.型号:DN20</w:t>
            </w: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8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464" w:type="pct"/>
            <w:gridSpan w:val="1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267"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268"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0" w:type="pct"/>
            <w:gridSpan w:val="14"/>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463" w:type="pct"/>
            <w:gridSpan w:val="5"/>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none"/>
              </w:rPr>
            </w:pPr>
          </w:p>
        </w:tc>
        <w:tc>
          <w:tcPr>
            <w:tcW w:w="784" w:type="pct"/>
            <w:gridSpan w:val="5"/>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single"/>
              </w:rPr>
            </w:pPr>
          </w:p>
        </w:tc>
        <w:tc>
          <w:tcPr>
            <w:tcW w:w="752" w:type="pct"/>
            <w:gridSpan w:val="4"/>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95" w:hRule="atLeast"/>
        </w:trPr>
        <w:tc>
          <w:tcPr>
            <w:tcW w:w="5000" w:type="pct"/>
            <w:gridSpan w:val="1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3463" w:type="pct"/>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工程名称：大坦沙分公司一二期干化车间监控优化项目</w:t>
            </w:r>
          </w:p>
        </w:tc>
        <w:tc>
          <w:tcPr>
            <w:tcW w:w="784" w:type="pct"/>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752" w:type="pct"/>
            <w:gridSpan w:val="4"/>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5 页  共 5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258"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781"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615"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050"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229"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8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778"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258"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81"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5"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50"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9"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8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42"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267" w:type="pct"/>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58"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81"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15"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50"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29"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8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42"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67"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5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78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030404019001</w:t>
            </w:r>
          </w:p>
        </w:tc>
        <w:tc>
          <w:tcPr>
            <w:tcW w:w="6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加装空气开关 6A 1P</w:t>
            </w:r>
          </w:p>
        </w:tc>
        <w:tc>
          <w:tcPr>
            <w:tcW w:w="205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1.名称:加装空气开关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2.规格:6A 1P</w:t>
            </w: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8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5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8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030408001001</w:t>
            </w:r>
          </w:p>
        </w:tc>
        <w:tc>
          <w:tcPr>
            <w:tcW w:w="6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 YJV-3*1.5</w:t>
            </w:r>
          </w:p>
        </w:tc>
        <w:tc>
          <w:tcPr>
            <w:tcW w:w="205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2.规格:YJV-3*1.5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3.电缆敷设、电缆头制作及安装、接地、试压、测试</w:t>
            </w: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8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25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78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030411001003</w:t>
            </w:r>
          </w:p>
        </w:tc>
        <w:tc>
          <w:tcPr>
            <w:tcW w:w="6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不锈钢管线 DN25</w:t>
            </w:r>
          </w:p>
        </w:tc>
        <w:tc>
          <w:tcPr>
            <w:tcW w:w="205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1.名称:不锈钢管线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2.规格:DN25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3.包含管道敷设、穿线用牵引铁线、配件及管件安装、支吊架制作安装、接线盒（箱）安装、防腐油漆、标识、接地等相关费用</w:t>
            </w: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8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5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8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205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2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26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5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8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205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2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26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25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78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031302007001</w:t>
            </w:r>
          </w:p>
        </w:tc>
        <w:tc>
          <w:tcPr>
            <w:tcW w:w="6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高层施工增加</w:t>
            </w:r>
          </w:p>
        </w:tc>
        <w:tc>
          <w:tcPr>
            <w:tcW w:w="205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28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25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78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031301017001</w:t>
            </w:r>
          </w:p>
        </w:tc>
        <w:tc>
          <w:tcPr>
            <w:tcW w:w="6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脚手架搭拆费</w:t>
            </w:r>
          </w:p>
        </w:tc>
        <w:tc>
          <w:tcPr>
            <w:tcW w:w="205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28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5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8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单价措施合计</w:t>
            </w:r>
          </w:p>
        </w:tc>
        <w:tc>
          <w:tcPr>
            <w:tcW w:w="205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8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2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26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5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8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61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05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2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8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242"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464" w:type="pct"/>
            <w:gridSpan w:val="1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26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268"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4464" w:type="pct"/>
            <w:gridSpan w:val="1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267"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268"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pStyle w:val="29"/>
        <w:rPr>
          <w:rFonts w:hint="eastAsia" w:ascii="宋体" w:hAnsi="宋体" w:cs="宋体"/>
          <w:b/>
          <w:szCs w:val="21"/>
          <w:lang w:val="en-US" w:eastAsia="zh-CN"/>
        </w:rPr>
      </w:pPr>
    </w:p>
    <w:p>
      <w:pPr>
        <w:pStyle w:val="29"/>
        <w:rPr>
          <w:rFonts w:hint="eastAsia" w:ascii="宋体" w:hAnsi="宋体" w:cs="宋体"/>
          <w:b/>
          <w:szCs w:val="21"/>
          <w:lang w:val="en-US" w:eastAsia="zh-CN"/>
        </w:rPr>
      </w:pPr>
    </w:p>
    <w:p>
      <w:pPr>
        <w:pStyle w:val="29"/>
        <w:rPr>
          <w:rFonts w:hint="default" w:hAnsi="宋体" w:cs="宋体"/>
          <w:b/>
          <w:szCs w:val="21"/>
          <w:lang w:val="en-US" w:eastAsia="zh-CN"/>
        </w:rPr>
      </w:pPr>
    </w:p>
    <w:p>
      <w:pPr>
        <w:pStyle w:val="15"/>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5"/>
        <w:numPr>
          <w:ilvl w:val="0"/>
          <w:numId w:val="0"/>
        </w:numPr>
        <w:rPr>
          <w:rFonts w:hint="eastAsia" w:eastAsiaTheme="majorEastAsia"/>
          <w:color w:val="auto"/>
          <w:highlight w:val="none"/>
          <w:lang w:val="en-US" w:eastAsia="zh-CN"/>
        </w:rPr>
      </w:pPr>
    </w:p>
    <w:p>
      <w:pPr>
        <w:pStyle w:val="5"/>
        <w:numPr>
          <w:ilvl w:val="0"/>
          <w:numId w:val="0"/>
        </w:numPr>
        <w:rPr>
          <w:rFonts w:hint="eastAsia" w:eastAsiaTheme="majorEastAsia"/>
          <w:color w:val="auto"/>
          <w:highlight w:val="none"/>
          <w:lang w:val="en-US" w:eastAsia="zh-CN"/>
        </w:rPr>
      </w:pPr>
    </w:p>
    <w:p>
      <w:pPr>
        <w:pStyle w:val="5"/>
        <w:numPr>
          <w:ilvl w:val="0"/>
          <w:numId w:val="0"/>
        </w:numPr>
        <w:rPr>
          <w:rFonts w:hint="eastAsia" w:eastAsiaTheme="majorEastAsia"/>
          <w:color w:val="auto"/>
          <w:highlight w:val="none"/>
          <w:lang w:val="en-US" w:eastAsia="zh-CN"/>
        </w:rPr>
      </w:pPr>
    </w:p>
    <w:p>
      <w:pPr>
        <w:pStyle w:val="5"/>
        <w:numPr>
          <w:ilvl w:val="0"/>
          <w:numId w:val="0"/>
        </w:numPr>
        <w:rPr>
          <w:rFonts w:hint="eastAsia" w:eastAsiaTheme="majorEastAsia"/>
          <w:color w:val="auto"/>
          <w:highlight w:val="none"/>
          <w:lang w:val="en-US" w:eastAsia="zh-CN"/>
        </w:rPr>
      </w:pPr>
    </w:p>
    <w:p>
      <w:pPr>
        <w:pStyle w:val="5"/>
        <w:numPr>
          <w:ilvl w:val="0"/>
          <w:numId w:val="0"/>
        </w:numPr>
        <w:rPr>
          <w:rFonts w:hint="eastAsia" w:eastAsiaTheme="majorEastAsia"/>
          <w:color w:val="auto"/>
          <w:highlight w:val="none"/>
          <w:lang w:val="en-US" w:eastAsia="zh-CN"/>
        </w:rPr>
      </w:pPr>
    </w:p>
    <w:p>
      <w:pPr>
        <w:pStyle w:val="5"/>
        <w:numPr>
          <w:ilvl w:val="0"/>
          <w:numId w:val="0"/>
        </w:numPr>
        <w:rPr>
          <w:rFonts w:hint="eastAsia" w:eastAsiaTheme="majorEastAsia"/>
          <w:color w:val="auto"/>
          <w:highlight w:val="none"/>
          <w:lang w:val="en-US" w:eastAsia="zh-CN"/>
        </w:rPr>
      </w:pPr>
    </w:p>
    <w:p>
      <w:pPr>
        <w:pStyle w:val="5"/>
        <w:numPr>
          <w:ilvl w:val="0"/>
          <w:numId w:val="0"/>
        </w:numPr>
        <w:rPr>
          <w:rFonts w:asciiTheme="majorEastAsia" w:hAnsiTheme="majorEastAsia" w:eastAsiaTheme="majorEastAsia"/>
          <w:color w:val="auto"/>
          <w:sz w:val="28"/>
          <w:szCs w:val="28"/>
          <w:highlight w:val="none"/>
        </w:rPr>
      </w:pPr>
      <w:r>
        <w:rPr>
          <w:rFonts w:hint="eastAsia" w:eastAsiaTheme="majorEastAsia"/>
          <w:color w:val="auto"/>
          <w:highlight w:val="none"/>
          <w:lang w:val="en-US" w:eastAsia="zh-CN"/>
        </w:rPr>
        <w:t>6</w:t>
      </w:r>
      <w:r>
        <w:rPr>
          <w:rFonts w:hint="eastAsia" w:asciiTheme="majorEastAsia" w:hAnsiTheme="majorEastAsia" w:eastAsiaTheme="majorEastAsia"/>
          <w:color w:val="auto"/>
          <w:sz w:val="28"/>
          <w:szCs w:val="28"/>
          <w:highlight w:val="none"/>
        </w:rPr>
        <w:t>.其他资料</w:t>
      </w:r>
      <w:bookmarkEnd w:id="131"/>
      <w:bookmarkEnd w:id="132"/>
      <w:bookmarkEnd w:id="133"/>
      <w:bookmarkEnd w:id="134"/>
    </w:p>
    <w:p>
      <w:pPr>
        <w:adjustRightInd w:val="0"/>
        <w:snapToGrid w:val="0"/>
        <w:spacing w:line="600" w:lineRule="exact"/>
        <w:ind w:firstLine="570"/>
        <w:rPr>
          <w:rFonts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p>
      <w:pPr>
        <w:rPr>
          <w:color w:val="auto"/>
          <w:highlight w:val="none"/>
        </w:rPr>
      </w:pPr>
    </w:p>
    <w:sectPr>
      <w:pgSz w:w="11906" w:h="16838"/>
      <w:pgMar w:top="2098" w:right="1474" w:bottom="1985" w:left="1588" w:header="851" w:footer="992" w:gutter="0"/>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818699B-9F60-42A6-A245-71A36092DB95}"/>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9A2117CF-5F17-4249-A9AF-3170B4E1F6F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A64E4ED-E659-4C8F-AC89-CE746D2EABAD}"/>
  </w:font>
  <w:font w:name="方正小标宋简体">
    <w:panose1 w:val="03000509000000000000"/>
    <w:charset w:val="86"/>
    <w:family w:val="script"/>
    <w:pitch w:val="default"/>
    <w:sig w:usb0="00000001" w:usb1="080E0000" w:usb2="00000000" w:usb3="00000000" w:csb0="00040000" w:csb1="00000000"/>
    <w:embedRegular r:id="rId4" w:fontKey="{0E62F4EA-FAB7-4A80-9F4E-012043531E3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embedRegular r:id="rId5" w:fontKey="{8D2925B9-BCC2-44D8-B1ED-C04EE5342035}"/>
  </w:font>
  <w:font w:name="等线">
    <w:panose1 w:val="02010600030101010101"/>
    <w:charset w:val="86"/>
    <w:family w:val="auto"/>
    <w:pitch w:val="default"/>
    <w:sig w:usb0="A00002BF" w:usb1="38CF7CFA" w:usb2="00000016" w:usb3="00000000" w:csb0="0004000F" w:csb1="00000000"/>
    <w:embedRegular r:id="rId6" w:fontKey="{67DF338B-3810-45E0-88D7-895E267730B5}"/>
  </w:font>
  <w:font w:name="仿宋_GB2312">
    <w:panose1 w:val="02010609030101010101"/>
    <w:charset w:val="86"/>
    <w:family w:val="modern"/>
    <w:pitch w:val="default"/>
    <w:sig w:usb0="00000001" w:usb1="080E0000" w:usb2="00000000" w:usb3="00000000" w:csb0="00040000" w:csb1="00000000"/>
    <w:embedRegular r:id="rId7" w:fontKey="{882A3488-9401-49EA-B420-E485FC0A2E53}"/>
  </w:font>
  <w:font w:name="Wingdings 2">
    <w:panose1 w:val="05020102010507070707"/>
    <w:charset w:val="00"/>
    <w:family w:val="auto"/>
    <w:pitch w:val="default"/>
    <w:sig w:usb0="00000000" w:usb1="00000000" w:usb2="00000000" w:usb3="00000000" w:csb0="80000000" w:csb1="00000000"/>
    <w:embedRegular r:id="rId8" w:fontKey="{90846475-29DF-4626-ABE4-3E242E2FFB42}"/>
  </w:font>
  <w:font w:name="仿宋">
    <w:panose1 w:val="02010609060101010101"/>
    <w:charset w:val="86"/>
    <w:family w:val="auto"/>
    <w:pitch w:val="default"/>
    <w:sig w:usb0="800002BF" w:usb1="38CF7CFA" w:usb2="00000016" w:usb3="00000000" w:csb0="00040001" w:csb1="00000000"/>
    <w:embedRegular r:id="rId9" w:fontKey="{61AE2B96-5430-4779-9A20-2414CC52A0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Q6dcoBAACaAwAADgAAAGRycy9lMm9Eb2MueG1srVPNjtMwEL4j8Q6W&#10;79TZskJ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69fU+K4xYmff3w///x9/vWN&#10;XGd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Q6dcoBAACaAwAADgAAAAAAAAABACAAAAAeAQAAZHJzL2Uyb0Rv&#10;Yy54bWxQSwUGAAAAAAYABgBZAQAAWgU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sJl58oBAACa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7q8psRxixM///xx/vXn/Ps7&#10;uc769AFqTLsPmJiGd37ArZn9gM5Me1DR5i8SIhhHdU8XdeWQiMiPVsvVqsKQwNh8QXz28DxESO+l&#10;tyQbDY04vqIqP36ENKbOKbma83famDJC4/5xIGb2sNz72GO20rAbJkI7356QT4+Tb6jDRafEfHAo&#10;bF6S2YizsZuNQ4h635UtyvUg3B4SNlF6yxVG2Kkwjqywm9Yr78Tje8l6+KU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zsJl58oBAACa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JhYcoBAACa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7q8psRxixM///xx/vXn/Ps7&#10;uc769AFqTLsPmJiGd37ArZn9gM5Me1DR5i8SIhhHdU8XdeWQiMiPVsvVqsKQwNh8QXz28DxESO+l&#10;tyQbDY04vqIqP36ENKbOKbma83famDJC4/5xIGb2sNz72GO20rAbJkI7356QT4+Tb6jDRafEfHAo&#10;bF6S2YizsZuNQ4h635UtyvUg3B4SNlF6yxVG2Kkwjqywm9Yr78Tje8l6+KU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HvJhYcoBAACaAwAADgAAAAAAAAABACAAAAAeAQAAZHJzL2Uyb0Rv&#10;Yy54bWxQSwUGAAAAAAYABgBZAQAAWgU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oCbO8kBAACa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Oo1JY5bnPjl+7fLj1+Xn1/J&#10;M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qgJs7yQEAAJo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2F2D26"/>
    <w:multiLevelType w:val="singleLevel"/>
    <w:tmpl w:val="9F2F2D26"/>
    <w:lvl w:ilvl="0" w:tentative="0">
      <w:start w:val="1"/>
      <w:numFmt w:val="decimal"/>
      <w:suff w:val="nothing"/>
      <w:lvlText w:val="（%1）"/>
      <w:lvlJc w:val="left"/>
    </w:lvl>
  </w:abstractNum>
  <w:abstractNum w:abstractNumId="1">
    <w:nsid w:val="AAA4A53E"/>
    <w:multiLevelType w:val="singleLevel"/>
    <w:tmpl w:val="AAA4A53E"/>
    <w:lvl w:ilvl="0" w:tentative="0">
      <w:start w:val="1"/>
      <w:numFmt w:val="chineseCounting"/>
      <w:suff w:val="nothing"/>
      <w:lvlText w:val="（%1）"/>
      <w:lvlJc w:val="left"/>
      <w:rPr>
        <w:rFonts w:hint="eastAsia"/>
      </w:rPr>
    </w:lvl>
  </w:abstractNum>
  <w:abstractNum w:abstractNumId="2">
    <w:nsid w:val="B302B05F"/>
    <w:multiLevelType w:val="singleLevel"/>
    <w:tmpl w:val="B302B05F"/>
    <w:lvl w:ilvl="0" w:tentative="0">
      <w:start w:val="1"/>
      <w:numFmt w:val="decimal"/>
      <w:suff w:val="nothing"/>
      <w:lvlText w:val="（%1）"/>
      <w:lvlJc w:val="left"/>
    </w:lvl>
  </w:abstractNum>
  <w:abstractNum w:abstractNumId="3">
    <w:nsid w:val="CC9CF724"/>
    <w:multiLevelType w:val="singleLevel"/>
    <w:tmpl w:val="CC9CF724"/>
    <w:lvl w:ilvl="0" w:tentative="0">
      <w:start w:val="1"/>
      <w:numFmt w:val="chineseCounting"/>
      <w:suff w:val="space"/>
      <w:lvlText w:val="第%1章"/>
      <w:lvlJc w:val="left"/>
      <w:rPr>
        <w:rFonts w:hint="eastAsia"/>
      </w:rPr>
    </w:lvl>
  </w:abstractNum>
  <w:abstractNum w:abstractNumId="4">
    <w:nsid w:val="F447AE92"/>
    <w:multiLevelType w:val="singleLevel"/>
    <w:tmpl w:val="F447AE92"/>
    <w:lvl w:ilvl="0" w:tentative="0">
      <w:start w:val="5"/>
      <w:numFmt w:val="decimal"/>
      <w:lvlText w:val="%1."/>
      <w:lvlJc w:val="left"/>
      <w:pPr>
        <w:tabs>
          <w:tab w:val="left" w:pos="312"/>
        </w:tabs>
      </w:pPr>
    </w:lvl>
  </w:abstractNum>
  <w:abstractNum w:abstractNumId="5">
    <w:nsid w:val="F474C9A6"/>
    <w:multiLevelType w:val="singleLevel"/>
    <w:tmpl w:val="F474C9A6"/>
    <w:lvl w:ilvl="0" w:tentative="0">
      <w:start w:val="10"/>
      <w:numFmt w:val="chineseCounting"/>
      <w:suff w:val="space"/>
      <w:lvlText w:val="第%1条"/>
      <w:lvlJc w:val="left"/>
      <w:rPr>
        <w:rFonts w:hint="eastAsia"/>
      </w:rPr>
    </w:lvl>
  </w:abstractNum>
  <w:abstractNum w:abstractNumId="6">
    <w:nsid w:val="F82B1C79"/>
    <w:multiLevelType w:val="singleLevel"/>
    <w:tmpl w:val="F82B1C79"/>
    <w:lvl w:ilvl="0" w:tentative="0">
      <w:start w:val="1"/>
      <w:numFmt w:val="chineseCounting"/>
      <w:suff w:val="nothing"/>
      <w:lvlText w:val="%1、"/>
      <w:lvlJc w:val="left"/>
      <w:pPr>
        <w:ind w:left="0" w:firstLine="420"/>
      </w:pPr>
      <w:rPr>
        <w:rFonts w:hint="eastAsia"/>
      </w:rPr>
    </w:lvl>
  </w:abstractNum>
  <w:abstractNum w:abstractNumId="7">
    <w:nsid w:val="1FD93889"/>
    <w:multiLevelType w:val="singleLevel"/>
    <w:tmpl w:val="1FD93889"/>
    <w:lvl w:ilvl="0" w:tentative="0">
      <w:start w:val="1"/>
      <w:numFmt w:val="decimal"/>
      <w:suff w:val="nothing"/>
      <w:lvlText w:val="（%1）"/>
      <w:lvlJc w:val="left"/>
    </w:lvl>
  </w:abstractNum>
  <w:abstractNum w:abstractNumId="8">
    <w:nsid w:val="4734DCE6"/>
    <w:multiLevelType w:val="singleLevel"/>
    <w:tmpl w:val="4734DCE6"/>
    <w:lvl w:ilvl="0" w:tentative="0">
      <w:start w:val="1"/>
      <w:numFmt w:val="decimal"/>
      <w:lvlText w:val="%1."/>
      <w:lvlJc w:val="left"/>
      <w:pPr>
        <w:tabs>
          <w:tab w:val="left" w:pos="312"/>
        </w:tabs>
      </w:pPr>
    </w:lvl>
  </w:abstractNum>
  <w:abstractNum w:abstractNumId="9">
    <w:nsid w:val="6313FE0C"/>
    <w:multiLevelType w:val="singleLevel"/>
    <w:tmpl w:val="6313FE0C"/>
    <w:lvl w:ilvl="0" w:tentative="0">
      <w:start w:val="1"/>
      <w:numFmt w:val="decimal"/>
      <w:suff w:val="nothing"/>
      <w:lvlText w:val="（%1）"/>
      <w:lvlJc w:val="left"/>
      <w:rPr>
        <w:rFonts w:hint="default"/>
        <w:b w:val="0"/>
        <w:bCs w:val="0"/>
      </w:rPr>
    </w:lvl>
  </w:abstractNum>
  <w:abstractNum w:abstractNumId="10">
    <w:nsid w:val="705D32C3"/>
    <w:multiLevelType w:val="singleLevel"/>
    <w:tmpl w:val="705D32C3"/>
    <w:lvl w:ilvl="0" w:tentative="0">
      <w:start w:val="5"/>
      <w:numFmt w:val="decimal"/>
      <w:lvlText w:val="%1."/>
      <w:lvlJc w:val="left"/>
      <w:pPr>
        <w:tabs>
          <w:tab w:val="left" w:pos="312"/>
        </w:tabs>
      </w:pPr>
    </w:lvl>
  </w:abstractNum>
  <w:abstractNum w:abstractNumId="11">
    <w:nsid w:val="739A4941"/>
    <w:multiLevelType w:val="singleLevel"/>
    <w:tmpl w:val="739A4941"/>
    <w:lvl w:ilvl="0" w:tentative="0">
      <w:start w:val="1"/>
      <w:numFmt w:val="chineseCounting"/>
      <w:suff w:val="nothing"/>
      <w:lvlText w:val="%1、"/>
      <w:lvlJc w:val="left"/>
      <w:pPr>
        <w:ind w:left="0" w:firstLine="420"/>
      </w:pPr>
      <w:rPr>
        <w:rFonts w:hint="eastAsia"/>
      </w:rPr>
    </w:lvl>
  </w:abstractNum>
  <w:num w:numId="1">
    <w:abstractNumId w:val="3"/>
  </w:num>
  <w:num w:numId="2">
    <w:abstractNumId w:val="10"/>
  </w:num>
  <w:num w:numId="3">
    <w:abstractNumId w:val="8"/>
  </w:num>
  <w:num w:numId="4">
    <w:abstractNumId w:val="1"/>
  </w:num>
  <w:num w:numId="5">
    <w:abstractNumId w:val="11"/>
  </w:num>
  <w:num w:numId="6">
    <w:abstractNumId w:val="0"/>
  </w:num>
  <w:num w:numId="7">
    <w:abstractNumId w:val="9"/>
  </w:num>
  <w:num w:numId="8">
    <w:abstractNumId w:val="4"/>
  </w:num>
  <w:num w:numId="9">
    <w:abstractNumId w:val="2"/>
  </w:num>
  <w:num w:numId="10">
    <w:abstractNumId w:val="5"/>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BjOTRjOWMzMTM2YTA0OWJlZDMxYmQ1YzExZDY3ZmYifQ=="/>
  </w:docVars>
  <w:rsids>
    <w:rsidRoot w:val="005D618A"/>
    <w:rsid w:val="00292BAB"/>
    <w:rsid w:val="003D60BA"/>
    <w:rsid w:val="00411689"/>
    <w:rsid w:val="005D618A"/>
    <w:rsid w:val="00781E2B"/>
    <w:rsid w:val="00911ECD"/>
    <w:rsid w:val="00A042E0"/>
    <w:rsid w:val="00A41FE3"/>
    <w:rsid w:val="00B26BB1"/>
    <w:rsid w:val="00B26E21"/>
    <w:rsid w:val="00F83B64"/>
    <w:rsid w:val="011A30DE"/>
    <w:rsid w:val="013E3461"/>
    <w:rsid w:val="01B10E8E"/>
    <w:rsid w:val="02090C75"/>
    <w:rsid w:val="02A23A3C"/>
    <w:rsid w:val="02BC02E4"/>
    <w:rsid w:val="02E5725D"/>
    <w:rsid w:val="03266483"/>
    <w:rsid w:val="035D130A"/>
    <w:rsid w:val="039101E8"/>
    <w:rsid w:val="039110A9"/>
    <w:rsid w:val="03AC246A"/>
    <w:rsid w:val="03B10EED"/>
    <w:rsid w:val="03B23056"/>
    <w:rsid w:val="03DC3EBA"/>
    <w:rsid w:val="03F9794D"/>
    <w:rsid w:val="041A2F36"/>
    <w:rsid w:val="046A2461"/>
    <w:rsid w:val="0517294F"/>
    <w:rsid w:val="051C2970"/>
    <w:rsid w:val="058C3E4F"/>
    <w:rsid w:val="059B5791"/>
    <w:rsid w:val="05DB5311"/>
    <w:rsid w:val="05E8504E"/>
    <w:rsid w:val="060C3611"/>
    <w:rsid w:val="06C64829"/>
    <w:rsid w:val="06CA2374"/>
    <w:rsid w:val="06E93894"/>
    <w:rsid w:val="070E7B6E"/>
    <w:rsid w:val="077D16D2"/>
    <w:rsid w:val="078F31C8"/>
    <w:rsid w:val="082A69F3"/>
    <w:rsid w:val="08675FC8"/>
    <w:rsid w:val="09A84B40"/>
    <w:rsid w:val="09B713FD"/>
    <w:rsid w:val="09EF6ACC"/>
    <w:rsid w:val="0A315056"/>
    <w:rsid w:val="0A791FCE"/>
    <w:rsid w:val="0A95009B"/>
    <w:rsid w:val="0AA213B4"/>
    <w:rsid w:val="0AF61C7E"/>
    <w:rsid w:val="0AFB45AD"/>
    <w:rsid w:val="0B351E9B"/>
    <w:rsid w:val="0B4C50D3"/>
    <w:rsid w:val="0B806B92"/>
    <w:rsid w:val="0B827E94"/>
    <w:rsid w:val="0B842F76"/>
    <w:rsid w:val="0BD070E1"/>
    <w:rsid w:val="0C247926"/>
    <w:rsid w:val="0D3C5F7A"/>
    <w:rsid w:val="0D794204"/>
    <w:rsid w:val="0E0733AB"/>
    <w:rsid w:val="0E2125D1"/>
    <w:rsid w:val="0E214211"/>
    <w:rsid w:val="0E5F2769"/>
    <w:rsid w:val="0E63372C"/>
    <w:rsid w:val="0F3167A7"/>
    <w:rsid w:val="0F3E0E8D"/>
    <w:rsid w:val="0F4D75A3"/>
    <w:rsid w:val="0F5B2DCA"/>
    <w:rsid w:val="0FED051E"/>
    <w:rsid w:val="0FEE4C29"/>
    <w:rsid w:val="0FF811FA"/>
    <w:rsid w:val="10031608"/>
    <w:rsid w:val="10046082"/>
    <w:rsid w:val="104974DD"/>
    <w:rsid w:val="111703D2"/>
    <w:rsid w:val="112B101A"/>
    <w:rsid w:val="116474A7"/>
    <w:rsid w:val="119B53FC"/>
    <w:rsid w:val="11F2493A"/>
    <w:rsid w:val="11F612D3"/>
    <w:rsid w:val="1215733B"/>
    <w:rsid w:val="12424CDC"/>
    <w:rsid w:val="129A2738"/>
    <w:rsid w:val="12B56BF1"/>
    <w:rsid w:val="12CB1A89"/>
    <w:rsid w:val="12E52961"/>
    <w:rsid w:val="12FC2BBC"/>
    <w:rsid w:val="131840FB"/>
    <w:rsid w:val="13467417"/>
    <w:rsid w:val="1347382D"/>
    <w:rsid w:val="136E76CF"/>
    <w:rsid w:val="145F08C6"/>
    <w:rsid w:val="15776308"/>
    <w:rsid w:val="15AA6009"/>
    <w:rsid w:val="15BC6B3C"/>
    <w:rsid w:val="16360A7B"/>
    <w:rsid w:val="164D40B0"/>
    <w:rsid w:val="16810F7B"/>
    <w:rsid w:val="1694429A"/>
    <w:rsid w:val="175E59B4"/>
    <w:rsid w:val="17635326"/>
    <w:rsid w:val="17B803EA"/>
    <w:rsid w:val="1815096B"/>
    <w:rsid w:val="18236EFD"/>
    <w:rsid w:val="18502F73"/>
    <w:rsid w:val="189D5B1F"/>
    <w:rsid w:val="18A34CD0"/>
    <w:rsid w:val="19A53EA8"/>
    <w:rsid w:val="19B64DBC"/>
    <w:rsid w:val="19C2650F"/>
    <w:rsid w:val="19EC6A4A"/>
    <w:rsid w:val="1A1E5348"/>
    <w:rsid w:val="1A373ACF"/>
    <w:rsid w:val="1A6607D7"/>
    <w:rsid w:val="1A895341"/>
    <w:rsid w:val="1B0D071F"/>
    <w:rsid w:val="1B4568CE"/>
    <w:rsid w:val="1B9015B7"/>
    <w:rsid w:val="1B950DA6"/>
    <w:rsid w:val="1BF54245"/>
    <w:rsid w:val="1C4E2958"/>
    <w:rsid w:val="1CA42FF7"/>
    <w:rsid w:val="1CF10155"/>
    <w:rsid w:val="1D0E6976"/>
    <w:rsid w:val="1D5A79EE"/>
    <w:rsid w:val="1E0E2CD0"/>
    <w:rsid w:val="1E117D57"/>
    <w:rsid w:val="1E132458"/>
    <w:rsid w:val="1E3A5EB2"/>
    <w:rsid w:val="1E6E0EED"/>
    <w:rsid w:val="1E831280"/>
    <w:rsid w:val="1EB83620"/>
    <w:rsid w:val="1EBC4704"/>
    <w:rsid w:val="1F172EB5"/>
    <w:rsid w:val="1F617814"/>
    <w:rsid w:val="1F94592D"/>
    <w:rsid w:val="1FB860DE"/>
    <w:rsid w:val="1FBD2F3A"/>
    <w:rsid w:val="1FF72257"/>
    <w:rsid w:val="20007344"/>
    <w:rsid w:val="203C5A02"/>
    <w:rsid w:val="2073216D"/>
    <w:rsid w:val="209D4C94"/>
    <w:rsid w:val="20E84705"/>
    <w:rsid w:val="21605B16"/>
    <w:rsid w:val="218400BA"/>
    <w:rsid w:val="21880F1C"/>
    <w:rsid w:val="219A6382"/>
    <w:rsid w:val="21A8797C"/>
    <w:rsid w:val="21AB1E2F"/>
    <w:rsid w:val="21C9103C"/>
    <w:rsid w:val="21CE6CB6"/>
    <w:rsid w:val="21D40498"/>
    <w:rsid w:val="22151EDC"/>
    <w:rsid w:val="22767047"/>
    <w:rsid w:val="228F6289"/>
    <w:rsid w:val="229323DA"/>
    <w:rsid w:val="22F64717"/>
    <w:rsid w:val="23A05588"/>
    <w:rsid w:val="240476A1"/>
    <w:rsid w:val="24D77833"/>
    <w:rsid w:val="24E279BE"/>
    <w:rsid w:val="25431AEB"/>
    <w:rsid w:val="25BA1A2C"/>
    <w:rsid w:val="25BE3BFB"/>
    <w:rsid w:val="25BF43FD"/>
    <w:rsid w:val="25F86BCD"/>
    <w:rsid w:val="2605748B"/>
    <w:rsid w:val="264544A6"/>
    <w:rsid w:val="26505AD0"/>
    <w:rsid w:val="269E416A"/>
    <w:rsid w:val="26C11C6B"/>
    <w:rsid w:val="272100D3"/>
    <w:rsid w:val="272C72FC"/>
    <w:rsid w:val="275131CB"/>
    <w:rsid w:val="27B43ACC"/>
    <w:rsid w:val="27EB149D"/>
    <w:rsid w:val="27F93F1F"/>
    <w:rsid w:val="27FD3E52"/>
    <w:rsid w:val="28077EE6"/>
    <w:rsid w:val="28A6098D"/>
    <w:rsid w:val="28E11370"/>
    <w:rsid w:val="294A756A"/>
    <w:rsid w:val="29653DEE"/>
    <w:rsid w:val="29781BF8"/>
    <w:rsid w:val="29C33ED0"/>
    <w:rsid w:val="29D5322D"/>
    <w:rsid w:val="2A025DD9"/>
    <w:rsid w:val="2A2619CB"/>
    <w:rsid w:val="2A7C2231"/>
    <w:rsid w:val="2ABB753D"/>
    <w:rsid w:val="2AE1155E"/>
    <w:rsid w:val="2AFE6EC4"/>
    <w:rsid w:val="2B7A49FA"/>
    <w:rsid w:val="2C22422B"/>
    <w:rsid w:val="2C615D26"/>
    <w:rsid w:val="2C862573"/>
    <w:rsid w:val="2CB679ED"/>
    <w:rsid w:val="2CE657FC"/>
    <w:rsid w:val="2CF06EA7"/>
    <w:rsid w:val="2D173C07"/>
    <w:rsid w:val="2D424A86"/>
    <w:rsid w:val="2DDA66B7"/>
    <w:rsid w:val="2E7B52DB"/>
    <w:rsid w:val="2ED60115"/>
    <w:rsid w:val="2F1A7BB5"/>
    <w:rsid w:val="2F324CFE"/>
    <w:rsid w:val="2FBA09F1"/>
    <w:rsid w:val="2FEF2ACF"/>
    <w:rsid w:val="3005212B"/>
    <w:rsid w:val="30507C57"/>
    <w:rsid w:val="30540211"/>
    <w:rsid w:val="30AF18A8"/>
    <w:rsid w:val="31112A0D"/>
    <w:rsid w:val="311F4B20"/>
    <w:rsid w:val="312B1A2F"/>
    <w:rsid w:val="312D7741"/>
    <w:rsid w:val="316F137F"/>
    <w:rsid w:val="31921B83"/>
    <w:rsid w:val="31DF525F"/>
    <w:rsid w:val="31EC162B"/>
    <w:rsid w:val="31EF6F01"/>
    <w:rsid w:val="32324C2E"/>
    <w:rsid w:val="327171DF"/>
    <w:rsid w:val="332619FE"/>
    <w:rsid w:val="335214F5"/>
    <w:rsid w:val="33707BCD"/>
    <w:rsid w:val="341E3434"/>
    <w:rsid w:val="34314BF4"/>
    <w:rsid w:val="346C27AD"/>
    <w:rsid w:val="34750480"/>
    <w:rsid w:val="34BB4442"/>
    <w:rsid w:val="35406FCC"/>
    <w:rsid w:val="35F165B8"/>
    <w:rsid w:val="36014EA7"/>
    <w:rsid w:val="360B7EBA"/>
    <w:rsid w:val="36416867"/>
    <w:rsid w:val="369C32FD"/>
    <w:rsid w:val="36B44275"/>
    <w:rsid w:val="36E45A71"/>
    <w:rsid w:val="37666E72"/>
    <w:rsid w:val="38081EA3"/>
    <w:rsid w:val="38167A04"/>
    <w:rsid w:val="381C3783"/>
    <w:rsid w:val="38A50319"/>
    <w:rsid w:val="38C2132C"/>
    <w:rsid w:val="394B167A"/>
    <w:rsid w:val="39533508"/>
    <w:rsid w:val="39BB4340"/>
    <w:rsid w:val="39D8535B"/>
    <w:rsid w:val="39DA2868"/>
    <w:rsid w:val="3A055F4B"/>
    <w:rsid w:val="3A161905"/>
    <w:rsid w:val="3A4E4336"/>
    <w:rsid w:val="3A6007FE"/>
    <w:rsid w:val="3AA06FEA"/>
    <w:rsid w:val="3AF93D6C"/>
    <w:rsid w:val="3B700E50"/>
    <w:rsid w:val="3B7C2CE4"/>
    <w:rsid w:val="3BAF716B"/>
    <w:rsid w:val="3BBA7BED"/>
    <w:rsid w:val="3C0B5355"/>
    <w:rsid w:val="3C6568F8"/>
    <w:rsid w:val="3CD4176B"/>
    <w:rsid w:val="3D1363A7"/>
    <w:rsid w:val="3D1F44D9"/>
    <w:rsid w:val="3D434194"/>
    <w:rsid w:val="3D4E68CF"/>
    <w:rsid w:val="3D5C38CD"/>
    <w:rsid w:val="3DD1528B"/>
    <w:rsid w:val="3E4F473A"/>
    <w:rsid w:val="3E5070F1"/>
    <w:rsid w:val="3EC370CB"/>
    <w:rsid w:val="3F6C3589"/>
    <w:rsid w:val="3F850180"/>
    <w:rsid w:val="3F9004D6"/>
    <w:rsid w:val="3FB6739D"/>
    <w:rsid w:val="3FD1054C"/>
    <w:rsid w:val="400E4D5E"/>
    <w:rsid w:val="403A2A18"/>
    <w:rsid w:val="40E1138C"/>
    <w:rsid w:val="40F260C6"/>
    <w:rsid w:val="413814BA"/>
    <w:rsid w:val="41872511"/>
    <w:rsid w:val="41DF1251"/>
    <w:rsid w:val="42267E42"/>
    <w:rsid w:val="424236D9"/>
    <w:rsid w:val="42466655"/>
    <w:rsid w:val="42585198"/>
    <w:rsid w:val="426C40CF"/>
    <w:rsid w:val="429C278D"/>
    <w:rsid w:val="42C82F57"/>
    <w:rsid w:val="435707E5"/>
    <w:rsid w:val="435B01A2"/>
    <w:rsid w:val="43C76AF7"/>
    <w:rsid w:val="43E97E4A"/>
    <w:rsid w:val="44194806"/>
    <w:rsid w:val="446828F0"/>
    <w:rsid w:val="45093E85"/>
    <w:rsid w:val="452E7F21"/>
    <w:rsid w:val="45C13B4D"/>
    <w:rsid w:val="45E13FD2"/>
    <w:rsid w:val="46054BCA"/>
    <w:rsid w:val="46155A15"/>
    <w:rsid w:val="464C6AFC"/>
    <w:rsid w:val="468B0091"/>
    <w:rsid w:val="46A107C3"/>
    <w:rsid w:val="46B15CE2"/>
    <w:rsid w:val="46BE113D"/>
    <w:rsid w:val="46E44B13"/>
    <w:rsid w:val="4703508A"/>
    <w:rsid w:val="475023F8"/>
    <w:rsid w:val="479D361E"/>
    <w:rsid w:val="47B74789"/>
    <w:rsid w:val="480908C5"/>
    <w:rsid w:val="480F2B9D"/>
    <w:rsid w:val="48282920"/>
    <w:rsid w:val="485321E0"/>
    <w:rsid w:val="48546AD3"/>
    <w:rsid w:val="486D6494"/>
    <w:rsid w:val="486F5771"/>
    <w:rsid w:val="48A4418B"/>
    <w:rsid w:val="48C730CC"/>
    <w:rsid w:val="48CA4868"/>
    <w:rsid w:val="48F005D3"/>
    <w:rsid w:val="49221A3F"/>
    <w:rsid w:val="49342246"/>
    <w:rsid w:val="4940533A"/>
    <w:rsid w:val="49547ADD"/>
    <w:rsid w:val="49732351"/>
    <w:rsid w:val="498F4AF1"/>
    <w:rsid w:val="49C05787"/>
    <w:rsid w:val="49CF518D"/>
    <w:rsid w:val="4A8E3BC6"/>
    <w:rsid w:val="4ADA1F63"/>
    <w:rsid w:val="4AE23D89"/>
    <w:rsid w:val="4B0610EB"/>
    <w:rsid w:val="4B2038D0"/>
    <w:rsid w:val="4B296E7D"/>
    <w:rsid w:val="4B79394E"/>
    <w:rsid w:val="4B7C76A6"/>
    <w:rsid w:val="4B86222C"/>
    <w:rsid w:val="4B877F28"/>
    <w:rsid w:val="4C0118B3"/>
    <w:rsid w:val="4C264E09"/>
    <w:rsid w:val="4D916BA6"/>
    <w:rsid w:val="4DC44169"/>
    <w:rsid w:val="4DE24E21"/>
    <w:rsid w:val="4DF74426"/>
    <w:rsid w:val="4E165AE9"/>
    <w:rsid w:val="4E1B19A3"/>
    <w:rsid w:val="4E48787F"/>
    <w:rsid w:val="4EF0709E"/>
    <w:rsid w:val="4F0469A4"/>
    <w:rsid w:val="4F3855EC"/>
    <w:rsid w:val="4FF77255"/>
    <w:rsid w:val="4FFE6835"/>
    <w:rsid w:val="50373AF5"/>
    <w:rsid w:val="50540C73"/>
    <w:rsid w:val="50C66809"/>
    <w:rsid w:val="513C6A7B"/>
    <w:rsid w:val="51B4471F"/>
    <w:rsid w:val="521B1C6E"/>
    <w:rsid w:val="53075694"/>
    <w:rsid w:val="532D486F"/>
    <w:rsid w:val="5333545B"/>
    <w:rsid w:val="53377686"/>
    <w:rsid w:val="538D0E89"/>
    <w:rsid w:val="53904056"/>
    <w:rsid w:val="5450213C"/>
    <w:rsid w:val="54AD696F"/>
    <w:rsid w:val="54D24048"/>
    <w:rsid w:val="54D64CD5"/>
    <w:rsid w:val="55887D69"/>
    <w:rsid w:val="559D1FF3"/>
    <w:rsid w:val="55F710D8"/>
    <w:rsid w:val="561A0928"/>
    <w:rsid w:val="56411346"/>
    <w:rsid w:val="56423872"/>
    <w:rsid w:val="56425619"/>
    <w:rsid w:val="569E06BC"/>
    <w:rsid w:val="56B279F0"/>
    <w:rsid w:val="56CE27B7"/>
    <w:rsid w:val="56E63FF6"/>
    <w:rsid w:val="56F20F86"/>
    <w:rsid w:val="579D710E"/>
    <w:rsid w:val="57B9669E"/>
    <w:rsid w:val="57C55A12"/>
    <w:rsid w:val="581F22F6"/>
    <w:rsid w:val="5852097E"/>
    <w:rsid w:val="586E1E17"/>
    <w:rsid w:val="58862C35"/>
    <w:rsid w:val="58C14957"/>
    <w:rsid w:val="58CC23D2"/>
    <w:rsid w:val="58E66050"/>
    <w:rsid w:val="590E7419"/>
    <w:rsid w:val="5967144B"/>
    <w:rsid w:val="5AE83A50"/>
    <w:rsid w:val="5B353193"/>
    <w:rsid w:val="5B7510D0"/>
    <w:rsid w:val="5BAB2917"/>
    <w:rsid w:val="5BFC33FA"/>
    <w:rsid w:val="5C3107A4"/>
    <w:rsid w:val="5C3B1B93"/>
    <w:rsid w:val="5C670B79"/>
    <w:rsid w:val="5C81182E"/>
    <w:rsid w:val="5C9220DF"/>
    <w:rsid w:val="5CA54B0C"/>
    <w:rsid w:val="5CA82437"/>
    <w:rsid w:val="5CFC20DC"/>
    <w:rsid w:val="5D27718B"/>
    <w:rsid w:val="5D4A15F3"/>
    <w:rsid w:val="5D69542A"/>
    <w:rsid w:val="5D783B72"/>
    <w:rsid w:val="5E0930EF"/>
    <w:rsid w:val="5E3D4D53"/>
    <w:rsid w:val="5E4717E6"/>
    <w:rsid w:val="5E55774C"/>
    <w:rsid w:val="5E8A70FF"/>
    <w:rsid w:val="5E9E133B"/>
    <w:rsid w:val="5F322AB5"/>
    <w:rsid w:val="5FE939FF"/>
    <w:rsid w:val="60045F96"/>
    <w:rsid w:val="60104DDC"/>
    <w:rsid w:val="604376AF"/>
    <w:rsid w:val="605C0804"/>
    <w:rsid w:val="60AB6421"/>
    <w:rsid w:val="616E30EF"/>
    <w:rsid w:val="6189617B"/>
    <w:rsid w:val="61A7250C"/>
    <w:rsid w:val="61B52BB6"/>
    <w:rsid w:val="61B749C2"/>
    <w:rsid w:val="62280D20"/>
    <w:rsid w:val="62CA2457"/>
    <w:rsid w:val="638240A1"/>
    <w:rsid w:val="63833423"/>
    <w:rsid w:val="63901267"/>
    <w:rsid w:val="63A5257B"/>
    <w:rsid w:val="63BD3DCC"/>
    <w:rsid w:val="63C61741"/>
    <w:rsid w:val="63C67B5B"/>
    <w:rsid w:val="64560967"/>
    <w:rsid w:val="656B1D10"/>
    <w:rsid w:val="65B841F9"/>
    <w:rsid w:val="66022B28"/>
    <w:rsid w:val="664A38E2"/>
    <w:rsid w:val="66581E87"/>
    <w:rsid w:val="66960509"/>
    <w:rsid w:val="66FA11D5"/>
    <w:rsid w:val="674302C7"/>
    <w:rsid w:val="67722811"/>
    <w:rsid w:val="680A5986"/>
    <w:rsid w:val="680D5F4B"/>
    <w:rsid w:val="68113F51"/>
    <w:rsid w:val="686066B7"/>
    <w:rsid w:val="68621EB4"/>
    <w:rsid w:val="68E94770"/>
    <w:rsid w:val="68F949C9"/>
    <w:rsid w:val="695A4290"/>
    <w:rsid w:val="6A194D45"/>
    <w:rsid w:val="6A334932"/>
    <w:rsid w:val="6A3353FF"/>
    <w:rsid w:val="6A5D63E6"/>
    <w:rsid w:val="6A5F24D1"/>
    <w:rsid w:val="6ABA2F89"/>
    <w:rsid w:val="6ACA70C4"/>
    <w:rsid w:val="6AE347EB"/>
    <w:rsid w:val="6B277CD9"/>
    <w:rsid w:val="6B330365"/>
    <w:rsid w:val="6B434AF0"/>
    <w:rsid w:val="6B57675A"/>
    <w:rsid w:val="6B87098A"/>
    <w:rsid w:val="6BDD7B4D"/>
    <w:rsid w:val="6BE2768C"/>
    <w:rsid w:val="6C766D7B"/>
    <w:rsid w:val="6D1E3419"/>
    <w:rsid w:val="6D1F4711"/>
    <w:rsid w:val="6D7E285B"/>
    <w:rsid w:val="6DD91B58"/>
    <w:rsid w:val="6E283E10"/>
    <w:rsid w:val="6EBC0B3A"/>
    <w:rsid w:val="6EF51C7D"/>
    <w:rsid w:val="6F165095"/>
    <w:rsid w:val="6F8363E5"/>
    <w:rsid w:val="6FA80CCD"/>
    <w:rsid w:val="6FAC3CC5"/>
    <w:rsid w:val="6FC746F5"/>
    <w:rsid w:val="6FD46655"/>
    <w:rsid w:val="6FED70D1"/>
    <w:rsid w:val="70317AC6"/>
    <w:rsid w:val="704B26F7"/>
    <w:rsid w:val="70697B21"/>
    <w:rsid w:val="70863262"/>
    <w:rsid w:val="70A76ED3"/>
    <w:rsid w:val="713E2ADE"/>
    <w:rsid w:val="7176618F"/>
    <w:rsid w:val="71860B17"/>
    <w:rsid w:val="71BA50B4"/>
    <w:rsid w:val="723B27CC"/>
    <w:rsid w:val="72687227"/>
    <w:rsid w:val="729F49FC"/>
    <w:rsid w:val="72A03FD9"/>
    <w:rsid w:val="730B2E59"/>
    <w:rsid w:val="73406CFF"/>
    <w:rsid w:val="7383028C"/>
    <w:rsid w:val="73A25E44"/>
    <w:rsid w:val="741F68CF"/>
    <w:rsid w:val="75252DF3"/>
    <w:rsid w:val="752C27C6"/>
    <w:rsid w:val="75621536"/>
    <w:rsid w:val="757A0459"/>
    <w:rsid w:val="75AD0232"/>
    <w:rsid w:val="75B77EEF"/>
    <w:rsid w:val="75BF3154"/>
    <w:rsid w:val="75C24B8E"/>
    <w:rsid w:val="75F11D4D"/>
    <w:rsid w:val="764A07CF"/>
    <w:rsid w:val="764F6B3D"/>
    <w:rsid w:val="76CD2B7B"/>
    <w:rsid w:val="76D80645"/>
    <w:rsid w:val="76DD4B47"/>
    <w:rsid w:val="76E03371"/>
    <w:rsid w:val="777A4144"/>
    <w:rsid w:val="77BE2069"/>
    <w:rsid w:val="77DA2E34"/>
    <w:rsid w:val="780E5898"/>
    <w:rsid w:val="782642CC"/>
    <w:rsid w:val="78856D19"/>
    <w:rsid w:val="7894095E"/>
    <w:rsid w:val="78964555"/>
    <w:rsid w:val="78CF4963"/>
    <w:rsid w:val="79000679"/>
    <w:rsid w:val="791C0FE5"/>
    <w:rsid w:val="79A416F0"/>
    <w:rsid w:val="79B03EB6"/>
    <w:rsid w:val="79B052F4"/>
    <w:rsid w:val="7A9F7219"/>
    <w:rsid w:val="7AA915F8"/>
    <w:rsid w:val="7AE15A5C"/>
    <w:rsid w:val="7AF0272D"/>
    <w:rsid w:val="7AF37579"/>
    <w:rsid w:val="7AF87F64"/>
    <w:rsid w:val="7B1C0C84"/>
    <w:rsid w:val="7B5A62DF"/>
    <w:rsid w:val="7B7A04A8"/>
    <w:rsid w:val="7C0C3F6D"/>
    <w:rsid w:val="7C22163C"/>
    <w:rsid w:val="7C457B4B"/>
    <w:rsid w:val="7C595075"/>
    <w:rsid w:val="7C5B09E8"/>
    <w:rsid w:val="7C6B07B2"/>
    <w:rsid w:val="7C9C15A1"/>
    <w:rsid w:val="7D133243"/>
    <w:rsid w:val="7D945420"/>
    <w:rsid w:val="7DDD4E9C"/>
    <w:rsid w:val="7DEC38C1"/>
    <w:rsid w:val="7E394207"/>
    <w:rsid w:val="7E4007A2"/>
    <w:rsid w:val="7E457054"/>
    <w:rsid w:val="7E791CAD"/>
    <w:rsid w:val="7EA50DFB"/>
    <w:rsid w:val="7EB1784D"/>
    <w:rsid w:val="7EC86878"/>
    <w:rsid w:val="7F16390D"/>
    <w:rsid w:val="7F5962E4"/>
    <w:rsid w:val="7F752917"/>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2"/>
    <w:qFormat/>
    <w:uiPriority w:val="9"/>
    <w:pPr>
      <w:keepNext/>
      <w:keepLines/>
      <w:spacing w:before="340" w:after="330" w:line="578" w:lineRule="auto"/>
      <w:jc w:val="center"/>
      <w:outlineLvl w:val="0"/>
    </w:pPr>
    <w:rPr>
      <w:rFonts w:eastAsia="方正小标宋简体"/>
      <w:bCs/>
      <w:kern w:val="44"/>
      <w:sz w:val="44"/>
      <w:szCs w:val="44"/>
    </w:rPr>
  </w:style>
  <w:style w:type="paragraph" w:styleId="4">
    <w:name w:val="heading 2"/>
    <w:basedOn w:val="1"/>
    <w:next w:val="1"/>
    <w:link w:val="33"/>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5">
    <w:name w:val="heading 3"/>
    <w:basedOn w:val="1"/>
    <w:next w:val="1"/>
    <w:link w:val="34"/>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6">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6">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7">
    <w:name w:val="annotation text"/>
    <w:basedOn w:val="1"/>
    <w:semiHidden/>
    <w:unhideWhenUsed/>
    <w:qFormat/>
    <w:uiPriority w:val="99"/>
    <w:pPr>
      <w:jc w:val="left"/>
    </w:pPr>
  </w:style>
  <w:style w:type="paragraph" w:styleId="8">
    <w:name w:val="Body Text 3"/>
    <w:basedOn w:val="1"/>
    <w:link w:val="42"/>
    <w:unhideWhenUsed/>
    <w:qFormat/>
    <w:uiPriority w:val="99"/>
    <w:pPr>
      <w:spacing w:after="120"/>
    </w:pPr>
    <w:rPr>
      <w:sz w:val="16"/>
      <w:szCs w:val="16"/>
    </w:rPr>
  </w:style>
  <w:style w:type="paragraph" w:styleId="9">
    <w:name w:val="Body Text"/>
    <w:basedOn w:val="1"/>
    <w:next w:val="10"/>
    <w:qFormat/>
    <w:uiPriority w:val="99"/>
    <w:pPr>
      <w:spacing w:after="120"/>
    </w:pPr>
  </w:style>
  <w:style w:type="paragraph" w:styleId="10">
    <w:name w:val="Body Text 2"/>
    <w:basedOn w:val="1"/>
    <w:qFormat/>
    <w:uiPriority w:val="0"/>
    <w:pPr>
      <w:spacing w:after="120" w:line="480" w:lineRule="auto"/>
    </w:pPr>
  </w:style>
  <w:style w:type="paragraph" w:styleId="11">
    <w:name w:val="Body Text Indent"/>
    <w:basedOn w:val="1"/>
    <w:next w:val="12"/>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2">
    <w:name w:val="envelope return"/>
    <w:basedOn w:val="1"/>
    <w:qFormat/>
    <w:uiPriority w:val="0"/>
    <w:pPr>
      <w:snapToGrid w:val="0"/>
    </w:pPr>
    <w:rPr>
      <w:rFonts w:ascii="Arial" w:hAnsi="Arial"/>
    </w:rPr>
  </w:style>
  <w:style w:type="paragraph" w:styleId="13">
    <w:name w:val="toc 3"/>
    <w:basedOn w:val="1"/>
    <w:next w:val="1"/>
    <w:unhideWhenUsed/>
    <w:qFormat/>
    <w:uiPriority w:val="39"/>
    <w:pPr>
      <w:widowControl/>
      <w:spacing w:after="100" w:line="276" w:lineRule="auto"/>
      <w:ind w:left="440"/>
      <w:jc w:val="left"/>
    </w:pPr>
    <w:rPr>
      <w:kern w:val="0"/>
      <w:sz w:val="22"/>
    </w:rPr>
  </w:style>
  <w:style w:type="paragraph" w:styleId="14">
    <w:name w:val="Plain Text"/>
    <w:basedOn w:val="1"/>
    <w:next w:val="15"/>
    <w:qFormat/>
    <w:uiPriority w:val="0"/>
    <w:rPr>
      <w:rFonts w:ascii="宋体" w:hAnsi="Courier New"/>
      <w:szCs w:val="21"/>
    </w:rPr>
  </w:style>
  <w:style w:type="paragraph" w:customStyle="1" w:styleId="15">
    <w:name w:val="Default"/>
    <w:next w:val="16"/>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6">
    <w:name w:val="List"/>
    <w:basedOn w:val="1"/>
    <w:next w:val="1"/>
    <w:qFormat/>
    <w:uiPriority w:val="0"/>
    <w:pPr>
      <w:snapToGrid w:val="0"/>
    </w:pPr>
    <w:rPr>
      <w:szCs w:val="24"/>
    </w:rPr>
  </w:style>
  <w:style w:type="paragraph" w:styleId="17">
    <w:name w:val="Balloon Text"/>
    <w:basedOn w:val="1"/>
    <w:link w:val="37"/>
    <w:semiHidden/>
    <w:unhideWhenUsed/>
    <w:qFormat/>
    <w:uiPriority w:val="99"/>
    <w:rPr>
      <w:sz w:val="18"/>
      <w:szCs w:val="18"/>
    </w:rPr>
  </w:style>
  <w:style w:type="paragraph" w:styleId="18">
    <w:name w:val="footer"/>
    <w:basedOn w:val="1"/>
    <w:link w:val="31"/>
    <w:unhideWhenUsed/>
    <w:qFormat/>
    <w:uiPriority w:val="99"/>
    <w:pPr>
      <w:tabs>
        <w:tab w:val="center" w:pos="4153"/>
        <w:tab w:val="right" w:pos="8306"/>
      </w:tabs>
      <w:snapToGrid w:val="0"/>
      <w:jc w:val="left"/>
    </w:pPr>
    <w:rPr>
      <w:sz w:val="18"/>
      <w:szCs w:val="18"/>
    </w:rPr>
  </w:style>
  <w:style w:type="paragraph" w:styleId="19">
    <w:name w:val="header"/>
    <w:basedOn w:val="1"/>
    <w:link w:val="3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kern w:val="0"/>
      <w:sz w:val="22"/>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3">
    <w:name w:val="Body Text First Indent 2"/>
    <w:basedOn w:val="11"/>
    <w:qFormat/>
    <w:uiPriority w:val="0"/>
    <w:pPr>
      <w:adjustRightInd w:val="0"/>
      <w:spacing w:line="360" w:lineRule="auto"/>
      <w:ind w:left="0" w:leftChars="0" w:firstLine="420"/>
      <w:textAlignment w:val="baseline"/>
    </w:pPr>
    <w:rPr>
      <w:rFonts w:eastAsia="等线" w:cs="Times New Roman"/>
      <w:color w:val="000000"/>
      <w:szCs w:val="24"/>
    </w:rPr>
  </w:style>
  <w:style w:type="table" w:styleId="25">
    <w:name w:val="Table Grid"/>
    <w:basedOn w:val="2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7">
    <w:name w:val="Strong"/>
    <w:basedOn w:val="26"/>
    <w:qFormat/>
    <w:uiPriority w:val="22"/>
    <w:rPr>
      <w:b/>
      <w:bCs/>
    </w:rPr>
  </w:style>
  <w:style w:type="character" w:styleId="28">
    <w:name w:val="Hyperlink"/>
    <w:basedOn w:val="26"/>
    <w:unhideWhenUsed/>
    <w:qFormat/>
    <w:uiPriority w:val="99"/>
    <w:rPr>
      <w:color w:val="0000FF" w:themeColor="hyperlink"/>
      <w:u w:val="single"/>
      <w14:textFill>
        <w14:solidFill>
          <w14:schemeClr w14:val="hlink"/>
        </w14:solidFill>
      </w14:textFill>
    </w:rPr>
  </w:style>
  <w:style w:type="paragraph" w:customStyle="1" w:styleId="29">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character" w:customStyle="1" w:styleId="30">
    <w:name w:val="页眉 Char"/>
    <w:basedOn w:val="26"/>
    <w:link w:val="19"/>
    <w:semiHidden/>
    <w:qFormat/>
    <w:uiPriority w:val="99"/>
    <w:rPr>
      <w:sz w:val="18"/>
      <w:szCs w:val="18"/>
    </w:rPr>
  </w:style>
  <w:style w:type="character" w:customStyle="1" w:styleId="31">
    <w:name w:val="页脚 Char"/>
    <w:basedOn w:val="26"/>
    <w:link w:val="18"/>
    <w:qFormat/>
    <w:uiPriority w:val="99"/>
    <w:rPr>
      <w:sz w:val="18"/>
      <w:szCs w:val="18"/>
    </w:rPr>
  </w:style>
  <w:style w:type="character" w:customStyle="1" w:styleId="32">
    <w:name w:val="标题 1 Char"/>
    <w:basedOn w:val="26"/>
    <w:link w:val="3"/>
    <w:qFormat/>
    <w:uiPriority w:val="9"/>
    <w:rPr>
      <w:rFonts w:eastAsia="方正小标宋简体"/>
      <w:bCs/>
      <w:kern w:val="44"/>
      <w:sz w:val="44"/>
      <w:szCs w:val="44"/>
    </w:rPr>
  </w:style>
  <w:style w:type="character" w:customStyle="1" w:styleId="33">
    <w:name w:val="标题 2 Char"/>
    <w:basedOn w:val="26"/>
    <w:link w:val="4"/>
    <w:qFormat/>
    <w:uiPriority w:val="9"/>
    <w:rPr>
      <w:rFonts w:eastAsia="方正小标宋简体" w:asciiTheme="majorHAnsi" w:hAnsiTheme="majorHAnsi" w:cstheme="majorBidi"/>
      <w:bCs/>
      <w:sz w:val="36"/>
      <w:szCs w:val="32"/>
    </w:rPr>
  </w:style>
  <w:style w:type="character" w:customStyle="1" w:styleId="34">
    <w:name w:val="标题 3 Char"/>
    <w:basedOn w:val="26"/>
    <w:link w:val="5"/>
    <w:qFormat/>
    <w:uiPriority w:val="9"/>
    <w:rPr>
      <w:rFonts w:ascii="Calibri" w:hAnsi="Calibri" w:eastAsia="宋体" w:cs="Times New Roman"/>
      <w:b/>
      <w:bCs/>
      <w:sz w:val="32"/>
      <w:szCs w:val="32"/>
    </w:rPr>
  </w:style>
  <w:style w:type="paragraph" w:styleId="35">
    <w:name w:val="List Paragraph"/>
    <w:basedOn w:val="1"/>
    <w:link w:val="43"/>
    <w:qFormat/>
    <w:uiPriority w:val="34"/>
    <w:pPr>
      <w:ind w:firstLine="420" w:firstLineChars="200"/>
    </w:pPr>
  </w:style>
  <w:style w:type="paragraph" w:customStyle="1" w:styleId="36">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7">
    <w:name w:val="批注框文本 Char"/>
    <w:basedOn w:val="26"/>
    <w:link w:val="17"/>
    <w:semiHidden/>
    <w:qFormat/>
    <w:uiPriority w:val="99"/>
    <w:rPr>
      <w:sz w:val="18"/>
      <w:szCs w:val="18"/>
    </w:rPr>
  </w:style>
  <w:style w:type="paragraph" w:styleId="38">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
    <w:name w:val="CM97"/>
    <w:basedOn w:val="15"/>
    <w:next w:val="15"/>
    <w:qFormat/>
    <w:uiPriority w:val="0"/>
    <w:pPr>
      <w:spacing w:after="373"/>
    </w:pPr>
    <w:rPr>
      <w:color w:val="auto"/>
    </w:rPr>
  </w:style>
  <w:style w:type="paragraph" w:customStyle="1" w:styleId="40">
    <w:name w:val="CM91"/>
    <w:basedOn w:val="15"/>
    <w:next w:val="15"/>
    <w:qFormat/>
    <w:uiPriority w:val="0"/>
    <w:pPr>
      <w:spacing w:after="160"/>
    </w:pPr>
    <w:rPr>
      <w:color w:val="auto"/>
    </w:rPr>
  </w:style>
  <w:style w:type="character" w:customStyle="1" w:styleId="41">
    <w:name w:val="正文文本 3 Char"/>
    <w:link w:val="8"/>
    <w:qFormat/>
    <w:uiPriority w:val="99"/>
    <w:rPr>
      <w:sz w:val="16"/>
      <w:szCs w:val="16"/>
    </w:rPr>
  </w:style>
  <w:style w:type="character" w:customStyle="1" w:styleId="42">
    <w:name w:val="正文文本 3 Char1"/>
    <w:basedOn w:val="26"/>
    <w:link w:val="8"/>
    <w:semiHidden/>
    <w:qFormat/>
    <w:uiPriority w:val="99"/>
    <w:rPr>
      <w:sz w:val="16"/>
      <w:szCs w:val="16"/>
    </w:rPr>
  </w:style>
  <w:style w:type="character" w:customStyle="1" w:styleId="43">
    <w:name w:val="列出段落 Char"/>
    <w:link w:val="35"/>
    <w:qFormat/>
    <w:uiPriority w:val="34"/>
  </w:style>
  <w:style w:type="paragraph" w:customStyle="1" w:styleId="44">
    <w:name w:val="1"/>
    <w:basedOn w:val="1"/>
    <w:next w:val="14"/>
    <w:qFormat/>
    <w:uiPriority w:val="99"/>
    <w:pPr>
      <w:widowControl w:val="0"/>
      <w:jc w:val="both"/>
    </w:pPr>
    <w:rPr>
      <w:rFonts w:ascii="宋体" w:hAnsi="Courier New"/>
      <w:kern w:val="2"/>
    </w:rPr>
  </w:style>
  <w:style w:type="paragraph" w:customStyle="1" w:styleId="45">
    <w:name w:val="WPSOffice手动目录 1"/>
    <w:qFormat/>
    <w:uiPriority w:val="0"/>
    <w:pPr>
      <w:ind w:leftChars="0"/>
    </w:pPr>
    <w:rPr>
      <w:rFonts w:asciiTheme="minorHAnsi" w:hAnsiTheme="minorHAnsi" w:eastAsiaTheme="minorEastAsia" w:cstheme="minorBidi"/>
      <w:sz w:val="20"/>
      <w:szCs w:val="20"/>
    </w:rPr>
  </w:style>
  <w:style w:type="paragraph" w:customStyle="1" w:styleId="46">
    <w:name w:val="WPSOffice手动目录 2"/>
    <w:qFormat/>
    <w:uiPriority w:val="0"/>
    <w:pPr>
      <w:ind w:leftChars="200"/>
    </w:pPr>
    <w:rPr>
      <w:rFonts w:asciiTheme="minorHAnsi" w:hAnsiTheme="minorHAnsi" w:eastAsiaTheme="minorEastAsia" w:cstheme="minorBidi"/>
      <w:sz w:val="20"/>
      <w:szCs w:val="20"/>
    </w:rPr>
  </w:style>
  <w:style w:type="paragraph" w:customStyle="1" w:styleId="47">
    <w:name w:val="WPSOffice手动目录 3"/>
    <w:qFormat/>
    <w:uiPriority w:val="0"/>
    <w:pPr>
      <w:ind w:leftChars="400"/>
    </w:pPr>
    <w:rPr>
      <w:rFonts w:asciiTheme="minorHAnsi" w:hAnsiTheme="minorHAnsi" w:eastAsiaTheme="minorEastAsia" w:cstheme="minorBidi"/>
      <w:sz w:val="20"/>
      <w:szCs w:val="20"/>
    </w:rPr>
  </w:style>
  <w:style w:type="paragraph" w:customStyle="1" w:styleId="48">
    <w:name w:val="BodyText"/>
    <w:basedOn w:val="1"/>
    <w:next w:val="49"/>
    <w:qFormat/>
    <w:uiPriority w:val="0"/>
    <w:pPr>
      <w:jc w:val="both"/>
      <w:textAlignment w:val="baseline"/>
    </w:pPr>
    <w:rPr>
      <w:rFonts w:ascii="Times New Roman" w:hAnsi="Times New Roman" w:eastAsia="宋体"/>
      <w:kern w:val="2"/>
      <w:sz w:val="28"/>
      <w:lang w:val="en-US" w:eastAsia="zh-CN" w:bidi="ar-SA"/>
    </w:rPr>
  </w:style>
  <w:style w:type="paragraph" w:customStyle="1" w:styleId="49">
    <w:name w:val="BodyText2"/>
    <w:basedOn w:val="1"/>
    <w:qFormat/>
    <w:uiPriority w:val="0"/>
    <w:pPr>
      <w:spacing w:after="120" w:line="480" w:lineRule="auto"/>
      <w:jc w:val="both"/>
      <w:textAlignment w:val="baseline"/>
    </w:pPr>
  </w:style>
  <w:style w:type="character" w:customStyle="1" w:styleId="50">
    <w:name w:val="font41"/>
    <w:basedOn w:val="26"/>
    <w:qFormat/>
    <w:uiPriority w:val="0"/>
    <w:rPr>
      <w:rFonts w:hint="eastAsia" w:ascii="宋体" w:hAnsi="宋体" w:eastAsia="宋体" w:cs="宋体"/>
      <w:color w:val="000000"/>
      <w:sz w:val="22"/>
      <w:szCs w:val="22"/>
      <w:u w:val="none"/>
    </w:rPr>
  </w:style>
  <w:style w:type="character" w:customStyle="1" w:styleId="51">
    <w:name w:val="font61"/>
    <w:basedOn w:val="26"/>
    <w:qFormat/>
    <w:uiPriority w:val="0"/>
    <w:rPr>
      <w:rFonts w:ascii="Arial" w:hAnsi="Arial" w:cs="Arial"/>
      <w:color w:val="161D2F"/>
      <w:sz w:val="21"/>
      <w:szCs w:val="21"/>
      <w:u w:val="none"/>
    </w:rPr>
  </w:style>
  <w:style w:type="character" w:customStyle="1" w:styleId="52">
    <w:name w:val="font11"/>
    <w:basedOn w:val="26"/>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109</Pages>
  <Words>104</Words>
  <Characters>104</Characters>
  <Lines>300</Lines>
  <Paragraphs>84</Paragraphs>
  <TotalTime>8</TotalTime>
  <ScaleCrop>false</ScaleCrop>
  <LinksUpToDate>false</LinksUpToDate>
  <CharactersWithSpaces>104</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琳</cp:lastModifiedBy>
  <cp:lastPrinted>2024-10-17T06:59:00Z</cp:lastPrinted>
  <dcterms:modified xsi:type="dcterms:W3CDTF">2024-11-20T07:40:15Z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3ADBCD0076C7433F898D49E2A08B14F0_13</vt:lpwstr>
  </property>
</Properties>
</file>