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color w:val="auto"/>
          <w:sz w:val="52"/>
          <w:szCs w:val="52"/>
          <w:highlight w:val="none"/>
        </w:rPr>
      </w:pPr>
      <w:bookmarkStart w:id="92" w:name="_GoBack"/>
      <w:bookmarkEnd w:id="92"/>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广州市净水有限公司流程梳理</w:t>
      </w: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与优化咨询服务项目</w:t>
      </w:r>
    </w:p>
    <w:p>
      <w:pPr>
        <w:pStyle w:val="2"/>
        <w:rPr>
          <w:rFonts w:hint="eastAsia"/>
          <w:color w:val="auto"/>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1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26148"/>
      <w:bookmarkStart w:id="1" w:name="_Toc17696"/>
      <w:bookmarkStart w:id="2" w:name="_Toc18145"/>
      <w:bookmarkStart w:id="3" w:name="_Toc1711"/>
    </w:p>
    <w:p>
      <w:pPr>
        <w:pStyle w:val="1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color w:val="auto"/>
          <w:sz w:val="28"/>
          <w:szCs w:val="28"/>
          <w:highlight w:val="none"/>
        </w:rPr>
      </w:pPr>
      <w:bookmarkStart w:id="4" w:name="_Toc19609"/>
      <w:bookmarkStart w:id="5" w:name="_Toc7519"/>
      <w:bookmarkStart w:id="6" w:name="_Toc31938"/>
      <w:bookmarkStart w:id="7" w:name="_Toc1669"/>
      <w:bookmarkStart w:id="8" w:name="_Toc11322"/>
      <w:bookmarkStart w:id="9" w:name="_Toc4275"/>
      <w:bookmarkStart w:id="10" w:name="_Toc17801"/>
    </w:p>
    <w:p>
      <w:pPr>
        <w:rPr>
          <w:rFonts w:hint="eastAsia" w:ascii="仿宋_GB2312" w:hAnsi="仿宋_GB2312" w:eastAsia="仿宋" w:cs="仿宋_GB2312"/>
          <w:color w:val="auto"/>
          <w:sz w:val="28"/>
          <w:szCs w:val="28"/>
          <w:highlight w:val="none"/>
        </w:rPr>
      </w:pPr>
    </w:p>
    <w:p>
      <w:pPr>
        <w:pBdr>
          <w:bottom w:val="none" w:color="auto" w:sz="0" w:space="0"/>
        </w:pBdr>
        <w:rPr>
          <w:rFonts w:hint="eastAsia" w:ascii="仿宋_GB2312" w:hAnsi="仿宋_GB2312" w:eastAsia="仿宋"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color w:val="auto"/>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13"/>
        <w:rPr>
          <w:rFonts w:ascii="方正小标宋简体" w:eastAsia="仿宋"/>
          <w:color w:val="auto"/>
          <w:sz w:val="44"/>
          <w:szCs w:val="44"/>
          <w:highlight w:val="none"/>
        </w:rPr>
      </w:pPr>
    </w:p>
    <w:p>
      <w:pPr>
        <w:pStyle w:val="13"/>
        <w:rPr>
          <w:rFonts w:ascii="方正小标宋简体" w:eastAsia="仿宋"/>
          <w:color w:val="auto"/>
          <w:sz w:val="44"/>
          <w:szCs w:val="44"/>
          <w:highlight w:val="none"/>
        </w:rPr>
      </w:pPr>
    </w:p>
    <w:p>
      <w:pPr>
        <w:pStyle w:val="13"/>
        <w:rPr>
          <w:rFonts w:ascii="方正小标宋简体" w:eastAsia="仿宋"/>
          <w:color w:val="auto"/>
          <w:sz w:val="44"/>
          <w:szCs w:val="44"/>
          <w:highlight w:val="none"/>
        </w:rPr>
      </w:pPr>
    </w:p>
    <w:p>
      <w:pPr>
        <w:pStyle w:val="13"/>
        <w:rPr>
          <w:rFonts w:ascii="方正小标宋简体" w:eastAsia="仿宋"/>
          <w:color w:val="auto"/>
          <w:sz w:val="44"/>
          <w:szCs w:val="44"/>
          <w:highlight w:val="none"/>
        </w:rPr>
      </w:pPr>
    </w:p>
    <w:p>
      <w:pPr>
        <w:pStyle w:val="13"/>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p>
    <w:p>
      <w:pPr>
        <w:pStyle w:val="3"/>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rPr>
        <w:t>广州市净水有限公司流程梳理与优化咨询服务</w:t>
      </w:r>
      <w:r>
        <w:rPr>
          <w:rFonts w:hint="eastAsia" w:ascii="仿宋_GB2312" w:hAnsi="仿宋_GB2312" w:eastAsia="仿宋" w:cs="仿宋_GB2312"/>
          <w:color w:val="auto"/>
          <w:sz w:val="28"/>
          <w:szCs w:val="28"/>
          <w:highlight w:val="none"/>
          <w:u w:val="single"/>
          <w:lang w:val="en-US" w:eastAsia="zh-CN"/>
        </w:rPr>
        <w:t>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color w:val="auto"/>
          <w:sz w:val="28"/>
          <w:szCs w:val="28"/>
          <w:highlight w:val="none"/>
        </w:rPr>
        <w:t>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rPr>
        <w:t>广州市净水有限公司流程梳理与优化咨询服务项目</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XJ-20241113-1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自有资金</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_GB2312"/>
          <w:color w:val="auto"/>
          <w:sz w:val="28"/>
          <w:szCs w:val="28"/>
          <w:highlight w:val="none"/>
          <w:u w:val="single"/>
          <w:lang w:val="en-US" w:eastAsia="zh-CN"/>
        </w:rPr>
        <w:t>¥300,000元（含税）</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rPr>
        <w:t>对广州市净水有限公司</w:t>
      </w:r>
      <w:r>
        <w:rPr>
          <w:rFonts w:hint="eastAsia" w:ascii="仿宋_GB2312" w:eastAsia="仿宋"/>
          <w:color w:val="auto"/>
          <w:sz w:val="28"/>
          <w:szCs w:val="28"/>
          <w:highlight w:val="none"/>
          <w:u w:val="single"/>
          <w:lang w:val="en-US" w:eastAsia="zh-CN"/>
        </w:rPr>
        <w:t>现行的流程进行全面梳理，对现有流程补充或完善合规审查环节，明确合规审查标准和要求，结合公司实际提出流程优化建议等。</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lang w:val="en-US" w:eastAsia="zh-CN"/>
        </w:rPr>
        <w:t>自合同签订之日起到2025年4月30日止</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广州市净水有限公司</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详见第五</w:t>
      </w:r>
      <w:r>
        <w:rPr>
          <w:rFonts w:hint="eastAsia" w:ascii="仿宋_GB2312" w:eastAsia="仿宋"/>
          <w:color w:val="auto"/>
          <w:sz w:val="28"/>
          <w:szCs w:val="28"/>
          <w:highlight w:val="none"/>
          <w:u w:val="single"/>
          <w:lang w:val="en-US" w:eastAsia="zh-CN"/>
        </w:rPr>
        <w:t>章</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 xml:space="preserve">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lang w:val="en-US" w:eastAsia="zh-CN"/>
        </w:rPr>
        <w:t>满足合同要求</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内部控制管理咨询</w:t>
      </w:r>
      <w:r>
        <w:rPr>
          <w:rFonts w:hint="eastAsia" w:ascii="仿宋_GB2312" w:eastAsia="仿宋"/>
          <w:color w:val="auto"/>
          <w:sz w:val="28"/>
          <w:szCs w:val="28"/>
          <w:highlight w:val="none"/>
          <w:u w:val="single"/>
        </w:rPr>
        <w:t>或</w:t>
      </w:r>
      <w:r>
        <w:rPr>
          <w:rFonts w:hint="eastAsia" w:ascii="仿宋_GB2312" w:eastAsia="仿宋"/>
          <w:color w:val="auto"/>
          <w:sz w:val="28"/>
          <w:szCs w:val="28"/>
          <w:highlight w:val="none"/>
          <w:u w:val="single"/>
          <w:lang w:val="en-US" w:eastAsia="zh-CN"/>
        </w:rPr>
        <w:t>风险防控管理咨询</w:t>
      </w:r>
      <w:r>
        <w:rPr>
          <w:rFonts w:hint="eastAsia" w:ascii="仿宋_GB2312" w:eastAsia="仿宋"/>
          <w:color w:val="auto"/>
          <w:sz w:val="28"/>
          <w:szCs w:val="28"/>
          <w:highlight w:val="none"/>
          <w:u w:val="single"/>
        </w:rPr>
        <w:t>或</w:t>
      </w:r>
      <w:r>
        <w:rPr>
          <w:rFonts w:hint="eastAsia" w:ascii="仿宋_GB2312" w:eastAsia="仿宋"/>
          <w:color w:val="auto"/>
          <w:sz w:val="28"/>
          <w:szCs w:val="28"/>
          <w:highlight w:val="none"/>
          <w:u w:val="single"/>
          <w:lang w:val="en-US" w:eastAsia="zh-CN"/>
        </w:rPr>
        <w:t>合规管理咨询</w:t>
      </w:r>
      <w:r>
        <w:rPr>
          <w:rFonts w:hint="eastAsia" w:ascii="仿宋_GB2312" w:eastAsia="仿宋"/>
          <w:color w:val="auto"/>
          <w:sz w:val="28"/>
          <w:szCs w:val="28"/>
          <w:highlight w:val="none"/>
          <w:u w:val="single"/>
        </w:rPr>
        <w:t>或风险、内控、合规“三合一”体系建设咨询服务</w:t>
      </w:r>
      <w:r>
        <w:rPr>
          <w:rFonts w:hint="eastAsia" w:ascii="仿宋_GB2312" w:eastAsia="仿宋"/>
          <w:color w:val="auto"/>
          <w:sz w:val="28"/>
          <w:szCs w:val="28"/>
          <w:highlight w:val="none"/>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供应商应为本项目配置相对固定的不少于3人的服务团队，团队成员应包含具备以下资格证书：会计师专业中级或以上职称或企业合规师或国际注册内部审计师（CIA）或注册内部审计师（CCIA）或卓越绩效自评价师，提供团队成员相关证书或资质证明材料，并加盖公章。</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3.3</w:t>
      </w:r>
      <w:r>
        <w:rPr>
          <w:rFonts w:hint="eastAsia" w:ascii="仿宋_GB2312" w:eastAsia="仿宋"/>
          <w:color w:val="auto"/>
          <w:sz w:val="28"/>
          <w:szCs w:val="28"/>
          <w:highlight w:val="none"/>
        </w:rPr>
        <w:t xml:space="preserve">本次项目□接受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不接受联合体参加采购活动</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联合体的资格认定标准如下：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Cs w:val="21"/>
          <w:highlight w:val="none"/>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lang w:val="zh-CN"/>
        </w:rPr>
      </w:pPr>
      <w:r>
        <w:rPr>
          <w:rFonts w:hint="eastAsia" w:ascii="仿宋_GB2312" w:eastAsia="仿宋"/>
          <w:color w:val="auto"/>
          <w:sz w:val="28"/>
          <w:szCs w:val="28"/>
          <w:highlight w:val="none"/>
          <w:lang w:eastAsia="zh-CN"/>
        </w:rPr>
        <w:t>□</w:t>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auto"/>
          <w:sz w:val="28"/>
          <w:szCs w:val="28"/>
          <w:highlight w:val="none"/>
          <w:lang w:val="en-US" w:eastAsia="zh-CN"/>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lang w:val="en-US" w:eastAsia="zh-CN"/>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2024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2024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4" w:name="_Toc32588"/>
      <w:bookmarkStart w:id="15" w:name="_Toc16557"/>
      <w:bookmarkStart w:id="16" w:name="_Toc25603"/>
      <w:bookmarkStart w:id="17" w:name="_Toc2324"/>
      <w:bookmarkStart w:id="18" w:name="_Toc19295"/>
      <w:bookmarkStart w:id="19" w:name="_Toc16705"/>
      <w:bookmarkStart w:id="20" w:name="_Toc2331"/>
      <w:bookmarkStart w:id="21" w:name="_Toc23749"/>
      <w:bookmarkStart w:id="22" w:name="_Toc9448"/>
      <w:bookmarkStart w:id="23" w:name="_Toc7340"/>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1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1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1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17"/>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1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202"/>
        <w:gridCol w:w="982"/>
        <w:gridCol w:w="1649"/>
        <w:gridCol w:w="1352"/>
        <w:gridCol w:w="82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17"/>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17"/>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17"/>
        <w:rPr>
          <w:color w:val="auto"/>
          <w:highlight w:val="none"/>
        </w:rPr>
      </w:pPr>
    </w:p>
    <w:p>
      <w:pPr>
        <w:pStyle w:val="17"/>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303"/>
      <w:bookmarkStart w:id="27" w:name="_Toc88209934"/>
      <w:bookmarkStart w:id="28" w:name="_Toc7040"/>
      <w:bookmarkStart w:id="29" w:name="_Toc87616371"/>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rFonts w:eastAsia="仿宋"/>
          <w:color w:val="auto"/>
          <w:highlight w:val="none"/>
        </w:rPr>
      </w:pPr>
      <w:bookmarkStart w:id="30" w:name="_Toc24895"/>
      <w:bookmarkStart w:id="31" w:name="_Toc3789"/>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1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12177"/>
      <w:bookmarkStart w:id="33" w:name="_Toc22212"/>
      <w:bookmarkStart w:id="34" w:name="_Toc87616378"/>
      <w:bookmarkStart w:id="35" w:name="_Toc32607"/>
      <w:bookmarkStart w:id="36" w:name="_Toc13898"/>
      <w:bookmarkStart w:id="37" w:name="_Toc7831"/>
      <w:bookmarkStart w:id="38" w:name="_Toc21840"/>
      <w:bookmarkStart w:id="39" w:name="_Toc6308"/>
      <w:bookmarkStart w:id="40" w:name="_Toc88209941"/>
      <w:bookmarkStart w:id="41" w:name="_Toc30530"/>
      <w:bookmarkStart w:id="42" w:name="_Toc29484"/>
      <w:bookmarkStart w:id="43" w:name="_Toc29345"/>
      <w:bookmarkStart w:id="44" w:name="_Toc21079"/>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eastAsia="zh-CN"/>
        </w:rPr>
        <w:t>☑</w:t>
      </w:r>
      <w:r>
        <w:rPr>
          <w:rFonts w:hint="eastAsia" w:eastAsia="仿宋"/>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本次评审采用综合评分法。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1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有响应函</w:t>
            </w:r>
            <w:r>
              <w:rPr>
                <w:rFonts w:hint="eastAsia" w:ascii="仿宋_GB2312" w:eastAsia="仿宋"/>
                <w:color w:val="auto"/>
                <w:sz w:val="24"/>
                <w:szCs w:val="24"/>
                <w:highlight w:val="none"/>
              </w:rPr>
              <w:t>，</w:t>
            </w:r>
            <w:r>
              <w:rPr>
                <w:rFonts w:ascii="仿宋_GB2312" w:eastAsia="仿宋"/>
                <w:color w:val="auto"/>
                <w:sz w:val="24"/>
                <w:szCs w:val="24"/>
                <w:highlight w:val="none"/>
              </w:rPr>
              <w:t>有</w:t>
            </w:r>
            <w:r>
              <w:rPr>
                <w:rFonts w:hint="eastAsia" w:ascii="仿宋_GB2312" w:eastAsia="仿宋"/>
                <w:color w:val="auto"/>
                <w:sz w:val="24"/>
                <w:szCs w:val="24"/>
                <w:highlight w:val="none"/>
                <w:lang w:eastAsia="zh-CN"/>
              </w:rPr>
              <w:t>法定代表人/负责人</w:t>
            </w:r>
            <w:r>
              <w:rPr>
                <w:rFonts w:ascii="仿宋_GB2312" w:eastAsia="仿宋"/>
                <w:color w:val="auto"/>
                <w:sz w:val="24"/>
                <w:szCs w:val="24"/>
                <w:highlight w:val="none"/>
              </w:rPr>
              <w:t>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
                <w:color w:val="auto"/>
                <w:sz w:val="24"/>
                <w:szCs w:val="24"/>
                <w:highlight w:val="none"/>
              </w:rPr>
            </w:pPr>
            <w:r>
              <w:rPr>
                <w:rFonts w:ascii="仿宋_GB2312" w:eastAsia="仿宋"/>
                <w:color w:val="auto"/>
                <w:sz w:val="24"/>
                <w:szCs w:val="24"/>
                <w:highlight w:val="none"/>
              </w:rPr>
              <w:t>响应性</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无法律法规及采购文件规定的其他无效响应内容</w:t>
            </w:r>
          </w:p>
        </w:tc>
      </w:tr>
    </w:tbl>
    <w:p>
      <w:pPr>
        <w:adjustRightInd w:val="0"/>
        <w:snapToGrid w:val="0"/>
        <w:spacing w:line="400" w:lineRule="exact"/>
        <w:ind w:firstLine="420" w:firstLineChars="200"/>
        <w:jc w:val="left"/>
        <w:rPr>
          <w:rFonts w:ascii="仿宋_GB2312" w:eastAsia="仿宋" w:hAnsiTheme="minorEastAsia"/>
          <w:color w:val="auto"/>
          <w:szCs w:val="21"/>
          <w:highlight w:val="none"/>
        </w:rPr>
      </w:pPr>
      <w:r>
        <w:rPr>
          <w:rFonts w:hint="eastAsia" w:ascii="仿宋_GB2312" w:eastAsia="仿宋"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2.2详细评审</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2.2.1商务评审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4-2 商务评审因素（</w:t>
      </w:r>
      <w:r>
        <w:rPr>
          <w:rFonts w:hint="eastAsia" w:ascii="仿宋_GB2312" w:eastAsia="仿宋"/>
          <w:color w:val="auto"/>
          <w:sz w:val="28"/>
          <w:szCs w:val="28"/>
          <w:highlight w:val="none"/>
          <w:u w:val="single"/>
          <w:lang w:val="en-US" w:eastAsia="zh-CN"/>
        </w:rPr>
        <w:t>50</w:t>
      </w:r>
      <w:r>
        <w:rPr>
          <w:rFonts w:hint="eastAsia" w:ascii="仿宋_GB2312" w:eastAsia="仿宋"/>
          <w:color w:val="auto"/>
          <w:sz w:val="28"/>
          <w:szCs w:val="28"/>
          <w:highlight w:val="none"/>
        </w:rPr>
        <w:t>分）</w:t>
      </w:r>
    </w:p>
    <w:tbl>
      <w:tblPr>
        <w:tblStyle w:val="1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2004"/>
        <w:gridCol w:w="1479"/>
        <w:gridCol w:w="37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01"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004"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w:t>
            </w:r>
          </w:p>
        </w:tc>
        <w:tc>
          <w:tcPr>
            <w:tcW w:w="1479"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分值权重</w:t>
            </w:r>
          </w:p>
        </w:tc>
        <w:tc>
          <w:tcPr>
            <w:tcW w:w="3738"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01"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004"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同类项目业绩</w:t>
            </w:r>
          </w:p>
        </w:tc>
        <w:tc>
          <w:tcPr>
            <w:tcW w:w="1479"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strike w:val="0"/>
                <w:color w:val="auto"/>
                <w:sz w:val="24"/>
                <w:szCs w:val="24"/>
                <w:highlight w:val="none"/>
                <w:lang w:val="en-US" w:eastAsia="zh-CN"/>
              </w:rPr>
              <w:t>30</w:t>
            </w:r>
            <w:r>
              <w:rPr>
                <w:rFonts w:hint="eastAsia" w:ascii="仿宋" w:hAnsi="仿宋" w:eastAsia="仿宋" w:cs="仿宋"/>
                <w:strike w:val="0"/>
                <w:color w:val="auto"/>
                <w:sz w:val="24"/>
                <w:szCs w:val="24"/>
                <w:highlight w:val="none"/>
              </w:rPr>
              <w:t>分</w:t>
            </w:r>
          </w:p>
        </w:tc>
        <w:tc>
          <w:tcPr>
            <w:tcW w:w="3738" w:type="dxa"/>
            <w:tcBorders>
              <w:top w:val="single" w:color="auto" w:sz="4" w:space="0"/>
              <w:bottom w:val="single" w:color="auto" w:sz="4" w:space="0"/>
            </w:tcBorders>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除资格条件外，供应商自2021年1月1日至今承接过内部控制管理咨询或风险防控管理咨询或合规管理咨询或风险、内控、合规“三合一”体系建设咨询服务项目的，每个项目得2分，最高得30分。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注：日期以合同签订为准，提供合同复印件及发票复印件证明，包括但不限于项目名称、实施内容、合同盖章、签订日期，加盖单位公章。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01"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004"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人员配置</w:t>
            </w:r>
          </w:p>
        </w:tc>
        <w:tc>
          <w:tcPr>
            <w:tcW w:w="1479" w:type="dxa"/>
            <w:tcBorders>
              <w:top w:val="single" w:color="auto" w:sz="4" w:space="0"/>
              <w:bottom w:val="single" w:color="auto" w:sz="4" w:space="0"/>
            </w:tcBorders>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10分</w:t>
            </w:r>
          </w:p>
        </w:tc>
        <w:tc>
          <w:tcPr>
            <w:tcW w:w="3738" w:type="dxa"/>
            <w:tcBorders>
              <w:top w:val="single" w:color="auto" w:sz="4" w:space="0"/>
              <w:bottom w:val="single" w:color="auto" w:sz="4" w:space="0"/>
            </w:tcBorders>
            <w:vAlign w:val="center"/>
          </w:tcPr>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（1）项目负责人资质</w:t>
            </w:r>
          </w:p>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供应商拟派项目负责人具备以下条件的，可获得加分：</w:t>
            </w:r>
          </w:p>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项目负责人应具有丰富的国有企业咨询服务经验并提供证明材料（提供合同或经甲方认可的最终报告，合同或报告中需体现项目负责人的名字，并加盖公章。供应商也可根据实际情况提供其他能够证明项目负责人经验的证明材料，并加盖公章），每提供1项得1分，最高得4分；</w:t>
            </w:r>
          </w:p>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②项目负责人具备国际内部注册审计师（CIA）或注册内部审计师（CCIA）或注册内部控制师证（CICS/CICP）的，得3分。</w:t>
            </w:r>
          </w:p>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（2）团队成员资质（不含项目负责人）</w:t>
            </w:r>
          </w:p>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上述项目负责人、资格条件中项目基本团队配置外，供应商为本项目配备项目团队成员具备会计师专业中级或以上职称或企业合规师或国际注册内部审计师（CIA）或注册内部审计师（CCIA）的，每个得1分，最高得3分</w:t>
            </w:r>
          </w:p>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注：（1）提供团队负责人简历及相关证明文件。</w:t>
            </w:r>
          </w:p>
          <w:p>
            <w:pPr>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提供团队成员相关证书、资质证明。</w:t>
            </w:r>
          </w:p>
          <w:p>
            <w:pPr>
              <w:pStyle w:val="13"/>
              <w:ind w:firstLine="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（3）未按要求提供材料或未提供的，不得分。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01" w:type="dxa"/>
            <w:tcBorders>
              <w:top w:val="single" w:color="auto" w:sz="4" w:space="0"/>
              <w:bottom w:val="single" w:color="auto" w:sz="4" w:space="0"/>
            </w:tcBorders>
            <w:shd w:val="clear" w:color="auto" w:fill="auto"/>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2004" w:type="dxa"/>
            <w:tcBorders>
              <w:top w:val="single" w:color="auto" w:sz="4" w:space="0"/>
              <w:bottom w:val="single" w:color="auto" w:sz="4" w:space="0"/>
            </w:tcBorders>
            <w:shd w:val="clear" w:color="auto" w:fill="auto"/>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客户评价情况</w:t>
            </w:r>
          </w:p>
        </w:tc>
        <w:tc>
          <w:tcPr>
            <w:tcW w:w="1479" w:type="dxa"/>
            <w:tcBorders>
              <w:top w:val="single" w:color="auto" w:sz="4" w:space="0"/>
              <w:bottom w:val="single" w:color="auto" w:sz="4" w:space="0"/>
            </w:tcBorders>
            <w:shd w:val="clear" w:color="auto" w:fill="auto"/>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10分</w:t>
            </w:r>
          </w:p>
        </w:tc>
        <w:tc>
          <w:tcPr>
            <w:tcW w:w="3738" w:type="dxa"/>
            <w:tcBorders>
              <w:top w:val="single" w:color="auto" w:sz="4" w:space="0"/>
              <w:bottom w:val="single" w:color="auto" w:sz="4" w:space="0"/>
            </w:tcBorders>
            <w:shd w:val="clear" w:color="auto" w:fill="auto"/>
            <w:vAlign w:val="center"/>
          </w:tcPr>
          <w:p>
            <w:pPr>
              <w:pStyle w:val="18"/>
              <w:numPr>
                <w:ilvl w:val="0"/>
                <w:numId w:val="0"/>
              </w:numPr>
              <w:snapToGrid w:val="0"/>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019年1月1日以来，供应商提供的同类项目（指内部控制管理咨询或风险防控管理咨询或合规管理咨询或风险、内控、合规“三合一”体系建设咨询服务项目）获得用户单位出具的用户评价材料的，每提供一项用户单位正面评价（如满意、优秀或相当于满意、优秀或评分值不低于90分的评价）的，得1分，其它情况不得分；本项最高得10分。 </w:t>
            </w:r>
          </w:p>
        </w:tc>
      </w:tr>
    </w:tbl>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2.2.2技术评审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4-3 技术评审因素（</w:t>
      </w:r>
      <w:r>
        <w:rPr>
          <w:rFonts w:hint="eastAsia" w:ascii="仿宋_GB2312" w:eastAsia="仿宋"/>
          <w:color w:val="auto"/>
          <w:sz w:val="28"/>
          <w:szCs w:val="28"/>
          <w:highlight w:val="none"/>
          <w:u w:val="single"/>
          <w:lang w:val="en-US" w:eastAsia="zh-CN"/>
        </w:rPr>
        <w:t>30</w:t>
      </w:r>
      <w:r>
        <w:rPr>
          <w:rFonts w:hint="eastAsia" w:ascii="仿宋_GB2312" w:eastAsia="仿宋"/>
          <w:color w:val="auto"/>
          <w:sz w:val="28"/>
          <w:szCs w:val="28"/>
          <w:highlight w:val="none"/>
        </w:rPr>
        <w:t>分）</w:t>
      </w:r>
    </w:p>
    <w:tbl>
      <w:tblPr>
        <w:tblStyle w:val="1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2006"/>
        <w:gridCol w:w="1480"/>
        <w:gridCol w:w="373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序号</w:t>
            </w:r>
          </w:p>
        </w:tc>
        <w:tc>
          <w:tcPr>
            <w:tcW w:w="204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150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
                <w:color w:val="auto"/>
                <w:sz w:val="28"/>
                <w:szCs w:val="28"/>
                <w:highlight w:val="none"/>
              </w:rPr>
              <w:t>分值权重</w:t>
            </w:r>
          </w:p>
        </w:tc>
        <w:tc>
          <w:tcPr>
            <w:tcW w:w="380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22"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1</w:t>
            </w:r>
          </w:p>
        </w:tc>
        <w:tc>
          <w:tcPr>
            <w:tcW w:w="204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服务方案</w:t>
            </w:r>
          </w:p>
        </w:tc>
        <w:tc>
          <w:tcPr>
            <w:tcW w:w="1504" w:type="dxa"/>
            <w:tcBorders>
              <w:top w:val="single" w:color="auto" w:sz="4" w:space="0"/>
              <w:bottom w:val="single" w:color="auto" w:sz="4" w:space="0"/>
            </w:tcBorders>
            <w:vAlign w:val="center"/>
          </w:tcPr>
          <w:p>
            <w:pPr>
              <w:pStyle w:val="19"/>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ascii="仿宋_GB2312" w:eastAsia="仿宋_GB2312"/>
                <w:color w:val="auto"/>
                <w:sz w:val="24"/>
                <w:szCs w:val="24"/>
                <w:highlight w:val="none"/>
              </w:rPr>
            </w:pPr>
            <w:r>
              <w:rPr>
                <w:rFonts w:hint="eastAsia" w:ascii="仿宋_GB2312" w:eastAsia="仿宋_GB2312" w:hAnsiTheme="minorAscii" w:cstheme="minorBidi"/>
                <w:color w:val="auto"/>
                <w:kern w:val="2"/>
                <w:sz w:val="24"/>
                <w:szCs w:val="24"/>
                <w:highlight w:val="none"/>
                <w:lang w:val="en-US" w:eastAsia="zh-CN" w:bidi="ar-SA"/>
              </w:rPr>
              <w:t>30分</w:t>
            </w:r>
          </w:p>
        </w:tc>
        <w:tc>
          <w:tcPr>
            <w:tcW w:w="3807" w:type="dxa"/>
            <w:tcBorders>
              <w:top w:val="single" w:color="auto" w:sz="4" w:space="0"/>
              <w:bottom w:val="single" w:color="auto" w:sz="4" w:space="0"/>
            </w:tcBorders>
            <w:vAlign w:val="center"/>
          </w:tcPr>
          <w:p>
            <w:pP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供应商应为本项目提供一份服务方案，评审人员对服务方案进行打分。</w:t>
            </w:r>
          </w:p>
          <w:p>
            <w:pP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(1)整个项目工作方案十分全面，内容详实，条理性和可操作性强并详细阐述各个阶段的工作，最高得30分。</w:t>
            </w:r>
          </w:p>
          <w:p>
            <w:pP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(2)整个项目的工作方案充足，提供内容，条理性和可操作性较好，阐述各个阶段的工作，最高得15分。</w:t>
            </w:r>
          </w:p>
          <w:p>
            <w:pP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(3)整个项目的工作方案内容部分满足，条理性和可操作性一般，片面阐述各个阶段的工作，最高得7分。</w:t>
            </w:r>
          </w:p>
          <w:p>
            <w:pP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实施方案内容不具备可操作性或未提供工作方案的不得分。</w:t>
            </w:r>
          </w:p>
          <w:p>
            <w:pPr>
              <w:numPr>
                <w:ilvl w:val="0"/>
                <w:numId w:val="0"/>
              </w:numPr>
              <w:tabs>
                <w:tab w:val="left" w:pos="3332"/>
              </w:tabs>
              <w:snapToGrid w:val="0"/>
              <w:spacing w:line="240" w:lineRule="auto"/>
              <w:ind w:left="0" w:leftChars="0" w:firstLine="0" w:firstLineChars="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服务方案：结合广州市净水有限公司实际情况提供完善的服务方案，服务方案应包含报价、服务团队介绍、对我公司服务需求的分析、服务目标及服务内容说明、服务质量及效率承诺、团队成员荣誉等。</w:t>
            </w:r>
          </w:p>
        </w:tc>
      </w:tr>
    </w:tbl>
    <w:p>
      <w:pPr>
        <w:adjustRightInd w:val="0"/>
        <w:snapToGrid w:val="0"/>
        <w:spacing w:line="400" w:lineRule="exact"/>
        <w:ind w:firstLine="420" w:firstLineChars="200"/>
        <w:jc w:val="left"/>
        <w:rPr>
          <w:rFonts w:ascii="仿宋_GB2312" w:eastAsia="仿宋" w:hAnsiTheme="minorEastAsia"/>
          <w:color w:val="auto"/>
          <w:szCs w:val="21"/>
          <w:highlight w:val="none"/>
        </w:rPr>
      </w:pPr>
      <w:r>
        <w:rPr>
          <w:rFonts w:hint="eastAsia" w:ascii="仿宋_GB2312" w:eastAsia="仿宋"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2.2.4 价格评审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4-4 价格折算分值的办法</w:t>
      </w:r>
    </w:p>
    <w:tbl>
      <w:tblPr>
        <w:tblStyle w:val="1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确定基准价</w:t>
            </w:r>
          </w:p>
          <w:p>
            <w:pPr>
              <w:adjustRightInd w:val="0"/>
              <w:snapToGrid w:val="0"/>
              <w:ind w:left="240" w:hanging="240" w:hangingChars="10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当</w:t>
            </w:r>
            <w:r>
              <w:rPr>
                <w:rFonts w:ascii="仿宋_GB2312" w:eastAsia="仿宋"/>
                <w:color w:val="auto"/>
                <w:sz w:val="24"/>
                <w:szCs w:val="24"/>
                <w:highlight w:val="none"/>
              </w:rPr>
              <w:t>合格供应商的数量＜</w:t>
            </w:r>
            <w:r>
              <w:rPr>
                <w:rFonts w:hint="eastAsia" w:ascii="仿宋_GB2312" w:eastAsia="仿宋"/>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合格</w:t>
            </w:r>
            <w:r>
              <w:rPr>
                <w:rFonts w:hint="eastAsia" w:ascii="仿宋_GB2312" w:eastAsia="仿宋"/>
                <w:color w:val="auto"/>
                <w:sz w:val="24"/>
                <w:szCs w:val="24"/>
                <w:highlight w:val="none"/>
              </w:rPr>
              <w:t>供应商的报价与基准价相比，每高于基准价1%扣</w:t>
            </w:r>
            <w:r>
              <w:rPr>
                <w:rFonts w:hint="eastAsia" w:ascii="仿宋_GB2312" w:eastAsia="仿宋"/>
                <w:color w:val="auto"/>
                <w:sz w:val="24"/>
                <w:szCs w:val="24"/>
                <w:highlight w:val="none"/>
                <w:u w:val="single"/>
                <w:lang w:val="en-US" w:eastAsia="zh-CN"/>
              </w:rPr>
              <w:t>0.5</w:t>
            </w:r>
            <w:r>
              <w:rPr>
                <w:rFonts w:hint="eastAsia" w:ascii="仿宋_GB2312" w:eastAsia="仿宋"/>
                <w:color w:val="auto"/>
                <w:sz w:val="24"/>
                <w:szCs w:val="24"/>
                <w:highlight w:val="none"/>
              </w:rPr>
              <w:t>分，每低于基准价1%扣</w:t>
            </w:r>
            <w:r>
              <w:rPr>
                <w:rFonts w:hint="eastAsia" w:ascii="仿宋_GB2312" w:eastAsia="仿宋"/>
                <w:color w:val="auto"/>
                <w:sz w:val="24"/>
                <w:szCs w:val="24"/>
                <w:highlight w:val="none"/>
                <w:lang w:val="en-US" w:eastAsia="zh-CN"/>
              </w:rPr>
              <w:t>0.3</w:t>
            </w:r>
            <w:r>
              <w:rPr>
                <w:rFonts w:hint="eastAsia" w:ascii="仿宋_GB2312" w:eastAsia="仿宋"/>
                <w:color w:val="auto"/>
                <w:sz w:val="24"/>
                <w:szCs w:val="24"/>
                <w:highlight w:val="none"/>
              </w:rPr>
              <w:t>分，按插入法进行计算。</w:t>
            </w:r>
          </w:p>
          <w:p>
            <w:pPr>
              <w:adjustRightInd w:val="0"/>
              <w:snapToGrid w:val="0"/>
              <w:jc w:val="left"/>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合格供应商的价格折算分=基准价/合格供应商报价。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□其他方法</w:t>
            </w:r>
          </w:p>
        </w:tc>
      </w:tr>
    </w:tbl>
    <w:p>
      <w:pPr>
        <w:spacing w:line="600" w:lineRule="exact"/>
        <w:ind w:firstLine="555"/>
        <w:jc w:val="left"/>
        <w:rPr>
          <w:rFonts w:hint="eastAsia" w:ascii="仿宋_GB2312" w:eastAsia="仿宋" w:hAnsiTheme="minorEastAsia" w:cstheme="minorBidi"/>
          <w:color w:val="auto"/>
          <w:kern w:val="2"/>
          <w:sz w:val="21"/>
          <w:szCs w:val="21"/>
          <w:highlight w:val="none"/>
        </w:rPr>
      </w:pPr>
      <w:r>
        <w:rPr>
          <w:rFonts w:hint="eastAsia" w:ascii="仿宋_GB2312" w:eastAsia="仿宋" w:hAnsiTheme="minorEastAsia"/>
          <w:color w:val="auto"/>
          <w:szCs w:val="21"/>
          <w:highlight w:val="none"/>
        </w:rPr>
        <w:t>说明：供应商有多轮报价的，按最终报价计算</w:t>
      </w:r>
      <w:r>
        <w:rPr>
          <w:rFonts w:hint="eastAsia" w:ascii="仿宋_GB2312" w:eastAsia="仿宋" w:hAnsiTheme="minorEastAsia"/>
          <w:color w:val="auto"/>
          <w:szCs w:val="21"/>
          <w:highlight w:val="none"/>
          <w:lang w:val="en-US" w:eastAsia="zh-CN"/>
        </w:rPr>
        <w:t>；</w:t>
      </w:r>
      <w:r>
        <w:rPr>
          <w:rFonts w:hint="eastAsia" w:ascii="仿宋_GB2312" w:eastAsia="仿宋" w:hAnsiTheme="minorEastAsia" w:cstheme="minorBidi"/>
          <w:color w:val="auto"/>
          <w:kern w:val="2"/>
          <w:sz w:val="21"/>
          <w:szCs w:val="21"/>
          <w:highlight w:val="none"/>
        </w:rPr>
        <w:t>价格为含税价，包括了项目的全部费用。</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 评审结果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计算供应商综合得分。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评审得分=商务分+技术分+价格分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Cs w:val="21"/>
          <w:highlight w:val="none"/>
        </w:rPr>
      </w:pPr>
      <w:r>
        <w:rPr>
          <w:rFonts w:hint="eastAsia" w:ascii="仿宋_GB2312" w:eastAsia="仿宋" w:hAnsiTheme="minorEastAsia"/>
          <w:color w:val="auto"/>
          <w:sz w:val="28"/>
          <w:szCs w:val="28"/>
          <w:highlight w:val="none"/>
        </w:rPr>
        <w:t>综合得分最高的为排名第一的候选成交供应商；如综合得分相同，可依照业绩考量因素得分排序确定供应商排名</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如综合得分</w:t>
      </w:r>
      <w:r>
        <w:rPr>
          <w:rFonts w:hint="eastAsia" w:ascii="仿宋_GB2312" w:eastAsia="仿宋" w:hAnsiTheme="minorEastAsia"/>
          <w:color w:val="auto"/>
          <w:sz w:val="28"/>
          <w:szCs w:val="28"/>
          <w:highlight w:val="none"/>
          <w:lang w:val="en-US" w:eastAsia="zh-CN"/>
        </w:rPr>
        <w:t>与业绩得分</w:t>
      </w:r>
      <w:r>
        <w:rPr>
          <w:rFonts w:hint="eastAsia" w:ascii="仿宋_GB2312" w:eastAsia="仿宋" w:hAnsiTheme="minorEastAsia"/>
          <w:color w:val="auto"/>
          <w:sz w:val="28"/>
          <w:szCs w:val="28"/>
          <w:highlight w:val="none"/>
        </w:rPr>
        <w:t>相同，可依照</w:t>
      </w:r>
      <w:r>
        <w:rPr>
          <w:rFonts w:hint="eastAsia" w:ascii="仿宋_GB2312" w:eastAsia="仿宋" w:hAnsiTheme="minorEastAsia"/>
          <w:color w:val="auto"/>
          <w:sz w:val="28"/>
          <w:szCs w:val="28"/>
          <w:highlight w:val="none"/>
          <w:lang w:val="en-US" w:eastAsia="zh-CN"/>
        </w:rPr>
        <w:t>技术得分</w:t>
      </w:r>
      <w:r>
        <w:rPr>
          <w:rFonts w:hint="eastAsia" w:ascii="仿宋_GB2312" w:eastAsia="仿宋" w:hAnsiTheme="minorEastAsia"/>
          <w:color w:val="auto"/>
          <w:sz w:val="28"/>
          <w:szCs w:val="28"/>
          <w:highlight w:val="none"/>
        </w:rPr>
        <w:t>考量因素得分排序确定供应商排名</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lang w:val="en-US" w:eastAsia="zh-CN"/>
        </w:rPr>
        <w:t>如</w:t>
      </w:r>
      <w:r>
        <w:rPr>
          <w:rFonts w:hint="eastAsia" w:ascii="仿宋_GB2312" w:eastAsia="仿宋" w:hAnsiTheme="minorEastAsia"/>
          <w:color w:val="auto"/>
          <w:sz w:val="28"/>
          <w:szCs w:val="28"/>
          <w:highlight w:val="none"/>
        </w:rPr>
        <w:t>综合得分</w:t>
      </w:r>
      <w:r>
        <w:rPr>
          <w:rFonts w:hint="eastAsia" w:ascii="仿宋_GB2312" w:eastAsia="仿宋" w:hAnsiTheme="minorEastAsia"/>
          <w:color w:val="auto"/>
          <w:sz w:val="28"/>
          <w:szCs w:val="28"/>
          <w:highlight w:val="none"/>
          <w:lang w:val="en-US" w:eastAsia="zh-CN"/>
        </w:rPr>
        <w:t>、业绩得分、技术得分</w:t>
      </w:r>
      <w:r>
        <w:rPr>
          <w:rFonts w:hint="eastAsia" w:ascii="仿宋_GB2312" w:eastAsia="仿宋" w:hAnsiTheme="minorEastAsia"/>
          <w:color w:val="auto"/>
          <w:sz w:val="28"/>
          <w:szCs w:val="28"/>
          <w:highlight w:val="none"/>
        </w:rPr>
        <w:t>相同，可依照报价考量因素得分排序确定供应商排名。</w:t>
      </w:r>
    </w:p>
    <w:p>
      <w:pPr>
        <w:rPr>
          <w:color w:val="auto"/>
          <w:highlight w:val="none"/>
        </w:rPr>
      </w:pP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pStyle w:val="13"/>
        <w:rPr>
          <w:rFonts w:hint="eastAsia" w:ascii="仿宋_GB2312" w:eastAsia="仿宋" w:hAnsiTheme="minorEastAsia"/>
          <w:color w:val="auto"/>
          <w:sz w:val="28"/>
          <w:szCs w:val="28"/>
          <w:highlight w:val="none"/>
        </w:rPr>
      </w:pPr>
    </w:p>
    <w:p>
      <w:pPr>
        <w:pStyle w:val="13"/>
        <w:rPr>
          <w:rFonts w:hint="eastAsia" w:ascii="仿宋_GB2312" w:eastAsia="仿宋" w:hAnsiTheme="minorEastAsia"/>
          <w:color w:val="auto"/>
          <w:sz w:val="28"/>
          <w:szCs w:val="28"/>
          <w:highlight w:val="none"/>
        </w:rPr>
      </w:pPr>
    </w:p>
    <w:p>
      <w:pPr>
        <w:pStyle w:val="13"/>
        <w:rPr>
          <w:rFonts w:hint="eastAsia" w:ascii="仿宋_GB2312" w:eastAsia="仿宋" w:hAnsiTheme="minorEastAsia"/>
          <w:color w:val="auto"/>
          <w:sz w:val="28"/>
          <w:szCs w:val="28"/>
          <w:highlight w:val="none"/>
        </w:rPr>
      </w:pPr>
    </w:p>
    <w:p>
      <w:pPr>
        <w:pStyle w:val="13"/>
        <w:rPr>
          <w:rFonts w:hint="eastAsia" w:ascii="仿宋_GB2312" w:eastAsia="仿宋" w:hAnsiTheme="minorEastAsia"/>
          <w:color w:val="auto"/>
          <w:sz w:val="28"/>
          <w:szCs w:val="28"/>
          <w:highlight w:val="none"/>
        </w:rPr>
      </w:pPr>
    </w:p>
    <w:p>
      <w:pPr>
        <w:pStyle w:val="13"/>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5"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45"/>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一、项目背景</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为深入贯彻习近平法治思想，落实全面依法治国的战略部署，持续提升依法治企合规经营水平，根据国家、省、广州市国资委、广州市水务投资集团有限公司关于风控内控和合规管理文件要求，我公司拟对标世界一流企业风控管理水平，结合公司“十四五”规划，开展流程梳理与优化工作，通过开展全面的流程梳理和优化，将合规审查作为必经程序嵌入经营管理流程，提高效率，防范风险，助力公司高质量发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二、服务需求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（一）项目目标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基于公司发展战略和经营管理需求，</w:t>
      </w:r>
      <w:r>
        <w:rPr>
          <w:rFonts w:hint="eastAsia" w:ascii="仿宋_GB2312" w:eastAsia="仿宋"/>
          <w:color w:val="auto"/>
          <w:sz w:val="28"/>
          <w:szCs w:val="28"/>
          <w:highlight w:val="none"/>
          <w:lang w:val="en-US" w:eastAsia="zh-CN"/>
        </w:rPr>
        <w:t>梳理和</w:t>
      </w:r>
      <w:r>
        <w:rPr>
          <w:rFonts w:hint="eastAsia" w:ascii="仿宋_GB2312" w:eastAsia="仿宋"/>
          <w:color w:val="auto"/>
          <w:sz w:val="28"/>
          <w:szCs w:val="28"/>
          <w:highlight w:val="none"/>
        </w:rPr>
        <w:t>完善</w:t>
      </w:r>
      <w:r>
        <w:rPr>
          <w:rFonts w:hint="eastAsia" w:ascii="仿宋_GB2312" w:eastAsia="仿宋"/>
          <w:color w:val="auto"/>
          <w:sz w:val="28"/>
          <w:szCs w:val="28"/>
          <w:highlight w:val="none"/>
          <w:lang w:val="en-US" w:eastAsia="zh-CN"/>
        </w:rPr>
        <w:t>公司</w:t>
      </w:r>
      <w:r>
        <w:rPr>
          <w:rFonts w:hint="eastAsia" w:ascii="仿宋_GB2312" w:eastAsia="仿宋"/>
          <w:color w:val="auto"/>
          <w:sz w:val="28"/>
          <w:szCs w:val="28"/>
          <w:highlight w:val="none"/>
        </w:rPr>
        <w:t>管理流程和业务流程，</w:t>
      </w:r>
      <w:r>
        <w:rPr>
          <w:rFonts w:hint="eastAsia" w:ascii="仿宋_GB2312" w:eastAsia="仿宋"/>
          <w:color w:val="auto"/>
          <w:sz w:val="28"/>
          <w:szCs w:val="28"/>
          <w:highlight w:val="none"/>
          <w:lang w:val="en-US" w:eastAsia="zh-CN"/>
        </w:rPr>
        <w:t>将合规审查作为必经程序嵌入经营管理流程，</w:t>
      </w:r>
      <w:r>
        <w:rPr>
          <w:rFonts w:hint="eastAsia" w:ascii="仿宋_GB2312" w:eastAsia="仿宋"/>
          <w:color w:val="auto"/>
          <w:sz w:val="28"/>
          <w:szCs w:val="28"/>
          <w:highlight w:val="none"/>
        </w:rPr>
        <w:t>提高效率，防范风险，</w:t>
      </w:r>
      <w:r>
        <w:rPr>
          <w:rFonts w:hint="eastAsia" w:ascii="仿宋_GB2312" w:eastAsia="仿宋"/>
          <w:color w:val="auto"/>
          <w:sz w:val="28"/>
          <w:szCs w:val="28"/>
          <w:highlight w:val="none"/>
          <w:lang w:val="en-US" w:eastAsia="zh-CN"/>
        </w:rPr>
        <w:t>助力公司高质量发展。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（二）项目内容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1.梳理公司现行所有业务和管理流程，编制流程图和风险控制矩阵</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2.梳理需要嵌入合规审查节点的业务和管理流程明细表，以该流程明细表为基础，根据公司现有制度，参照《广州市净水有限公司一体化管理手册》，对流程补充或完善合规审查环节，并明确每个节点的合规审核人员、审查内容，审查要求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3.梳理公司“三重一大”决策事项清单，按照公司章程、法律意见书相关管理办法等规定，明确需要合规复查的事项，梳理法务和合规把关清单，并协助我公司在现有的党委会、董事会、总经理办公会“三会”议题申报流程中增设合规审查自动响应的固定节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4.结合公司实际业务情况，提出流程优化建议。</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（三）其他内容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1.落地辅导期，通过沟通与培训，在项目建设和实施过程中，针对项目内容，建立恰当的沟通机制，并对相关人员进行培训</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2.项目运行后的首次评价。实施评价并组织回头看，保证流程梳理与优化有效落地。</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（四）项目管理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响应人须在服务方案中提交详细的服务实施计划，至少包含以下内容：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bookmarkStart w:id="46" w:name="_Toc419587328"/>
      <w:r>
        <w:rPr>
          <w:rFonts w:hint="eastAsia" w:ascii="仿宋_GB2312" w:eastAsia="仿宋"/>
          <w:color w:val="auto"/>
          <w:sz w:val="28"/>
          <w:szCs w:val="28"/>
          <w:highlight w:val="none"/>
          <w:lang w:val="en-US" w:eastAsia="zh-CN"/>
        </w:rPr>
        <w:t>（1）项目人员要求</w:t>
      </w:r>
      <w:bookmarkEnd w:id="46"/>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人提交项目管理组织机构设置方案，明确提供项目总监、项目经理、咨询顾问名单以及上述人员资质、证书、工作简历和相关项目开发、实施经历，在项目实施过程中，未经采购人书面同意，不得更换。项目组成员必须具备良好的职业操守，不存在违反职业操守的不良记录，工作过程中应当严格保守我公司商业秘密。</w:t>
      </w:r>
      <w:bookmarkStart w:id="47" w:name="_Toc419587329"/>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（2）项目实施要求</w:t>
      </w:r>
      <w:bookmarkEnd w:id="47"/>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第一阶段</w:t>
      </w:r>
      <w:bookmarkStart w:id="48" w:name="_Toc524106514"/>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合同签订后三个工作日内，响应人提交详细的服务方案，并根据公司的合理要求进行修改，方案作为项目实施进度管理的依据。</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合同签订后五个工作日内，响应人进场开展流程梳理与优化工作，2024年12月10日前提交项目成果初稿。</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第二阶段（提交项目初稿后至2024年12月31日）</w:t>
      </w:r>
      <w:bookmarkEnd w:id="48"/>
      <w:bookmarkStart w:id="49" w:name="_Toc524106515"/>
    </w:p>
    <w:bookmarkEnd w:id="49"/>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bookmarkStart w:id="50" w:name="_Toc524106516"/>
      <w:r>
        <w:rPr>
          <w:rFonts w:hint="eastAsia" w:ascii="仿宋_GB2312" w:eastAsia="仿宋"/>
          <w:color w:val="auto"/>
          <w:sz w:val="28"/>
          <w:szCs w:val="28"/>
          <w:highlight w:val="none"/>
          <w:lang w:val="en-US" w:eastAsia="zh-CN"/>
        </w:rPr>
        <w:t>公司组织对项目成果进行验收</w:t>
      </w:r>
      <w:bookmarkEnd w:id="50"/>
      <w:bookmarkStart w:id="51" w:name="_Toc524106517"/>
      <w:r>
        <w:rPr>
          <w:rFonts w:hint="eastAsia" w:ascii="仿宋_GB2312" w:eastAsia="仿宋"/>
          <w:color w:val="auto"/>
          <w:sz w:val="28"/>
          <w:szCs w:val="28"/>
          <w:highlight w:val="none"/>
          <w:lang w:val="en-US" w:eastAsia="zh-CN"/>
        </w:rPr>
        <w:t>，成交单位根据公司意见对项目初稿进行调整修改；验收通过后，公司办理成果内部报批。</w:t>
      </w:r>
      <w:bookmarkEnd w:id="51"/>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第三阶段（验收合格之日起4个月内）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由成交单位进行流程梳理与优化宣贯与培训；进行项目落地辅导。</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5.项目成果要求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 xml:space="preserve">  响应人需完成的项目成果，包括但不限于：</w:t>
      </w:r>
    </w:p>
    <w:p>
      <w:pPr>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《流程框架》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《流程管理手册及风险控制矩阵》（内含合规审查节点及要求）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《重大事项法务与合规复查清单》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《流程优化建议》</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响应人根据项目经验可以提供的其他项目成果</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6.项目验收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采购人自行组织对项目成果进行评审验收。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7.知识转移</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（1）在项目期间，咨询机构通过培训、研讨等方式，提升采购人内控风控合规管理理念，辅助采购人建立持续改进的机制。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（2）在项目完成之日起7日内，向采购人转移本项目涉及的所有相关文档。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（3）所有项目成果及过程资料的知识产权归属于采购人。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8.售后服务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项目结束后，还应提供为期四个月的跟踪支持服务，协助采购人流程管理持续改进，服务内容至少应包括：</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（1）为采购人提供电话、电子邮件支持，及时解决流程管理中遇到的问题。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（2）以邮件方式提供流程管理领域的最新动态信息。</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三、项目商务要求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1.工期：见合同书格式。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2.质量要求：</w:t>
      </w:r>
      <w:r>
        <w:rPr>
          <w:rFonts w:hint="eastAsia" w:ascii="仿宋_GB2312" w:eastAsia="仿宋"/>
          <w:color w:val="auto"/>
          <w:sz w:val="28"/>
          <w:szCs w:val="28"/>
          <w:highlight w:val="none"/>
          <w:lang w:val="en-US" w:eastAsia="zh-CN"/>
        </w:rPr>
        <w:t>通过采购人的验收。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3.付款方式：见合同书格式。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4.承包方式：总价包干。</w:t>
      </w:r>
    </w:p>
    <w:p>
      <w:pPr>
        <w:rPr>
          <w:rFonts w:hint="eastAsia" w:ascii="仿宋_GB2312" w:eastAsia="仿宋" w:hAnsiTheme="minorEastAsia"/>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240" w:lineRule="auto"/>
        <w:ind w:firstLine="0"/>
        <w:jc w:val="lef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adjustRightInd/>
        <w:spacing w:line="360" w:lineRule="auto"/>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bookmarkStart w:id="52" w:name="_Toc12980"/>
      <w:bookmarkStart w:id="53" w:name="_Toc22797"/>
      <w:bookmarkStart w:id="54" w:name="_Toc12721"/>
      <w:bookmarkStart w:id="55" w:name="_Toc323"/>
      <w:bookmarkStart w:id="56" w:name="_Toc22501"/>
      <w:bookmarkStart w:id="57" w:name="_Toc87616386"/>
      <w:bookmarkStart w:id="58" w:name="_Toc19686"/>
      <w:bookmarkStart w:id="59" w:name="_Toc13309"/>
      <w:bookmarkStart w:id="60" w:name="_Toc88209949"/>
      <w:bookmarkStart w:id="61" w:name="_Toc19088"/>
      <w:bookmarkStart w:id="62" w:name="_Toc8183"/>
      <w:bookmarkStart w:id="63" w:name="_Toc1375"/>
      <w:bookmarkStart w:id="64" w:name="_Toc12968"/>
      <w:r>
        <w:rPr>
          <w:rFonts w:hint="eastAsia" w:eastAsia="仿宋"/>
          <w:color w:val="auto"/>
          <w:highlight w:val="none"/>
        </w:rPr>
        <w:t>合同</w:t>
      </w:r>
      <w:bookmarkEnd w:id="52"/>
      <w:bookmarkEnd w:id="53"/>
      <w:bookmarkEnd w:id="54"/>
      <w:bookmarkEnd w:id="55"/>
      <w:bookmarkEnd w:id="56"/>
      <w:bookmarkEnd w:id="57"/>
      <w:bookmarkEnd w:id="58"/>
      <w:bookmarkEnd w:id="59"/>
      <w:bookmarkEnd w:id="60"/>
      <w:bookmarkEnd w:id="61"/>
      <w:bookmarkEnd w:id="62"/>
      <w:bookmarkEnd w:id="63"/>
      <w:bookmarkEnd w:id="64"/>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widowControl w:val="0"/>
        <w:spacing w:after="0" w:line="400" w:lineRule="atLeast"/>
        <w:jc w:val="center"/>
        <w:rPr>
          <w:rFonts w:ascii="宋体" w:hAnsi="宋体" w:cs="Times New Roman"/>
          <w:b w:val="0"/>
          <w:bCs/>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val="0"/>
          <w:bCs/>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hint="eastAsia" w:ascii="宋体" w:hAnsi="宋体" w:cs="Times New Roman"/>
          <w:b w:val="0"/>
          <w:bCs/>
          <w:color w:val="auto"/>
          <w:sz w:val="48"/>
          <w:szCs w:val="48"/>
          <w:highlight w:val="none"/>
          <w:u w:val="single"/>
          <w:lang w:val="en-US" w:eastAsia="zh-CN"/>
          <w14:shadow w14:blurRad="50800" w14:dist="38100" w14:dir="2700000" w14:sx="100000" w14:sy="100000" w14:kx="0" w14:ky="0" w14:algn="tl">
            <w14:srgbClr w14:val="000000">
              <w14:alpha w14:val="60000"/>
            </w14:srgbClr>
          </w14:shadow>
        </w:rPr>
      </w:pPr>
      <w:r>
        <w:rPr>
          <w:rFonts w:hint="eastAsia" w:ascii="宋体" w:hAnsi="宋体" w:cs="Times New Roman"/>
          <w:b w:val="0"/>
          <w:bCs/>
          <w:color w:val="auto"/>
          <w:sz w:val="48"/>
          <w:szCs w:val="48"/>
          <w:highlight w:val="none"/>
          <w:u w:val="single"/>
          <w:lang w:val="en-US" w:eastAsia="zh-CN"/>
          <w14:shadow w14:blurRad="50800" w14:dist="38100" w14:dir="2700000" w14:sx="100000" w14:sy="100000" w14:kx="0" w14:ky="0" w14:algn="tl">
            <w14:srgbClr w14:val="000000">
              <w14:alpha w14:val="60000"/>
            </w14:srgbClr>
          </w14:shadow>
        </w:rPr>
        <w:t xml:space="preserve"> 流程梳理与优化咨询</w:t>
      </w:r>
    </w:p>
    <w:p>
      <w:pPr>
        <w:widowControl w:val="0"/>
        <w:spacing w:after="0" w:line="400" w:lineRule="atLeast"/>
        <w:jc w:val="center"/>
        <w:rPr>
          <w:rFonts w:ascii="宋体" w:hAnsi="宋体" w:cs="Times New Roman"/>
          <w:b w:val="0"/>
          <w:bCs/>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val="0"/>
          <w:bCs/>
          <w:color w:val="auto"/>
          <w:sz w:val="48"/>
          <w:szCs w:val="48"/>
          <w:highlight w:val="none"/>
          <w:u w:val="single"/>
          <w:lang w:val="en-US" w:eastAsia="zh-CN"/>
          <w14:shadow w14:blurRad="50800" w14:dist="38100" w14:dir="2700000" w14:sx="100000" w14:sy="100000" w14:kx="0" w14:ky="0" w14:algn="tl">
            <w14:srgbClr w14:val="000000">
              <w14:alpha w14:val="60000"/>
            </w14:srgbClr>
          </w14:shadow>
        </w:rPr>
        <w:t>服务</w:t>
      </w:r>
      <w:r>
        <w:rPr>
          <w:rFonts w:hint="eastAsia" w:ascii="宋体" w:hAnsi="宋体" w:cs="Times New Roman"/>
          <w:b w:val="0"/>
          <w:bCs/>
          <w:color w:val="auto"/>
          <w:sz w:val="48"/>
          <w:szCs w:val="48"/>
          <w:highlight w:val="none"/>
          <w14:shadow w14:blurRad="50800" w14:dist="38100" w14:dir="2700000" w14:sx="100000" w14:sy="100000" w14:kx="0" w14:ky="0" w14:algn="tl">
            <w14:srgbClr w14:val="000000">
              <w14:alpha w14:val="60000"/>
            </w14:srgbClr>
          </w14:shadow>
        </w:rPr>
        <w:t>合同</w:t>
      </w:r>
    </w:p>
    <w:p>
      <w:pPr>
        <w:widowControl w:val="0"/>
        <w:spacing w:after="0" w:line="360" w:lineRule="auto"/>
        <w:jc w:val="center"/>
        <w:rPr>
          <w:rFonts w:ascii="宋体" w:hAnsi="宋体" w:cs="宋体"/>
          <w:b w:val="0"/>
          <w:bCs/>
          <w:color w:val="auto"/>
          <w:sz w:val="28"/>
          <w:szCs w:val="28"/>
          <w:highlight w:val="none"/>
        </w:rPr>
      </w:pPr>
    </w:p>
    <w:p>
      <w:pPr>
        <w:jc w:val="center"/>
        <w:rPr>
          <w:b w:val="0"/>
          <w:bCs/>
          <w:color w:val="auto"/>
          <w:sz w:val="30"/>
          <w:highlight w:val="none"/>
        </w:rPr>
      </w:pPr>
    </w:p>
    <w:p>
      <w:pPr>
        <w:rPr>
          <w:b w:val="0"/>
          <w:bCs/>
          <w:color w:val="auto"/>
          <w:sz w:val="30"/>
          <w:highlight w:val="none"/>
        </w:rPr>
      </w:pPr>
    </w:p>
    <w:p>
      <w:pPr>
        <w:spacing w:line="480" w:lineRule="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rPr>
        <w:t>项目名称：广州市净水有限公司</w:t>
      </w:r>
      <w:r>
        <w:rPr>
          <w:rFonts w:hint="eastAsia" w:ascii="仿宋" w:hAnsi="仿宋" w:eastAsia="仿宋" w:cs="仿宋"/>
          <w:b w:val="0"/>
          <w:bCs/>
          <w:color w:val="auto"/>
          <w:sz w:val="36"/>
          <w:szCs w:val="36"/>
          <w:highlight w:val="none"/>
          <w:lang w:val="en-US" w:eastAsia="zh-CN"/>
        </w:rPr>
        <w:t>流程梳理与优化咨询服务</w:t>
      </w:r>
    </w:p>
    <w:p>
      <w:pPr>
        <w:spacing w:line="480" w:lineRule="auto"/>
        <w:rPr>
          <w:rFonts w:hint="eastAsia" w:ascii="仿宋" w:hAnsi="仿宋" w:eastAsia="仿宋" w:cs="仿宋"/>
          <w:b w:val="0"/>
          <w:bCs/>
          <w:color w:val="auto"/>
          <w:sz w:val="36"/>
          <w:szCs w:val="36"/>
          <w:highlight w:val="none"/>
        </w:rPr>
      </w:pPr>
    </w:p>
    <w:p>
      <w:pPr>
        <w:spacing w:line="480" w:lineRule="auto"/>
        <w:rPr>
          <w:rFonts w:hint="eastAsia" w:ascii="仿宋" w:hAnsi="仿宋" w:eastAsia="仿宋" w:cs="仿宋"/>
          <w:b w:val="0"/>
          <w:bCs/>
          <w:color w:val="auto"/>
          <w:sz w:val="36"/>
          <w:szCs w:val="36"/>
          <w:highlight w:val="none"/>
        </w:rPr>
      </w:pPr>
      <w:r>
        <w:rPr>
          <w:rFonts w:hint="eastAsia" w:ascii="仿宋" w:hAnsi="仿宋" w:eastAsia="仿宋" w:cs="仿宋"/>
          <w:b w:val="0"/>
          <w:bCs/>
          <w:color w:val="auto"/>
          <w:sz w:val="36"/>
          <w:szCs w:val="36"/>
          <w:highlight w:val="none"/>
          <w:lang w:val="en-US" w:eastAsia="zh-CN"/>
        </w:rPr>
        <w:t>甲方</w:t>
      </w:r>
      <w:r>
        <w:rPr>
          <w:rFonts w:hint="eastAsia" w:ascii="仿宋" w:hAnsi="仿宋" w:eastAsia="仿宋" w:cs="仿宋"/>
          <w:b w:val="0"/>
          <w:bCs/>
          <w:color w:val="auto"/>
          <w:sz w:val="36"/>
          <w:szCs w:val="36"/>
          <w:highlight w:val="none"/>
        </w:rPr>
        <w:t xml:space="preserve">合同编号：穗净水合[     ]  </w:t>
      </w:r>
      <w:r>
        <w:rPr>
          <w:rFonts w:hint="eastAsia" w:ascii="仿宋" w:hAnsi="仿宋" w:eastAsia="仿宋" w:cs="仿宋"/>
          <w:b w:val="0"/>
          <w:bCs/>
          <w:color w:val="auto"/>
          <w:sz w:val="36"/>
          <w:szCs w:val="36"/>
          <w:highlight w:val="none"/>
          <w:lang w:val="en-US" w:eastAsia="zh-CN"/>
        </w:rPr>
        <w:t xml:space="preserve"> </w:t>
      </w:r>
      <w:r>
        <w:rPr>
          <w:rFonts w:hint="eastAsia" w:ascii="仿宋" w:hAnsi="仿宋" w:eastAsia="仿宋" w:cs="仿宋"/>
          <w:b w:val="0"/>
          <w:bCs/>
          <w:color w:val="auto"/>
          <w:sz w:val="36"/>
          <w:szCs w:val="36"/>
          <w:highlight w:val="none"/>
        </w:rPr>
        <w:t xml:space="preserve">  号</w:t>
      </w:r>
    </w:p>
    <w:p>
      <w:pPr>
        <w:pStyle w:val="13"/>
        <w:ind w:left="0" w:leftChars="0" w:firstLine="0" w:firstLineChars="0"/>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乙方合同编号：</w:t>
      </w:r>
    </w:p>
    <w:p>
      <w:pPr>
        <w:spacing w:line="480" w:lineRule="auto"/>
        <w:rPr>
          <w:rFonts w:hint="eastAsia" w:ascii="仿宋" w:hAnsi="仿宋" w:eastAsia="仿宋" w:cs="仿宋"/>
          <w:b w:val="0"/>
          <w:bCs/>
          <w:color w:val="auto"/>
          <w:sz w:val="36"/>
          <w:szCs w:val="36"/>
          <w:highlight w:val="none"/>
        </w:rPr>
      </w:pPr>
    </w:p>
    <w:p>
      <w:pPr>
        <w:spacing w:line="480" w:lineRule="auto"/>
        <w:rPr>
          <w:rFonts w:hint="eastAsia" w:ascii="仿宋" w:hAnsi="仿宋" w:eastAsia="仿宋" w:cs="仿宋"/>
          <w:b w:val="0"/>
          <w:bCs/>
          <w:color w:val="auto"/>
          <w:sz w:val="36"/>
          <w:szCs w:val="36"/>
          <w:highlight w:val="none"/>
        </w:rPr>
      </w:pPr>
      <w:r>
        <w:rPr>
          <w:rFonts w:hint="eastAsia" w:ascii="仿宋" w:hAnsi="仿宋" w:eastAsia="仿宋" w:cs="仿宋"/>
          <w:b w:val="0"/>
          <w:bCs/>
          <w:color w:val="auto"/>
          <w:sz w:val="36"/>
          <w:szCs w:val="36"/>
          <w:highlight w:val="none"/>
        </w:rPr>
        <w:t>甲方：广州市净水有限公司</w:t>
      </w:r>
    </w:p>
    <w:p>
      <w:pPr>
        <w:tabs>
          <w:tab w:val="left" w:pos="492"/>
        </w:tabs>
        <w:snapToGrid w:val="0"/>
        <w:spacing w:line="360" w:lineRule="auto"/>
        <w:ind w:firstLine="0" w:firstLineChars="0"/>
        <w:rPr>
          <w:rFonts w:hint="eastAsia" w:ascii="仿宋" w:hAnsi="仿宋" w:eastAsia="仿宋" w:cs="仿宋"/>
          <w:b w:val="0"/>
          <w:bCs/>
          <w:color w:val="auto"/>
          <w:sz w:val="36"/>
          <w:szCs w:val="36"/>
          <w:highlight w:val="none"/>
        </w:rPr>
      </w:pPr>
      <w:r>
        <w:rPr>
          <w:rFonts w:hint="eastAsia" w:ascii="仿宋" w:hAnsi="仿宋" w:eastAsia="仿宋" w:cs="仿宋"/>
          <w:b w:val="0"/>
          <w:bCs/>
          <w:color w:val="auto"/>
          <w:sz w:val="36"/>
          <w:szCs w:val="36"/>
          <w:highlight w:val="none"/>
        </w:rPr>
        <w:t>乙方：</w:t>
      </w:r>
    </w:p>
    <w:p>
      <w:pPr>
        <w:spacing w:line="480" w:lineRule="auto"/>
        <w:rPr>
          <w:rFonts w:hint="eastAsia" w:ascii="仿宋" w:hAnsi="仿宋" w:eastAsia="仿宋" w:cs="仿宋"/>
          <w:b w:val="0"/>
          <w:bCs/>
          <w:color w:val="auto"/>
          <w:sz w:val="36"/>
          <w:szCs w:val="36"/>
          <w:highlight w:val="none"/>
        </w:rPr>
      </w:pPr>
    </w:p>
    <w:p>
      <w:pPr>
        <w:spacing w:line="480" w:lineRule="auto"/>
        <w:rPr>
          <w:rFonts w:hint="eastAsia" w:ascii="仿宋" w:hAnsi="仿宋" w:eastAsia="仿宋" w:cs="仿宋"/>
          <w:b w:val="0"/>
          <w:bCs/>
          <w:color w:val="auto"/>
          <w:sz w:val="36"/>
          <w:szCs w:val="36"/>
          <w:highlight w:val="none"/>
        </w:rPr>
      </w:pPr>
    </w:p>
    <w:p>
      <w:pPr>
        <w:spacing w:line="480" w:lineRule="auto"/>
        <w:rPr>
          <w:rFonts w:hint="default"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rPr>
        <w:t>签订日期：    年  月  日</w:t>
      </w:r>
      <w:r>
        <w:rPr>
          <w:rFonts w:hint="eastAsia" w:ascii="仿宋" w:hAnsi="仿宋" w:eastAsia="仿宋" w:cs="仿宋"/>
          <w:b w:val="0"/>
          <w:bCs/>
          <w:color w:val="auto"/>
          <w:sz w:val="36"/>
          <w:szCs w:val="36"/>
          <w:highlight w:val="none"/>
          <w:lang w:val="en-US" w:eastAsia="zh-CN"/>
        </w:rPr>
        <w:t xml:space="preserve">  </w:t>
      </w:r>
    </w:p>
    <w:p>
      <w:pPr>
        <w:spacing w:line="480" w:lineRule="auto"/>
        <w:rPr>
          <w:rFonts w:hint="eastAsia" w:ascii="宋体" w:hAnsi="宋体" w:cs="宋体"/>
          <w:color w:val="auto"/>
          <w:sz w:val="24"/>
          <w:szCs w:val="24"/>
          <w:highlight w:val="none"/>
        </w:rPr>
      </w:pPr>
      <w:r>
        <w:rPr>
          <w:rFonts w:hint="eastAsia" w:ascii="仿宋" w:hAnsi="仿宋" w:eastAsia="仿宋" w:cs="仿宋"/>
          <w:b w:val="0"/>
          <w:bCs/>
          <w:color w:val="auto"/>
          <w:sz w:val="36"/>
          <w:szCs w:val="36"/>
          <w:highlight w:val="none"/>
        </w:rPr>
        <w:t>签约地点：广州市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pStyle w:val="3"/>
        <w:rPr>
          <w:rFonts w:hint="eastAsia" w:eastAsia="仿宋"/>
          <w:color w:val="auto"/>
          <w:highlight w:val="none"/>
        </w:rPr>
      </w:pPr>
    </w:p>
    <w:p>
      <w:pPr>
        <w:adjustRightInd w:val="0"/>
        <w:spacing w:line="360" w:lineRule="auto"/>
        <w:ind w:firstLine="480" w:firstLineChars="200"/>
        <w:jc w:val="left"/>
        <w:textAlignment w:val="baseline"/>
        <w:rPr>
          <w:rFonts w:ascii="宋体" w:hAnsi="宋体" w:cs="宋体"/>
          <w:color w:val="auto"/>
          <w:sz w:val="24"/>
          <w:szCs w:val="24"/>
          <w:highlight w:val="none"/>
          <w:u w:val="single"/>
        </w:rPr>
      </w:pPr>
      <w:r>
        <w:rPr>
          <w:rFonts w:hint="eastAsia" w:ascii="宋体" w:hAnsi="宋体" w:cs="宋体"/>
          <w:color w:val="auto"/>
          <w:sz w:val="24"/>
          <w:szCs w:val="24"/>
          <w:highlight w:val="none"/>
        </w:rPr>
        <w:t>甲方（发包人）</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广州市</w:t>
      </w:r>
      <w:r>
        <w:rPr>
          <w:rFonts w:hint="eastAsia" w:ascii="宋体" w:hAnsi="宋体" w:cs="宋体"/>
          <w:bCs/>
          <w:color w:val="auto"/>
          <w:sz w:val="24"/>
          <w:szCs w:val="24"/>
          <w:highlight w:val="none"/>
          <w:u w:val="single"/>
        </w:rPr>
        <w:t>净水有限公司</w:t>
      </w:r>
    </w:p>
    <w:p>
      <w:pPr>
        <w:snapToGrid w:val="0"/>
        <w:spacing w:line="360" w:lineRule="auto"/>
        <w:ind w:firstLine="480" w:firstLineChars="200"/>
        <w:rPr>
          <w:rFonts w:hint="eastAsia" w:hAnsi="宋体" w:cs="宋体"/>
          <w:color w:val="auto"/>
          <w:sz w:val="24"/>
          <w:szCs w:val="24"/>
          <w:highlight w:val="none"/>
        </w:rPr>
      </w:pPr>
      <w:r>
        <w:rPr>
          <w:rFonts w:hint="eastAsia" w:ascii="宋体" w:hAnsi="宋体" w:cs="宋体"/>
          <w:color w:val="auto"/>
          <w:sz w:val="24"/>
          <w:szCs w:val="24"/>
          <w:highlight w:val="none"/>
        </w:rPr>
        <w:t>乙方（承包人）</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p>
    <w:p>
      <w:pPr>
        <w:pStyle w:val="13"/>
        <w:rPr>
          <w:rFonts w:hint="eastAsia"/>
          <w:color w:val="auto"/>
          <w:highlight w:val="none"/>
        </w:rPr>
      </w:pPr>
    </w:p>
    <w:p>
      <w:pPr>
        <w:snapToGrid w:val="0"/>
        <w:spacing w:line="360" w:lineRule="auto"/>
        <w:ind w:firstLine="480" w:firstLineChars="200"/>
        <w:rPr>
          <w:rFonts w:ascii="宋体" w:hAnsi="宋体" w:cs="宋体"/>
          <w:color w:val="auto"/>
          <w:sz w:val="24"/>
          <w:highlight w:val="none"/>
        </w:rPr>
      </w:pPr>
      <w:r>
        <w:rPr>
          <w:rFonts w:hint="eastAsia" w:hAnsi="宋体" w:cs="宋体"/>
          <w:color w:val="auto"/>
          <w:sz w:val="24"/>
          <w:szCs w:val="24"/>
          <w:highlight w:val="none"/>
        </w:rPr>
        <w:t>甲方就</w:t>
      </w:r>
      <w:r>
        <w:rPr>
          <w:rFonts w:hint="eastAsia" w:hAnsi="宋体" w:cs="宋体"/>
          <w:color w:val="auto"/>
          <w:sz w:val="24"/>
          <w:szCs w:val="24"/>
          <w:highlight w:val="none"/>
          <w:u w:val="single"/>
        </w:rPr>
        <w:t>广州市净水有限公司流程梳理与优化咨询服务</w:t>
      </w:r>
      <w:r>
        <w:rPr>
          <w:rFonts w:hint="eastAsia" w:hAnsi="宋体" w:cs="宋体"/>
          <w:color w:val="auto"/>
          <w:sz w:val="24"/>
          <w:szCs w:val="24"/>
          <w:highlight w:val="none"/>
        </w:rPr>
        <w:t>委托乙方提供相应工作成果。为深入贯彻习近平法治思想，落实全面依法治国的战略部署，持续提升依法治企合规经营水平，</w:t>
      </w:r>
      <w:r>
        <w:rPr>
          <w:rFonts w:hint="eastAsia" w:ascii="宋体" w:hAnsi="宋体" w:cs="宋体"/>
          <w:color w:val="auto"/>
          <w:sz w:val="24"/>
          <w:highlight w:val="none"/>
        </w:rPr>
        <w:t>甲方委托乙方提供流程梳理与优化咨询服务，乙方同意接受甲方委托。经甲乙双方友好协商，为明确双方权利和义务，特签订本合同，共同遵守。</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第一条  项目名称、目标及工期</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（一）项目名称：广州市净水有限公司流程梳理与优化咨询服务</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（二）项目目标：乙方提供专业咨询服务，协助甲方开展全面的流程梳理和优化，将合规审查作为必经程序嵌入经营管理流程，提高效率，防范风险，助力</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高质量发展。</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（三）项目工期：自</w:t>
      </w:r>
      <w:r>
        <w:rPr>
          <w:rFonts w:hint="eastAsia" w:ascii="宋体" w:hAnsi="宋体" w:cs="宋体"/>
          <w:color w:val="auto"/>
          <w:sz w:val="24"/>
          <w:highlight w:val="none"/>
          <w:u w:val="single"/>
        </w:rPr>
        <w:t>合同签订之日起到 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日止。</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第二条  项目范围、内容及成果</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（一）项目范围</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本项目的服务对象为广州市净水有限公司。</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（二）项目内容</w:t>
      </w:r>
    </w:p>
    <w:p>
      <w:pPr>
        <w:tabs>
          <w:tab w:val="left" w:pos="851"/>
        </w:tabs>
        <w:snapToGrid w:val="0"/>
        <w:spacing w:line="360" w:lineRule="auto"/>
        <w:ind w:firstLine="480" w:firstLineChars="200"/>
        <w:rPr>
          <w:rFonts w:hint="eastAsia" w:ascii="宋体" w:hAnsi="宋体" w:cs="宋体"/>
          <w:bCs w:val="0"/>
          <w:color w:val="auto"/>
          <w:sz w:val="24"/>
          <w:highlight w:val="none"/>
        </w:rPr>
      </w:pPr>
      <w:r>
        <w:rPr>
          <w:rFonts w:hint="eastAsia" w:ascii="宋体" w:hAnsi="宋体" w:cs="宋体"/>
          <w:bCs w:val="0"/>
          <w:color w:val="auto"/>
          <w:sz w:val="24"/>
          <w:highlight w:val="none"/>
        </w:rPr>
        <w:t>1.梳理</w:t>
      </w:r>
      <w:r>
        <w:rPr>
          <w:rFonts w:hint="eastAsia" w:ascii="宋体" w:hAnsi="宋体" w:cs="宋体"/>
          <w:bCs w:val="0"/>
          <w:color w:val="auto"/>
          <w:sz w:val="24"/>
          <w:highlight w:val="none"/>
          <w:lang w:val="en-US" w:eastAsia="zh-CN"/>
        </w:rPr>
        <w:t>甲方现</w:t>
      </w:r>
      <w:r>
        <w:rPr>
          <w:rFonts w:hint="eastAsia" w:ascii="宋体" w:hAnsi="宋体" w:cs="宋体"/>
          <w:bCs w:val="0"/>
          <w:color w:val="auto"/>
          <w:sz w:val="24"/>
          <w:highlight w:val="none"/>
        </w:rPr>
        <w:t>行所有业务和管理流程，编制流程图和风险控制矩阵</w:t>
      </w:r>
    </w:p>
    <w:p>
      <w:pPr>
        <w:tabs>
          <w:tab w:val="left" w:pos="851"/>
        </w:tabs>
        <w:snapToGrid w:val="0"/>
        <w:spacing w:line="360" w:lineRule="auto"/>
        <w:ind w:firstLine="480" w:firstLineChars="200"/>
        <w:rPr>
          <w:rFonts w:hint="eastAsia" w:ascii="宋体" w:hAnsi="宋体" w:cs="宋体"/>
          <w:bCs w:val="0"/>
          <w:color w:val="auto"/>
          <w:sz w:val="24"/>
          <w:highlight w:val="none"/>
        </w:rPr>
      </w:pPr>
      <w:r>
        <w:rPr>
          <w:rFonts w:hint="eastAsia" w:ascii="宋体" w:hAnsi="宋体" w:cs="宋体"/>
          <w:bCs w:val="0"/>
          <w:color w:val="auto"/>
          <w:sz w:val="24"/>
          <w:highlight w:val="none"/>
        </w:rPr>
        <w:t>2.梳理需要嵌入合规审查节点的业务和管理流程明细表，以该流程明细表为基础，根据</w:t>
      </w:r>
      <w:r>
        <w:rPr>
          <w:rFonts w:hint="eastAsia" w:ascii="宋体" w:hAnsi="宋体" w:cs="宋体"/>
          <w:bCs w:val="0"/>
          <w:color w:val="auto"/>
          <w:sz w:val="24"/>
          <w:highlight w:val="none"/>
          <w:lang w:val="en-US" w:eastAsia="zh-CN"/>
        </w:rPr>
        <w:t>甲方</w:t>
      </w:r>
      <w:r>
        <w:rPr>
          <w:rFonts w:hint="eastAsia" w:ascii="宋体" w:hAnsi="宋体" w:cs="宋体"/>
          <w:bCs w:val="0"/>
          <w:color w:val="auto"/>
          <w:sz w:val="24"/>
          <w:highlight w:val="none"/>
        </w:rPr>
        <w:t>现有制度，参照</w:t>
      </w:r>
      <w:r>
        <w:rPr>
          <w:rFonts w:hint="eastAsia" w:ascii="宋体" w:hAnsi="宋体" w:cs="宋体"/>
          <w:bCs w:val="0"/>
          <w:color w:val="auto"/>
          <w:sz w:val="24"/>
          <w:highlight w:val="none"/>
          <w:lang w:val="en-US" w:eastAsia="zh-CN"/>
        </w:rPr>
        <w:t>甲方</w:t>
      </w:r>
      <w:r>
        <w:rPr>
          <w:rFonts w:hint="eastAsia" w:ascii="宋体" w:hAnsi="宋体" w:cs="宋体"/>
          <w:bCs w:val="0"/>
          <w:color w:val="auto"/>
          <w:sz w:val="24"/>
          <w:highlight w:val="none"/>
        </w:rPr>
        <w:t>《一体化管理手册》，对流程补充或完善合规审查环节，并明确每个节点的合规审核人员、审查内容，审查要求等。</w:t>
      </w:r>
    </w:p>
    <w:p>
      <w:pPr>
        <w:tabs>
          <w:tab w:val="left" w:pos="851"/>
        </w:tabs>
        <w:snapToGrid w:val="0"/>
        <w:spacing w:line="360" w:lineRule="auto"/>
        <w:ind w:firstLine="480" w:firstLineChars="200"/>
        <w:rPr>
          <w:rFonts w:hint="eastAsia" w:ascii="宋体" w:hAnsi="宋体" w:cs="宋体"/>
          <w:bCs w:val="0"/>
          <w:color w:val="auto"/>
          <w:sz w:val="24"/>
          <w:highlight w:val="none"/>
        </w:rPr>
      </w:pPr>
      <w:r>
        <w:rPr>
          <w:rFonts w:hint="eastAsia" w:ascii="宋体" w:hAnsi="宋体" w:cs="宋体"/>
          <w:bCs w:val="0"/>
          <w:color w:val="auto"/>
          <w:sz w:val="24"/>
          <w:highlight w:val="none"/>
        </w:rPr>
        <w:t>3.梳理</w:t>
      </w:r>
      <w:r>
        <w:rPr>
          <w:rFonts w:hint="eastAsia" w:ascii="宋体" w:hAnsi="宋体" w:cs="宋体"/>
          <w:bCs w:val="0"/>
          <w:color w:val="auto"/>
          <w:sz w:val="24"/>
          <w:highlight w:val="none"/>
          <w:lang w:val="en-US" w:eastAsia="zh-CN"/>
        </w:rPr>
        <w:t>甲方</w:t>
      </w:r>
      <w:r>
        <w:rPr>
          <w:rFonts w:hint="eastAsia" w:ascii="宋体" w:hAnsi="宋体" w:cs="宋体"/>
          <w:bCs w:val="0"/>
          <w:color w:val="auto"/>
          <w:sz w:val="24"/>
          <w:highlight w:val="none"/>
        </w:rPr>
        <w:t>“三重一大”决策事项清单，按照</w:t>
      </w:r>
      <w:r>
        <w:rPr>
          <w:rFonts w:hint="eastAsia" w:ascii="宋体" w:hAnsi="宋体" w:cs="宋体"/>
          <w:bCs w:val="0"/>
          <w:color w:val="auto"/>
          <w:sz w:val="24"/>
          <w:highlight w:val="none"/>
          <w:lang w:val="en-US" w:eastAsia="zh-CN"/>
        </w:rPr>
        <w:t>甲方</w:t>
      </w:r>
      <w:r>
        <w:rPr>
          <w:rFonts w:hint="eastAsia" w:ascii="宋体" w:hAnsi="宋体" w:cs="宋体"/>
          <w:bCs w:val="0"/>
          <w:color w:val="auto"/>
          <w:sz w:val="24"/>
          <w:highlight w:val="none"/>
        </w:rPr>
        <w:t>章程、法律意见书相关管理办法等规定，明确需要合规复查的事项，梳理法务和合规把关清单，并协助</w:t>
      </w:r>
      <w:r>
        <w:rPr>
          <w:rFonts w:hint="eastAsia" w:ascii="宋体" w:hAnsi="宋体" w:cs="宋体"/>
          <w:bCs w:val="0"/>
          <w:color w:val="auto"/>
          <w:sz w:val="24"/>
          <w:highlight w:val="none"/>
          <w:lang w:val="en-US" w:eastAsia="zh-CN"/>
        </w:rPr>
        <w:t>甲方</w:t>
      </w:r>
      <w:r>
        <w:rPr>
          <w:rFonts w:hint="eastAsia" w:ascii="宋体" w:hAnsi="宋体" w:cs="宋体"/>
          <w:bCs w:val="0"/>
          <w:color w:val="auto"/>
          <w:sz w:val="24"/>
          <w:highlight w:val="none"/>
        </w:rPr>
        <w:t>在现有的党委会、董事会、总经理办公会“三会”议题申报流程中增设合规审查自动响应的固定节点。</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
          <w:color w:val="auto"/>
          <w:sz w:val="28"/>
          <w:szCs w:val="28"/>
          <w:highlight w:val="none"/>
          <w:lang w:val="en-US" w:eastAsia="zh-CN"/>
        </w:rPr>
      </w:pPr>
      <w:r>
        <w:rPr>
          <w:rFonts w:hint="eastAsia" w:ascii="宋体" w:hAnsi="宋体" w:cs="宋体"/>
          <w:bCs w:val="0"/>
          <w:color w:val="auto"/>
          <w:sz w:val="24"/>
          <w:highlight w:val="none"/>
        </w:rPr>
        <w:t>4.结合</w:t>
      </w:r>
      <w:r>
        <w:rPr>
          <w:rFonts w:hint="eastAsia" w:ascii="宋体" w:hAnsi="宋体" w:cs="宋体"/>
          <w:bCs w:val="0"/>
          <w:color w:val="auto"/>
          <w:sz w:val="24"/>
          <w:highlight w:val="none"/>
          <w:lang w:val="en-US" w:eastAsia="zh-CN"/>
        </w:rPr>
        <w:t>甲方</w:t>
      </w:r>
      <w:r>
        <w:rPr>
          <w:rFonts w:hint="eastAsia" w:ascii="宋体" w:hAnsi="宋体" w:cs="宋体"/>
          <w:bCs w:val="0"/>
          <w:color w:val="auto"/>
          <w:sz w:val="24"/>
          <w:highlight w:val="none"/>
        </w:rPr>
        <w:t>实际业务情况，提出流程优化建议</w:t>
      </w:r>
      <w:r>
        <w:rPr>
          <w:rFonts w:hint="eastAsia" w:ascii="宋体" w:hAnsi="宋体" w:cs="宋体"/>
          <w:bCs/>
          <w:color w:val="auto"/>
          <w:sz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eastAsiaTheme="minorEastAsia"/>
          <w:b/>
          <w:color w:val="auto"/>
          <w:sz w:val="24"/>
          <w:szCs w:val="22"/>
          <w:highlight w:val="none"/>
          <w:lang w:val="en-US" w:eastAsia="zh-CN"/>
        </w:rPr>
      </w:pPr>
      <w:r>
        <w:rPr>
          <w:rFonts w:hint="eastAsia" w:ascii="宋体" w:hAnsi="宋体" w:cs="宋体" w:eastAsiaTheme="minorEastAsia"/>
          <w:b/>
          <w:color w:val="auto"/>
          <w:sz w:val="24"/>
          <w:szCs w:val="22"/>
          <w:highlight w:val="none"/>
          <w:lang w:val="en-US" w:eastAsia="zh-CN"/>
        </w:rPr>
        <w:t>（三）其他内容</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1.落地辅导期，通过沟通与培训，在项目建设和实施过程中，针对项目内容，建立恰当的沟通机制，并对</w:t>
      </w:r>
      <w:r>
        <w:rPr>
          <w:rFonts w:hint="eastAsia" w:ascii="宋体" w:hAnsi="宋体" w:cs="宋体"/>
          <w:bCs w:val="0"/>
          <w:color w:val="auto"/>
          <w:sz w:val="24"/>
          <w:highlight w:val="none"/>
          <w:lang w:val="en-US" w:eastAsia="zh-CN"/>
        </w:rPr>
        <w:t>甲方</w:t>
      </w:r>
      <w:r>
        <w:rPr>
          <w:rFonts w:hint="eastAsia" w:ascii="宋体" w:hAnsi="宋体" w:cs="宋体" w:eastAsiaTheme="minorEastAsia"/>
          <w:color w:val="auto"/>
          <w:sz w:val="24"/>
          <w:szCs w:val="22"/>
          <w:highlight w:val="none"/>
          <w:lang w:val="en-US" w:eastAsia="zh-CN"/>
        </w:rPr>
        <w:t>相关人员进行培训</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2.项目运行后的首次评价。实施评价并组织回头看，保证</w:t>
      </w:r>
      <w:r>
        <w:rPr>
          <w:rFonts w:hint="eastAsia" w:ascii="宋体" w:hAnsi="宋体" w:cs="宋体"/>
          <w:color w:val="auto"/>
          <w:sz w:val="24"/>
          <w:szCs w:val="22"/>
          <w:highlight w:val="none"/>
          <w:lang w:val="en-US" w:eastAsia="zh-CN"/>
        </w:rPr>
        <w:t>甲方</w:t>
      </w:r>
      <w:r>
        <w:rPr>
          <w:rFonts w:hint="eastAsia" w:ascii="宋体" w:hAnsi="宋体" w:cs="宋体" w:eastAsiaTheme="minorEastAsia"/>
          <w:color w:val="auto"/>
          <w:sz w:val="24"/>
          <w:szCs w:val="22"/>
          <w:highlight w:val="none"/>
          <w:lang w:val="en-US" w:eastAsia="zh-CN"/>
        </w:rPr>
        <w:t>流程梳理与优化有效落地。</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eastAsiaTheme="minorEastAsia"/>
          <w:b/>
          <w:color w:val="auto"/>
          <w:sz w:val="24"/>
          <w:szCs w:val="22"/>
          <w:highlight w:val="none"/>
          <w:lang w:val="en-US" w:eastAsia="zh-CN"/>
        </w:rPr>
      </w:pPr>
      <w:r>
        <w:rPr>
          <w:rFonts w:hint="eastAsia" w:ascii="宋体" w:hAnsi="宋体" w:cs="宋体" w:eastAsiaTheme="minorEastAsia"/>
          <w:b/>
          <w:color w:val="auto"/>
          <w:sz w:val="24"/>
          <w:szCs w:val="22"/>
          <w:highlight w:val="none"/>
          <w:lang w:val="en-US" w:eastAsia="zh-CN"/>
        </w:rPr>
        <w:t>（四）项目管理</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color w:val="auto"/>
          <w:sz w:val="24"/>
          <w:szCs w:val="22"/>
          <w:highlight w:val="none"/>
          <w:lang w:val="en-US" w:eastAsia="zh-CN"/>
        </w:rPr>
        <w:t>乙方</w:t>
      </w:r>
      <w:r>
        <w:rPr>
          <w:rFonts w:hint="eastAsia" w:ascii="宋体" w:hAnsi="宋体" w:cs="宋体" w:eastAsiaTheme="minorEastAsia"/>
          <w:color w:val="auto"/>
          <w:sz w:val="24"/>
          <w:szCs w:val="22"/>
          <w:highlight w:val="none"/>
          <w:lang w:val="en-US" w:eastAsia="zh-CN"/>
        </w:rPr>
        <w:t>须在服务方案中提交详细的服务实施计划，至少包含以下内容：</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（1）项目人员要求</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color w:val="auto"/>
          <w:sz w:val="24"/>
          <w:szCs w:val="22"/>
          <w:highlight w:val="none"/>
          <w:lang w:val="en-US" w:eastAsia="zh-CN"/>
        </w:rPr>
        <w:t>乙方</w:t>
      </w:r>
      <w:r>
        <w:rPr>
          <w:rFonts w:hint="eastAsia" w:ascii="宋体" w:hAnsi="宋体" w:cs="宋体" w:eastAsiaTheme="minorEastAsia"/>
          <w:color w:val="auto"/>
          <w:sz w:val="24"/>
          <w:szCs w:val="22"/>
          <w:highlight w:val="none"/>
          <w:lang w:val="en-US" w:eastAsia="zh-CN"/>
        </w:rPr>
        <w:t>提交项目管理组织机构设置方案，明确提供项目总监、项目经理、咨询顾问名单以及上述人员资质、证书、工作简历和相关项目开发、实施经历，在项目实施过程中，未经采购人书面同意，不得更换。项目组成员必须具备良好的职业操守，不存在违反职业操守的不良记录，工作过程中应当严格保守我公司商业秘密。</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（2）项目实施要求</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第一阶段</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合同签订后</w:t>
      </w:r>
      <w:r>
        <w:rPr>
          <w:rFonts w:hint="eastAsia" w:ascii="宋体" w:hAnsi="宋体" w:cs="宋体"/>
          <w:color w:val="auto"/>
          <w:sz w:val="24"/>
          <w:szCs w:val="22"/>
          <w:highlight w:val="none"/>
          <w:lang w:val="en-US" w:eastAsia="zh-CN"/>
        </w:rPr>
        <w:t>三个工作日内乙方</w:t>
      </w:r>
      <w:r>
        <w:rPr>
          <w:rFonts w:hint="eastAsia" w:ascii="宋体" w:hAnsi="宋体" w:cs="宋体" w:eastAsiaTheme="minorEastAsia"/>
          <w:color w:val="auto"/>
          <w:sz w:val="24"/>
          <w:szCs w:val="22"/>
          <w:highlight w:val="none"/>
          <w:lang w:val="en-US" w:eastAsia="zh-CN"/>
        </w:rPr>
        <w:t>提交详细的服务方案，并根据</w:t>
      </w:r>
      <w:r>
        <w:rPr>
          <w:rFonts w:hint="eastAsia" w:ascii="宋体" w:hAnsi="宋体" w:cs="宋体"/>
          <w:color w:val="auto"/>
          <w:sz w:val="24"/>
          <w:szCs w:val="22"/>
          <w:highlight w:val="none"/>
          <w:lang w:val="en-US" w:eastAsia="zh-CN"/>
        </w:rPr>
        <w:t>甲方</w:t>
      </w:r>
      <w:r>
        <w:rPr>
          <w:rFonts w:hint="eastAsia" w:ascii="宋体" w:hAnsi="宋体" w:cs="宋体" w:eastAsiaTheme="minorEastAsia"/>
          <w:color w:val="auto"/>
          <w:sz w:val="24"/>
          <w:szCs w:val="22"/>
          <w:highlight w:val="none"/>
          <w:lang w:val="en-US" w:eastAsia="zh-CN"/>
        </w:rPr>
        <w:t>的合理要求进行修改，方案作为项目实施进度管理的依据。</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合同签订后五个工作日内，</w:t>
      </w:r>
      <w:r>
        <w:rPr>
          <w:rFonts w:hint="eastAsia" w:ascii="宋体" w:hAnsi="宋体" w:cs="宋体"/>
          <w:color w:val="auto"/>
          <w:sz w:val="24"/>
          <w:szCs w:val="22"/>
          <w:highlight w:val="none"/>
          <w:lang w:val="en-US" w:eastAsia="zh-CN"/>
        </w:rPr>
        <w:t>乙方</w:t>
      </w:r>
      <w:r>
        <w:rPr>
          <w:rFonts w:hint="eastAsia" w:ascii="宋体" w:hAnsi="宋体" w:cs="宋体" w:eastAsiaTheme="minorEastAsia"/>
          <w:color w:val="auto"/>
          <w:sz w:val="24"/>
          <w:szCs w:val="22"/>
          <w:highlight w:val="none"/>
          <w:lang w:val="en-US" w:eastAsia="zh-CN"/>
        </w:rPr>
        <w:t>进场开展流程梳理与优化工作</w:t>
      </w:r>
      <w:r>
        <w:rPr>
          <w:rFonts w:hint="eastAsia" w:ascii="宋体" w:hAnsi="宋体" w:cs="宋体"/>
          <w:color w:val="auto"/>
          <w:sz w:val="24"/>
          <w:szCs w:val="22"/>
          <w:highlight w:val="none"/>
          <w:lang w:val="en-US" w:eastAsia="zh-CN"/>
        </w:rPr>
        <w:t>。</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2024年12月1</w:t>
      </w:r>
      <w:r>
        <w:rPr>
          <w:rFonts w:hint="eastAsia" w:ascii="宋体" w:hAnsi="宋体" w:cs="宋体"/>
          <w:color w:val="auto"/>
          <w:sz w:val="24"/>
          <w:szCs w:val="22"/>
          <w:highlight w:val="none"/>
          <w:lang w:val="en-US" w:eastAsia="zh-CN"/>
        </w:rPr>
        <w:t>5</w:t>
      </w:r>
      <w:r>
        <w:rPr>
          <w:rFonts w:hint="eastAsia" w:ascii="宋体" w:hAnsi="宋体" w:cs="宋体" w:eastAsiaTheme="minorEastAsia"/>
          <w:color w:val="auto"/>
          <w:sz w:val="24"/>
          <w:szCs w:val="22"/>
          <w:highlight w:val="none"/>
          <w:lang w:val="en-US" w:eastAsia="zh-CN"/>
        </w:rPr>
        <w:t>日前提交项目成果初稿。</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第二阶段（提交项目初稿后至2024年12月31日）</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color w:val="auto"/>
          <w:sz w:val="24"/>
          <w:szCs w:val="22"/>
          <w:highlight w:val="none"/>
          <w:lang w:val="en-US" w:eastAsia="zh-CN"/>
        </w:rPr>
        <w:t>甲方</w:t>
      </w:r>
      <w:r>
        <w:rPr>
          <w:rFonts w:hint="eastAsia" w:ascii="宋体" w:hAnsi="宋体" w:cs="宋体" w:eastAsiaTheme="minorEastAsia"/>
          <w:color w:val="auto"/>
          <w:sz w:val="24"/>
          <w:szCs w:val="22"/>
          <w:highlight w:val="none"/>
          <w:lang w:val="en-US" w:eastAsia="zh-CN"/>
        </w:rPr>
        <w:t>组织对项目成果进行验收，</w:t>
      </w:r>
      <w:r>
        <w:rPr>
          <w:rFonts w:hint="eastAsia" w:ascii="宋体" w:hAnsi="宋体" w:cs="宋体"/>
          <w:color w:val="auto"/>
          <w:sz w:val="24"/>
          <w:szCs w:val="22"/>
          <w:highlight w:val="none"/>
          <w:lang w:val="en-US" w:eastAsia="zh-CN"/>
        </w:rPr>
        <w:t>乙方</w:t>
      </w:r>
      <w:r>
        <w:rPr>
          <w:rFonts w:hint="eastAsia" w:ascii="宋体" w:hAnsi="宋体" w:cs="宋体" w:eastAsiaTheme="minorEastAsia"/>
          <w:color w:val="auto"/>
          <w:sz w:val="24"/>
          <w:szCs w:val="22"/>
          <w:highlight w:val="none"/>
          <w:lang w:val="en-US" w:eastAsia="zh-CN"/>
        </w:rPr>
        <w:t>根据</w:t>
      </w:r>
      <w:r>
        <w:rPr>
          <w:rFonts w:hint="eastAsia" w:ascii="宋体" w:hAnsi="宋体" w:cs="宋体"/>
          <w:color w:val="auto"/>
          <w:sz w:val="24"/>
          <w:szCs w:val="22"/>
          <w:highlight w:val="none"/>
          <w:lang w:val="en-US" w:eastAsia="zh-CN"/>
        </w:rPr>
        <w:t>甲方</w:t>
      </w:r>
      <w:r>
        <w:rPr>
          <w:rFonts w:hint="eastAsia" w:ascii="宋体" w:hAnsi="宋体" w:cs="宋体" w:eastAsiaTheme="minorEastAsia"/>
          <w:color w:val="auto"/>
          <w:sz w:val="24"/>
          <w:szCs w:val="22"/>
          <w:highlight w:val="none"/>
          <w:lang w:val="en-US" w:eastAsia="zh-CN"/>
        </w:rPr>
        <w:t>意见对项目初稿进行调整修改；验收通过后，</w:t>
      </w:r>
      <w:r>
        <w:rPr>
          <w:rFonts w:hint="eastAsia" w:ascii="宋体" w:hAnsi="宋体" w:cs="宋体"/>
          <w:color w:val="auto"/>
          <w:sz w:val="24"/>
          <w:szCs w:val="22"/>
          <w:highlight w:val="none"/>
          <w:lang w:val="en-US" w:eastAsia="zh-CN"/>
        </w:rPr>
        <w:t>甲方</w:t>
      </w:r>
      <w:r>
        <w:rPr>
          <w:rFonts w:hint="eastAsia" w:ascii="宋体" w:hAnsi="宋体" w:cs="宋体" w:eastAsiaTheme="minorEastAsia"/>
          <w:color w:val="auto"/>
          <w:sz w:val="24"/>
          <w:szCs w:val="22"/>
          <w:highlight w:val="none"/>
          <w:lang w:val="en-US" w:eastAsia="zh-CN"/>
        </w:rPr>
        <w:t>办理成果内部报批。</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第三阶段（验收合格之日起4个月内）</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
          <w:color w:val="auto"/>
          <w:sz w:val="28"/>
          <w:szCs w:val="28"/>
          <w:highlight w:val="none"/>
          <w:lang w:val="en-US" w:eastAsia="zh-CN"/>
        </w:rPr>
      </w:pPr>
      <w:r>
        <w:rPr>
          <w:rFonts w:hint="eastAsia" w:ascii="宋体" w:hAnsi="宋体" w:cs="宋体" w:eastAsiaTheme="minorEastAsia"/>
          <w:color w:val="auto"/>
          <w:sz w:val="24"/>
          <w:szCs w:val="22"/>
          <w:highlight w:val="none"/>
          <w:lang w:val="en-US" w:eastAsia="zh-CN"/>
        </w:rPr>
        <w:t>由</w:t>
      </w:r>
      <w:r>
        <w:rPr>
          <w:rFonts w:hint="eastAsia" w:ascii="宋体" w:hAnsi="宋体" w:cs="宋体"/>
          <w:color w:val="auto"/>
          <w:sz w:val="24"/>
          <w:szCs w:val="22"/>
          <w:highlight w:val="none"/>
          <w:lang w:val="en-US" w:eastAsia="zh-CN"/>
        </w:rPr>
        <w:t>乙方</w:t>
      </w:r>
      <w:r>
        <w:rPr>
          <w:rFonts w:hint="eastAsia" w:ascii="宋体" w:hAnsi="宋体" w:cs="宋体" w:eastAsiaTheme="minorEastAsia"/>
          <w:color w:val="auto"/>
          <w:sz w:val="24"/>
          <w:szCs w:val="22"/>
          <w:highlight w:val="none"/>
          <w:lang w:val="en-US" w:eastAsia="zh-CN"/>
        </w:rPr>
        <w:t>进行流程梳理与优化宣贯与培训；进行项目落地辅导。</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eastAsiaTheme="minorEastAsia"/>
          <w:b/>
          <w:color w:val="auto"/>
          <w:sz w:val="24"/>
          <w:szCs w:val="22"/>
          <w:highlight w:val="none"/>
          <w:u w:val="none"/>
          <w:lang w:val="en-US" w:eastAsia="zh-CN"/>
        </w:rPr>
      </w:pPr>
      <w:r>
        <w:rPr>
          <w:rFonts w:hint="eastAsia" w:ascii="宋体" w:hAnsi="宋体" w:cs="宋体" w:eastAsiaTheme="minorEastAsia"/>
          <w:b/>
          <w:color w:val="auto"/>
          <w:sz w:val="24"/>
          <w:szCs w:val="22"/>
          <w:highlight w:val="none"/>
          <w:u w:val="none"/>
          <w:lang w:val="en-US" w:eastAsia="zh-CN"/>
        </w:rPr>
        <w:t>（五）项目成果要求</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u w:val="none"/>
          <w:lang w:val="en-US" w:eastAsia="zh-CN"/>
        </w:rPr>
      </w:pPr>
      <w:r>
        <w:rPr>
          <w:rFonts w:hint="eastAsia" w:ascii="宋体" w:hAnsi="宋体" w:cs="宋体" w:eastAsiaTheme="minorEastAsia"/>
          <w:color w:val="auto"/>
          <w:sz w:val="24"/>
          <w:szCs w:val="22"/>
          <w:highlight w:val="none"/>
          <w:u w:val="none"/>
          <w:lang w:val="en-US" w:eastAsia="zh-CN"/>
        </w:rPr>
        <w:t xml:space="preserve">  </w:t>
      </w:r>
      <w:r>
        <w:rPr>
          <w:rFonts w:hint="eastAsia" w:ascii="宋体" w:hAnsi="宋体" w:cs="宋体"/>
          <w:color w:val="auto"/>
          <w:sz w:val="24"/>
          <w:szCs w:val="22"/>
          <w:highlight w:val="none"/>
          <w:u w:val="none"/>
          <w:lang w:val="en-US" w:eastAsia="zh-CN"/>
        </w:rPr>
        <w:t>乙方</w:t>
      </w:r>
      <w:r>
        <w:rPr>
          <w:rFonts w:hint="eastAsia" w:ascii="宋体" w:hAnsi="宋体" w:cs="宋体" w:eastAsiaTheme="minorEastAsia"/>
          <w:color w:val="auto"/>
          <w:sz w:val="24"/>
          <w:szCs w:val="22"/>
          <w:highlight w:val="none"/>
          <w:u w:val="none"/>
          <w:lang w:val="en-US" w:eastAsia="zh-CN"/>
        </w:rPr>
        <w:t>需完成的项目成果，包括但不限于：</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u w:val="none"/>
          <w:lang w:val="en-US" w:eastAsia="zh-CN"/>
        </w:rPr>
      </w:pPr>
      <w:r>
        <w:rPr>
          <w:rFonts w:hint="eastAsia" w:ascii="宋体" w:hAnsi="宋体" w:cs="宋体"/>
          <w:color w:val="auto"/>
          <w:sz w:val="24"/>
          <w:szCs w:val="22"/>
          <w:highlight w:val="none"/>
          <w:u w:val="none"/>
          <w:lang w:val="en-US" w:eastAsia="zh-CN"/>
        </w:rPr>
        <w:t>《流程框架》</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u w:val="none"/>
          <w:lang w:val="en-US" w:eastAsia="zh-CN"/>
        </w:rPr>
      </w:pPr>
      <w:r>
        <w:rPr>
          <w:rFonts w:hint="eastAsia" w:ascii="宋体" w:hAnsi="宋体" w:cs="宋体" w:eastAsiaTheme="minorEastAsia"/>
          <w:color w:val="auto"/>
          <w:sz w:val="24"/>
          <w:szCs w:val="22"/>
          <w:highlight w:val="none"/>
          <w:u w:val="none"/>
          <w:lang w:val="en-US" w:eastAsia="zh-CN"/>
        </w:rPr>
        <w:t>《流程管理手册及风险控制矩阵》（内含合规审查节点及要求）</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u w:val="none"/>
          <w:lang w:val="en-US" w:eastAsia="zh-CN"/>
        </w:rPr>
      </w:pPr>
      <w:r>
        <w:rPr>
          <w:rFonts w:hint="eastAsia" w:ascii="宋体" w:hAnsi="宋体" w:cs="宋体" w:eastAsiaTheme="minorEastAsia"/>
          <w:color w:val="auto"/>
          <w:sz w:val="24"/>
          <w:szCs w:val="22"/>
          <w:highlight w:val="none"/>
          <w:u w:val="none"/>
          <w:lang w:val="en-US" w:eastAsia="zh-CN"/>
        </w:rPr>
        <w:t>《重大事项法务与合规复查清单》</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u w:val="none"/>
          <w:lang w:val="en-US" w:eastAsia="zh-CN"/>
        </w:rPr>
      </w:pPr>
      <w:r>
        <w:rPr>
          <w:rFonts w:hint="eastAsia" w:ascii="宋体" w:hAnsi="宋体" w:cs="宋体" w:eastAsiaTheme="minorEastAsia"/>
          <w:color w:val="auto"/>
          <w:sz w:val="24"/>
          <w:szCs w:val="22"/>
          <w:highlight w:val="none"/>
          <w:u w:val="none"/>
          <w:lang w:val="en-US" w:eastAsia="zh-CN"/>
        </w:rPr>
        <w:t>《流程优化建议》</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u w:val="none"/>
          <w:lang w:val="en-US" w:eastAsia="zh-CN"/>
        </w:rPr>
      </w:pPr>
      <w:r>
        <w:rPr>
          <w:rFonts w:hint="eastAsia" w:ascii="宋体" w:hAnsi="宋体" w:cs="宋体"/>
          <w:color w:val="auto"/>
          <w:sz w:val="24"/>
          <w:szCs w:val="22"/>
          <w:highlight w:val="none"/>
          <w:u w:val="none"/>
          <w:lang w:val="en-US" w:eastAsia="zh-CN"/>
        </w:rPr>
        <w:t>乙方</w:t>
      </w:r>
      <w:r>
        <w:rPr>
          <w:rFonts w:hint="eastAsia" w:ascii="宋体" w:hAnsi="宋体" w:cs="宋体" w:eastAsiaTheme="minorEastAsia"/>
          <w:color w:val="auto"/>
          <w:sz w:val="24"/>
          <w:szCs w:val="22"/>
          <w:highlight w:val="none"/>
          <w:u w:val="none"/>
          <w:lang w:val="en-US" w:eastAsia="zh-CN"/>
        </w:rPr>
        <w:t>根据项目经验可以提供的其他项目成果</w:t>
      </w:r>
      <w:r>
        <w:rPr>
          <w:rFonts w:hint="eastAsia" w:ascii="宋体" w:hAnsi="宋体" w:cs="宋体"/>
          <w:color w:val="auto"/>
          <w:sz w:val="24"/>
          <w:szCs w:val="22"/>
          <w:highlight w:val="none"/>
          <w:u w:val="none"/>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eastAsiaTheme="minorEastAsia"/>
          <w:b/>
          <w:color w:val="auto"/>
          <w:sz w:val="24"/>
          <w:szCs w:val="22"/>
          <w:highlight w:val="none"/>
          <w:lang w:val="en-US" w:eastAsia="zh-CN"/>
        </w:rPr>
      </w:pPr>
      <w:r>
        <w:rPr>
          <w:rFonts w:hint="eastAsia" w:ascii="宋体" w:hAnsi="宋体" w:cs="宋体" w:eastAsiaTheme="minorEastAsia"/>
          <w:b/>
          <w:color w:val="auto"/>
          <w:sz w:val="24"/>
          <w:szCs w:val="22"/>
          <w:highlight w:val="none"/>
          <w:lang w:val="en-US" w:eastAsia="zh-CN"/>
        </w:rPr>
        <w:t>（六）项目验收</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color w:val="auto"/>
          <w:sz w:val="24"/>
          <w:szCs w:val="22"/>
          <w:highlight w:val="none"/>
          <w:lang w:val="en-US" w:eastAsia="zh-CN"/>
        </w:rPr>
        <w:t>甲方</w:t>
      </w:r>
      <w:r>
        <w:rPr>
          <w:rFonts w:hint="eastAsia" w:ascii="宋体" w:hAnsi="宋体" w:cs="宋体" w:eastAsiaTheme="minorEastAsia"/>
          <w:color w:val="auto"/>
          <w:sz w:val="24"/>
          <w:szCs w:val="22"/>
          <w:highlight w:val="none"/>
          <w:lang w:val="en-US" w:eastAsia="zh-CN"/>
        </w:rPr>
        <w:t>自行组织对项目成果进行评审验收。</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eastAsiaTheme="minorEastAsia"/>
          <w:b/>
          <w:color w:val="auto"/>
          <w:sz w:val="24"/>
          <w:szCs w:val="22"/>
          <w:highlight w:val="none"/>
          <w:lang w:val="en-US" w:eastAsia="zh-CN"/>
        </w:rPr>
      </w:pPr>
      <w:r>
        <w:rPr>
          <w:rFonts w:hint="eastAsia" w:ascii="宋体" w:hAnsi="宋体" w:cs="宋体" w:eastAsiaTheme="minorEastAsia"/>
          <w:b/>
          <w:color w:val="auto"/>
          <w:sz w:val="24"/>
          <w:szCs w:val="22"/>
          <w:highlight w:val="none"/>
          <w:lang w:val="en-US" w:eastAsia="zh-CN"/>
        </w:rPr>
        <w:t>（七）知识转移</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（1）在项目期间，</w:t>
      </w:r>
      <w:r>
        <w:rPr>
          <w:rFonts w:hint="eastAsia" w:ascii="宋体" w:hAnsi="宋体" w:cs="宋体"/>
          <w:color w:val="auto"/>
          <w:sz w:val="24"/>
          <w:szCs w:val="22"/>
          <w:highlight w:val="none"/>
          <w:lang w:val="en-US" w:eastAsia="zh-CN"/>
        </w:rPr>
        <w:t>乙方</w:t>
      </w:r>
      <w:r>
        <w:rPr>
          <w:rFonts w:hint="eastAsia" w:ascii="宋体" w:hAnsi="宋体" w:cs="宋体" w:eastAsiaTheme="minorEastAsia"/>
          <w:color w:val="auto"/>
          <w:sz w:val="24"/>
          <w:szCs w:val="22"/>
          <w:highlight w:val="none"/>
          <w:lang w:val="en-US" w:eastAsia="zh-CN"/>
        </w:rPr>
        <w:t>通过培训、研讨等方式，提升</w:t>
      </w:r>
      <w:r>
        <w:rPr>
          <w:rFonts w:hint="eastAsia" w:ascii="宋体" w:hAnsi="宋体" w:cs="宋体"/>
          <w:color w:val="auto"/>
          <w:sz w:val="24"/>
          <w:szCs w:val="22"/>
          <w:highlight w:val="none"/>
          <w:lang w:val="en-US" w:eastAsia="zh-CN"/>
        </w:rPr>
        <w:t>甲方</w:t>
      </w:r>
      <w:r>
        <w:rPr>
          <w:rFonts w:hint="eastAsia" w:ascii="宋体" w:hAnsi="宋体" w:cs="宋体"/>
          <w:color w:val="auto"/>
          <w:sz w:val="24"/>
          <w:szCs w:val="22"/>
          <w:highlight w:val="none"/>
          <w:lang w:val="en-US" w:eastAsia="zh-CN"/>
        </w:rPr>
        <w:t>流程</w:t>
      </w:r>
      <w:r>
        <w:rPr>
          <w:rFonts w:hint="eastAsia" w:ascii="宋体" w:hAnsi="宋体" w:cs="宋体" w:eastAsiaTheme="minorEastAsia"/>
          <w:color w:val="auto"/>
          <w:sz w:val="24"/>
          <w:szCs w:val="22"/>
          <w:highlight w:val="none"/>
          <w:lang w:val="en-US" w:eastAsia="zh-CN"/>
        </w:rPr>
        <w:t>管理理念，辅助</w:t>
      </w:r>
      <w:r>
        <w:rPr>
          <w:rFonts w:hint="eastAsia" w:ascii="宋体" w:hAnsi="宋体" w:cs="宋体"/>
          <w:color w:val="auto"/>
          <w:sz w:val="24"/>
          <w:szCs w:val="22"/>
          <w:highlight w:val="none"/>
          <w:lang w:val="en-US" w:eastAsia="zh-CN"/>
        </w:rPr>
        <w:t>甲方</w:t>
      </w:r>
      <w:r>
        <w:rPr>
          <w:rFonts w:hint="eastAsia" w:ascii="宋体" w:hAnsi="宋体" w:cs="宋体" w:eastAsiaTheme="minorEastAsia"/>
          <w:color w:val="auto"/>
          <w:sz w:val="24"/>
          <w:szCs w:val="22"/>
          <w:highlight w:val="none"/>
          <w:lang w:val="en-US" w:eastAsia="zh-CN"/>
        </w:rPr>
        <w:t>建立持续改进的机制。</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（2）在项目完成之日起7日内，</w:t>
      </w:r>
      <w:r>
        <w:rPr>
          <w:rFonts w:hint="eastAsia" w:ascii="宋体" w:hAnsi="宋体" w:cs="宋体"/>
          <w:color w:val="auto"/>
          <w:sz w:val="24"/>
          <w:szCs w:val="22"/>
          <w:highlight w:val="none"/>
          <w:lang w:val="en-US" w:eastAsia="zh-CN"/>
        </w:rPr>
        <w:t>乙方</w:t>
      </w:r>
      <w:r>
        <w:rPr>
          <w:rFonts w:hint="eastAsia" w:ascii="宋体" w:hAnsi="宋体" w:cs="宋体" w:eastAsiaTheme="minorEastAsia"/>
          <w:color w:val="auto"/>
          <w:sz w:val="24"/>
          <w:szCs w:val="22"/>
          <w:highlight w:val="none"/>
          <w:lang w:val="en-US" w:eastAsia="zh-CN"/>
        </w:rPr>
        <w:t>向</w:t>
      </w:r>
      <w:r>
        <w:rPr>
          <w:rFonts w:hint="eastAsia" w:ascii="宋体" w:hAnsi="宋体" w:cs="宋体"/>
          <w:color w:val="auto"/>
          <w:sz w:val="24"/>
          <w:szCs w:val="22"/>
          <w:highlight w:val="none"/>
          <w:lang w:val="en-US" w:eastAsia="zh-CN"/>
        </w:rPr>
        <w:t>甲方</w:t>
      </w:r>
      <w:r>
        <w:rPr>
          <w:rFonts w:hint="eastAsia" w:ascii="宋体" w:hAnsi="宋体" w:cs="宋体" w:eastAsiaTheme="minorEastAsia"/>
          <w:color w:val="auto"/>
          <w:sz w:val="24"/>
          <w:szCs w:val="22"/>
          <w:highlight w:val="none"/>
          <w:lang w:val="en-US" w:eastAsia="zh-CN"/>
        </w:rPr>
        <w:t>转移本项目涉及的所有相关文档。</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（3）所有项目成果及过程资料的知识产权归属于</w:t>
      </w:r>
      <w:r>
        <w:rPr>
          <w:rFonts w:hint="eastAsia" w:ascii="宋体" w:hAnsi="宋体" w:cs="宋体"/>
          <w:color w:val="auto"/>
          <w:sz w:val="24"/>
          <w:szCs w:val="22"/>
          <w:highlight w:val="none"/>
          <w:lang w:val="en-US" w:eastAsia="zh-CN"/>
        </w:rPr>
        <w:t>甲方</w:t>
      </w:r>
      <w:r>
        <w:rPr>
          <w:rFonts w:hint="eastAsia" w:ascii="宋体" w:hAnsi="宋体" w:cs="宋体" w:eastAsiaTheme="minorEastAsia"/>
          <w:color w:val="auto"/>
          <w:sz w:val="24"/>
          <w:szCs w:val="22"/>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rPr>
          <w:rFonts w:hint="eastAsia" w:ascii="宋体" w:hAnsi="宋体" w:cs="宋体" w:eastAsiaTheme="minorEastAsia"/>
          <w:b/>
          <w:color w:val="auto"/>
          <w:sz w:val="24"/>
          <w:szCs w:val="22"/>
          <w:highlight w:val="none"/>
          <w:lang w:val="en-US" w:eastAsia="zh-CN"/>
        </w:rPr>
      </w:pPr>
      <w:r>
        <w:rPr>
          <w:rFonts w:hint="eastAsia" w:ascii="宋体" w:hAnsi="宋体" w:cs="宋体" w:eastAsiaTheme="minorEastAsia"/>
          <w:b/>
          <w:color w:val="auto"/>
          <w:sz w:val="24"/>
          <w:szCs w:val="22"/>
          <w:highlight w:val="none"/>
          <w:lang w:val="en-US" w:eastAsia="zh-CN"/>
        </w:rPr>
        <w:t>（八）售后服务</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项目结束后，</w:t>
      </w:r>
      <w:r>
        <w:rPr>
          <w:rFonts w:hint="eastAsia" w:ascii="宋体" w:hAnsi="宋体" w:cs="宋体"/>
          <w:color w:val="auto"/>
          <w:sz w:val="24"/>
          <w:szCs w:val="22"/>
          <w:highlight w:val="none"/>
          <w:lang w:val="en-US" w:eastAsia="zh-CN"/>
        </w:rPr>
        <w:t>乙方</w:t>
      </w:r>
      <w:r>
        <w:rPr>
          <w:rFonts w:hint="eastAsia" w:ascii="宋体" w:hAnsi="宋体" w:cs="宋体" w:eastAsiaTheme="minorEastAsia"/>
          <w:color w:val="auto"/>
          <w:sz w:val="24"/>
          <w:szCs w:val="22"/>
          <w:highlight w:val="none"/>
          <w:lang w:val="en-US" w:eastAsia="zh-CN"/>
        </w:rPr>
        <w:t>还应提供为期四个月的跟踪支持服务，协助</w:t>
      </w:r>
      <w:r>
        <w:rPr>
          <w:rFonts w:hint="eastAsia" w:ascii="宋体" w:hAnsi="宋体" w:cs="宋体"/>
          <w:color w:val="auto"/>
          <w:sz w:val="24"/>
          <w:szCs w:val="22"/>
          <w:highlight w:val="none"/>
          <w:lang w:val="en-US" w:eastAsia="zh-CN"/>
        </w:rPr>
        <w:t>甲方</w:t>
      </w:r>
      <w:r>
        <w:rPr>
          <w:rFonts w:hint="eastAsia" w:ascii="宋体" w:hAnsi="宋体" w:cs="宋体" w:eastAsiaTheme="minorEastAsia"/>
          <w:color w:val="auto"/>
          <w:sz w:val="24"/>
          <w:szCs w:val="22"/>
          <w:highlight w:val="none"/>
          <w:lang w:val="en-US" w:eastAsia="zh-CN"/>
        </w:rPr>
        <w:t>流程管理持续改进，服务内容至少应包括：</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lang w:val="en-US" w:eastAsia="zh-CN"/>
        </w:rPr>
      </w:pPr>
      <w:r>
        <w:rPr>
          <w:rFonts w:hint="eastAsia" w:ascii="宋体" w:hAnsi="宋体" w:cs="宋体" w:eastAsiaTheme="minorEastAsia"/>
          <w:color w:val="auto"/>
          <w:sz w:val="24"/>
          <w:szCs w:val="22"/>
          <w:highlight w:val="none"/>
          <w:lang w:val="en-US" w:eastAsia="zh-CN"/>
        </w:rPr>
        <w:t>（1）为</w:t>
      </w:r>
      <w:r>
        <w:rPr>
          <w:rFonts w:hint="eastAsia" w:ascii="宋体" w:hAnsi="宋体" w:cs="宋体"/>
          <w:color w:val="auto"/>
          <w:sz w:val="24"/>
          <w:szCs w:val="22"/>
          <w:highlight w:val="none"/>
          <w:lang w:val="en-US" w:eastAsia="zh-CN"/>
        </w:rPr>
        <w:t>甲方</w:t>
      </w:r>
      <w:r>
        <w:rPr>
          <w:rFonts w:hint="eastAsia" w:ascii="宋体" w:hAnsi="宋体" w:cs="宋体" w:eastAsiaTheme="minorEastAsia"/>
          <w:color w:val="auto"/>
          <w:sz w:val="24"/>
          <w:szCs w:val="22"/>
          <w:highlight w:val="none"/>
          <w:lang w:val="en-US" w:eastAsia="zh-CN"/>
        </w:rPr>
        <w:t>提供电话、电子邮件支持，及时解决流程管理中遇到的问题。</w:t>
      </w:r>
    </w:p>
    <w:p>
      <w:pPr>
        <w:keepNext w:val="0"/>
        <w:keepLines w:val="0"/>
        <w:pageBreakBefore w:val="0"/>
        <w:widowControl/>
        <w:tabs>
          <w:tab w:val="left" w:pos="85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eastAsiaTheme="minorEastAsia"/>
          <w:color w:val="auto"/>
          <w:sz w:val="24"/>
          <w:szCs w:val="22"/>
          <w:highlight w:val="none"/>
        </w:rPr>
      </w:pPr>
      <w:r>
        <w:rPr>
          <w:rFonts w:hint="eastAsia" w:ascii="宋体" w:hAnsi="宋体" w:cs="宋体" w:eastAsiaTheme="minorEastAsia"/>
          <w:color w:val="auto"/>
          <w:sz w:val="24"/>
          <w:szCs w:val="22"/>
          <w:highlight w:val="none"/>
          <w:lang w:val="en-US" w:eastAsia="zh-CN"/>
        </w:rPr>
        <w:t>（2）以邮件方式提供流程管理领域的最新动态信息。</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第三条  甲方的权利和义务 </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（一）甲方积极配合和全程参与项目。保证在本项目的计划和执行阶段的全力支持及充分介入，并负责监督本项目下乙方所提供的专业服务。</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（二）甲方对项目的结果负责确认，包括对项目文件的最终评定、决定乙方项目成果中的哪些建议应该制定执行计划，并履行计划和任何因项目产生的其他文件。 </w:t>
      </w:r>
      <w:r>
        <w:rPr>
          <w:rFonts w:ascii="宋体" w:hAnsi="宋体" w:cs="宋体"/>
          <w:color w:val="auto"/>
          <w:sz w:val="24"/>
          <w:highlight w:val="none"/>
        </w:rPr>
        <w:t xml:space="preserve"> </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（三）甲方与甲方的所有工作人员(在这里称“公司员工”) 应向乙方提供所有与本项目相关的信息、文件和资料以及乙方为履行本项目职责所合理需要的任何信息和文件（包括与本项目相关的机密资料和信息），并对本次项目所涉及所有相关信息的准确性、完整性以及相关披露、陈述负责。甲方保证其向乙方提供的信息不会有遗漏或导致乙方将被误导或可能被误导。</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）甲方应按本合同第七条约定向乙方支付项目服务费用。</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在乙方履行本合同服务时，甲方应与乙方合作，包括但不限于为乙方提供合理的设施、提供接触甲方工作人员的机会，并应负责提供适当的办公场地、宽带网络以及出入证件用于乙方开展项目，并不收取使用费或任何其他费用。</w:t>
      </w:r>
    </w:p>
    <w:p>
      <w:pPr>
        <w:tabs>
          <w:tab w:val="left" w:pos="851"/>
        </w:tabs>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）甲方应对乙方在项目中使用的技术和方法保密。</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第四条  乙方的权利和义务</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（一）乙方应依据甲方实际情况制定《广州市净水有限公司</w:t>
      </w:r>
      <w:r>
        <w:rPr>
          <w:rFonts w:hint="eastAsia" w:ascii="宋体" w:hAnsi="宋体" w:cs="宋体"/>
          <w:color w:val="auto"/>
          <w:sz w:val="24"/>
          <w:highlight w:val="none"/>
          <w:lang w:val="en-US" w:eastAsia="zh-CN"/>
        </w:rPr>
        <w:t>流程梳理与优化</w:t>
      </w:r>
      <w:r>
        <w:rPr>
          <w:rFonts w:hint="eastAsia" w:ascii="宋体" w:hAnsi="宋体" w:cs="宋体"/>
          <w:color w:val="auto"/>
          <w:sz w:val="24"/>
          <w:highlight w:val="none"/>
        </w:rPr>
        <w:t>咨询服务方案》，明确工作计划和步骤等内容，并提交给甲方审核后依照实施。乙方应在甲方授权范围内开展工作和提供咨询服务。</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（二）乙方组建项目小组派驻于甲方负责本项目的实施工作，小组成员包括项目总监1名(15年及以上工作经验），项目经理1名（</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及以上工作经验）及至少3名咨询顾问。乙方应视需要和适当性，选派专业人员组成专业队伍支持本项目的工作。项目人员应具有完成甲方委托项目的相应工作能力；在甲方工作期间应保证人员的稳定性，乙方如需调换其他具有同等资格的专业人员参与本项目时，须征得甲方同意;在服务过程中，甲方发现乙方工作人员有明显不合要求的，在甲方提示后，乙方应在三天内给予调换符合本合同约定的工作人员。</w:t>
      </w:r>
    </w:p>
    <w:p>
      <w:pPr>
        <w:tabs>
          <w:tab w:val="left" w:pos="85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（三）乙方应按本合同约定及甲方的合理要求修正、完善所提交的项目成果。</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（四）乙方的保密义务</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甲方提供予乙方的信息被视为保密资料，并供乙方和乙方的指定人员用于与本项目有关之用途，但此等限制并不适用于如下任何文件和信息资料：</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1.公开发布的或可供一般公众公开取阅，但并非由乙方或其合伙人、董事、顾问、代理人及雇员所披露的信息和资料；</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2.提供予乙方之前已由乙方通过非保密渠道获得的信息和资料；</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3.乙方已从甲方以外的信息提供者非保密地获得的有关信息和资料，除非乙方知悉该信息提供者应对甲方承担保密责任或义务；</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4.由乙方或为乙方独立制作，并且没有参照保密资料独立制作的信息资料；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依照任何法定或监管要求、任何政府部门或监管机构、任何适用之法律、法规或规定、专业职责、本合同项下报告义务所要求披露的文件或信息，或者因本合同或其项下服务所引起的或以任何方式与之有关的任何索偿或潜在索偿而需要披露的各种信息和资料。</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（五）乙方通常希望代表甲方对完成的项目寻求公开宣传的机会。在公开宣传有关信息之前，乙方均将事先获得甲方的书面许可，除非有关信息资料在此之前已被公开。</w:t>
      </w:r>
    </w:p>
    <w:p>
      <w:pPr>
        <w:tabs>
          <w:tab w:val="left" w:pos="851"/>
        </w:tabs>
        <w:snapToGrid w:val="0"/>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（六）乙方保证按时交付成果，保证服务的质量，并为甲方提供与项目相关的培训</w:t>
      </w:r>
      <w:bookmarkStart w:id="65" w:name="_Toc248162231"/>
      <w:r>
        <w:rPr>
          <w:rFonts w:hint="eastAsia" w:ascii="宋体" w:hAnsi="宋体" w:cs="宋体"/>
          <w:color w:val="auto"/>
          <w:sz w:val="24"/>
          <w:highlight w:val="none"/>
        </w:rPr>
        <w:t>。项目运行后，乙方在项目结束前对项目成果运行成效进行评价，编制并向甲方提交</w:t>
      </w:r>
      <w:r>
        <w:rPr>
          <w:rFonts w:hint="eastAsia" w:ascii="宋体" w:hAnsi="宋体" w:cs="宋体"/>
          <w:color w:val="auto"/>
          <w:sz w:val="24"/>
          <w:highlight w:val="none"/>
          <w:lang w:val="en-US" w:eastAsia="zh-CN"/>
        </w:rPr>
        <w:t>评价报告。</w:t>
      </w:r>
    </w:p>
    <w:p>
      <w:pPr>
        <w:tabs>
          <w:tab w:val="left" w:pos="851"/>
        </w:tabs>
        <w:snapToGrid w:val="0"/>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（七）乙方为甲方提供项目费用等额发票。乙方有权要求甲方按约支付项目费用及报酬，甲方拒不支付的，乙方有权终止项目工作。</w:t>
      </w:r>
    </w:p>
    <w:p>
      <w:pPr>
        <w:snapToGrid w:val="0"/>
        <w:spacing w:line="24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第五条  知识产权归属</w:t>
      </w:r>
    </w:p>
    <w:p>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在履行本合同过程中，乙方根据甲方提供的资料及调研过程中获取的资料完成的知识成果，属甲方所有；甲方根据乙方的工作成果完成的新的知识成果，属甲方所有。</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  成果验收</w:t>
      </w:r>
    </w:p>
    <w:p>
      <w:pPr>
        <w:widowControl/>
        <w:snapToGrid w:val="0"/>
        <w:spacing w:line="360" w:lineRule="auto"/>
        <w:jc w:val="left"/>
        <w:rPr>
          <w:rFonts w:ascii="宋体" w:hAnsi="宋体" w:cs="宋体"/>
          <w:b/>
          <w:color w:val="auto"/>
          <w:sz w:val="24"/>
          <w:highlight w:val="none"/>
        </w:rPr>
      </w:pPr>
      <w:r>
        <w:rPr>
          <w:rFonts w:hint="eastAsia" w:ascii="宋体" w:hAnsi="宋体" w:cs="宋体"/>
          <w:color w:val="auto"/>
          <w:sz w:val="24"/>
          <w:highlight w:val="none"/>
        </w:rPr>
        <w:t xml:space="preserve">    按照项目进度，甲方组织内部专家验收小组对项目成果进行验收，项目成果应达到</w:t>
      </w:r>
      <w:r>
        <w:rPr>
          <w:rFonts w:hint="eastAsia" w:ascii="宋体" w:hAnsi="宋体" w:cs="宋体"/>
          <w:color w:val="auto"/>
          <w:sz w:val="24"/>
          <w:highlight w:val="none"/>
          <w:lang w:val="en-US" w:eastAsia="zh-CN"/>
        </w:rPr>
        <w:t>广州</w:t>
      </w:r>
      <w:r>
        <w:rPr>
          <w:rFonts w:hint="eastAsia" w:ascii="宋体" w:hAnsi="宋体" w:cs="宋体"/>
          <w:color w:val="auto"/>
          <w:sz w:val="24"/>
          <w:highlight w:val="none"/>
        </w:rPr>
        <w:t>市国资委</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广州市水务投资集团有限公司</w:t>
      </w:r>
      <w:r>
        <w:rPr>
          <w:rFonts w:hint="eastAsia" w:ascii="宋体" w:hAnsi="宋体" w:cs="宋体"/>
          <w:color w:val="auto"/>
          <w:sz w:val="24"/>
          <w:highlight w:val="none"/>
        </w:rPr>
        <w:t>关于风控内控和合规管理文件要求和附件《广州市净水有限公司</w:t>
      </w:r>
      <w:r>
        <w:rPr>
          <w:rFonts w:hint="eastAsia" w:ascii="宋体" w:hAnsi="宋体" w:cs="宋体"/>
          <w:color w:val="auto"/>
          <w:sz w:val="24"/>
          <w:highlight w:val="none"/>
          <w:lang w:val="en-US" w:eastAsia="zh-CN"/>
        </w:rPr>
        <w:t>流程梳理与优化</w:t>
      </w:r>
      <w:r>
        <w:rPr>
          <w:rFonts w:hint="eastAsia" w:ascii="宋体" w:hAnsi="宋体" w:cs="宋体"/>
          <w:color w:val="auto"/>
          <w:sz w:val="24"/>
          <w:highlight w:val="none"/>
        </w:rPr>
        <w:t>咨询服务方案》及甲方有关要求；未达到的，甲方有权要求乙方修正，并按甲方要求的时间完成。</w:t>
      </w:r>
      <w:r>
        <w:rPr>
          <w:rFonts w:hint="eastAsia" w:ascii="宋体" w:hAnsi="宋体" w:cs="宋体" w:eastAsiaTheme="minorEastAsia"/>
          <w:color w:val="auto"/>
          <w:sz w:val="24"/>
          <w:highlight w:val="none"/>
        </w:rPr>
        <w:t>乙方提交各阶段成果后五个工作日内，甲方应以书面形式提出明确的意见；如超过五个工作日甲方未对项目成果提出书面意见的，则视为甲方默认乙方项目成果报告确认通过。</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第七条  合同金额及支付方式</w:t>
      </w:r>
      <w:bookmarkEnd w:id="65"/>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（一）本合同项目总价包干，本项目服务费用为人民币</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元），该价格含税费以及代垫支出和费用及实施本项目的一切费用。本合同约定的价格为含税价格（税率</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），合同履行期间国家税率调整的，不含税价不变，价税合计相应调整，以开具发票的时间为准。</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（二）甲方分三期将上述款项支付给乙方，在甲方支付前乙方应按甲方要求提供相应合法有效的</w:t>
      </w:r>
      <w:r>
        <w:rPr>
          <w:rFonts w:hint="eastAsia" w:ascii="宋体" w:hAnsi="宋体" w:cs="宋体"/>
          <w:color w:val="auto"/>
          <w:sz w:val="24"/>
          <w:highlight w:val="none"/>
          <w:lang w:val="en-US" w:eastAsia="zh-CN"/>
        </w:rPr>
        <w:t>增值税专用</w:t>
      </w:r>
      <w:r>
        <w:rPr>
          <w:rFonts w:hint="eastAsia" w:ascii="宋体" w:hAnsi="宋体" w:cs="宋体"/>
          <w:color w:val="auto"/>
          <w:sz w:val="24"/>
          <w:highlight w:val="none"/>
        </w:rPr>
        <w:t>发票。</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第一期：乙方进场之日起10个工作日内，甲方支付合同金额的30 %； </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第二期：乙方</w:t>
      </w:r>
      <w:r>
        <w:rPr>
          <w:rFonts w:hint="eastAsia" w:ascii="宋体" w:hAnsi="宋体"/>
          <w:color w:val="auto"/>
          <w:sz w:val="24"/>
          <w:highlight w:val="none"/>
        </w:rPr>
        <w:t>提交项目成果初稿，并经甲方验收通过后10个工作日内</w:t>
      </w:r>
      <w:r>
        <w:rPr>
          <w:rFonts w:hint="eastAsia" w:ascii="宋体" w:hAnsi="宋体" w:cs="宋体"/>
          <w:color w:val="auto"/>
          <w:sz w:val="24"/>
          <w:highlight w:val="none"/>
        </w:rPr>
        <w:t xml:space="preserve">，甲方支付至合同金额的70 %； </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第三期：辅导期结束后，甲方在30日内向乙方支付剩余的全部款项。</w:t>
      </w:r>
    </w:p>
    <w:p>
      <w:pPr>
        <w:tabs>
          <w:tab w:val="left" w:pos="85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（三）支付方式：以转帐方式支付。乙方的账户信息如下：</w:t>
      </w:r>
    </w:p>
    <w:p>
      <w:pPr>
        <w:tabs>
          <w:tab w:val="left" w:pos="85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户名：</w:t>
      </w:r>
    </w:p>
    <w:p>
      <w:pPr>
        <w:tabs>
          <w:tab w:val="left" w:pos="85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p>
    <w:p>
      <w:pPr>
        <w:tabs>
          <w:tab w:val="left" w:pos="851"/>
        </w:tabs>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银行账号：</w:t>
      </w:r>
    </w:p>
    <w:p>
      <w:pPr>
        <w:tabs>
          <w:tab w:val="left" w:pos="85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地址：</w:t>
      </w:r>
    </w:p>
    <w:p>
      <w:pPr>
        <w:tabs>
          <w:tab w:val="left" w:pos="85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w:t>
      </w:r>
    </w:p>
    <w:p>
      <w:pPr>
        <w:tabs>
          <w:tab w:val="left" w:pos="851"/>
        </w:tabs>
        <w:spacing w:line="360" w:lineRule="auto"/>
        <w:ind w:left="0" w:leftChars="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乙方在收款前需提交等额增值税专用发票给甲方。</w:t>
      </w:r>
    </w:p>
    <w:p>
      <w:pPr>
        <w:tabs>
          <w:tab w:val="left" w:pos="851"/>
        </w:tabs>
        <w:spacing w:line="360" w:lineRule="auto"/>
        <w:ind w:left="0" w:leftChars="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增值税专用发票信息：</w:t>
      </w:r>
    </w:p>
    <w:p>
      <w:pPr>
        <w:tabs>
          <w:tab w:val="left" w:pos="851"/>
        </w:tabs>
        <w:spacing w:line="360" w:lineRule="auto"/>
        <w:ind w:left="0" w:leftChars="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名称：广州市净水有限公司；</w:t>
      </w:r>
    </w:p>
    <w:p>
      <w:pPr>
        <w:tabs>
          <w:tab w:val="left" w:pos="851"/>
        </w:tabs>
        <w:spacing w:line="360" w:lineRule="auto"/>
        <w:ind w:left="0" w:leftChars="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税号：91440101755584729Q；</w:t>
      </w:r>
    </w:p>
    <w:p>
      <w:pPr>
        <w:tabs>
          <w:tab w:val="left" w:pos="851"/>
        </w:tabs>
        <w:spacing w:line="360" w:lineRule="auto"/>
        <w:ind w:left="0" w:leftChars="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地址：广州市天河区临江大道501号；</w:t>
      </w:r>
    </w:p>
    <w:p>
      <w:pPr>
        <w:tabs>
          <w:tab w:val="left" w:pos="851"/>
        </w:tabs>
        <w:spacing w:line="360" w:lineRule="auto"/>
        <w:ind w:left="0" w:leftChars="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开户行及账号：建行珠江新城支行44001420314050170338</w:t>
      </w:r>
    </w:p>
    <w:p>
      <w:pPr>
        <w:tabs>
          <w:tab w:val="left" w:pos="851"/>
        </w:tabs>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违约责任</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因甲方原因造成本合同无法履行或由甲方单方面终止本协议的，甲方需要提前10天书面通知乙方，此10天期间视为协议的执行期间，双方仍需按约定履行该期间各自的咨询服务或付款的义务，其已支付的咨询费，乙方不必退还；乙方已形成的资料成果移交甲方。</w:t>
      </w:r>
    </w:p>
    <w:p>
      <w:pPr>
        <w:tabs>
          <w:tab w:val="left" w:pos="851"/>
        </w:tabs>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（二）乙方因自身原因不能按时提交服务成果或违反本协议其他约定的，甲方有权书面催告其按本协议履行。逾期提交服务成果的，甲方有权要求乙方自逾期之日每日支付合同金额千分之一的违约金，</w:t>
      </w:r>
      <w:r>
        <w:rPr>
          <w:rFonts w:hint="eastAsia" w:ascii="宋体" w:hAnsi="宋体" w:cs="宋体"/>
          <w:color w:val="auto"/>
          <w:sz w:val="24"/>
          <w:highlight w:val="none"/>
          <w:lang w:val="en-US" w:eastAsia="zh-CN"/>
        </w:rPr>
        <w:t>在双方协商最终的提交服务成果的时间仍然</w:t>
      </w:r>
      <w:r>
        <w:rPr>
          <w:rFonts w:hint="eastAsia" w:ascii="宋体" w:hAnsi="宋体" w:cs="宋体"/>
          <w:color w:val="auto"/>
          <w:sz w:val="24"/>
          <w:highlight w:val="none"/>
        </w:rPr>
        <w:t>逾期超过10日的，甲方有权单方解除本协议，并追究乙方合同金额30</w:t>
      </w:r>
      <w:r>
        <w:rPr>
          <w:rFonts w:ascii="宋体" w:hAnsi="宋体" w:cs="宋体"/>
          <w:color w:val="auto"/>
          <w:sz w:val="24"/>
          <w:highlight w:val="none"/>
        </w:rPr>
        <w:t>%</w:t>
      </w:r>
      <w:r>
        <w:rPr>
          <w:rFonts w:hint="eastAsia" w:ascii="宋体" w:hAnsi="宋体" w:cs="宋体"/>
          <w:color w:val="auto"/>
          <w:sz w:val="24"/>
          <w:highlight w:val="none"/>
        </w:rPr>
        <w:t>的违约金。因乙方原因造成本协议无法全部履行的，甲方有权拒付剩余款项，并追究乙方合同金额30</w:t>
      </w:r>
      <w:r>
        <w:rPr>
          <w:rFonts w:ascii="宋体" w:hAnsi="宋体" w:cs="宋体"/>
          <w:color w:val="auto"/>
          <w:sz w:val="24"/>
          <w:highlight w:val="none"/>
        </w:rPr>
        <w:t>%</w:t>
      </w:r>
      <w:r>
        <w:rPr>
          <w:rFonts w:hint="eastAsia" w:ascii="宋体" w:hAnsi="宋体" w:cs="宋体"/>
          <w:color w:val="auto"/>
          <w:sz w:val="24"/>
          <w:highlight w:val="none"/>
        </w:rPr>
        <w:t>的违约金</w:t>
      </w:r>
      <w:r>
        <w:rPr>
          <w:rFonts w:hint="eastAsia" w:ascii="宋体" w:hAnsi="宋体" w:cs="宋体"/>
          <w:color w:val="auto"/>
          <w:sz w:val="24"/>
          <w:highlight w:val="none"/>
          <w:lang w:val="en-US" w:eastAsia="zh-CN"/>
        </w:rPr>
        <w:t>及要求乙方退回已支付款项。</w:t>
      </w:r>
    </w:p>
    <w:p>
      <w:pPr>
        <w:tabs>
          <w:tab w:val="left" w:pos="851"/>
        </w:tabs>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第九条  争议解决方式和法律适用</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甲乙双方在协议履行过程中产生的任何争议，应尽量协商解决。协商不成的，由甲方所在地法院审理。本合同的所有方面均适用中华人民共和国法律进行解释并受其约束。</w:t>
      </w:r>
    </w:p>
    <w:p>
      <w:pPr>
        <w:tabs>
          <w:tab w:val="left" w:pos="851"/>
        </w:tabs>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第十一条 其他</w:t>
      </w:r>
    </w:p>
    <w:p>
      <w:pPr>
        <w:tabs>
          <w:tab w:val="left" w:pos="851"/>
        </w:tabs>
        <w:snapToGrid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（一）除非本合同另有约定，任何一方未经另一方事先书面同意不得转让、转移或委托他方履行其在本合同的任何权利或义务。</w:t>
      </w:r>
    </w:p>
    <w:p>
      <w:pPr>
        <w:tabs>
          <w:tab w:val="left" w:pos="851"/>
        </w:tabs>
        <w:snapToGrid w:val="0"/>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（二）通讯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非本合同另有明确约定，本合同项下所允许或要求的一切通知、请求、要求或其他通讯，应以书面形式，并由专人递交，或由全国知名的特快专递、传真或电子邮件传送，并要求随附回执。通知在下述情况下视为送达：交由快递后2日或发件人收到传真或电子邮件传送确认函，以实际发生较早者为准。通知应发往下列地址或任一方书面约定的其他地址：</w:t>
      </w:r>
    </w:p>
    <w:p>
      <w:pPr>
        <w:snapToGrid w:val="0"/>
        <w:spacing w:line="360" w:lineRule="auto"/>
        <w:ind w:firstLine="472" w:firstLineChars="196"/>
        <w:rPr>
          <w:rFonts w:ascii="宋体" w:hAnsi="宋体" w:cs="宋体"/>
          <w:color w:val="auto"/>
          <w:sz w:val="24"/>
          <w:highlight w:val="none"/>
        </w:rPr>
      </w:pPr>
      <w:r>
        <w:rPr>
          <w:rFonts w:hint="eastAsia" w:ascii="宋体" w:hAnsi="宋体" w:cs="宋体"/>
          <w:b/>
          <w:color w:val="auto"/>
          <w:sz w:val="24"/>
          <w:highlight w:val="none"/>
        </w:rPr>
        <w:t>甲方：</w:t>
      </w:r>
      <w:r>
        <w:rPr>
          <w:rFonts w:hint="eastAsia" w:ascii="宋体" w:hAnsi="宋体" w:cs="宋体"/>
          <w:b/>
          <w:color w:val="auto"/>
          <w:sz w:val="24"/>
          <w:highlight w:val="none"/>
          <w:lang w:val="en-US" w:eastAsia="zh-CN"/>
        </w:rPr>
        <w:t>广州市净水有限公司</w:t>
      </w:r>
      <w:r>
        <w:rPr>
          <w:rFonts w:hint="eastAsia" w:ascii="宋体" w:hAnsi="宋体" w:cs="宋体"/>
          <w:color w:val="auto"/>
          <w:sz w:val="24"/>
          <w:highlight w:val="none"/>
        </w:rPr>
        <w:t xml:space="preserve"> </w:t>
      </w:r>
    </w:p>
    <w:p>
      <w:pPr>
        <w:snapToGri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p>
    <w:p>
      <w:pPr>
        <w:snapToGri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020-62315520</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电子邮件：</w:t>
      </w:r>
      <w:r>
        <w:rPr>
          <w:rFonts w:hint="eastAsia" w:ascii="宋体" w:hAnsi="宋体" w:cs="宋体"/>
          <w:color w:val="auto"/>
          <w:sz w:val="24"/>
          <w:highlight w:val="none"/>
          <w:lang w:val="en-US" w:eastAsia="zh-CN"/>
        </w:rPr>
        <w:t>jsqyzlfzb@163.com</w:t>
      </w:r>
    </w:p>
    <w:p>
      <w:pPr>
        <w:snapToGri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 xml:space="preserve">收件人： </w:t>
      </w:r>
    </w:p>
    <w:p>
      <w:pPr>
        <w:tabs>
          <w:tab w:val="left" w:pos="492"/>
        </w:tabs>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乙方：</w:t>
      </w:r>
      <w:r>
        <w:rPr>
          <w:rFonts w:hint="eastAsia" w:ascii="宋体" w:hAnsi="宋体" w:cs="宋体"/>
          <w:color w:val="auto"/>
          <w:sz w:val="24"/>
          <w:highlight w:val="none"/>
        </w:rPr>
        <w:t xml:space="preserve"> </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电子邮件：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收件人：</w:t>
      </w:r>
    </w:p>
    <w:p>
      <w:pPr>
        <w:tabs>
          <w:tab w:val="left" w:pos="85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）本合同一式四份，甲乙双方各执两份，具有同等法律效力，从双方签字盖章之日起生效。</w:t>
      </w:r>
    </w:p>
    <w:p>
      <w:pPr>
        <w:snapToGrid w:val="0"/>
        <w:spacing w:line="360" w:lineRule="auto"/>
        <w:ind w:firstLine="482" w:firstLineChars="200"/>
        <w:rPr>
          <w:rFonts w:asciiTheme="minorEastAsia" w:hAnsiTheme="minorEastAsia" w:cstheme="minorEastAsia"/>
          <w:color w:val="auto"/>
          <w:sz w:val="24"/>
          <w:szCs w:val="24"/>
          <w:highlight w:val="none"/>
        </w:rPr>
      </w:pPr>
      <w:r>
        <w:rPr>
          <w:rFonts w:hint="eastAsia" w:ascii="宋体" w:hAnsi="宋体" w:cs="宋体"/>
          <w:b/>
          <w:bCs/>
          <w:color w:val="auto"/>
          <w:sz w:val="24"/>
          <w:highlight w:val="none"/>
        </w:rPr>
        <w:t>（以下无正文）</w:t>
      </w:r>
    </w:p>
    <w:p>
      <w:pPr>
        <w:pStyle w:val="2"/>
        <w:spacing w:line="360" w:lineRule="auto"/>
        <w:ind w:left="0" w:leftChars="0"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附件1：服务团队分工及联系方式</w:t>
      </w:r>
    </w:p>
    <w:p>
      <w:pPr>
        <w:pStyle w:val="2"/>
        <w:spacing w:line="360" w:lineRule="auto"/>
        <w:ind w:left="0" w:leftChars="0"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附件2：廉洁协议</w:t>
      </w:r>
    </w:p>
    <w:p>
      <w:pPr>
        <w:pStyle w:val="2"/>
        <w:spacing w:line="360" w:lineRule="auto"/>
        <w:ind w:left="0" w:leftChars="0" w:firstLine="480" w:firstLineChars="200"/>
        <w:rPr>
          <w:rFonts w:hint="eastAsia" w:asciiTheme="minorEastAsia" w:hAnsiTheme="minorEastAsia" w:cstheme="minorEastAsia"/>
          <w:color w:val="auto"/>
          <w:sz w:val="24"/>
          <w:szCs w:val="24"/>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lang w:val="en-US" w:eastAsia="zh-CN"/>
        </w:rPr>
        <w:t>广州市净水有限公司</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法定代表人/委托代理人：</w:t>
      </w:r>
    </w:p>
    <w:p>
      <w:pPr>
        <w:snapToGrid w:val="0"/>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单位地址：</w:t>
      </w:r>
      <w:r>
        <w:rPr>
          <w:rFonts w:hint="eastAsia" w:ascii="宋体" w:hAnsi="宋体" w:cs="宋体"/>
          <w:color w:val="auto"/>
          <w:sz w:val="24"/>
          <w:highlight w:val="none"/>
          <w:lang w:val="en-US" w:eastAsia="zh-CN"/>
        </w:rPr>
        <w:t>广州市天河区临江大道501号</w:t>
      </w:r>
    </w:p>
    <w:p>
      <w:pPr>
        <w:snapToGrid w:val="0"/>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020-62315520</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时间：           年    月    日</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法定代表人/委托代理人：</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单位地址：</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联系方式：</w:t>
      </w:r>
    </w:p>
    <w:p>
      <w:pPr>
        <w:pStyle w:val="20"/>
        <w:rPr>
          <w:rFonts w:ascii="宋体" w:hAnsi="宋体"/>
          <w:color w:val="auto"/>
          <w:sz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sz w:val="24"/>
          <w:highlight w:val="none"/>
        </w:rPr>
        <w:t>时间：           年    月    日</w:t>
      </w:r>
    </w:p>
    <w:p>
      <w:pPr>
        <w:snapToGrid w:val="0"/>
        <w:spacing w:line="360" w:lineRule="auto"/>
        <w:rPr>
          <w:rFonts w:ascii="宋体" w:hAnsi="宋体"/>
          <w:color w:val="auto"/>
          <w:sz w:val="24"/>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1</w:t>
      </w:r>
      <w:r>
        <w:rPr>
          <w:rFonts w:hint="eastAsia" w:ascii="宋体" w:hAnsi="宋体"/>
          <w:color w:val="auto"/>
          <w:sz w:val="24"/>
          <w:highlight w:val="none"/>
        </w:rPr>
        <w:t>：服务团队分工及联系方式</w:t>
      </w:r>
    </w:p>
    <w:tbl>
      <w:tblPr>
        <w:tblStyle w:val="14"/>
        <w:tblW w:w="898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725"/>
        <w:gridCol w:w="2393"/>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72" w:type="dxa"/>
            <w:vAlign w:val="center"/>
          </w:tcPr>
          <w:p>
            <w:pPr>
              <w:tabs>
                <w:tab w:val="left" w:pos="180"/>
              </w:tabs>
              <w:snapToGrid w:val="0"/>
              <w:spacing w:line="360" w:lineRule="auto"/>
              <w:jc w:val="center"/>
              <w:rPr>
                <w:color w:val="auto"/>
                <w:sz w:val="24"/>
                <w:highlight w:val="none"/>
              </w:rPr>
            </w:pPr>
            <w:r>
              <w:rPr>
                <w:rFonts w:hint="eastAsia"/>
                <w:b/>
                <w:bCs/>
                <w:color w:val="auto"/>
                <w:sz w:val="24"/>
                <w:highlight w:val="none"/>
              </w:rPr>
              <w:t>序号</w:t>
            </w:r>
          </w:p>
        </w:tc>
        <w:tc>
          <w:tcPr>
            <w:tcW w:w="1725" w:type="dxa"/>
            <w:vAlign w:val="center"/>
          </w:tcPr>
          <w:p>
            <w:pPr>
              <w:tabs>
                <w:tab w:val="left" w:pos="180"/>
              </w:tabs>
              <w:snapToGrid w:val="0"/>
              <w:spacing w:line="360" w:lineRule="auto"/>
              <w:jc w:val="center"/>
              <w:rPr>
                <w:b/>
                <w:bCs/>
                <w:color w:val="auto"/>
                <w:sz w:val="24"/>
                <w:highlight w:val="none"/>
              </w:rPr>
            </w:pPr>
            <w:r>
              <w:rPr>
                <w:rFonts w:hint="eastAsia"/>
                <w:b/>
                <w:bCs/>
                <w:color w:val="auto"/>
                <w:sz w:val="24"/>
                <w:highlight w:val="none"/>
              </w:rPr>
              <w:t>姓名</w:t>
            </w:r>
          </w:p>
        </w:tc>
        <w:tc>
          <w:tcPr>
            <w:tcW w:w="2393" w:type="dxa"/>
            <w:vAlign w:val="center"/>
          </w:tcPr>
          <w:p>
            <w:pPr>
              <w:tabs>
                <w:tab w:val="left" w:pos="180"/>
              </w:tabs>
              <w:snapToGrid w:val="0"/>
              <w:spacing w:line="360" w:lineRule="auto"/>
              <w:jc w:val="center"/>
              <w:rPr>
                <w:b/>
                <w:bCs/>
                <w:color w:val="auto"/>
                <w:sz w:val="24"/>
                <w:highlight w:val="none"/>
              </w:rPr>
            </w:pPr>
            <w:r>
              <w:rPr>
                <w:rFonts w:hint="eastAsia"/>
                <w:b/>
                <w:bCs/>
                <w:color w:val="auto"/>
                <w:sz w:val="24"/>
                <w:highlight w:val="none"/>
              </w:rPr>
              <w:t>在本项目担任职务</w:t>
            </w:r>
          </w:p>
        </w:tc>
        <w:tc>
          <w:tcPr>
            <w:tcW w:w="3890" w:type="dxa"/>
            <w:vAlign w:val="center"/>
          </w:tcPr>
          <w:p>
            <w:pPr>
              <w:tabs>
                <w:tab w:val="left" w:pos="180"/>
              </w:tabs>
              <w:snapToGrid w:val="0"/>
              <w:spacing w:line="360" w:lineRule="auto"/>
              <w:jc w:val="center"/>
              <w:rPr>
                <w:b/>
                <w:bCs/>
                <w:color w:val="auto"/>
                <w:sz w:val="24"/>
                <w:highlight w:val="none"/>
              </w:rPr>
            </w:pPr>
            <w:r>
              <w:rPr>
                <w:rFonts w:hint="eastAsia"/>
                <w:b/>
                <w:bCs/>
                <w:color w:val="auto"/>
                <w:sz w:val="24"/>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72" w:type="dxa"/>
            <w:vAlign w:val="center"/>
          </w:tcPr>
          <w:p>
            <w:pPr>
              <w:tabs>
                <w:tab w:val="left" w:pos="180"/>
              </w:tabs>
              <w:snapToGrid w:val="0"/>
              <w:spacing w:line="360" w:lineRule="auto"/>
              <w:jc w:val="center"/>
              <w:rPr>
                <w:color w:val="auto"/>
                <w:sz w:val="24"/>
                <w:highlight w:val="none"/>
              </w:rPr>
            </w:pPr>
            <w:r>
              <w:rPr>
                <w:rFonts w:hint="eastAsia"/>
                <w:b/>
                <w:bCs/>
                <w:color w:val="auto"/>
                <w:sz w:val="24"/>
                <w:highlight w:val="none"/>
              </w:rPr>
              <w:t>1</w:t>
            </w:r>
          </w:p>
        </w:tc>
        <w:tc>
          <w:tcPr>
            <w:tcW w:w="1725" w:type="dxa"/>
            <w:vAlign w:val="center"/>
          </w:tcPr>
          <w:p>
            <w:pPr>
              <w:tabs>
                <w:tab w:val="left" w:pos="180"/>
              </w:tabs>
              <w:snapToGrid w:val="0"/>
              <w:spacing w:line="360" w:lineRule="auto"/>
              <w:jc w:val="center"/>
              <w:rPr>
                <w:b/>
                <w:bCs/>
                <w:color w:val="auto"/>
                <w:sz w:val="24"/>
                <w:highlight w:val="none"/>
              </w:rPr>
            </w:pPr>
          </w:p>
        </w:tc>
        <w:tc>
          <w:tcPr>
            <w:tcW w:w="2393" w:type="dxa"/>
            <w:vAlign w:val="center"/>
          </w:tcPr>
          <w:p>
            <w:pPr>
              <w:tabs>
                <w:tab w:val="left" w:pos="180"/>
              </w:tabs>
              <w:snapToGrid w:val="0"/>
              <w:spacing w:line="360" w:lineRule="auto"/>
              <w:jc w:val="center"/>
              <w:rPr>
                <w:b/>
                <w:bCs/>
                <w:color w:val="auto"/>
                <w:sz w:val="24"/>
                <w:highlight w:val="none"/>
              </w:rPr>
            </w:pPr>
          </w:p>
        </w:tc>
        <w:tc>
          <w:tcPr>
            <w:tcW w:w="3890" w:type="dxa"/>
            <w:vAlign w:val="center"/>
          </w:tcPr>
          <w:p>
            <w:pPr>
              <w:tabs>
                <w:tab w:val="left" w:pos="180"/>
              </w:tabs>
              <w:snapToGrid w:val="0"/>
              <w:spacing w:line="360" w:lineRule="auto"/>
              <w:jc w:val="center"/>
              <w:rPr>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72" w:type="dxa"/>
            <w:vAlign w:val="center"/>
          </w:tcPr>
          <w:p>
            <w:pPr>
              <w:tabs>
                <w:tab w:val="left" w:pos="180"/>
              </w:tabs>
              <w:snapToGrid w:val="0"/>
              <w:spacing w:line="360" w:lineRule="auto"/>
              <w:jc w:val="center"/>
              <w:rPr>
                <w:b/>
                <w:bCs/>
                <w:color w:val="auto"/>
                <w:sz w:val="24"/>
                <w:highlight w:val="none"/>
              </w:rPr>
            </w:pPr>
            <w:r>
              <w:rPr>
                <w:rFonts w:hint="eastAsia"/>
                <w:b/>
                <w:bCs/>
                <w:color w:val="auto"/>
                <w:sz w:val="24"/>
                <w:highlight w:val="none"/>
              </w:rPr>
              <w:t>2</w:t>
            </w:r>
          </w:p>
        </w:tc>
        <w:tc>
          <w:tcPr>
            <w:tcW w:w="1725" w:type="dxa"/>
            <w:vAlign w:val="center"/>
          </w:tcPr>
          <w:p>
            <w:pPr>
              <w:tabs>
                <w:tab w:val="left" w:pos="180"/>
              </w:tabs>
              <w:snapToGrid w:val="0"/>
              <w:spacing w:line="360" w:lineRule="auto"/>
              <w:jc w:val="center"/>
              <w:rPr>
                <w:b/>
                <w:bCs/>
                <w:color w:val="auto"/>
                <w:sz w:val="24"/>
                <w:highlight w:val="none"/>
              </w:rPr>
            </w:pPr>
          </w:p>
        </w:tc>
        <w:tc>
          <w:tcPr>
            <w:tcW w:w="2393" w:type="dxa"/>
            <w:vAlign w:val="center"/>
          </w:tcPr>
          <w:p>
            <w:pPr>
              <w:tabs>
                <w:tab w:val="left" w:pos="180"/>
              </w:tabs>
              <w:snapToGrid w:val="0"/>
              <w:spacing w:line="360" w:lineRule="auto"/>
              <w:jc w:val="center"/>
              <w:rPr>
                <w:b/>
                <w:bCs/>
                <w:color w:val="auto"/>
                <w:sz w:val="24"/>
                <w:highlight w:val="none"/>
              </w:rPr>
            </w:pPr>
          </w:p>
        </w:tc>
        <w:tc>
          <w:tcPr>
            <w:tcW w:w="3890" w:type="dxa"/>
            <w:vAlign w:val="center"/>
          </w:tcPr>
          <w:p>
            <w:pPr>
              <w:tabs>
                <w:tab w:val="left" w:pos="180"/>
              </w:tabs>
              <w:snapToGrid w:val="0"/>
              <w:spacing w:line="360" w:lineRule="auto"/>
              <w:jc w:val="center"/>
              <w:rPr>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72" w:type="dxa"/>
            <w:vAlign w:val="center"/>
          </w:tcPr>
          <w:p>
            <w:pPr>
              <w:tabs>
                <w:tab w:val="left" w:pos="180"/>
              </w:tabs>
              <w:snapToGrid w:val="0"/>
              <w:spacing w:line="360" w:lineRule="auto"/>
              <w:jc w:val="center"/>
              <w:rPr>
                <w:color w:val="auto"/>
                <w:sz w:val="24"/>
                <w:highlight w:val="none"/>
              </w:rPr>
            </w:pPr>
            <w:r>
              <w:rPr>
                <w:rFonts w:hint="eastAsia"/>
                <w:b/>
                <w:bCs/>
                <w:color w:val="auto"/>
                <w:sz w:val="24"/>
                <w:highlight w:val="none"/>
              </w:rPr>
              <w:t>3</w:t>
            </w:r>
          </w:p>
        </w:tc>
        <w:tc>
          <w:tcPr>
            <w:tcW w:w="1725" w:type="dxa"/>
            <w:vAlign w:val="center"/>
          </w:tcPr>
          <w:p>
            <w:pPr>
              <w:tabs>
                <w:tab w:val="left" w:pos="180"/>
              </w:tabs>
              <w:snapToGrid w:val="0"/>
              <w:spacing w:line="360" w:lineRule="auto"/>
              <w:jc w:val="center"/>
              <w:rPr>
                <w:rFonts w:hint="eastAsia"/>
                <w:b/>
                <w:bCs/>
                <w:color w:val="auto"/>
                <w:sz w:val="24"/>
                <w:highlight w:val="none"/>
              </w:rPr>
            </w:pPr>
          </w:p>
        </w:tc>
        <w:tc>
          <w:tcPr>
            <w:tcW w:w="2393" w:type="dxa"/>
            <w:vAlign w:val="center"/>
          </w:tcPr>
          <w:p>
            <w:pPr>
              <w:tabs>
                <w:tab w:val="left" w:pos="180"/>
              </w:tabs>
              <w:snapToGrid w:val="0"/>
              <w:spacing w:line="360" w:lineRule="auto"/>
              <w:jc w:val="center"/>
              <w:rPr>
                <w:b/>
                <w:bCs/>
                <w:color w:val="auto"/>
                <w:sz w:val="24"/>
                <w:highlight w:val="none"/>
              </w:rPr>
            </w:pPr>
          </w:p>
        </w:tc>
        <w:tc>
          <w:tcPr>
            <w:tcW w:w="3890" w:type="dxa"/>
            <w:vAlign w:val="center"/>
          </w:tcPr>
          <w:p>
            <w:pPr>
              <w:tabs>
                <w:tab w:val="left" w:pos="180"/>
              </w:tabs>
              <w:snapToGrid w:val="0"/>
              <w:spacing w:line="360" w:lineRule="auto"/>
              <w:jc w:val="center"/>
              <w:rPr>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72" w:type="dxa"/>
            <w:vAlign w:val="center"/>
          </w:tcPr>
          <w:p>
            <w:pPr>
              <w:tabs>
                <w:tab w:val="left" w:pos="180"/>
              </w:tabs>
              <w:snapToGrid w:val="0"/>
              <w:spacing w:line="360" w:lineRule="auto"/>
              <w:jc w:val="center"/>
              <w:rPr>
                <w:color w:val="auto"/>
                <w:sz w:val="24"/>
                <w:highlight w:val="none"/>
              </w:rPr>
            </w:pPr>
            <w:r>
              <w:rPr>
                <w:rFonts w:hint="eastAsia"/>
                <w:b/>
                <w:bCs/>
                <w:color w:val="auto"/>
                <w:sz w:val="24"/>
                <w:highlight w:val="none"/>
              </w:rPr>
              <w:t>4</w:t>
            </w:r>
          </w:p>
        </w:tc>
        <w:tc>
          <w:tcPr>
            <w:tcW w:w="1725" w:type="dxa"/>
            <w:vAlign w:val="center"/>
          </w:tcPr>
          <w:p>
            <w:pPr>
              <w:tabs>
                <w:tab w:val="left" w:pos="180"/>
              </w:tabs>
              <w:snapToGrid w:val="0"/>
              <w:spacing w:line="360" w:lineRule="auto"/>
              <w:jc w:val="center"/>
              <w:rPr>
                <w:b/>
                <w:bCs/>
                <w:color w:val="auto"/>
                <w:sz w:val="24"/>
                <w:highlight w:val="none"/>
              </w:rPr>
            </w:pPr>
          </w:p>
        </w:tc>
        <w:tc>
          <w:tcPr>
            <w:tcW w:w="2393" w:type="dxa"/>
            <w:vAlign w:val="center"/>
          </w:tcPr>
          <w:p>
            <w:pPr>
              <w:tabs>
                <w:tab w:val="left" w:pos="180"/>
              </w:tabs>
              <w:snapToGrid w:val="0"/>
              <w:spacing w:line="360" w:lineRule="auto"/>
              <w:jc w:val="center"/>
              <w:rPr>
                <w:b/>
                <w:bCs/>
                <w:color w:val="auto"/>
                <w:sz w:val="24"/>
                <w:highlight w:val="none"/>
              </w:rPr>
            </w:pPr>
          </w:p>
        </w:tc>
        <w:tc>
          <w:tcPr>
            <w:tcW w:w="3890" w:type="dxa"/>
            <w:vAlign w:val="center"/>
          </w:tcPr>
          <w:p>
            <w:pPr>
              <w:tabs>
                <w:tab w:val="left" w:pos="180"/>
              </w:tabs>
              <w:snapToGrid w:val="0"/>
              <w:spacing w:line="360" w:lineRule="auto"/>
              <w:jc w:val="center"/>
              <w:rPr>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72" w:type="dxa"/>
            <w:vAlign w:val="center"/>
          </w:tcPr>
          <w:p>
            <w:pPr>
              <w:tabs>
                <w:tab w:val="left" w:pos="180"/>
              </w:tabs>
              <w:snapToGrid w:val="0"/>
              <w:spacing w:line="360" w:lineRule="auto"/>
              <w:jc w:val="center"/>
              <w:rPr>
                <w:rFonts w:hint="eastAsia"/>
                <w:b/>
                <w:bCs/>
                <w:color w:val="auto"/>
                <w:sz w:val="24"/>
                <w:highlight w:val="none"/>
              </w:rPr>
            </w:pPr>
            <w:r>
              <w:rPr>
                <w:rFonts w:hint="eastAsia"/>
                <w:b/>
                <w:bCs/>
                <w:color w:val="auto"/>
                <w:sz w:val="24"/>
                <w:highlight w:val="none"/>
              </w:rPr>
              <w:t>5</w:t>
            </w:r>
          </w:p>
        </w:tc>
        <w:tc>
          <w:tcPr>
            <w:tcW w:w="1725" w:type="dxa"/>
            <w:vAlign w:val="center"/>
          </w:tcPr>
          <w:p>
            <w:pPr>
              <w:tabs>
                <w:tab w:val="left" w:pos="180"/>
              </w:tabs>
              <w:snapToGrid w:val="0"/>
              <w:spacing w:line="360" w:lineRule="auto"/>
              <w:jc w:val="center"/>
              <w:rPr>
                <w:rFonts w:hint="eastAsia"/>
                <w:b/>
                <w:bCs/>
                <w:color w:val="auto"/>
                <w:sz w:val="24"/>
                <w:highlight w:val="none"/>
                <w:lang w:val="en-US" w:eastAsia="zh-CN"/>
              </w:rPr>
            </w:pPr>
          </w:p>
        </w:tc>
        <w:tc>
          <w:tcPr>
            <w:tcW w:w="2393" w:type="dxa"/>
            <w:vAlign w:val="center"/>
          </w:tcPr>
          <w:p>
            <w:pPr>
              <w:tabs>
                <w:tab w:val="left" w:pos="180"/>
              </w:tabs>
              <w:snapToGrid w:val="0"/>
              <w:spacing w:line="360" w:lineRule="auto"/>
              <w:jc w:val="center"/>
              <w:rPr>
                <w:rFonts w:hint="eastAsia"/>
                <w:b/>
                <w:bCs/>
                <w:color w:val="auto"/>
                <w:sz w:val="24"/>
                <w:highlight w:val="none"/>
                <w:lang w:val="en-US" w:eastAsia="zh-CN"/>
              </w:rPr>
            </w:pPr>
          </w:p>
        </w:tc>
        <w:tc>
          <w:tcPr>
            <w:tcW w:w="3890" w:type="dxa"/>
            <w:vAlign w:val="center"/>
          </w:tcPr>
          <w:p>
            <w:pPr>
              <w:tabs>
                <w:tab w:val="left" w:pos="180"/>
              </w:tabs>
              <w:snapToGrid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72" w:type="dxa"/>
            <w:vAlign w:val="center"/>
          </w:tcPr>
          <w:p>
            <w:pPr>
              <w:tabs>
                <w:tab w:val="left" w:pos="180"/>
              </w:tabs>
              <w:snapToGrid w:val="0"/>
              <w:spacing w:line="360" w:lineRule="auto"/>
              <w:jc w:val="center"/>
              <w:rPr>
                <w:rFonts w:hint="eastAsia"/>
                <w:b/>
                <w:bCs/>
                <w:color w:val="auto"/>
                <w:sz w:val="24"/>
                <w:highlight w:val="none"/>
              </w:rPr>
            </w:pPr>
          </w:p>
        </w:tc>
        <w:tc>
          <w:tcPr>
            <w:tcW w:w="1725" w:type="dxa"/>
            <w:vAlign w:val="center"/>
          </w:tcPr>
          <w:p>
            <w:pPr>
              <w:tabs>
                <w:tab w:val="left" w:pos="180"/>
              </w:tabs>
              <w:snapToGrid w:val="0"/>
              <w:spacing w:line="360" w:lineRule="auto"/>
              <w:jc w:val="center"/>
              <w:rPr>
                <w:rFonts w:hint="eastAsia"/>
                <w:b/>
                <w:bCs/>
                <w:color w:val="auto"/>
                <w:sz w:val="24"/>
                <w:highlight w:val="none"/>
                <w:lang w:val="en-US" w:eastAsia="zh-CN"/>
              </w:rPr>
            </w:pPr>
          </w:p>
        </w:tc>
        <w:tc>
          <w:tcPr>
            <w:tcW w:w="2393" w:type="dxa"/>
            <w:vAlign w:val="center"/>
          </w:tcPr>
          <w:p>
            <w:pPr>
              <w:tabs>
                <w:tab w:val="left" w:pos="180"/>
              </w:tabs>
              <w:snapToGrid w:val="0"/>
              <w:spacing w:line="360" w:lineRule="auto"/>
              <w:jc w:val="center"/>
              <w:rPr>
                <w:rFonts w:hint="eastAsia"/>
                <w:b/>
                <w:bCs/>
                <w:color w:val="auto"/>
                <w:sz w:val="24"/>
                <w:highlight w:val="none"/>
                <w:lang w:val="en-US" w:eastAsia="zh-CN"/>
              </w:rPr>
            </w:pPr>
          </w:p>
        </w:tc>
        <w:tc>
          <w:tcPr>
            <w:tcW w:w="3890" w:type="dxa"/>
            <w:vAlign w:val="center"/>
          </w:tcPr>
          <w:p>
            <w:pPr>
              <w:tabs>
                <w:tab w:val="left" w:pos="180"/>
              </w:tabs>
              <w:snapToGrid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72" w:type="dxa"/>
            <w:vAlign w:val="center"/>
          </w:tcPr>
          <w:p>
            <w:pPr>
              <w:tabs>
                <w:tab w:val="left" w:pos="180"/>
              </w:tabs>
              <w:snapToGrid w:val="0"/>
              <w:spacing w:line="360" w:lineRule="auto"/>
              <w:jc w:val="center"/>
              <w:rPr>
                <w:b/>
                <w:bCs/>
                <w:color w:val="auto"/>
                <w:sz w:val="24"/>
                <w:highlight w:val="none"/>
              </w:rPr>
            </w:pPr>
          </w:p>
        </w:tc>
        <w:tc>
          <w:tcPr>
            <w:tcW w:w="1725" w:type="dxa"/>
            <w:vAlign w:val="center"/>
          </w:tcPr>
          <w:p>
            <w:pPr>
              <w:tabs>
                <w:tab w:val="left" w:pos="180"/>
              </w:tabs>
              <w:snapToGrid w:val="0"/>
              <w:spacing w:line="360" w:lineRule="auto"/>
              <w:jc w:val="center"/>
              <w:rPr>
                <w:b/>
                <w:bCs/>
                <w:color w:val="auto"/>
                <w:sz w:val="24"/>
                <w:highlight w:val="none"/>
              </w:rPr>
            </w:pPr>
          </w:p>
        </w:tc>
        <w:tc>
          <w:tcPr>
            <w:tcW w:w="2393" w:type="dxa"/>
            <w:vAlign w:val="center"/>
          </w:tcPr>
          <w:p>
            <w:pPr>
              <w:tabs>
                <w:tab w:val="left" w:pos="180"/>
              </w:tabs>
              <w:snapToGrid w:val="0"/>
              <w:spacing w:line="360" w:lineRule="auto"/>
              <w:jc w:val="center"/>
              <w:rPr>
                <w:b/>
                <w:bCs/>
                <w:color w:val="auto"/>
                <w:sz w:val="24"/>
                <w:highlight w:val="none"/>
              </w:rPr>
            </w:pPr>
          </w:p>
        </w:tc>
        <w:tc>
          <w:tcPr>
            <w:tcW w:w="3890" w:type="dxa"/>
            <w:vAlign w:val="center"/>
          </w:tcPr>
          <w:p>
            <w:pPr>
              <w:tabs>
                <w:tab w:val="left" w:pos="180"/>
              </w:tabs>
              <w:snapToGrid w:val="0"/>
              <w:spacing w:line="360" w:lineRule="auto"/>
              <w:jc w:val="center"/>
              <w:rPr>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72" w:type="dxa"/>
            <w:vAlign w:val="center"/>
          </w:tcPr>
          <w:p>
            <w:pPr>
              <w:rPr>
                <w:color w:val="auto"/>
                <w:highlight w:val="none"/>
              </w:rPr>
            </w:pPr>
          </w:p>
        </w:tc>
        <w:tc>
          <w:tcPr>
            <w:tcW w:w="1725" w:type="dxa"/>
            <w:vAlign w:val="center"/>
          </w:tcPr>
          <w:p>
            <w:pPr>
              <w:rPr>
                <w:color w:val="auto"/>
                <w:highlight w:val="none"/>
              </w:rPr>
            </w:pPr>
          </w:p>
        </w:tc>
        <w:tc>
          <w:tcPr>
            <w:tcW w:w="2393" w:type="dxa"/>
            <w:vAlign w:val="center"/>
          </w:tcPr>
          <w:p>
            <w:pPr>
              <w:rPr>
                <w:color w:val="auto"/>
                <w:highlight w:val="none"/>
              </w:rPr>
            </w:pPr>
          </w:p>
        </w:tc>
        <w:tc>
          <w:tcPr>
            <w:tcW w:w="3890" w:type="dxa"/>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72" w:type="dxa"/>
            <w:vAlign w:val="center"/>
          </w:tcPr>
          <w:p>
            <w:pPr>
              <w:rPr>
                <w:color w:val="auto"/>
                <w:highlight w:val="none"/>
              </w:rPr>
            </w:pPr>
          </w:p>
        </w:tc>
        <w:tc>
          <w:tcPr>
            <w:tcW w:w="1725" w:type="dxa"/>
            <w:vAlign w:val="center"/>
          </w:tcPr>
          <w:p>
            <w:pPr>
              <w:rPr>
                <w:color w:val="auto"/>
                <w:highlight w:val="none"/>
              </w:rPr>
            </w:pPr>
          </w:p>
        </w:tc>
        <w:tc>
          <w:tcPr>
            <w:tcW w:w="2393" w:type="dxa"/>
            <w:vAlign w:val="center"/>
          </w:tcPr>
          <w:p>
            <w:pPr>
              <w:rPr>
                <w:color w:val="auto"/>
                <w:highlight w:val="none"/>
              </w:rPr>
            </w:pPr>
          </w:p>
        </w:tc>
        <w:tc>
          <w:tcPr>
            <w:tcW w:w="3890" w:type="dxa"/>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2" w:type="dxa"/>
            <w:vAlign w:val="center"/>
          </w:tcPr>
          <w:p>
            <w:pPr>
              <w:rPr>
                <w:color w:val="auto"/>
                <w:highlight w:val="none"/>
              </w:rPr>
            </w:pPr>
          </w:p>
        </w:tc>
        <w:tc>
          <w:tcPr>
            <w:tcW w:w="1725" w:type="dxa"/>
            <w:vAlign w:val="center"/>
          </w:tcPr>
          <w:p>
            <w:pPr>
              <w:rPr>
                <w:color w:val="auto"/>
                <w:highlight w:val="none"/>
              </w:rPr>
            </w:pPr>
          </w:p>
        </w:tc>
        <w:tc>
          <w:tcPr>
            <w:tcW w:w="2393" w:type="dxa"/>
            <w:vAlign w:val="center"/>
          </w:tcPr>
          <w:p>
            <w:pPr>
              <w:rPr>
                <w:color w:val="auto"/>
                <w:highlight w:val="none"/>
              </w:rPr>
            </w:pPr>
          </w:p>
        </w:tc>
        <w:tc>
          <w:tcPr>
            <w:tcW w:w="3890" w:type="dxa"/>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90" w:type="dxa"/>
            <w:gridSpan w:val="3"/>
            <w:vAlign w:val="center"/>
          </w:tcPr>
          <w:p>
            <w:pPr>
              <w:tabs>
                <w:tab w:val="left" w:pos="180"/>
              </w:tabs>
              <w:snapToGrid w:val="0"/>
              <w:spacing w:line="360" w:lineRule="auto"/>
              <w:jc w:val="center"/>
              <w:rPr>
                <w:b/>
                <w:bCs/>
                <w:color w:val="auto"/>
                <w:sz w:val="24"/>
                <w:highlight w:val="none"/>
              </w:rPr>
            </w:pPr>
            <w:r>
              <w:rPr>
                <w:rFonts w:hint="eastAsia"/>
                <w:b/>
                <w:bCs/>
                <w:color w:val="auto"/>
                <w:sz w:val="24"/>
                <w:highlight w:val="none"/>
              </w:rPr>
              <w:t>指定工作邮箱</w:t>
            </w:r>
          </w:p>
        </w:tc>
        <w:tc>
          <w:tcPr>
            <w:tcW w:w="3890" w:type="dxa"/>
            <w:vAlign w:val="center"/>
          </w:tcPr>
          <w:p>
            <w:pPr>
              <w:tabs>
                <w:tab w:val="left" w:pos="180"/>
              </w:tabs>
              <w:snapToGrid w:val="0"/>
              <w:spacing w:line="360" w:lineRule="auto"/>
              <w:jc w:val="center"/>
              <w:rPr>
                <w:b/>
                <w:bCs/>
                <w:color w:val="auto"/>
                <w:sz w:val="24"/>
                <w:highlight w:val="none"/>
              </w:rPr>
            </w:pPr>
          </w:p>
        </w:tc>
      </w:tr>
    </w:tbl>
    <w:p>
      <w:pPr>
        <w:pStyle w:val="2"/>
        <w:spacing w:line="360" w:lineRule="auto"/>
        <w:ind w:left="0" w:leftChars="0"/>
        <w:rPr>
          <w:rFonts w:ascii="宋体" w:hAnsi="宋体" w:cs="宋体"/>
          <w:color w:val="auto"/>
          <w:sz w:val="24"/>
          <w:szCs w:val="24"/>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sectPr>
          <w:pgSz w:w="11906" w:h="16838"/>
          <w:pgMar w:top="1440" w:right="1800" w:bottom="1440" w:left="1800" w:header="851" w:footer="992" w:gutter="0"/>
          <w:pgNumType w:fmt="decimal"/>
          <w:cols w:space="425" w:num="1"/>
          <w:docGrid w:type="lines" w:linePitch="312" w:charSpace="0"/>
        </w:sect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2</w:t>
      </w:r>
      <w:r>
        <w:rPr>
          <w:rFonts w:ascii="宋体" w:hAnsi="宋体" w:cs="宋体"/>
          <w:b/>
          <w:bCs/>
          <w:color w:val="auto"/>
          <w:szCs w:val="21"/>
          <w:highlight w:val="none"/>
        </w:rPr>
        <w:t xml:space="preserve">  </w:t>
      </w:r>
      <w:r>
        <w:rPr>
          <w:rFonts w:hint="eastAsia" w:ascii="宋体" w:hAnsi="宋体" w:cs="宋体"/>
          <w:b/>
          <w:bCs/>
          <w:color w:val="auto"/>
          <w:szCs w:val="21"/>
          <w:highlight w:val="none"/>
        </w:rPr>
        <w:t>廉洁协议</w:t>
      </w:r>
    </w:p>
    <w:p>
      <w:pPr>
        <w:pStyle w:val="22"/>
        <w:rPr>
          <w:color w:val="auto"/>
          <w:highlight w:val="none"/>
        </w:rPr>
      </w:pPr>
    </w:p>
    <w:p>
      <w:pPr>
        <w:spacing w:line="520" w:lineRule="exact"/>
        <w:jc w:val="center"/>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2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w:t>
      </w:r>
      <w:r>
        <w:rPr>
          <w:rFonts w:hint="eastAsia" w:ascii="仿宋_GB2312" w:hAnsi="仿宋_GB2312" w:eastAsia="仿宋_GB2312" w:cs="仿宋_GB2312"/>
          <w:bCs/>
          <w:color w:val="auto"/>
          <w:sz w:val="28"/>
          <w:szCs w:val="28"/>
          <w:highlight w:val="none"/>
          <w:lang w:val="en-US" w:eastAsia="zh-CN"/>
        </w:rPr>
        <w:t xml:space="preserve">   </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(以下称乙方)，特此订立本协议共同遵照执行。</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lang w:val="en-US" w:eastAsia="zh-CN"/>
        </w:rPr>
        <w:t xml:space="preserve"> 广州市净水有限公司流程梳理与优化咨询（穗净水合[      ]    号）</w:t>
      </w:r>
      <w:r>
        <w:rPr>
          <w:rFonts w:hint="eastAsia" w:ascii="仿宋_GB2312" w:hAnsi="仿宋_GB2312" w:eastAsia="仿宋_GB2312" w:cs="仿宋_GB2312"/>
          <w:bCs/>
          <w:color w:val="auto"/>
          <w:sz w:val="28"/>
          <w:szCs w:val="28"/>
          <w:highlight w:val="none"/>
        </w:rPr>
        <w:t>（以下简称：主合同），自觉履行合同约定的相关义务。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2"/>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20" w:lineRule="exact"/>
        <w:ind w:firstLine="560" w:firstLineChars="200"/>
        <w:rPr>
          <w:rFonts w:hint="eastAsia" w:eastAsiaTheme="minorEastAsia"/>
          <w:color w:val="auto"/>
          <w:highlight w:val="none"/>
          <w:lang w:eastAsia="zh-CN"/>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pStyle w:val="12"/>
        <w:keepNext w:val="0"/>
        <w:keepLines w:val="0"/>
        <w:pageBreakBefore w:val="0"/>
        <w:widowControl/>
        <w:kinsoku/>
        <w:wordWrap/>
        <w:overflowPunct/>
        <w:topLinePunct w:val="0"/>
        <w:autoSpaceDE/>
        <w:autoSpaceDN/>
        <w:bidi w:val="0"/>
        <w:adjustRightInd/>
        <w:snapToGrid/>
        <w:spacing w:before="0" w:beforeAutospacing="0" w:line="520" w:lineRule="exact"/>
        <w:textAlignment w:val="auto"/>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第五条 本协议执行情况，接受有管</w:t>
      </w:r>
      <w:r>
        <w:rPr>
          <w:rFonts w:hint="eastAsia" w:ascii="仿宋_GB2312" w:hAnsi="仿宋_GB2312" w:eastAsia="仿宋_GB2312" w:cs="仿宋_GB2312"/>
          <w:bCs/>
          <w:color w:val="auto"/>
          <w:kern w:val="0"/>
          <w:sz w:val="28"/>
          <w:szCs w:val="28"/>
          <w:highlight w:val="none"/>
        </w:rPr>
        <w:t xml:space="preserve">辖权的纪检、监察部门的监督，双方应予以配合检查调查。 </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lang w:val="en-US" w:eastAsia="zh-CN"/>
        </w:rPr>
        <w:t>广州市净水有限公司流程梳理与优化咨询服务项目</w:t>
      </w:r>
      <w:r>
        <w:rPr>
          <w:rFonts w:hint="eastAsia" w:ascii="仿宋_GB2312" w:hAnsi="仿宋_GB2312" w:eastAsia="仿宋_GB2312" w:cs="仿宋_GB2312"/>
          <w:bCs/>
          <w:color w:val="auto"/>
          <w:sz w:val="28"/>
          <w:szCs w:val="28"/>
          <w:highlight w:val="none"/>
          <w:u w:val="single"/>
        </w:rPr>
        <w:t>合同（穗净水合[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single"/>
        </w:rPr>
        <w:t>]    号）</w:t>
      </w:r>
      <w:r>
        <w:rPr>
          <w:rFonts w:hint="eastAsia" w:ascii="仿宋_GB2312" w:hAnsi="仿宋_GB2312" w:eastAsia="仿宋_GB2312" w:cs="仿宋_GB2312"/>
          <w:bCs/>
          <w:color w:val="auto"/>
          <w:sz w:val="28"/>
          <w:szCs w:val="28"/>
          <w:highlight w:val="none"/>
        </w:rPr>
        <w:t>的附件，并具有同等的法律效力，本协议自双方签字盖章之日起生效，与主合同同时终止。</w:t>
      </w:r>
    </w:p>
    <w:p>
      <w:pPr>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pStyle w:val="23"/>
        <w:tabs>
          <w:tab w:val="left" w:pos="5100"/>
        </w:tabs>
        <w:spacing w:line="52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2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360" w:lineRule="auto"/>
        <w:rPr>
          <w:rFonts w:ascii="宋体" w:hAnsi="宋体"/>
          <w:color w:val="auto"/>
          <w:sz w:val="24"/>
          <w:highlight w:val="none"/>
        </w:rPr>
      </w:pPr>
      <w:r>
        <w:rPr>
          <w:rFonts w:hint="eastAsia" w:ascii="仿宋_GB2312" w:hAnsi="仿宋_GB2312" w:eastAsia="仿宋_GB2312" w:cs="仿宋_GB2312"/>
          <w:bCs/>
          <w:color w:val="auto"/>
          <w:sz w:val="28"/>
          <w:szCs w:val="28"/>
          <w:highlight w:val="none"/>
        </w:rPr>
        <w:t>日期:20</w:t>
      </w:r>
      <w:r>
        <w:rPr>
          <w:rFonts w:hint="eastAsia" w:ascii="仿宋_GB2312" w:hAnsi="仿宋_GB2312" w:eastAsia="仿宋_GB2312" w:cs="仿宋_GB2312"/>
          <w:bCs/>
          <w:color w:val="auto"/>
          <w:sz w:val="28"/>
          <w:szCs w:val="28"/>
          <w:highlight w:val="none"/>
          <w:lang w:val="en-US" w:eastAsia="zh-CN"/>
        </w:rPr>
        <w:t xml:space="preserve">  </w:t>
      </w:r>
      <w:r>
        <w:rPr>
          <w:rFonts w:hint="eastAsia" w:ascii="仿宋_GB2312" w:hAnsi="仿宋_GB2312" w:eastAsia="仿宋_GB2312" w:cs="仿宋_GB2312"/>
          <w:bCs/>
          <w:color w:val="auto"/>
          <w:sz w:val="28"/>
          <w:szCs w:val="28"/>
          <w:highlight w:val="none"/>
        </w:rPr>
        <w:t>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 xml:space="preserve">     日期：20年  月  日</w:t>
      </w: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6" w:name="_Toc87616389"/>
      <w:bookmarkStart w:id="67" w:name="_Toc88209952"/>
      <w:r>
        <w:rPr>
          <w:rFonts w:hint="eastAsia" w:ascii="仿宋_GB2312" w:eastAsia="仿宋"/>
          <w:color w:val="auto"/>
          <w:sz w:val="28"/>
          <w:szCs w:val="28"/>
          <w:highlight w:val="none"/>
        </w:rPr>
        <w:t>1.响应函</w:t>
      </w:r>
      <w:bookmarkEnd w:id="66"/>
      <w:bookmarkEnd w:id="67"/>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8" w:name="_Toc88209953"/>
      <w:bookmarkStart w:id="69"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8"/>
      <w:bookmarkEnd w:id="69"/>
      <w:bookmarkStart w:id="70" w:name="_Toc88209956"/>
      <w:bookmarkStart w:id="71"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70"/>
      <w:bookmarkEnd w:id="71"/>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2" w:name="_Toc88209957"/>
      <w:bookmarkStart w:id="73" w:name="_Toc6313"/>
      <w:bookmarkStart w:id="74" w:name="_Toc87616394"/>
      <w:bookmarkStart w:id="75" w:name="_Toc28619645"/>
      <w:bookmarkStart w:id="76" w:name="_Toc12665"/>
      <w:r>
        <w:rPr>
          <w:rFonts w:hint="eastAsia" w:ascii="黑体" w:hAnsi="黑体" w:eastAsia="黑体" w:cs="黑体"/>
          <w:b/>
          <w:bCs/>
          <w:color w:val="auto"/>
          <w:sz w:val="32"/>
          <w:szCs w:val="32"/>
          <w:highlight w:val="none"/>
        </w:rPr>
        <w:t>1.响应函</w:t>
      </w:r>
      <w:bookmarkEnd w:id="72"/>
      <w:bookmarkEnd w:id="73"/>
      <w:bookmarkEnd w:id="74"/>
      <w:bookmarkEnd w:id="75"/>
      <w:bookmarkEnd w:id="76"/>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13"/>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7" w:name="_Toc22527"/>
      <w:bookmarkStart w:id="78" w:name="_Toc88209958"/>
      <w:bookmarkStart w:id="79" w:name="_Toc29833"/>
      <w:bookmarkStart w:id="80" w:name="_Toc87616395"/>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7"/>
      <w:bookmarkEnd w:id="78"/>
      <w:bookmarkEnd w:id="79"/>
      <w:bookmarkEnd w:id="80"/>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24"/>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2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26"/>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2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2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2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2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2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25"/>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25"/>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17"/>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17"/>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25"/>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25"/>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25"/>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13"/>
        <w:ind w:left="0" w:leftChars="0" w:firstLine="0" w:firstLineChars="0"/>
        <w:rPr>
          <w:rFonts w:hint="eastAsia" w:ascii="仿宋_GB2312" w:hAnsi="宋体" w:eastAsia="仿宋"/>
          <w:color w:val="auto"/>
          <w:sz w:val="30"/>
          <w:szCs w:val="30"/>
          <w:highlight w:val="none"/>
        </w:rPr>
      </w:pPr>
    </w:p>
    <w:p>
      <w:pPr>
        <w:pStyle w:val="13"/>
        <w:ind w:left="0" w:leftChars="0" w:firstLine="0" w:firstLineChars="0"/>
        <w:rPr>
          <w:rFonts w:hint="eastAsia" w:ascii="仿宋_GB2312" w:hAnsi="宋体" w:eastAsia="仿宋_GB2312"/>
          <w:color w:val="auto"/>
          <w:sz w:val="30"/>
          <w:szCs w:val="30"/>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81" w:name="_Toc88209963"/>
      <w:bookmarkStart w:id="82" w:name="_Toc19830"/>
      <w:bookmarkStart w:id="83" w:name="_Toc8086"/>
      <w:bookmarkStart w:id="84" w:name="_Toc8761640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81"/>
      <w:bookmarkEnd w:id="82"/>
      <w:bookmarkEnd w:id="83"/>
      <w:bookmarkEnd w:id="84"/>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1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5"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5"/>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1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3"/>
        <w:rPr>
          <w:rFonts w:hint="default" w:ascii="仿宋_GB2312" w:eastAsia="仿宋" w:hAnsiTheme="minorEastAsia"/>
          <w:color w:val="auto"/>
          <w:sz w:val="28"/>
          <w:szCs w:val="28"/>
          <w:highlight w:val="none"/>
          <w:lang w:val="en-US" w:eastAsia="zh-CN"/>
        </w:rPr>
      </w:pPr>
    </w:p>
    <w:p>
      <w:pPr>
        <w:pStyle w:val="13"/>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13"/>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1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86" w:name="_Toc19423"/>
            <w:bookmarkStart w:id="87"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6"/>
      <w:bookmarkEnd w:id="87"/>
    </w:p>
    <w:p>
      <w:pPr>
        <w:adjustRightInd/>
        <w:snapToGrid/>
        <w:spacing w:line="240" w:lineRule="auto"/>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t>项目报价一览表</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p>
    <w:p>
      <w:pPr>
        <w:pStyle w:val="13"/>
        <w:adjustRightInd/>
        <w:spacing w:after="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auto"/>
        </w:rPr>
        <w:t>[货币单位：人民币元]</w:t>
      </w:r>
    </w:p>
    <w:tbl>
      <w:tblPr>
        <w:tblStyle w:val="15"/>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序号</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sz w:val="24"/>
                <w:szCs w:val="24"/>
                <w:highlight w:val="none"/>
                <w:vertAlign w:val="baseline"/>
                <w:lang w:val="en-US" w:eastAsia="zh-CN"/>
              </w:rPr>
              <w:t>子项目名称</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内容明细（如有）</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数量</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单位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（含税）</w:t>
            </w: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1</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2</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3</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4</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5</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6</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7</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不含税总金额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税率</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kern w:val="2"/>
                <w:sz w:val="24"/>
                <w:szCs w:val="24"/>
                <w:highlight w:val="none"/>
                <w:u w:val="single"/>
                <w:vertAlign w:val="baseline"/>
                <w:lang w:val="en-US" w:eastAsia="zh-CN" w:bidi="ar-SA"/>
              </w:rPr>
              <w:t>X</w:t>
            </w:r>
            <w:r>
              <w:rPr>
                <w:rFonts w:hint="eastAsia" w:ascii="仿宋_GB2312" w:hAnsi="仿宋_GB2312" w:eastAsia="仿宋" w:cs="仿宋_GB2312"/>
                <w:b w:val="0"/>
                <w:bCs w:val="0"/>
                <w:color w:val="auto"/>
                <w:kern w:val="2"/>
                <w:sz w:val="24"/>
                <w:szCs w:val="24"/>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注：以上报价包括但不限于设计费、人工费、材料费、安装费、运输费、装卸费、加班费、材料运输费用及各项税费等全部费用。</w:t>
      </w: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5"/>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jc w:val="right"/>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8" w:name="_Toc16386"/>
      <w:bookmarkStart w:id="89" w:name="_Toc87616402"/>
      <w:bookmarkStart w:id="90" w:name="_Toc88209965"/>
      <w:bookmarkStart w:id="91" w:name="_Toc6058"/>
      <w:r>
        <w:rPr>
          <w:rFonts w:hint="eastAsia" w:ascii="黑体" w:hAnsi="黑体" w:eastAsia="黑体" w:cs="黑体"/>
          <w:b/>
          <w:bCs/>
          <w:color w:val="auto"/>
          <w:sz w:val="32"/>
          <w:szCs w:val="32"/>
          <w:highlight w:val="none"/>
          <w:lang w:val="en-US" w:eastAsia="zh-CN"/>
        </w:rPr>
        <w:t>6.其他资料</w:t>
      </w:r>
      <w:bookmarkEnd w:id="88"/>
      <w:bookmarkEnd w:id="89"/>
      <w:bookmarkEnd w:id="90"/>
      <w:bookmarkEnd w:id="91"/>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p>
      <w:pPr>
        <w:rPr>
          <w:color w:val="auto"/>
          <w:highlight w:val="none"/>
        </w:rPr>
      </w:pPr>
    </w:p>
    <w:p>
      <w:pPr>
        <w:rPr>
          <w:color w:val="auto"/>
          <w:highlight w:val="none"/>
        </w:rPr>
      </w:pP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8"/>
                    </w:pPr>
                  </w:p>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8"/>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8"/>
                    </w:pPr>
                  </w:p>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pPr>
                      <w:pStyle w:val="8"/>
                    </w:pPr>
                  </w:p>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79934753"/>
    <w:rsid w:val="025C0428"/>
    <w:rsid w:val="07682592"/>
    <w:rsid w:val="0D4408CC"/>
    <w:rsid w:val="0E8006DE"/>
    <w:rsid w:val="11C77DFB"/>
    <w:rsid w:val="12406D71"/>
    <w:rsid w:val="15BE3439"/>
    <w:rsid w:val="1849390E"/>
    <w:rsid w:val="19D137FC"/>
    <w:rsid w:val="1E390886"/>
    <w:rsid w:val="20AC7642"/>
    <w:rsid w:val="212F05D0"/>
    <w:rsid w:val="23C57940"/>
    <w:rsid w:val="247016C8"/>
    <w:rsid w:val="24FD1585"/>
    <w:rsid w:val="27E740A1"/>
    <w:rsid w:val="295D2CB9"/>
    <w:rsid w:val="2C38664A"/>
    <w:rsid w:val="2F042C18"/>
    <w:rsid w:val="33BC0CCA"/>
    <w:rsid w:val="359A2150"/>
    <w:rsid w:val="38A2286E"/>
    <w:rsid w:val="3EF60202"/>
    <w:rsid w:val="4B3E244D"/>
    <w:rsid w:val="4BF30C70"/>
    <w:rsid w:val="4E366194"/>
    <w:rsid w:val="57EB5C18"/>
    <w:rsid w:val="581953D8"/>
    <w:rsid w:val="5C522186"/>
    <w:rsid w:val="5D8E1141"/>
    <w:rsid w:val="5F585ABE"/>
    <w:rsid w:val="602016A8"/>
    <w:rsid w:val="63F46A55"/>
    <w:rsid w:val="69384486"/>
    <w:rsid w:val="6F591B74"/>
    <w:rsid w:val="700D12A1"/>
    <w:rsid w:val="70544B33"/>
    <w:rsid w:val="775E6484"/>
    <w:rsid w:val="7993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5">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Indent"/>
    <w:basedOn w:val="1"/>
    <w:next w:val="7"/>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envelope return"/>
    <w:basedOn w:val="1"/>
    <w:qFormat/>
    <w:uiPriority w:val="0"/>
    <w:pPr>
      <w:snapToGrid w:val="0"/>
    </w:pPr>
    <w:rPr>
      <w:rFonts w:ascii="Arial" w:hAnsi="Arial"/>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widowControl/>
      <w:spacing w:after="100" w:line="276" w:lineRule="auto"/>
      <w:jc w:val="left"/>
    </w:pPr>
    <w:rPr>
      <w:kern w:val="0"/>
      <w:sz w:val="22"/>
    </w:rPr>
  </w:style>
  <w:style w:type="paragraph" w:styleId="11">
    <w:name w:val="List"/>
    <w:basedOn w:val="1"/>
    <w:next w:val="1"/>
    <w:qFormat/>
    <w:uiPriority w:val="0"/>
    <w:pPr>
      <w:snapToGrid w:val="0"/>
    </w:pPr>
    <w:rPr>
      <w:szCs w:val="24"/>
    </w:rPr>
  </w:style>
  <w:style w:type="paragraph" w:styleId="1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3">
    <w:name w:val="Body Text First Indent 2"/>
    <w:basedOn w:val="6"/>
    <w:qFormat/>
    <w:uiPriority w:val="0"/>
    <w:pPr>
      <w:adjustRightInd w:val="0"/>
      <w:spacing w:line="360" w:lineRule="auto"/>
      <w:ind w:left="0" w:leftChars="0" w:firstLine="420"/>
      <w:textAlignment w:val="baseline"/>
    </w:pPr>
    <w:rPr>
      <w:rFonts w:eastAsia="等线" w:cs="Times New Roman"/>
      <w:color w:val="000000"/>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BodyText"/>
    <w:basedOn w:val="1"/>
    <w:next w:val="21"/>
    <w:qFormat/>
    <w:uiPriority w:val="0"/>
    <w:pPr>
      <w:jc w:val="both"/>
      <w:textAlignment w:val="baseline"/>
    </w:pPr>
    <w:rPr>
      <w:rFonts w:ascii="Times New Roman" w:hAnsi="Times New Roman" w:eastAsia="宋体"/>
      <w:kern w:val="2"/>
      <w:sz w:val="28"/>
      <w:lang w:val="en-US" w:eastAsia="zh-CN" w:bidi="ar-SA"/>
    </w:rPr>
  </w:style>
  <w:style w:type="paragraph" w:customStyle="1" w:styleId="21">
    <w:name w:val="BodyText2"/>
    <w:basedOn w:val="1"/>
    <w:qFormat/>
    <w:uiPriority w:val="0"/>
    <w:pPr>
      <w:spacing w:after="120" w:line="480" w:lineRule="auto"/>
      <w:jc w:val="both"/>
      <w:textAlignment w:val="baseline"/>
    </w:pPr>
  </w:style>
  <w:style w:type="paragraph" w:customStyle="1" w:styleId="2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CM91"/>
    <w:basedOn w:val="25"/>
    <w:next w:val="25"/>
    <w:qFormat/>
    <w:uiPriority w:val="0"/>
    <w:pPr>
      <w:spacing w:after="160"/>
    </w:pPr>
    <w:rPr>
      <w:color w:val="auto"/>
    </w:rPr>
  </w:style>
  <w:style w:type="paragraph" w:customStyle="1" w:styleId="25">
    <w:name w:val="Default"/>
    <w:next w:val="1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6">
    <w:name w:val="CM97"/>
    <w:basedOn w:val="25"/>
    <w:next w:val="25"/>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6153</Words>
  <Characters>6437</Characters>
  <Lines>0</Lines>
  <Paragraphs>0</Paragraphs>
  <TotalTime>4</TotalTime>
  <ScaleCrop>false</ScaleCrop>
  <LinksUpToDate>false</LinksUpToDate>
  <CharactersWithSpaces>7223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2024-11-12T02:30:00Z</dcterms:created>
  <dc:creator>魏小萍</dc:creator>
  <cp:lastModifiedBy>琳</cp:lastModifiedBy>
  <dcterms:modified xsi:type="dcterms:W3CDTF">2024-11-13T07:57:39Z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667CA1E878CC4ADDA8403ACF97E3A096</vt:lpwstr>
  </property>
</Properties>
</file>