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98" w:name="_GoBack"/>
      <w:bookmarkEnd w:id="198"/>
    </w:p>
    <w:p>
      <w:pPr>
        <w:rPr>
          <w:color w:val="auto"/>
          <w:highlight w:val="none"/>
        </w:rPr>
      </w:pPr>
    </w:p>
    <w:p>
      <w:pPr>
        <w:jc w:val="center"/>
        <w:rPr>
          <w:rFonts w:hint="eastAsia" w:ascii="方正小标宋简体" w:eastAsia="方正小标宋简体" w:hAnsiTheme="minorHAnsi" w:cstheme="minorBidi"/>
          <w:b w:val="0"/>
          <w:bCs w:val="0"/>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hAnsiTheme="minorHAnsi" w:cstheme="minorBidi"/>
          <w:b w:val="0"/>
          <w:bCs w:val="0"/>
          <w:color w:val="auto"/>
          <w:sz w:val="52"/>
          <w:szCs w:val="52"/>
          <w:highlight w:val="none"/>
          <w:lang w:val="en-US" w:eastAsia="zh-CN"/>
        </w:rPr>
        <w:t>猎德分公司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hAnsiTheme="minorHAnsi" w:cstheme="minorBidi"/>
          <w:b w:val="0"/>
          <w:bCs w:val="0"/>
          <w:color w:val="auto"/>
          <w:sz w:val="52"/>
          <w:szCs w:val="52"/>
          <w:highlight w:val="none"/>
          <w:lang w:val="en-US" w:eastAsia="zh-CN"/>
        </w:rPr>
        <w:t>2024年储泥池加药机采购</w:t>
      </w:r>
      <w:r>
        <w:rPr>
          <w:rFonts w:hint="eastAsia" w:ascii="方正小标宋简体" w:eastAsia="方正小标宋简体"/>
          <w:color w:val="auto"/>
          <w:sz w:val="52"/>
          <w:szCs w:val="52"/>
          <w:highlight w:val="none"/>
          <w:lang w:val="en-US" w:eastAsia="zh-CN"/>
        </w:rPr>
        <w:t>项目</w:t>
      </w:r>
    </w:p>
    <w:p>
      <w:pPr>
        <w:pStyle w:val="2"/>
        <w:rPr>
          <w:rFonts w:hint="default"/>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3"/>
        <w:rPr>
          <w:rFonts w:hint="eastAsia"/>
          <w:color w:val="auto"/>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r>
        <w:rPr>
          <w:rFonts w:ascii="黑体" w:hAnsi="黑体" w:eastAsia="黑体" w:cs="仿宋_GB2312"/>
          <w:color w:val="auto"/>
          <w:sz w:val="32"/>
          <w:szCs w:val="32"/>
          <w:highlight w:val="none"/>
        </w:rPr>
        <w:br w:type="page"/>
      </w:r>
    </w:p>
    <w:p>
      <w:pPr>
        <w:rPr>
          <w:color w:val="auto"/>
          <w:highlight w:val="none"/>
        </w:rPr>
      </w:pPr>
    </w:p>
    <w:p>
      <w:pPr>
        <w:pStyle w:val="32"/>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4"/>
        <w:rPr>
          <w:rFonts w:hint="eastAsia"/>
          <w:color w:val="auto"/>
          <w:highlight w:val="none"/>
        </w:rPr>
        <w:sectPr>
          <w:headerReference r:id="rId3"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pPr>
      <w:bookmarkStart w:id="4" w:name="_Toc31938"/>
      <w:bookmarkStart w:id="5" w:name="_Toc19609"/>
      <w:bookmarkStart w:id="6" w:name="_Toc17801"/>
      <w:bookmarkStart w:id="7" w:name="_Toc11322"/>
      <w:bookmarkStart w:id="8" w:name="_Toc1669"/>
      <w:bookmarkStart w:id="9" w:name="_Toc4275"/>
      <w:bookmarkStart w:id="10" w:name="_Toc7519"/>
    </w:p>
    <w:p>
      <w:pPr>
        <w:rPr>
          <w:rFonts w:hint="eastAsia"/>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2340610</wp:posOffset>
                </wp:positionH>
                <wp:positionV relativeFrom="paragraph">
                  <wp:posOffset>34925</wp:posOffset>
                </wp:positionV>
                <wp:extent cx="958850" cy="0"/>
                <wp:effectExtent l="0" t="4445" r="0" b="508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3pt;margin-top:2.75pt;height:0pt;width:75.5pt;z-index:251669504;mso-width-relative:page;mso-height-relative:page;" filled="f" stroked="t" coordsize="21600,21600" o:gfxdata="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i5a+t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2362200</wp:posOffset>
                </wp:positionH>
                <wp:positionV relativeFrom="paragraph">
                  <wp:posOffset>562610</wp:posOffset>
                </wp:positionV>
                <wp:extent cx="958850" cy="0"/>
                <wp:effectExtent l="0" t="4445" r="0" b="508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pt;margin-top:44.3pt;height:0pt;width:75.5pt;z-index:251670528;mso-width-relative:page;mso-height-relative:page;" filled="f" stroked="t" coordsize="21600,21600" o:gfxdata="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jsjVLN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4"/>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广州市净水有限公司猎德分公司</w:t>
      </w:r>
      <w:r>
        <w:rPr>
          <w:rFonts w:hint="eastAsia" w:ascii="仿宋_GB2312" w:eastAsia="仿宋_GB2312"/>
          <w:color w:val="auto"/>
          <w:sz w:val="28"/>
          <w:szCs w:val="28"/>
          <w:highlight w:val="none"/>
          <w:u w:val="single"/>
          <w:lang w:val="en-US" w:eastAsia="zh-CN"/>
        </w:rPr>
        <w:t>2024年储泥池加药机</w:t>
      </w:r>
      <w:r>
        <w:rPr>
          <w:rFonts w:hint="eastAsia" w:ascii="仿宋_GB2312" w:eastAsia="仿宋_GB2312"/>
          <w:color w:val="auto"/>
          <w:sz w:val="28"/>
          <w:szCs w:val="28"/>
          <w:highlight w:val="none"/>
          <w:u w:val="single"/>
          <w:lang w:eastAsia="zh-CN"/>
        </w:rPr>
        <w:t>采购项目</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 xml:space="preserve">邀请采购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广州市净水有限公司猎德分公司</w:t>
      </w:r>
      <w:r>
        <w:rPr>
          <w:rFonts w:hint="eastAsia" w:ascii="仿宋_GB2312" w:eastAsia="仿宋_GB2312"/>
          <w:color w:val="auto"/>
          <w:sz w:val="28"/>
          <w:szCs w:val="28"/>
          <w:highlight w:val="none"/>
          <w:u w:val="single"/>
          <w:lang w:val="en-US" w:eastAsia="zh-CN"/>
        </w:rPr>
        <w:t>2024年储泥池加药机</w:t>
      </w:r>
      <w:r>
        <w:rPr>
          <w:rFonts w:hint="eastAsia" w:ascii="仿宋_GB2312" w:eastAsia="仿宋_GB2312"/>
          <w:color w:val="auto"/>
          <w:sz w:val="28"/>
          <w:szCs w:val="28"/>
          <w:highlight w:val="none"/>
          <w:u w:val="single"/>
          <w:lang w:eastAsia="zh-CN"/>
        </w:rPr>
        <w:t>采购项目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XJ-20241112-2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290000元，含税13%。</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ind w:firstLine="560" w:firstLineChars="200"/>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eastAsia="仿宋_GB2312"/>
          <w:color w:val="auto"/>
          <w:sz w:val="28"/>
          <w:szCs w:val="28"/>
          <w:highlight w:val="none"/>
        </w:rPr>
        <w:t>2.1采购内容和范围：</w:t>
      </w:r>
      <w:r>
        <w:rPr>
          <w:rFonts w:hint="eastAsia" w:ascii="仿宋_GB2312" w:hAnsi="仿宋_GB2312" w:eastAsia="仿宋_GB2312" w:cs="仿宋_GB2312"/>
          <w:color w:val="auto"/>
          <w:kern w:val="2"/>
          <w:sz w:val="28"/>
          <w:szCs w:val="28"/>
          <w:highlight w:val="none"/>
          <w:lang w:val="en-US" w:eastAsia="zh-CN" w:bidi="ar-SA"/>
        </w:rPr>
        <w:t>本项目计划采购2台流量为4000L/h的三箱式干粉配制和投加装置，其型号、尺寸、运行参数、制备能力等与生产线上的工艺需求相配套，设备配备搅拌器、电机、液位计、流量计、输药泵等必要零部件。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自合同签订之日起30天</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猎德分公司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按合同条款和有关技术标准规范进行验收。使用的各种材料必须符合设计和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default"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2021年1月1日至今，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w:t>
      </w:r>
      <w:r>
        <w:rPr>
          <w:rFonts w:hint="eastAsia" w:ascii="仿宋_GB2312" w:eastAsia="仿宋_GB2312"/>
          <w:color w:val="auto"/>
          <w:sz w:val="28"/>
          <w:szCs w:val="28"/>
          <w:highlight w:val="none"/>
          <w:u w:val="none"/>
          <w:lang w:val="en-US" w:eastAsia="zh-CN"/>
        </w:rPr>
        <w:t>类似加药装置</w:t>
      </w:r>
      <w:r>
        <w:rPr>
          <w:rFonts w:hint="eastAsia" w:ascii="仿宋_GB2312" w:eastAsia="仿宋_GB2312"/>
          <w:color w:val="auto"/>
          <w:sz w:val="28"/>
          <w:szCs w:val="28"/>
          <w:highlight w:val="none"/>
          <w:u w:val="none"/>
        </w:rPr>
        <w:t>的</w:t>
      </w:r>
      <w:r>
        <w:rPr>
          <w:rFonts w:hint="eastAsia" w:ascii="仿宋_GB2312" w:eastAsia="仿宋_GB2312"/>
          <w:color w:val="auto"/>
          <w:sz w:val="28"/>
          <w:szCs w:val="28"/>
          <w:highlight w:val="none"/>
          <w:u w:val="none"/>
          <w:lang w:val="en-US" w:eastAsia="zh-CN"/>
        </w:rPr>
        <w:t>供货及安装</w:t>
      </w:r>
      <w:r>
        <w:rPr>
          <w:rFonts w:hint="eastAsia" w:ascii="仿宋_GB2312" w:eastAsia="仿宋_GB2312"/>
          <w:color w:val="auto"/>
          <w:sz w:val="28"/>
          <w:szCs w:val="28"/>
          <w:highlight w:val="none"/>
          <w:u w:val="none"/>
        </w:rPr>
        <w:t xml:space="preserve">业绩。（提供合同复印件证明，包括但不限于项目名称、金额及实施内容、合同盖章、签订日期，加盖单位公章） </w:t>
      </w:r>
      <w:r>
        <w:rPr>
          <w:rFonts w:hint="eastAsia" w:ascii="仿宋_GB2312" w:eastAsia="仿宋_GB2312"/>
          <w:color w:val="auto"/>
          <w:sz w:val="28"/>
          <w:szCs w:val="28"/>
          <w:highlight w:val="none"/>
          <w:u w:val="none"/>
        </w:rPr>
        <w:br w:type="textWrapping"/>
      </w:r>
      <w:r>
        <w:rPr>
          <w:rFonts w:hint="eastAsia" w:ascii="仿宋_GB2312" w:eastAsia="仿宋_GB2312"/>
          <w:color w:val="auto"/>
          <w:sz w:val="28"/>
          <w:szCs w:val="28"/>
          <w:highlight w:val="none"/>
          <w:u w:val="none"/>
          <w:lang w:val="en-US" w:eastAsia="zh-CN"/>
        </w:rPr>
        <w:t xml:space="preserve">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val="en-US" w:eastAsia="zh-CN"/>
        </w:rPr>
        <w:t>供应商须出具承诺函，承诺所供货物皆为制造商全新原装产品，且符合使用要求。（格式见第七章响应格式要求）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56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56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（7）在“信用中国”网站（www.creditchina.gov.cn）</w:t>
      </w:r>
      <w:r>
        <w:rPr>
          <w:rFonts w:hint="eastAsia" w:ascii="仿宋_GB2312" w:eastAsia="仿宋_GB2312"/>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56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“信用中国”网站（www.creditchina.gov.cn）</w:t>
      </w:r>
      <w:r>
        <w:rPr>
          <w:rFonts w:hint="eastAsia" w:ascii="仿宋_GB2312" w:eastAsia="仿宋_GB2312"/>
          <w:color w:val="auto"/>
          <w:sz w:val="28"/>
          <w:szCs w:val="28"/>
          <w:highlight w:val="none"/>
          <w:lang w:val="en-US" w:eastAsia="zh-CN"/>
        </w:rPr>
        <w:t>中被列入严重失信主体名单</w:t>
      </w:r>
      <w:r>
        <w:rPr>
          <w:rFonts w:hint="eastAsia" w:ascii="仿宋_GB2312" w:eastAsia="仿宋_GB2312"/>
          <w:color w:val="auto"/>
          <w:sz w:val="28"/>
          <w:szCs w:val="28"/>
          <w:highlight w:val="none"/>
        </w:rPr>
        <w:t>。</w:t>
      </w:r>
    </w:p>
    <w:p>
      <w:pPr>
        <w:adjustRightInd w:val="0"/>
        <w:snapToGrid w:val="0"/>
        <w:spacing w:line="600" w:lineRule="exact"/>
        <w:ind w:firstLine="560"/>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lang w:val="en-US" w:eastAsia="zh-CN"/>
        </w:rPr>
        <w:t xml:space="preserve"> 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 xml:space="preserve"> 2024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rPr>
          <w:rFonts w:hint="eastAsia"/>
        </w:rPr>
      </w:pPr>
      <w:bookmarkStart w:id="14" w:name="_Toc25603"/>
      <w:bookmarkStart w:id="15" w:name="_Toc2331"/>
      <w:bookmarkStart w:id="16" w:name="_Toc2324"/>
      <w:bookmarkStart w:id="17" w:name="_Toc16557"/>
      <w:bookmarkStart w:id="18" w:name="_Toc9448"/>
      <w:bookmarkStart w:id="19" w:name="_Toc19295"/>
      <w:bookmarkStart w:id="20" w:name="_Toc16705"/>
      <w:bookmarkStart w:id="21" w:name="_Toc32588"/>
      <w:bookmarkStart w:id="22" w:name="_Toc23749"/>
      <w:bookmarkStart w:id="23" w:name="_Toc7340"/>
    </w:p>
    <w:p>
      <w:pPr>
        <w:pStyle w:val="2"/>
        <w:rPr>
          <w:rFonts w:hint="eastAsia"/>
        </w:rPr>
      </w:pPr>
    </w:p>
    <w:p>
      <w:pPr>
        <w:pStyle w:val="3"/>
        <w:rPr>
          <w:rFonts w:hint="eastAsia"/>
        </w:rPr>
      </w:pPr>
    </w:p>
    <w:p>
      <w:pPr>
        <w:pStyle w:val="3"/>
        <w:rPr>
          <w:rFonts w:hint="eastAsia"/>
        </w:rPr>
      </w:pPr>
    </w:p>
    <w:p>
      <w:pPr>
        <w:pStyle w:val="3"/>
        <w:rPr>
          <w:rFonts w:hint="eastAsia"/>
        </w:rPr>
      </w:pPr>
    </w:p>
    <w:p>
      <w:pPr>
        <w:pStyle w:val="4"/>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2333625</wp:posOffset>
                </wp:positionH>
                <wp:positionV relativeFrom="paragraph">
                  <wp:posOffset>701675</wp:posOffset>
                </wp:positionV>
                <wp:extent cx="958850" cy="0"/>
                <wp:effectExtent l="0" t="4445" r="0" b="508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3.75pt;margin-top:55.25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92710</wp:posOffset>
                </wp:positionV>
                <wp:extent cx="958850" cy="0"/>
                <wp:effectExtent l="0" t="4445" r="0" b="508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3pt;margin-top:7.3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firstLine="0"/>
        <w:rPr>
          <w:rFonts w:hint="eastAsia"/>
          <w:color w:val="auto"/>
          <w:highlight w:val="none"/>
        </w:rPr>
      </w:pPr>
    </w:p>
    <w:p>
      <w:pPr>
        <w:pStyle w:val="21"/>
        <w:ind w:firstLine="0"/>
        <w:rPr>
          <w:rFonts w:hint="eastAsia"/>
          <w:color w:val="auto"/>
          <w:highlight w:val="none"/>
        </w:rPr>
      </w:pPr>
    </w:p>
    <w:p>
      <w:pPr>
        <w:pStyle w:val="21"/>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none"/>
                <w:lang w:val="en-US" w:eastAsia="zh-CN"/>
              </w:rPr>
              <w:t>二</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color w:val="auto"/>
                <w:highlight w:val="none"/>
              </w:rPr>
            </w:pPr>
          </w:p>
        </w:tc>
        <w:tc>
          <w:tcPr>
            <w:tcW w:w="936" w:type="dxa"/>
            <w:vMerge w:val="continue"/>
            <w:vAlign w:val="center"/>
          </w:tcPr>
          <w:p>
            <w:pPr>
              <w:adjustRightInd w:val="0"/>
              <w:snapToGrid w:val="0"/>
              <w:rPr>
                <w:color w:val="auto"/>
                <w:highlight w:val="none"/>
              </w:rPr>
            </w:pPr>
          </w:p>
        </w:tc>
        <w:tc>
          <w:tcPr>
            <w:tcW w:w="1263" w:type="dxa"/>
            <w:vMerge w:val="continue"/>
            <w:vAlign w:val="center"/>
          </w:tcPr>
          <w:p>
            <w:pPr>
              <w:adjustRightInd w:val="0"/>
              <w:snapToGrid w:val="0"/>
              <w:rPr>
                <w:color w:val="auto"/>
                <w:highlight w:val="none"/>
              </w:rPr>
            </w:pPr>
          </w:p>
        </w:tc>
        <w:tc>
          <w:tcPr>
            <w:tcW w:w="5979"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rFonts w:hint="eastAsia" w:ascii="仿宋_GB2312" w:eastAsia="仿宋_GB2312" w:hAnsiTheme="minorEastAsia"/>
                <w:color w:val="auto"/>
                <w:sz w:val="24"/>
                <w:szCs w:val="24"/>
                <w:highlight w:val="none"/>
              </w:rPr>
            </w:pPr>
          </w:p>
        </w:tc>
        <w:tc>
          <w:tcPr>
            <w:tcW w:w="936"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1263"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5979" w:type="dxa"/>
            <w:tcBorders>
              <w:right w:val="nil"/>
            </w:tcBorders>
            <w:vAlign w:val="center"/>
          </w:tcPr>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numPr>
                <w:ilvl w:val="0"/>
                <w:numId w:val="0"/>
              </w:numPr>
              <w:adjustRightInd/>
              <w:snapToGrid/>
              <w:ind w:left="0" w:leftChars="0" w:firstLine="0" w:firstLineChars="0"/>
              <w:jc w:val="left"/>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left="559" w:leftChars="266" w:firstLine="0" w:firstLineChars="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w:t>
      </w:r>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4"/>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4"/>
        <w:rPr>
          <w:color w:val="auto"/>
          <w:highlight w:val="none"/>
        </w:rPr>
      </w:pPr>
    </w:p>
    <w:p>
      <w:pPr>
        <w:pStyle w:val="3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3"/>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2310765</wp:posOffset>
                </wp:positionH>
                <wp:positionV relativeFrom="paragraph">
                  <wp:posOffset>648970</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1.95pt;margin-top:51.1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4"/>
        <w:rPr>
          <w:color w:val="auto"/>
          <w:highlight w:val="none"/>
        </w:rPr>
      </w:pPr>
    </w:p>
    <w:p>
      <w:pPr>
        <w:pStyle w:val="5"/>
        <w:rPr>
          <w:color w:val="auto"/>
          <w:highlight w:val="none"/>
        </w:rPr>
      </w:pPr>
      <w:bookmarkStart w:id="28" w:name="_Toc7303"/>
      <w:bookmarkStart w:id="29" w:name="_Toc7040"/>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firstLine="480" w:firstLineChars="200"/>
              <w:rPr>
                <w:rFonts w:hint="default"/>
                <w:color w:val="auto"/>
                <w:highlight w:val="none"/>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w:t>
            </w:r>
            <w:r>
              <w:rPr>
                <w:rFonts w:hint="eastAsia" w:ascii="仿宋_GB2312" w:eastAsia="仿宋_GB2312" w:hAnsiTheme="minorEastAsia" w:cstheme="minorBidi"/>
                <w:color w:val="auto"/>
                <w:sz w:val="24"/>
                <w:szCs w:val="24"/>
                <w:highlight w:val="none"/>
                <w:lang w:val="en-US" w:eastAsia="zh-CN"/>
              </w:rPr>
              <w:t>或放弃</w:t>
            </w:r>
            <w:r>
              <w:rPr>
                <w:rFonts w:hint="eastAsia" w:ascii="仿宋_GB2312" w:eastAsia="仿宋_GB2312" w:hAnsiTheme="minorEastAsia" w:cstheme="minorBidi"/>
                <w:color w:val="auto"/>
                <w:sz w:val="24"/>
                <w:szCs w:val="24"/>
                <w:highlight w:val="none"/>
              </w:rPr>
              <w:t>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4870"/>
      <w:bookmarkStart w:id="35" w:name="_Toc14552"/>
      <w:bookmarkStart w:id="36" w:name="_Toc19759"/>
      <w:bookmarkStart w:id="37" w:name="_Toc7118"/>
      <w:bookmarkStart w:id="38" w:name="_Toc7437"/>
      <w:bookmarkStart w:id="39" w:name="_Toc3156"/>
      <w:bookmarkStart w:id="40" w:name="_Toc19050"/>
      <w:bookmarkStart w:id="41" w:name="_Toc20594"/>
      <w:bookmarkStart w:id="42" w:name="_Toc10930"/>
      <w:bookmarkStart w:id="43" w:name="_Toc23581"/>
      <w:bookmarkStart w:id="44" w:name="_Toc4952"/>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4"/>
        <w:rPr>
          <w:color w:val="auto"/>
          <w:highlight w:val="none"/>
        </w:rPr>
      </w:pPr>
    </w:p>
    <w:p>
      <w:pPr>
        <w:pStyle w:val="4"/>
        <w:rPr>
          <w:color w:val="auto"/>
          <w:highlight w:val="none"/>
        </w:rPr>
      </w:pPr>
      <w:bookmarkStart w:id="45" w:name="_Toc30530"/>
      <w:bookmarkStart w:id="46" w:name="_Toc13898"/>
      <w:bookmarkStart w:id="47" w:name="_Toc87616378"/>
      <w:bookmarkStart w:id="48" w:name="_Toc7831"/>
      <w:bookmarkStart w:id="49" w:name="_Toc32607"/>
      <w:bookmarkStart w:id="50" w:name="_Toc88209941"/>
      <w:bookmarkStart w:id="51" w:name="_Toc12177"/>
      <w:bookmarkStart w:id="52" w:name="_Toc22212"/>
      <w:bookmarkStart w:id="53" w:name="_Toc6308"/>
      <w:bookmarkStart w:id="54" w:name="_Toc29484"/>
      <w:bookmarkStart w:id="55" w:name="_Toc21840"/>
      <w:bookmarkStart w:id="56" w:name="_Toc21079"/>
      <w:bookmarkStart w:id="57" w:name="_Toc29345"/>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color w:val="auto"/>
          <w:highlight w:val="none"/>
        </w:rPr>
      </w:pPr>
    </w:p>
    <w:p>
      <w:pPr>
        <w:pStyle w:val="4"/>
        <w:rPr>
          <w:rFonts w:hint="eastAsia"/>
          <w:color w:val="auto"/>
          <w:highlight w:val="none"/>
        </w:rPr>
      </w:pPr>
      <w:bookmarkStart w:id="60" w:name="_Toc88209947"/>
    </w:p>
    <w:p>
      <w:pPr>
        <w:pStyle w:val="4"/>
        <w:jc w:val="both"/>
        <w:rPr>
          <w:rFonts w:hint="eastAsia"/>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2341245</wp:posOffset>
                </wp:positionH>
                <wp:positionV relativeFrom="paragraph">
                  <wp:posOffset>681990</wp:posOffset>
                </wp:positionV>
                <wp:extent cx="958850" cy="0"/>
                <wp:effectExtent l="0" t="4445" r="0" b="508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5" o:spid="_x0000_s1026" o:spt="32" type="#_x0000_t32" style="position:absolute;left:0pt;margin-left:184.35pt;margin-top:53.7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K2LetYAAAAJAQAADwAAAAAAAAABACAAAAAiAAAAZHJzL2Rvd25yZXYueG1sUEsB&#10;AhQAFAAAAAgAh07iQK/7MGr3AQAA8gMAAA4AAAAAAAAAAQAgAAAAJQEAAGRycy9lMm9Eb2MueG1s&#10;UEsFBgAAAAAGAAYAWQEAAI4FAAAAAA==&#10;">
                <v:fill on="f" focussize="0,0"/>
                <v:stroke color="#000000" joinstyle="round"/>
                <v:imagedata o:title=""/>
                <o:lock v:ext="edit" aspectratio="f"/>
              </v:shape>
            </w:pict>
          </mc:Fallback>
        </mc:AlternateContent>
      </w:r>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614045</wp:posOffset>
                </wp:positionV>
                <wp:extent cx="958850" cy="0"/>
                <wp:effectExtent l="0" t="4445" r="0" b="508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24" o:spid="_x0000_s1026" o:spt="32" type="#_x0000_t32" style="position:absolute;left:0pt;margin-left:184.3pt;margin-top:48.35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M2AsR1wAAAAsBAAAPAAAAAAAAAAEAIAAAACIAAABkcnMvZG93bnJldi54bWxQ&#10;SwECFAAUAAAACACHTuJAvlmpN/gBAADyAwAADgAAAAAAAAABACAAAAAmAQAAZHJzL2Uyb0RvYy54&#10;bWxQSwUGAAAAAAYABgBZAQAAkA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rPr>
          <w:rFonts w:hint="eastAsia"/>
          <w:color w:val="auto"/>
          <w:szCs w:val="44"/>
          <w:highlight w:val="none"/>
        </w:rPr>
      </w:pPr>
    </w:p>
    <w:p>
      <w:pPr>
        <w:pStyle w:val="2"/>
        <w:rPr>
          <w:rFonts w:hint="default"/>
          <w:szCs w:val="22"/>
        </w:rPr>
      </w:pPr>
    </w:p>
    <w:p>
      <w:pPr>
        <w:pStyle w:val="5"/>
        <w:rPr>
          <w:rFonts w:hint="eastAsia"/>
          <w:color w:val="auto"/>
          <w:szCs w:val="44"/>
          <w:highlight w:val="none"/>
        </w:rPr>
      </w:pPr>
    </w:p>
    <w:p>
      <w:pPr>
        <w:rPr>
          <w:rFonts w:hint="eastAsia"/>
          <w:color w:val="auto"/>
          <w:highlight w:val="none"/>
        </w:rPr>
      </w:pPr>
    </w:p>
    <w:p>
      <w:pPr>
        <w:pStyle w:val="11"/>
        <w:numPr>
          <w:ilvl w:val="0"/>
          <w:numId w:val="0"/>
        </w:numPr>
        <w:adjustRightInd w:val="0"/>
        <w:snapToGrid w:val="0"/>
        <w:spacing w:line="360" w:lineRule="auto"/>
        <w:ind w:leftChars="0"/>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一、</w:t>
      </w:r>
      <w:r>
        <w:rPr>
          <w:rFonts w:hint="eastAsia" w:ascii="仿宋_GB2312" w:hAnsi="仿宋_GB2312" w:eastAsia="仿宋_GB2312" w:cs="仿宋_GB2312"/>
          <w:b/>
          <w:color w:val="auto"/>
          <w:sz w:val="28"/>
          <w:szCs w:val="28"/>
          <w:highlight w:val="none"/>
          <w:lang w:val="zh-CN"/>
        </w:rPr>
        <w:t>项目情况介绍</w:t>
      </w:r>
    </w:p>
    <w:p>
      <w:pPr>
        <w:pStyle w:val="44"/>
        <w:ind w:firstLine="560"/>
        <w:jc w:val="both"/>
        <w:rPr>
          <w:rFonts w:hint="eastAsia" w:ascii="仿宋_GB2312" w:eastAsia="仿宋_GB2312" w:hAnsiTheme="minorHAnsi" w:cstheme="minorBidi"/>
          <w:color w:val="auto"/>
          <w:kern w:val="2"/>
          <w:sz w:val="28"/>
          <w:szCs w:val="28"/>
          <w:highlight w:val="none"/>
          <w:lang w:val="en-US" w:eastAsia="zh-CN" w:bidi="ar-SA"/>
        </w:rPr>
      </w:pPr>
      <w:bookmarkStart w:id="61" w:name="OLE_LINK2"/>
      <w:r>
        <w:rPr>
          <w:rFonts w:hint="eastAsia" w:ascii="仿宋_GB2312" w:eastAsia="仿宋_GB2312" w:hAnsiTheme="minorHAnsi" w:cstheme="minorBidi"/>
          <w:color w:val="auto"/>
          <w:kern w:val="2"/>
          <w:sz w:val="28"/>
          <w:szCs w:val="28"/>
          <w:highlight w:val="none"/>
          <w:lang w:val="en-US" w:eastAsia="zh-CN" w:bidi="ar-SA"/>
        </w:rPr>
        <w:t>本项目拟计划采购2台三箱式干粉配制和投加装置，主要用于厂区干化车间储泥池絮凝剂（阳离子聚丙烯酰胺粉状FO 7662-1）的制备与投加。采购新设备替换老旧设备，有利于保障生产稳定运行，减少设备维护成本。</w:t>
      </w:r>
    </w:p>
    <w:p>
      <w:pPr>
        <w:spacing w:line="360" w:lineRule="auto"/>
        <w:outlineLvl w:val="3"/>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二、技术要求</w:t>
      </w:r>
    </w:p>
    <w:bookmarkEnd w:id="61"/>
    <w:p>
      <w:pPr>
        <w:adjustRightInd w:val="0"/>
        <w:snapToGrid w:val="0"/>
        <w:spacing w:line="360" w:lineRule="auto"/>
        <w:ind w:firstLine="560" w:firstLineChars="200"/>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本项目计划采购2台流量为4000L/h的三箱式干粉配制和投加装置，其型号、尺寸、运行参数、制备能力等与生产线上的工艺需求相配套，设备配备搅拌器、电机、液位计、流量计、输药泵等必要零部件。三箱式干粉配制和投加装置主要的组成单元及配置要求如下：</w:t>
      </w:r>
    </w:p>
    <w:p>
      <w:pPr>
        <w:pStyle w:val="44"/>
        <w:spacing w:line="360" w:lineRule="auto"/>
        <w:ind w:firstLine="560"/>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（1）三个液箱：箱体为</w:t>
      </w:r>
      <w:sdt>
        <w:sdtPr>
          <w:rPr>
            <w:rFonts w:hint="eastAsia" w:ascii="仿宋_GB2312" w:hAnsi="仿宋_GB2312" w:eastAsia="仿宋_GB2312" w:cs="仿宋_GB2312"/>
            <w:color w:val="auto"/>
            <w:kern w:val="2"/>
            <w:sz w:val="28"/>
            <w:szCs w:val="28"/>
            <w:highlight w:val="none"/>
            <w:lang w:val="en-US" w:eastAsia="zh-CN" w:bidi="ar-SA"/>
          </w:rPr>
          <w:alias w:val="箱体材质"/>
          <w:tag w:val="箱体材质"/>
          <w:id w:val="5779072"/>
          <w:placeholder>
            <w:docPart w:val="{bdb20bce-3e97-49eb-844f-e53163e52f3b}"/>
          </w:placeholder>
          <w:comboBox>
            <w:listItem w:displayText="PP" w:value="PP"/>
            <w:listItem w:displayText="SS316" w:value="SS316"/>
            <w:listItem w:displayText="SS304" w:value="SS304"/>
          </w:comboBox>
        </w:sdtPr>
        <w:sdtEndPr>
          <w:rPr>
            <w:rFonts w:hint="eastAsia" w:ascii="仿宋_GB2312" w:hAnsi="仿宋_GB2312" w:eastAsia="仿宋_GB2312" w:cs="仿宋_GB2312"/>
            <w:color w:val="auto"/>
            <w:kern w:val="2"/>
            <w:sz w:val="28"/>
            <w:szCs w:val="28"/>
            <w:highlight w:val="none"/>
            <w:lang w:val="en-US" w:eastAsia="zh-CN" w:bidi="ar-SA"/>
          </w:rPr>
        </w:sdtEndPr>
        <w:sdtContent>
          <w:r>
            <w:rPr>
              <w:rFonts w:hint="eastAsia" w:ascii="仿宋_GB2312" w:hAnsi="仿宋_GB2312" w:eastAsia="仿宋_GB2312" w:cs="仿宋_GB2312"/>
              <w:color w:val="auto"/>
              <w:kern w:val="2"/>
              <w:sz w:val="28"/>
              <w:szCs w:val="28"/>
              <w:highlight w:val="none"/>
              <w:lang w:val="en-US" w:eastAsia="zh-CN" w:bidi="ar-SA"/>
            </w:rPr>
            <w:t>PP</w:t>
          </w:r>
        </w:sdtContent>
      </w:sdt>
      <w:r>
        <w:rPr>
          <w:rFonts w:hint="eastAsia" w:ascii="仿宋_GB2312" w:hAnsi="仿宋_GB2312" w:eastAsia="仿宋_GB2312" w:cs="仿宋_GB2312"/>
          <w:color w:val="auto"/>
          <w:kern w:val="2"/>
          <w:sz w:val="28"/>
          <w:szCs w:val="28"/>
          <w:highlight w:val="none"/>
          <w:lang w:val="en-US" w:eastAsia="zh-CN" w:bidi="ar-SA"/>
        </w:rPr>
        <w:t>材质，内置挡板，整机设备分为制备箱、熟化箱和储存箱，3个箱体独立运作，保证有充足的时间使制备溶液溶解和熟化，熟化时间</w:t>
      </w:r>
      <w:r>
        <w:rPr>
          <w:rFonts w:hint="eastAsia" w:ascii="仿宋_GB2312" w:hAnsi="仿宋_GB2312" w:cs="仿宋_GB2312"/>
          <w:color w:val="auto"/>
          <w:kern w:val="2"/>
          <w:sz w:val="28"/>
          <w:szCs w:val="28"/>
          <w:highlight w:val="none"/>
          <w:lang w:val="en-US" w:eastAsia="zh-CN" w:bidi="ar-SA"/>
        </w:rPr>
        <w:t>不得少于</w:t>
      </w:r>
      <w:r>
        <w:rPr>
          <w:rFonts w:hint="eastAsia" w:ascii="仿宋_GB2312" w:hAnsi="仿宋_GB2312" w:eastAsia="仿宋_GB2312" w:cs="仿宋_GB2312"/>
          <w:color w:val="auto"/>
          <w:kern w:val="2"/>
          <w:sz w:val="28"/>
          <w:szCs w:val="28"/>
          <w:highlight w:val="none"/>
          <w:lang w:val="en-US" w:eastAsia="zh-CN" w:bidi="ar-SA"/>
        </w:rPr>
        <w:t>1h，其中储存箱的液位由专属的进口合资品牌液位传感器检测。整机设备需配备“低液位”触点来保护外输药泵，另外，也需配备防溢流的传感器用于溶液外溢时的应急保护。将箱体分割成</w:t>
      </w:r>
      <w:sdt>
        <w:sdtPr>
          <w:rPr>
            <w:rFonts w:hint="eastAsia" w:ascii="仿宋_GB2312" w:hAnsi="仿宋_GB2312" w:eastAsia="仿宋_GB2312" w:cs="仿宋_GB2312"/>
            <w:color w:val="auto"/>
            <w:kern w:val="2"/>
            <w:sz w:val="28"/>
            <w:szCs w:val="28"/>
            <w:highlight w:val="none"/>
            <w:lang w:val="en-US" w:eastAsia="zh-CN" w:bidi="ar-SA"/>
          </w:rPr>
          <w:alias w:val="个数"/>
          <w:tag w:val="个数"/>
          <w:id w:val="7074462"/>
          <w:placeholder>
            <w:docPart w:val="{79f8c4c5-ca2b-479f-b8fc-a9c1fbed2a80}"/>
          </w:placeholder>
          <w:comboBox>
            <w:listItem w:value="选择一项。"/>
            <w:listItem w:displayText="二" w:value="二"/>
            <w:listItem w:displayText="三" w:value="三"/>
          </w:comboBox>
        </w:sdtPr>
        <w:sdtEndPr>
          <w:rPr>
            <w:rFonts w:hint="eastAsia" w:ascii="仿宋_GB2312" w:hAnsi="仿宋_GB2312" w:eastAsia="仿宋_GB2312" w:cs="仿宋_GB2312"/>
            <w:color w:val="auto"/>
            <w:kern w:val="2"/>
            <w:sz w:val="28"/>
            <w:szCs w:val="28"/>
            <w:highlight w:val="none"/>
            <w:lang w:val="en-US" w:eastAsia="zh-CN" w:bidi="ar-SA"/>
          </w:rPr>
        </w:sdtEndPr>
        <w:sdtContent>
          <w:r>
            <w:rPr>
              <w:rFonts w:hint="eastAsia" w:ascii="仿宋_GB2312" w:hAnsi="仿宋_GB2312" w:eastAsia="仿宋_GB2312" w:cs="仿宋_GB2312"/>
              <w:color w:val="auto"/>
              <w:kern w:val="2"/>
              <w:sz w:val="28"/>
              <w:szCs w:val="28"/>
              <w:highlight w:val="none"/>
              <w:lang w:val="en-US" w:eastAsia="zh-CN" w:bidi="ar-SA"/>
            </w:rPr>
            <w:t>三</w:t>
          </w:r>
        </w:sdtContent>
      </w:sdt>
      <w:r>
        <w:rPr>
          <w:rFonts w:hint="eastAsia" w:ascii="仿宋_GB2312" w:hAnsi="仿宋_GB2312" w:eastAsia="仿宋_GB2312" w:cs="仿宋_GB2312"/>
          <w:color w:val="auto"/>
          <w:kern w:val="2"/>
          <w:sz w:val="28"/>
          <w:szCs w:val="28"/>
          <w:highlight w:val="none"/>
          <w:lang w:val="en-US" w:eastAsia="zh-CN" w:bidi="ar-SA"/>
        </w:rPr>
        <w:t>小箱，采用溢流式混合的方式。</w:t>
      </w:r>
    </w:p>
    <w:p>
      <w:pPr>
        <w:pStyle w:val="44"/>
        <w:spacing w:line="360" w:lineRule="auto"/>
        <w:ind w:firstLine="560"/>
        <w:jc w:val="both"/>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液位计满足以下要求：液体接触部件材质SS316L,陶瓷隔膜，14-30VDC电源，4-20mA输出，测量范围-12-250mbar，IP67，触摸屏上可动态显示实时液位高度值。三个或四个液位设置点：高位、低位、低低位、溢流液位。当系统达到低液位时，系统自动启动；当系统达到高液位时，系统自动停止；当系统达到低低液位时，液位报警，该信号可提供给客户，客户可用于控制停止外输泵工作。</w:t>
      </w:r>
    </w:p>
    <w:p>
      <w:pPr>
        <w:pStyle w:val="44"/>
        <w:ind w:firstLine="560"/>
        <w:jc w:val="both"/>
        <w:rPr>
          <w:rFonts w:hint="eastAsia" w:ascii="仿宋_GB2312" w:hAnsiTheme="minorHAnsi" w:cstheme="minorBidi"/>
          <w:color w:val="auto"/>
          <w:kern w:val="2"/>
          <w:sz w:val="28"/>
          <w:szCs w:val="28"/>
          <w:highlight w:val="none"/>
          <w:lang w:val="en-US" w:eastAsia="zh-CN" w:bidi="ar-SA"/>
        </w:rPr>
      </w:pPr>
      <w:r>
        <w:rPr>
          <w:rFonts w:hint="eastAsia" w:ascii="仿宋_GB2312" w:hAnsiTheme="minorHAnsi" w:cstheme="minorBidi"/>
          <w:color w:val="auto"/>
          <w:kern w:val="2"/>
          <w:sz w:val="28"/>
          <w:szCs w:val="28"/>
          <w:highlight w:val="none"/>
          <w:lang w:val="en-US" w:eastAsia="zh-CN" w:bidi="ar-SA"/>
        </w:rPr>
        <w:t>（2）</w:t>
      </w:r>
      <w:r>
        <w:rPr>
          <w:rFonts w:hint="eastAsia" w:ascii="仿宋_GB2312" w:eastAsia="仿宋_GB2312" w:hAnsiTheme="minorHAnsi" w:cstheme="minorBidi"/>
          <w:color w:val="auto"/>
          <w:kern w:val="2"/>
          <w:sz w:val="28"/>
          <w:szCs w:val="28"/>
          <w:highlight w:val="none"/>
          <w:lang w:val="en-US" w:eastAsia="zh-CN" w:bidi="ar-SA"/>
        </w:rPr>
        <w:t>进水系统和</w:t>
      </w:r>
      <w:r>
        <w:rPr>
          <w:rFonts w:hint="eastAsia" w:ascii="仿宋_GB2312" w:hAnsiTheme="minorHAnsi" w:cstheme="minorBidi"/>
          <w:color w:val="auto"/>
          <w:kern w:val="2"/>
          <w:sz w:val="28"/>
          <w:szCs w:val="28"/>
          <w:highlight w:val="none"/>
          <w:lang w:val="en-US" w:eastAsia="zh-CN" w:bidi="ar-SA"/>
        </w:rPr>
        <w:t>润湿</w:t>
      </w:r>
      <w:r>
        <w:rPr>
          <w:rFonts w:hint="eastAsia" w:ascii="仿宋_GB2312" w:eastAsia="仿宋_GB2312" w:hAnsiTheme="minorHAnsi" w:cstheme="minorBidi"/>
          <w:color w:val="auto"/>
          <w:kern w:val="2"/>
          <w:sz w:val="28"/>
          <w:szCs w:val="28"/>
          <w:highlight w:val="none"/>
          <w:lang w:val="en-US" w:eastAsia="zh-CN" w:bidi="ar-SA"/>
        </w:rPr>
        <w:t>设备：配备带有挡渣盘的泄压阀来维持工作压力，可由</w:t>
      </w:r>
      <w:r>
        <w:rPr>
          <w:rFonts w:hint="eastAsia" w:ascii="仿宋_GB2312" w:hAnsiTheme="minorHAnsi" w:cstheme="minorBidi"/>
          <w:color w:val="auto"/>
          <w:kern w:val="2"/>
          <w:sz w:val="28"/>
          <w:szCs w:val="28"/>
          <w:highlight w:val="none"/>
          <w:lang w:val="en-US" w:eastAsia="zh-CN" w:bidi="ar-SA"/>
        </w:rPr>
        <w:t>常闭型</w:t>
      </w:r>
      <w:r>
        <w:rPr>
          <w:rFonts w:hint="eastAsia" w:ascii="仿宋_GB2312" w:eastAsia="仿宋_GB2312" w:hAnsiTheme="minorHAnsi" w:cstheme="minorBidi"/>
          <w:color w:val="auto"/>
          <w:kern w:val="2"/>
          <w:sz w:val="28"/>
          <w:szCs w:val="28"/>
          <w:highlight w:val="none"/>
          <w:lang w:val="en-US" w:eastAsia="zh-CN" w:bidi="ar-SA"/>
        </w:rPr>
        <w:t>电磁阀自动开启和</w:t>
      </w:r>
      <w:r>
        <w:rPr>
          <w:rFonts w:hint="eastAsia" w:ascii="仿宋_GB2312" w:hAnsiTheme="minorHAnsi" w:cstheme="minorBidi"/>
          <w:color w:val="auto"/>
          <w:kern w:val="2"/>
          <w:sz w:val="28"/>
          <w:szCs w:val="28"/>
          <w:highlight w:val="none"/>
          <w:lang w:val="en-US" w:eastAsia="zh-CN" w:bidi="ar-SA"/>
        </w:rPr>
        <w:t>关闭</w:t>
      </w:r>
      <w:r>
        <w:rPr>
          <w:rFonts w:hint="eastAsia" w:ascii="仿宋_GB2312" w:eastAsia="仿宋_GB2312" w:hAnsiTheme="minorHAnsi" w:cstheme="minorBidi"/>
          <w:color w:val="auto"/>
          <w:kern w:val="2"/>
          <w:sz w:val="28"/>
          <w:szCs w:val="28"/>
          <w:highlight w:val="none"/>
          <w:lang w:val="en-US" w:eastAsia="zh-CN" w:bidi="ar-SA"/>
        </w:rPr>
        <w:t>供水管道</w:t>
      </w:r>
      <w:r>
        <w:rPr>
          <w:rFonts w:hint="eastAsia" w:ascii="仿宋_GB2312" w:hAnsiTheme="minorHAnsi" w:cstheme="minorBidi"/>
          <w:color w:val="auto"/>
          <w:kern w:val="2"/>
          <w:sz w:val="28"/>
          <w:szCs w:val="28"/>
          <w:highlight w:val="none"/>
          <w:lang w:val="en-US" w:eastAsia="zh-CN" w:bidi="ar-SA"/>
        </w:rPr>
        <w:t>，</w:t>
      </w:r>
      <w:r>
        <w:rPr>
          <w:rFonts w:hint="eastAsia" w:ascii="仿宋_GB2312" w:eastAsia="仿宋_GB2312" w:hAnsiTheme="minorHAnsi" w:cstheme="minorBidi"/>
          <w:color w:val="auto"/>
          <w:kern w:val="2"/>
          <w:sz w:val="28"/>
          <w:szCs w:val="28"/>
          <w:highlight w:val="none"/>
          <w:lang w:val="en-US" w:eastAsia="zh-CN" w:bidi="ar-SA"/>
        </w:rPr>
        <w:t>泄压阀</w:t>
      </w:r>
      <w:r>
        <w:rPr>
          <w:rFonts w:hint="eastAsia" w:ascii="仿宋_GB2312" w:hAnsiTheme="minorHAnsi" w:cstheme="minorBidi"/>
          <w:color w:val="auto"/>
          <w:kern w:val="2"/>
          <w:sz w:val="28"/>
          <w:szCs w:val="28"/>
          <w:highlight w:val="none"/>
          <w:lang w:val="en-US" w:eastAsia="zh-CN" w:bidi="ar-SA"/>
        </w:rPr>
        <w:t>的</w:t>
      </w:r>
      <w:r>
        <w:rPr>
          <w:rFonts w:hint="eastAsia" w:ascii="仿宋_GB2312" w:eastAsia="仿宋_GB2312" w:hAnsiTheme="minorHAnsi" w:cstheme="minorBidi"/>
          <w:color w:val="auto"/>
          <w:kern w:val="2"/>
          <w:sz w:val="28"/>
          <w:szCs w:val="28"/>
          <w:highlight w:val="none"/>
          <w:lang w:val="en-US" w:eastAsia="zh-CN" w:bidi="ar-SA"/>
        </w:rPr>
        <w:t>调节范围</w:t>
      </w:r>
      <w:r>
        <w:rPr>
          <w:rFonts w:hint="eastAsia" w:ascii="仿宋_GB2312" w:hAnsiTheme="minorHAnsi" w:cstheme="minorBidi"/>
          <w:color w:val="auto"/>
          <w:kern w:val="2"/>
          <w:sz w:val="28"/>
          <w:szCs w:val="28"/>
          <w:highlight w:val="none"/>
          <w:lang w:val="en-US" w:eastAsia="zh-CN" w:bidi="ar-SA"/>
        </w:rPr>
        <w:t>为</w:t>
      </w:r>
      <w:r>
        <w:rPr>
          <w:rFonts w:hint="eastAsia" w:ascii="仿宋_GB2312" w:eastAsia="仿宋_GB2312" w:hAnsiTheme="minorHAnsi" w:cstheme="minorBidi"/>
          <w:color w:val="auto"/>
          <w:kern w:val="2"/>
          <w:sz w:val="28"/>
          <w:szCs w:val="28"/>
          <w:highlight w:val="none"/>
          <w:lang w:val="en-US" w:eastAsia="zh-CN" w:bidi="ar-SA"/>
        </w:rPr>
        <w:t>1.5-6bar，材质</w:t>
      </w:r>
      <w:r>
        <w:rPr>
          <w:rFonts w:hint="eastAsia" w:ascii="仿宋_GB2312" w:hAnsiTheme="minorHAnsi" w:cstheme="minorBidi"/>
          <w:color w:val="auto"/>
          <w:kern w:val="2"/>
          <w:sz w:val="28"/>
          <w:szCs w:val="28"/>
          <w:highlight w:val="none"/>
          <w:lang w:val="en-US" w:eastAsia="zh-CN" w:bidi="ar-SA"/>
        </w:rPr>
        <w:t>为</w:t>
      </w:r>
      <w:r>
        <w:rPr>
          <w:rFonts w:hint="eastAsia" w:ascii="仿宋_GB2312" w:eastAsia="仿宋_GB2312" w:hAnsiTheme="minorHAnsi" w:cstheme="minorBidi"/>
          <w:color w:val="auto"/>
          <w:kern w:val="2"/>
          <w:sz w:val="28"/>
          <w:szCs w:val="28"/>
          <w:highlight w:val="none"/>
          <w:lang w:val="en-US" w:eastAsia="zh-CN" w:bidi="ar-SA"/>
        </w:rPr>
        <w:t>黄铜</w:t>
      </w:r>
      <w:r>
        <w:rPr>
          <w:rFonts w:hint="eastAsia" w:ascii="仿宋_GB2312" w:hAnsiTheme="minorHAnsi" w:cstheme="minorBidi"/>
          <w:color w:val="auto"/>
          <w:kern w:val="2"/>
          <w:sz w:val="28"/>
          <w:szCs w:val="28"/>
          <w:highlight w:val="none"/>
          <w:lang w:val="en-US" w:eastAsia="zh-CN" w:bidi="ar-SA"/>
        </w:rPr>
        <w:t>。其中，取水口大小为DN40</w:t>
      </w:r>
      <w:r>
        <w:rPr>
          <w:rFonts w:hint="eastAsia" w:ascii="仿宋_GB2312" w:eastAsia="仿宋_GB2312" w:hAnsiTheme="minorHAnsi" w:cstheme="minorBidi"/>
          <w:color w:val="auto"/>
          <w:kern w:val="2"/>
          <w:sz w:val="28"/>
          <w:szCs w:val="28"/>
          <w:highlight w:val="none"/>
          <w:lang w:val="en-US" w:eastAsia="zh-CN" w:bidi="ar-SA"/>
        </w:rPr>
        <w:t>，</w:t>
      </w:r>
      <w:r>
        <w:rPr>
          <w:rFonts w:hint="eastAsia" w:ascii="仿宋_GB2312" w:hAnsiTheme="minorHAnsi" w:cstheme="minorBidi"/>
          <w:color w:val="auto"/>
          <w:kern w:val="2"/>
          <w:sz w:val="28"/>
          <w:szCs w:val="28"/>
          <w:highlight w:val="none"/>
          <w:lang w:val="en-US" w:eastAsia="zh-CN" w:bidi="ar-SA"/>
        </w:rPr>
        <w:t>出液</w:t>
      </w:r>
      <w:r>
        <w:rPr>
          <w:rFonts w:hint="eastAsia" w:ascii="仿宋_GB2312" w:eastAsia="仿宋_GB2312" w:hAnsiTheme="minorHAnsi" w:cstheme="minorBidi"/>
          <w:color w:val="auto"/>
          <w:kern w:val="2"/>
          <w:sz w:val="28"/>
          <w:szCs w:val="28"/>
          <w:highlight w:val="none"/>
          <w:lang w:val="en-US" w:eastAsia="zh-CN" w:bidi="ar-SA"/>
        </w:rPr>
        <w:t>口大小为DN40，溢流口大小为DN65。</w:t>
      </w:r>
      <w:r>
        <w:rPr>
          <w:rFonts w:hint="eastAsia" w:ascii="仿宋_GB2312" w:hAnsiTheme="minorHAnsi" w:cstheme="minorBidi"/>
          <w:color w:val="auto"/>
          <w:kern w:val="2"/>
          <w:sz w:val="28"/>
          <w:szCs w:val="28"/>
          <w:highlight w:val="none"/>
          <w:lang w:val="en-US" w:eastAsia="zh-CN" w:bidi="ar-SA"/>
        </w:rPr>
        <w:t>设备全套还应</w:t>
      </w:r>
      <w:r>
        <w:rPr>
          <w:rFonts w:hint="eastAsia" w:ascii="仿宋_GB2312" w:eastAsia="仿宋_GB2312" w:hAnsiTheme="minorHAnsi" w:cstheme="minorBidi"/>
          <w:color w:val="auto"/>
          <w:kern w:val="2"/>
          <w:sz w:val="28"/>
          <w:szCs w:val="28"/>
          <w:highlight w:val="none"/>
          <w:lang w:val="en-US" w:eastAsia="zh-CN" w:bidi="ar-SA"/>
        </w:rPr>
        <w:t>包括管道</w:t>
      </w:r>
      <w:r>
        <w:rPr>
          <w:rFonts w:hint="eastAsia" w:ascii="仿宋_GB2312" w:hAnsiTheme="minorHAnsi" w:cstheme="minorBidi"/>
          <w:color w:val="auto"/>
          <w:kern w:val="2"/>
          <w:sz w:val="28"/>
          <w:szCs w:val="28"/>
          <w:highlight w:val="none"/>
          <w:lang w:val="en-US" w:eastAsia="zh-CN" w:bidi="ar-SA"/>
        </w:rPr>
        <w:t>（</w:t>
      </w:r>
      <w:r>
        <w:rPr>
          <w:rFonts w:hint="eastAsia" w:ascii="仿宋_GB2312" w:eastAsia="仿宋_GB2312" w:hAnsiTheme="minorHAnsi" w:cstheme="minorBidi"/>
          <w:color w:val="auto"/>
          <w:kern w:val="2"/>
          <w:sz w:val="28"/>
          <w:szCs w:val="28"/>
          <w:highlight w:val="none"/>
          <w:lang w:val="en-US" w:eastAsia="zh-CN" w:bidi="ar-SA"/>
        </w:rPr>
        <w:t>三箱式干粉配制和投加装置</w:t>
      </w:r>
      <w:r>
        <w:rPr>
          <w:rFonts w:hint="eastAsia" w:ascii="仿宋_GB2312" w:hAnsiTheme="minorHAnsi" w:cstheme="minorBidi"/>
          <w:color w:val="auto"/>
          <w:kern w:val="2"/>
          <w:sz w:val="28"/>
          <w:szCs w:val="28"/>
          <w:highlight w:val="none"/>
          <w:lang w:val="en-US" w:eastAsia="zh-CN" w:bidi="ar-SA"/>
        </w:rPr>
        <w:t>连通输药泵部分管道和输药泵连通储泥池进药口管道）</w:t>
      </w:r>
      <w:r>
        <w:rPr>
          <w:rFonts w:hint="eastAsia" w:ascii="仿宋_GB2312" w:eastAsia="仿宋_GB2312" w:hAnsiTheme="minorHAnsi" w:cstheme="minorBidi"/>
          <w:color w:val="auto"/>
          <w:kern w:val="2"/>
          <w:sz w:val="28"/>
          <w:szCs w:val="28"/>
          <w:highlight w:val="none"/>
          <w:lang w:val="en-US" w:eastAsia="zh-CN" w:bidi="ar-SA"/>
        </w:rPr>
        <w:t>、</w:t>
      </w:r>
      <w:r>
        <w:rPr>
          <w:rFonts w:hint="eastAsia" w:ascii="仿宋_GB2312" w:hAnsiTheme="minorHAnsi" w:cstheme="minorBidi"/>
          <w:color w:val="auto"/>
          <w:kern w:val="2"/>
          <w:sz w:val="28"/>
          <w:szCs w:val="28"/>
          <w:highlight w:val="none"/>
          <w:lang w:val="en-US" w:eastAsia="zh-CN" w:bidi="ar-SA"/>
        </w:rPr>
        <w:t>安全阀等，</w:t>
      </w:r>
      <w:r>
        <w:rPr>
          <w:rFonts w:hint="eastAsia" w:ascii="仿宋_GB2312" w:eastAsia="仿宋_GB2312" w:hAnsiTheme="minorHAnsi" w:cstheme="minorBidi"/>
          <w:color w:val="auto"/>
          <w:kern w:val="2"/>
          <w:sz w:val="28"/>
          <w:szCs w:val="28"/>
          <w:highlight w:val="none"/>
          <w:lang w:val="en-US" w:eastAsia="zh-CN" w:bidi="ar-SA"/>
        </w:rPr>
        <w:t>用于连接和固定</w:t>
      </w:r>
      <w:r>
        <w:rPr>
          <w:rFonts w:hint="eastAsia" w:ascii="仿宋_GB2312" w:hAnsiTheme="minorHAnsi" w:cstheme="minorBidi"/>
          <w:color w:val="auto"/>
          <w:kern w:val="2"/>
          <w:sz w:val="28"/>
          <w:szCs w:val="28"/>
          <w:highlight w:val="none"/>
          <w:lang w:val="en-US" w:eastAsia="zh-CN" w:bidi="ar-SA"/>
        </w:rPr>
        <w:t>润湿</w:t>
      </w:r>
      <w:r>
        <w:rPr>
          <w:rFonts w:hint="eastAsia" w:ascii="仿宋_GB2312" w:eastAsia="仿宋_GB2312" w:hAnsiTheme="minorHAnsi" w:cstheme="minorBidi"/>
          <w:color w:val="auto"/>
          <w:kern w:val="2"/>
          <w:sz w:val="28"/>
          <w:szCs w:val="28"/>
          <w:highlight w:val="none"/>
          <w:lang w:val="en-US" w:eastAsia="zh-CN" w:bidi="ar-SA"/>
        </w:rPr>
        <w:t>装置的其他部件。</w:t>
      </w:r>
    </w:p>
    <w:p>
      <w:pPr>
        <w:spacing w:line="360" w:lineRule="auto"/>
        <w:ind w:firstLine="560" w:firstLineChars="200"/>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润湿设备为Y型润湿装置，粉状物料经过给料机精确计量后，落入Y型润湿装置，稀释水经过阀门调节后，进入Y型润湿装置，</w:t>
      </w:r>
      <w:r>
        <w:rPr>
          <w:rFonts w:hint="eastAsia" w:ascii="仿宋_GB2312" w:eastAsia="仿宋_GB2312" w:cstheme="minorBidi"/>
          <w:color w:val="auto"/>
          <w:kern w:val="2"/>
          <w:sz w:val="28"/>
          <w:szCs w:val="28"/>
          <w:highlight w:val="none"/>
          <w:lang w:val="en-US" w:eastAsia="zh-CN" w:bidi="ar-SA"/>
        </w:rPr>
        <w:t>装置</w:t>
      </w:r>
      <w:r>
        <w:rPr>
          <w:rFonts w:hint="eastAsia" w:ascii="仿宋_GB2312" w:eastAsia="仿宋_GB2312" w:hAnsiTheme="minorHAnsi" w:cstheme="minorBidi"/>
          <w:color w:val="auto"/>
          <w:kern w:val="2"/>
          <w:sz w:val="28"/>
          <w:szCs w:val="28"/>
          <w:highlight w:val="none"/>
          <w:lang w:val="en-US" w:eastAsia="zh-CN" w:bidi="ar-SA"/>
        </w:rPr>
        <w:t>确保聚合物粉末被制备用水集中润湿将粉末均匀打散、混合后进入制备箱。</w:t>
      </w:r>
    </w:p>
    <w:p>
      <w:pPr>
        <w:pStyle w:val="44"/>
        <w:ind w:firstLine="560"/>
        <w:jc w:val="both"/>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hAnsiTheme="minorHAnsi" w:cstheme="minorBidi"/>
          <w:color w:val="auto"/>
          <w:kern w:val="2"/>
          <w:sz w:val="28"/>
          <w:szCs w:val="28"/>
          <w:highlight w:val="none"/>
          <w:lang w:val="en-US" w:eastAsia="zh-CN" w:bidi="ar-SA"/>
        </w:rPr>
        <w:t>（3）</w:t>
      </w:r>
      <w:r>
        <w:rPr>
          <w:rFonts w:hint="eastAsia" w:ascii="仿宋_GB2312" w:eastAsia="仿宋_GB2312" w:hAnsiTheme="minorHAnsi" w:cstheme="minorBidi"/>
          <w:color w:val="auto"/>
          <w:kern w:val="2"/>
          <w:sz w:val="28"/>
          <w:szCs w:val="28"/>
          <w:highlight w:val="none"/>
          <w:lang w:val="en-US" w:eastAsia="zh-CN" w:bidi="ar-SA"/>
        </w:rPr>
        <w:t>真空吸粉进料器：通过创建局部真空环境，利用负压原理将絮凝剂粉末吸入配置箱中，并由</w:t>
      </w:r>
      <w:r>
        <w:rPr>
          <w:rFonts w:hint="eastAsia" w:ascii="仿宋_GB2312" w:hAnsiTheme="minorHAnsi" w:cstheme="minorBidi"/>
          <w:color w:val="auto"/>
          <w:kern w:val="2"/>
          <w:sz w:val="28"/>
          <w:szCs w:val="28"/>
          <w:highlight w:val="none"/>
          <w:lang w:val="en-US" w:eastAsia="zh-CN" w:bidi="ar-SA"/>
        </w:rPr>
        <w:t>进口合资品牌的</w:t>
      </w:r>
      <w:r>
        <w:rPr>
          <w:rFonts w:hint="eastAsia" w:ascii="仿宋_GB2312" w:eastAsia="仿宋_GB2312" w:hAnsiTheme="minorHAnsi" w:cstheme="minorBidi"/>
          <w:color w:val="auto"/>
          <w:kern w:val="2"/>
          <w:sz w:val="28"/>
          <w:szCs w:val="28"/>
          <w:highlight w:val="none"/>
          <w:lang w:val="en-US" w:eastAsia="zh-CN" w:bidi="ar-SA"/>
        </w:rPr>
        <w:t>变频器驱动，按照预设浓度控制干粉量的投加。干粉进料器吸料能力</w:t>
      </w:r>
      <w:r>
        <w:rPr>
          <w:rFonts w:hint="eastAsia" w:ascii="仿宋_GB2312" w:hAnsiTheme="minorHAnsi" w:cstheme="minorBidi"/>
          <w:color w:val="auto"/>
          <w:kern w:val="2"/>
          <w:sz w:val="28"/>
          <w:szCs w:val="28"/>
          <w:highlight w:val="none"/>
          <w:lang w:val="en-US" w:eastAsia="zh-CN" w:bidi="ar-SA"/>
        </w:rPr>
        <w:t>不低于</w:t>
      </w:r>
      <w:r>
        <w:rPr>
          <w:rFonts w:hint="eastAsia" w:ascii="仿宋_GB2312" w:eastAsia="仿宋_GB2312" w:hAnsiTheme="minorHAnsi" w:cstheme="minorBidi"/>
          <w:color w:val="auto"/>
          <w:kern w:val="2"/>
          <w:sz w:val="28"/>
          <w:szCs w:val="28"/>
          <w:highlight w:val="none"/>
          <w:lang w:val="en-US" w:eastAsia="zh-CN" w:bidi="ar-SA"/>
        </w:rPr>
        <w:t>200kg/h，需配备给料管道加热器和最低填料位置传感器</w:t>
      </w:r>
      <w:r>
        <w:rPr>
          <w:rFonts w:hint="eastAsia" w:ascii="仿宋_GB2312" w:hAnsiTheme="minorHAnsi" w:cstheme="minorBidi"/>
          <w:color w:val="auto"/>
          <w:kern w:val="2"/>
          <w:sz w:val="28"/>
          <w:szCs w:val="28"/>
          <w:highlight w:val="none"/>
          <w:lang w:val="en-US" w:eastAsia="zh-CN" w:bidi="ar-SA"/>
        </w:rPr>
        <w:t>，</w:t>
      </w:r>
      <w:r>
        <w:rPr>
          <w:rFonts w:hint="eastAsia" w:ascii="仿宋_GB2312" w:eastAsia="仿宋_GB2312" w:hAnsiTheme="minorHAnsi" w:cstheme="minorBidi"/>
          <w:color w:val="auto"/>
          <w:kern w:val="2"/>
          <w:sz w:val="28"/>
          <w:szCs w:val="28"/>
          <w:highlight w:val="none"/>
          <w:lang w:val="en-US" w:eastAsia="zh-CN" w:bidi="ar-SA"/>
        </w:rPr>
        <w:t>用于控制吸料器的启停。</w:t>
      </w:r>
    </w:p>
    <w:p>
      <w:pPr>
        <w:pStyle w:val="44"/>
        <w:ind w:firstLine="560"/>
        <w:jc w:val="both"/>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采购的三箱式干粉配制和投加装置</w:t>
      </w:r>
      <w:r>
        <w:rPr>
          <w:rFonts w:hint="default" w:ascii="仿宋_GB2312" w:eastAsia="仿宋_GB2312" w:hAnsiTheme="minorHAnsi" w:cstheme="minorBidi"/>
          <w:color w:val="auto"/>
          <w:kern w:val="2"/>
          <w:sz w:val="28"/>
          <w:szCs w:val="28"/>
          <w:highlight w:val="none"/>
          <w:lang w:val="en-US" w:eastAsia="zh-CN" w:bidi="ar-SA"/>
        </w:rPr>
        <w:t>，</w:t>
      </w:r>
      <w:r>
        <w:rPr>
          <w:rFonts w:hint="eastAsia" w:ascii="仿宋_GB2312" w:eastAsia="仿宋_GB2312" w:hAnsiTheme="minorHAnsi" w:cstheme="minorBidi"/>
          <w:color w:val="auto"/>
          <w:kern w:val="2"/>
          <w:sz w:val="28"/>
          <w:szCs w:val="28"/>
          <w:highlight w:val="none"/>
          <w:lang w:val="en-US" w:eastAsia="zh-CN" w:bidi="ar-SA"/>
        </w:rPr>
        <w:t>其满载容积</w:t>
      </w:r>
      <w:r>
        <w:rPr>
          <w:rFonts w:hint="eastAsia" w:ascii="仿宋_GB2312" w:hAnsiTheme="minorHAnsi" w:cstheme="minorBidi"/>
          <w:color w:val="auto"/>
          <w:kern w:val="2"/>
          <w:sz w:val="28"/>
          <w:szCs w:val="28"/>
          <w:highlight w:val="none"/>
          <w:lang w:val="en-US" w:eastAsia="zh-CN" w:bidi="ar-SA"/>
        </w:rPr>
        <w:t>不小于</w:t>
      </w:r>
      <w:r>
        <w:rPr>
          <w:rFonts w:hint="eastAsia" w:ascii="仿宋_GB2312" w:eastAsia="仿宋_GB2312" w:hAnsiTheme="minorHAnsi" w:cstheme="minorBidi"/>
          <w:color w:val="auto"/>
          <w:kern w:val="2"/>
          <w:sz w:val="28"/>
          <w:szCs w:val="28"/>
          <w:highlight w:val="none"/>
          <w:lang w:val="en-US" w:eastAsia="zh-CN" w:bidi="ar-SA"/>
        </w:rPr>
        <w:t>4000</w:t>
      </w:r>
      <w:r>
        <w:rPr>
          <w:rFonts w:hint="eastAsia" w:ascii="仿宋_GB2312" w:hAnsiTheme="minorHAnsi" w:cstheme="minorBidi"/>
          <w:color w:val="auto"/>
          <w:kern w:val="2"/>
          <w:sz w:val="28"/>
          <w:szCs w:val="28"/>
          <w:highlight w:val="none"/>
          <w:lang w:val="en-US" w:eastAsia="zh-CN" w:bidi="ar-SA"/>
        </w:rPr>
        <w:t>L</w:t>
      </w:r>
      <w:r>
        <w:rPr>
          <w:rFonts w:hint="eastAsia" w:ascii="仿宋_GB2312" w:eastAsia="仿宋_GB2312" w:hAnsiTheme="minorHAnsi" w:cstheme="minorBidi"/>
          <w:color w:val="auto"/>
          <w:kern w:val="2"/>
          <w:sz w:val="28"/>
          <w:szCs w:val="28"/>
          <w:highlight w:val="none"/>
          <w:lang w:val="en-US" w:eastAsia="zh-CN" w:bidi="ar-SA"/>
        </w:rPr>
        <w:t>，即可制备</w:t>
      </w:r>
      <w:r>
        <w:rPr>
          <w:rFonts w:hint="eastAsia" w:ascii="仿宋_GB2312" w:hAnsiTheme="minorHAnsi" w:cstheme="minorBidi"/>
          <w:color w:val="auto"/>
          <w:kern w:val="2"/>
          <w:sz w:val="28"/>
          <w:szCs w:val="28"/>
          <w:highlight w:val="none"/>
          <w:lang w:val="en-US" w:eastAsia="zh-CN" w:bidi="ar-SA"/>
        </w:rPr>
        <w:t>不小于</w:t>
      </w:r>
      <w:r>
        <w:rPr>
          <w:rFonts w:hint="eastAsia" w:ascii="仿宋_GB2312" w:eastAsia="仿宋_GB2312" w:hAnsiTheme="minorHAnsi" w:cstheme="minorBidi"/>
          <w:color w:val="auto"/>
          <w:kern w:val="2"/>
          <w:sz w:val="28"/>
          <w:szCs w:val="28"/>
          <w:highlight w:val="none"/>
          <w:lang w:val="en-US" w:eastAsia="zh-CN" w:bidi="ar-SA"/>
        </w:rPr>
        <w:t>4000kg的溶液，稀释用水量</w:t>
      </w:r>
      <w:r>
        <w:rPr>
          <w:rFonts w:hint="eastAsia" w:ascii="仿宋_GB2312" w:hAnsiTheme="minorHAnsi" w:cstheme="minorBidi"/>
          <w:color w:val="auto"/>
          <w:kern w:val="2"/>
          <w:sz w:val="28"/>
          <w:szCs w:val="28"/>
          <w:highlight w:val="none"/>
          <w:lang w:val="en-US" w:eastAsia="zh-CN" w:bidi="ar-SA"/>
        </w:rPr>
        <w:t>不小于</w:t>
      </w:r>
      <w:r>
        <w:rPr>
          <w:rFonts w:hint="eastAsia" w:ascii="仿宋_GB2312" w:eastAsia="仿宋_GB2312" w:hAnsiTheme="minorHAnsi" w:cstheme="minorBidi"/>
          <w:color w:val="auto"/>
          <w:kern w:val="2"/>
          <w:sz w:val="28"/>
          <w:szCs w:val="28"/>
          <w:highlight w:val="none"/>
          <w:lang w:val="en-US" w:eastAsia="zh-CN" w:bidi="ar-SA"/>
        </w:rPr>
        <w:t>12000kg，稀释水压力为</w:t>
      </w:r>
      <w:r>
        <w:rPr>
          <w:rFonts w:hint="default" w:ascii="仿宋_GB2312" w:eastAsia="仿宋_GB2312" w:hAnsiTheme="minorHAnsi" w:cstheme="minorBidi"/>
          <w:color w:val="auto"/>
          <w:kern w:val="2"/>
          <w:sz w:val="28"/>
          <w:szCs w:val="28"/>
          <w:highlight w:val="none"/>
          <w:lang w:val="en-US" w:eastAsia="zh-CN" w:bidi="ar-SA"/>
        </w:rPr>
        <w:t>3-5bar</w:t>
      </w:r>
      <w:r>
        <w:rPr>
          <w:rFonts w:hint="eastAsia" w:ascii="仿宋_GB2312" w:eastAsia="仿宋_GB2312" w:hAnsiTheme="minorHAnsi" w:cstheme="minorBidi"/>
          <w:color w:val="auto"/>
          <w:kern w:val="2"/>
          <w:sz w:val="28"/>
          <w:szCs w:val="28"/>
          <w:highlight w:val="none"/>
          <w:lang w:val="en-US" w:eastAsia="zh-CN" w:bidi="ar-SA"/>
        </w:rPr>
        <w:t>，允许干粉投加量的范围为4-92kg。</w:t>
      </w:r>
    </w:p>
    <w:p>
      <w:pPr>
        <w:pStyle w:val="44"/>
        <w:ind w:firstLine="560"/>
        <w:jc w:val="both"/>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hAnsiTheme="minorHAnsi" w:cstheme="minorBidi"/>
          <w:color w:val="auto"/>
          <w:kern w:val="2"/>
          <w:sz w:val="28"/>
          <w:szCs w:val="28"/>
          <w:highlight w:val="none"/>
          <w:lang w:val="en-US" w:eastAsia="zh-CN" w:bidi="ar-SA"/>
        </w:rPr>
        <w:t>（4）</w:t>
      </w:r>
      <w:r>
        <w:rPr>
          <w:rFonts w:hint="eastAsia" w:ascii="仿宋_GB2312" w:eastAsia="仿宋_GB2312" w:hAnsiTheme="minorHAnsi" w:cstheme="minorBidi"/>
          <w:color w:val="auto"/>
          <w:kern w:val="2"/>
          <w:sz w:val="28"/>
          <w:szCs w:val="28"/>
          <w:highlight w:val="none"/>
          <w:lang w:val="en-US" w:eastAsia="zh-CN" w:bidi="ar-SA"/>
        </w:rPr>
        <w:t>电动搅拌器：需配套安装在配制箱和熟化箱中，由PLC控制器控制搅拌器的运行。三箱式干粉配制和投加装置配备对应搅拌器的功率</w:t>
      </w:r>
      <w:r>
        <w:rPr>
          <w:rFonts w:hint="eastAsia" w:ascii="仿宋_GB2312" w:hAnsiTheme="minorHAnsi" w:cstheme="minorBidi"/>
          <w:color w:val="auto"/>
          <w:kern w:val="2"/>
          <w:sz w:val="28"/>
          <w:szCs w:val="28"/>
          <w:highlight w:val="none"/>
          <w:lang w:val="en-US" w:eastAsia="zh-CN" w:bidi="ar-SA"/>
        </w:rPr>
        <w:t>不小于</w:t>
      </w:r>
      <w:r>
        <w:rPr>
          <w:rFonts w:hint="eastAsia" w:ascii="仿宋_GB2312" w:eastAsia="仿宋_GB2312" w:hAnsiTheme="minorHAnsi" w:cstheme="minorBidi"/>
          <w:color w:val="auto"/>
          <w:kern w:val="2"/>
          <w:sz w:val="28"/>
          <w:szCs w:val="28"/>
          <w:highlight w:val="none"/>
          <w:lang w:val="en-US" w:eastAsia="zh-CN" w:bidi="ar-SA"/>
        </w:rPr>
        <w:t>1.1kW，转速</w:t>
      </w:r>
      <w:r>
        <w:rPr>
          <w:rFonts w:hint="eastAsia" w:ascii="仿宋_GB2312" w:hAnsiTheme="minorHAnsi" w:cstheme="minorBidi"/>
          <w:color w:val="auto"/>
          <w:kern w:val="2"/>
          <w:sz w:val="28"/>
          <w:szCs w:val="28"/>
          <w:highlight w:val="none"/>
          <w:lang w:val="en-US" w:eastAsia="zh-CN" w:bidi="ar-SA"/>
        </w:rPr>
        <w:t>不小于</w:t>
      </w:r>
      <w:r>
        <w:rPr>
          <w:rFonts w:hint="eastAsia" w:ascii="仿宋_GB2312" w:eastAsia="仿宋_GB2312" w:hAnsiTheme="minorHAnsi" w:cstheme="minorBidi"/>
          <w:color w:val="auto"/>
          <w:kern w:val="2"/>
          <w:sz w:val="28"/>
          <w:szCs w:val="28"/>
          <w:highlight w:val="none"/>
          <w:lang w:val="en-US" w:eastAsia="zh-CN" w:bidi="ar-SA"/>
        </w:rPr>
        <w:t>750U/min。</w:t>
      </w:r>
      <w:r>
        <w:rPr>
          <w:rFonts w:hint="eastAsia" w:ascii="仿宋_GB2312" w:hAnsiTheme="minorHAnsi" w:cstheme="minorBidi"/>
          <w:color w:val="auto"/>
          <w:kern w:val="2"/>
          <w:sz w:val="28"/>
          <w:szCs w:val="28"/>
          <w:highlight w:val="none"/>
          <w:lang w:val="en-US" w:eastAsia="zh-CN" w:bidi="ar-SA"/>
        </w:rPr>
        <w:t>整机设备</w:t>
      </w:r>
      <w:r>
        <w:rPr>
          <w:rFonts w:hint="eastAsia" w:ascii="仿宋_GB2312" w:eastAsia="仿宋_GB2312" w:hAnsiTheme="minorHAnsi" w:cstheme="minorBidi"/>
          <w:color w:val="auto"/>
          <w:kern w:val="2"/>
          <w:sz w:val="28"/>
          <w:szCs w:val="28"/>
          <w:highlight w:val="none"/>
          <w:lang w:val="en-US" w:eastAsia="zh-CN" w:bidi="ar-SA"/>
        </w:rPr>
        <w:t>配有</w:t>
      </w:r>
      <w:sdt>
        <w:sdtPr>
          <w:rPr>
            <w:rFonts w:hint="eastAsia" w:ascii="仿宋_GB2312" w:eastAsia="仿宋_GB2312" w:hAnsiTheme="minorHAnsi" w:cstheme="minorBidi"/>
            <w:color w:val="auto"/>
            <w:kern w:val="2"/>
            <w:sz w:val="28"/>
            <w:szCs w:val="28"/>
            <w:highlight w:val="none"/>
            <w:lang w:val="en-US" w:eastAsia="zh-CN" w:bidi="ar-SA"/>
          </w:rPr>
          <w:alias w:val="个数"/>
          <w:tag w:val="个数"/>
          <w:id w:val="7074463"/>
          <w:placeholder>
            <w:docPart w:val="{b62434fb-0fda-4600-93e1-b0c023c6c14b}"/>
          </w:placeholder>
          <w:comboBox>
            <w:listItem w:value="选择一项。"/>
            <w:listItem w:displayText="二" w:value="二"/>
            <w:listItem w:displayText="三" w:value="三"/>
          </w:comboBox>
        </w:sdtPr>
        <w:sdtEndPr>
          <w:rPr>
            <w:rFonts w:hint="eastAsia" w:ascii="仿宋_GB2312" w:eastAsia="仿宋_GB2312" w:hAnsiTheme="minorHAnsi" w:cstheme="minorBidi"/>
            <w:color w:val="auto"/>
            <w:kern w:val="2"/>
            <w:sz w:val="28"/>
            <w:szCs w:val="28"/>
            <w:highlight w:val="none"/>
            <w:lang w:val="en-US" w:eastAsia="zh-CN" w:bidi="ar-SA"/>
          </w:rPr>
        </w:sdtEndPr>
        <w:sdtContent>
          <w:r>
            <w:rPr>
              <w:rFonts w:hint="eastAsia" w:ascii="仿宋_GB2312" w:eastAsia="仿宋_GB2312" w:hAnsiTheme="minorHAnsi" w:cstheme="minorBidi"/>
              <w:color w:val="auto"/>
              <w:kern w:val="2"/>
              <w:sz w:val="28"/>
              <w:szCs w:val="28"/>
              <w:highlight w:val="none"/>
              <w:lang w:val="en-US" w:eastAsia="zh-CN" w:bidi="ar-SA"/>
            </w:rPr>
            <w:t>三</w:t>
          </w:r>
        </w:sdtContent>
      </w:sdt>
      <w:r>
        <w:rPr>
          <w:rFonts w:hint="eastAsia" w:ascii="仿宋_GB2312" w:eastAsia="仿宋_GB2312" w:hAnsiTheme="minorHAnsi" w:cstheme="minorBidi"/>
          <w:color w:val="auto"/>
          <w:kern w:val="2"/>
          <w:sz w:val="28"/>
          <w:szCs w:val="28"/>
          <w:highlight w:val="none"/>
          <w:lang w:val="en-US" w:eastAsia="zh-CN" w:bidi="ar-SA"/>
        </w:rPr>
        <w:t>台搅拌器</w:t>
      </w:r>
      <w:r>
        <w:rPr>
          <w:rFonts w:hint="eastAsia" w:ascii="仿宋_GB2312" w:hAnsiTheme="minorHAnsi" w:cstheme="minorBidi"/>
          <w:color w:val="auto"/>
          <w:kern w:val="2"/>
          <w:sz w:val="28"/>
          <w:szCs w:val="28"/>
          <w:highlight w:val="none"/>
          <w:lang w:val="en-US" w:eastAsia="zh-CN" w:bidi="ar-SA"/>
        </w:rPr>
        <w:t>，储存</w:t>
      </w:r>
      <w:r>
        <w:rPr>
          <w:rFonts w:hint="eastAsia" w:ascii="仿宋_GB2312" w:eastAsia="仿宋_GB2312" w:hAnsiTheme="minorHAnsi" w:cstheme="minorBidi"/>
          <w:color w:val="auto"/>
          <w:kern w:val="2"/>
          <w:sz w:val="28"/>
          <w:szCs w:val="28"/>
          <w:highlight w:val="none"/>
          <w:lang w:val="en-US" w:eastAsia="zh-CN" w:bidi="ar-SA"/>
        </w:rPr>
        <w:t>箱安装液位传感器，控制系统的启停。箱体结构如下图：</w:t>
      </w:r>
    </w:p>
    <w:p>
      <w:pPr>
        <w:spacing w:after="156" w:line="400" w:lineRule="exact"/>
        <w:ind w:right="-42" w:rightChars="-20"/>
        <w:rPr>
          <w:rFonts w:asciiTheme="minorEastAsia" w:hAnsiTheme="minorEastAsia" w:eastAsiaTheme="minorEastAsia"/>
          <w:color w:val="auto"/>
          <w:szCs w:val="21"/>
          <w:highlight w:val="none"/>
        </w:rPr>
      </w:pPr>
    </w:p>
    <w:p>
      <w:pPr>
        <w:spacing w:line="360" w:lineRule="auto"/>
        <w:jc w:val="center"/>
        <w:rPr>
          <w:rFonts w:hint="eastAsia" w:ascii="仿宋_GB2312" w:eastAsia="仿宋_GB2312" w:hAnsiTheme="minorHAnsi" w:cstheme="minorBidi"/>
          <w:color w:val="auto"/>
          <w:kern w:val="2"/>
          <w:sz w:val="28"/>
          <w:szCs w:val="28"/>
          <w:highlight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drawing>
          <wp:inline distT="0" distB="0" distL="114300" distR="114300">
            <wp:extent cx="4234180" cy="1647825"/>
            <wp:effectExtent l="0" t="0" r="13970" b="9525"/>
            <wp:docPr id="38" name="图片 38" descr="6ea62341aa43c378dd21897af85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6ea62341aa43c378dd21897af853754"/>
                    <pic:cNvPicPr>
                      <a:picLocks noChangeAspect="1"/>
                    </pic:cNvPicPr>
                  </pic:nvPicPr>
                  <pic:blipFill>
                    <a:blip r:embed="rId9"/>
                    <a:stretch>
                      <a:fillRect/>
                    </a:stretch>
                  </pic:blipFill>
                  <pic:spPr>
                    <a:xfrm>
                      <a:off x="0" y="0"/>
                      <a:ext cx="4234180" cy="1647825"/>
                    </a:xfrm>
                    <a:prstGeom prst="rect">
                      <a:avLst/>
                    </a:prstGeom>
                  </pic:spPr>
                </pic:pic>
              </a:graphicData>
            </a:graphic>
          </wp:inline>
        </w:drawing>
      </w:r>
    </w:p>
    <w:p>
      <w:pPr>
        <w:spacing w:line="360" w:lineRule="auto"/>
        <w:rPr>
          <w:rFonts w:hint="eastAsia" w:ascii="仿宋_GB2312" w:eastAsia="仿宋_GB2312" w:hAnsiTheme="minorHAnsi" w:cstheme="minorBidi"/>
          <w:color w:val="auto"/>
          <w:kern w:val="2"/>
          <w:sz w:val="28"/>
          <w:szCs w:val="28"/>
          <w:highlight w:val="none"/>
          <w:lang w:val="en-US" w:eastAsia="zh-CN" w:bidi="ar-SA"/>
        </w:rPr>
      </w:pPr>
      <w:sdt>
        <w:sdtPr>
          <w:rPr>
            <w:rFonts w:hint="eastAsia" w:ascii="仿宋_GB2312" w:eastAsia="仿宋_GB2312" w:hAnsiTheme="minorHAnsi" w:cstheme="minorBidi"/>
            <w:color w:val="auto"/>
            <w:kern w:val="2"/>
            <w:sz w:val="28"/>
            <w:szCs w:val="28"/>
            <w:highlight w:val="none"/>
            <w:lang w:val="en-US" w:eastAsia="zh-CN" w:bidi="ar-SA"/>
          </w:rPr>
          <w:alias w:val="个数"/>
          <w:tag w:val="个数"/>
          <w:id w:val="23496242"/>
          <w:placeholder>
            <w:docPart w:val="{fd45030c-9159-47d1-83b8-8a48311bf074}"/>
          </w:placeholder>
          <w:comboBox>
            <w:listItem w:value="选择一项。"/>
            <w:listItem w:displayText="二" w:value="二"/>
            <w:listItem w:displayText="三" w:value="三"/>
          </w:comboBox>
        </w:sdtPr>
        <w:sdtEndPr>
          <w:rPr>
            <w:rFonts w:hint="eastAsia" w:ascii="仿宋_GB2312" w:eastAsia="仿宋_GB2312" w:hAnsiTheme="minorHAnsi" w:cstheme="minorBidi"/>
            <w:color w:val="auto"/>
            <w:kern w:val="2"/>
            <w:sz w:val="28"/>
            <w:szCs w:val="28"/>
            <w:highlight w:val="none"/>
            <w:lang w:val="en-US" w:eastAsia="zh-CN" w:bidi="ar-SA"/>
          </w:rPr>
        </w:sdtEndPr>
        <w:sdtContent>
          <w:r>
            <w:rPr>
              <w:rFonts w:hint="eastAsia" w:ascii="仿宋_GB2312" w:eastAsia="仿宋_GB2312" w:cstheme="minorBidi"/>
              <w:color w:val="auto"/>
              <w:kern w:val="2"/>
              <w:sz w:val="28"/>
              <w:szCs w:val="28"/>
              <w:highlight w:val="none"/>
              <w:lang w:val="en-US" w:eastAsia="zh-CN" w:bidi="ar-SA"/>
            </w:rPr>
            <w:t xml:space="preserve">    </w:t>
          </w:r>
          <w:r>
            <w:rPr>
              <w:rFonts w:hint="eastAsia" w:ascii="仿宋_GB2312" w:eastAsia="仿宋_GB2312" w:hAnsiTheme="minorHAnsi" w:cstheme="minorBidi"/>
              <w:color w:val="auto"/>
              <w:kern w:val="2"/>
              <w:sz w:val="28"/>
              <w:szCs w:val="28"/>
              <w:highlight w:val="none"/>
              <w:lang w:val="en-US" w:eastAsia="zh-CN" w:bidi="ar-SA"/>
            </w:rPr>
            <w:t>三</w:t>
          </w:r>
        </w:sdtContent>
      </w:sdt>
      <w:r>
        <w:rPr>
          <w:rFonts w:hint="eastAsia" w:ascii="仿宋_GB2312" w:eastAsia="仿宋_GB2312" w:hAnsiTheme="minorHAnsi" w:cstheme="minorBidi"/>
          <w:color w:val="auto"/>
          <w:kern w:val="2"/>
          <w:sz w:val="28"/>
          <w:szCs w:val="28"/>
          <w:highlight w:val="none"/>
          <w:lang w:val="en-US" w:eastAsia="zh-CN" w:bidi="ar-SA"/>
        </w:rPr>
        <w:t>个搅拌器分别位于制备箱、熟化箱、储存箱箱体上，其中制备箱搅拌器采用特殊双层叶轮结构，其余两箱采用单叶轮结构，搅拌器的叶片和轴的材质均为不锈钢，转速约为710-750</w:t>
      </w:r>
      <w:r>
        <w:rPr>
          <w:rFonts w:hint="eastAsia" w:ascii="仿宋_GB2312" w:eastAsia="仿宋_GB2312" w:cstheme="minorBidi"/>
          <w:color w:val="auto"/>
          <w:kern w:val="2"/>
          <w:sz w:val="28"/>
          <w:szCs w:val="28"/>
          <w:highlight w:val="none"/>
          <w:lang w:val="en-US" w:eastAsia="zh-CN" w:bidi="ar-SA"/>
        </w:rPr>
        <w:t>rpm</w:t>
      </w:r>
      <w:r>
        <w:rPr>
          <w:rFonts w:hint="eastAsia" w:ascii="仿宋_GB2312" w:eastAsia="仿宋_GB2312" w:hAnsiTheme="minorHAnsi" w:cstheme="minorBidi"/>
          <w:color w:val="auto"/>
          <w:kern w:val="2"/>
          <w:sz w:val="28"/>
          <w:szCs w:val="28"/>
          <w:highlight w:val="none"/>
          <w:lang w:val="en-US" w:eastAsia="zh-CN" w:bidi="ar-SA"/>
        </w:rPr>
        <w:t>，380V，50HZ，保护等级IP55。</w:t>
      </w:r>
    </w:p>
    <w:p>
      <w:pPr>
        <w:adjustRightInd w:val="0"/>
        <w:snapToGrid w:val="0"/>
        <w:spacing w:line="600" w:lineRule="exact"/>
        <w:ind w:firstLine="560" w:firstLineChars="200"/>
        <w:jc w:val="both"/>
        <w:rPr>
          <w:rFonts w:hint="default" w:ascii="仿宋_GB2312" w:eastAsia="仿宋_GB2312" w:hAnsiTheme="minorHAnsi" w:cstheme="minorBidi"/>
          <w:color w:val="auto"/>
          <w:kern w:val="2"/>
          <w:sz w:val="28"/>
          <w:szCs w:val="28"/>
          <w:highlight w:val="none"/>
          <w:lang w:val="en-US" w:eastAsia="zh-CN" w:bidi="ar-SA"/>
        </w:rPr>
      </w:pPr>
      <w:r>
        <w:rPr>
          <w:rFonts w:hint="eastAsia" w:ascii="仿宋_GB2312" w:eastAsia="仿宋_GB2312" w:cstheme="minorBidi"/>
          <w:color w:val="auto"/>
          <w:kern w:val="2"/>
          <w:sz w:val="28"/>
          <w:szCs w:val="28"/>
          <w:highlight w:val="none"/>
          <w:lang w:val="en-US" w:eastAsia="zh-CN" w:bidi="ar-SA"/>
        </w:rPr>
        <w:t>（5）</w:t>
      </w:r>
      <w:r>
        <w:rPr>
          <w:rFonts w:hint="eastAsia" w:ascii="仿宋_GB2312" w:eastAsia="仿宋_GB2312" w:hAnsiTheme="minorHAnsi" w:cstheme="minorBidi"/>
          <w:color w:val="auto"/>
          <w:kern w:val="2"/>
          <w:sz w:val="28"/>
          <w:szCs w:val="28"/>
          <w:highlight w:val="none"/>
          <w:lang w:val="en-US" w:eastAsia="zh-CN" w:bidi="ar-SA"/>
        </w:rPr>
        <w:t>控制柜：需配有供电单元和保险丝、电气控制和系统工作的其它控制设备，还装有报警蜂鸣器和复位的按钮开关。控制柜由PLC 系统组成，对整个系统进行全自动的控制。采用</w:t>
      </w:r>
      <w:sdt>
        <w:sdtPr>
          <w:rPr>
            <w:rFonts w:hint="eastAsia" w:ascii="仿宋_GB2312" w:eastAsia="仿宋_GB2312" w:hAnsiTheme="minorHAnsi" w:cstheme="minorBidi"/>
            <w:color w:val="auto"/>
            <w:kern w:val="2"/>
            <w:sz w:val="28"/>
            <w:szCs w:val="28"/>
            <w:highlight w:val="none"/>
            <w:lang w:val="en-US" w:eastAsia="zh-CN" w:bidi="ar-SA"/>
          </w:rPr>
          <w:alias w:val="触摸屏"/>
          <w:tag w:val="触摸屏"/>
          <w:id w:val="23496253"/>
          <w:placeholder>
            <w:docPart w:val="{513aa934-5cec-4563-81dc-b6d37bb22bd2}"/>
          </w:placeholder>
          <w:comboBox>
            <w:listItem w:value="选择一项。"/>
            <w:listItem w:displayText="西门子KTP400  3.8寸" w:value="西门子KTP400  3.8寸"/>
          </w:comboBox>
        </w:sdtPr>
        <w:sdtEndPr>
          <w:rPr>
            <w:rFonts w:hint="eastAsia" w:ascii="仿宋_GB2312" w:eastAsia="仿宋_GB2312" w:hAnsiTheme="minorHAnsi" w:cstheme="minorBidi"/>
            <w:color w:val="auto"/>
            <w:kern w:val="2"/>
            <w:sz w:val="28"/>
            <w:szCs w:val="28"/>
            <w:highlight w:val="none"/>
            <w:lang w:val="en-US" w:eastAsia="zh-CN" w:bidi="ar-SA"/>
          </w:rPr>
        </w:sdtEndPr>
        <w:sdtContent>
          <w:r>
            <w:rPr>
              <w:rFonts w:hint="eastAsia" w:ascii="仿宋_GB2312" w:eastAsia="仿宋_GB2312" w:hAnsiTheme="minorHAnsi" w:cstheme="minorBidi"/>
              <w:color w:val="auto"/>
              <w:kern w:val="2"/>
              <w:sz w:val="28"/>
              <w:szCs w:val="28"/>
              <w:highlight w:val="none"/>
              <w:lang w:val="en-US" w:eastAsia="zh-CN" w:bidi="ar-SA"/>
            </w:rPr>
            <w:t>3.8寸</w:t>
          </w:r>
        </w:sdtContent>
      </w:sdt>
      <w:r>
        <w:rPr>
          <w:rFonts w:hint="eastAsia" w:ascii="仿宋_GB2312" w:eastAsia="仿宋_GB2312" w:hAnsiTheme="minorHAnsi" w:cstheme="minorBidi"/>
          <w:color w:val="auto"/>
          <w:kern w:val="2"/>
          <w:sz w:val="28"/>
          <w:szCs w:val="28"/>
          <w:highlight w:val="none"/>
          <w:lang w:val="en-US" w:eastAsia="zh-CN" w:bidi="ar-SA"/>
        </w:rPr>
        <w:t>作为人机界面，需将运行状态以图形显示，可以监视系统的运行状态、监测系统运行中的故障和采集系统的运行参数</w:t>
      </w:r>
      <w:r>
        <w:rPr>
          <w:rFonts w:hint="eastAsia" w:ascii="仿宋_GB2312" w:eastAsia="仿宋_GB2312" w:cstheme="minorBidi"/>
          <w:color w:val="auto"/>
          <w:kern w:val="2"/>
          <w:sz w:val="28"/>
          <w:szCs w:val="28"/>
          <w:highlight w:val="none"/>
          <w:lang w:val="en-US" w:eastAsia="zh-CN" w:bidi="ar-SA"/>
        </w:rPr>
        <w:t>。</w:t>
      </w:r>
    </w:p>
    <w:p>
      <w:pPr>
        <w:adjustRightInd w:val="0"/>
        <w:snapToGrid w:val="0"/>
        <w:spacing w:line="600" w:lineRule="exact"/>
        <w:ind w:firstLine="560" w:firstLineChars="200"/>
        <w:jc w:val="both"/>
        <w:rPr>
          <w:rFonts w:hint="eastAsia" w:ascii="仿宋_GB2312" w:eastAsia="仿宋_GB2312" w:cstheme="minorBidi"/>
          <w:color w:val="auto"/>
          <w:kern w:val="2"/>
          <w:sz w:val="28"/>
          <w:szCs w:val="28"/>
          <w:highlight w:val="none"/>
          <w:lang w:val="en-US" w:eastAsia="zh-CN" w:bidi="ar-SA"/>
        </w:rPr>
      </w:pPr>
      <w:r>
        <w:rPr>
          <w:rFonts w:hint="eastAsia" w:ascii="仿宋_GB2312" w:eastAsia="仿宋_GB2312" w:cstheme="minorBidi"/>
          <w:color w:val="auto"/>
          <w:kern w:val="2"/>
          <w:sz w:val="28"/>
          <w:szCs w:val="28"/>
          <w:highlight w:val="none"/>
          <w:lang w:val="en-US" w:eastAsia="zh-CN" w:bidi="ar-SA"/>
        </w:rPr>
        <w:t>（6）整机设备各部件材料清单如下：</w:t>
      </w:r>
    </w:p>
    <w:tbl>
      <w:tblPr>
        <w:tblStyle w:val="22"/>
        <w:tblW w:w="0" w:type="auto"/>
        <w:tblInd w:w="1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3641"/>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dxa"/>
            <w:shd w:val="clear" w:color="auto" w:fill="auto"/>
            <w:vAlign w:val="center"/>
          </w:tcPr>
          <w:p>
            <w:pPr>
              <w:spacing w:line="24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3641" w:type="dxa"/>
            <w:shd w:val="clear" w:color="auto" w:fill="auto"/>
            <w:vAlign w:val="center"/>
          </w:tcPr>
          <w:p>
            <w:pPr>
              <w:spacing w:line="24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名称</w:t>
            </w:r>
          </w:p>
        </w:tc>
        <w:tc>
          <w:tcPr>
            <w:tcW w:w="2062" w:type="dxa"/>
            <w:shd w:val="clear" w:color="auto" w:fill="auto"/>
            <w:vAlign w:val="center"/>
          </w:tcPr>
          <w:p>
            <w:pPr>
              <w:spacing w:line="240" w:lineRule="auto"/>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3641"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制备箱体</w:t>
            </w:r>
          </w:p>
        </w:tc>
        <w:tc>
          <w:tcPr>
            <w:tcW w:w="2062"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sdt>
              <w:sdtPr>
                <w:rPr>
                  <w:rStyle w:val="46"/>
                  <w:rFonts w:hint="eastAsia" w:ascii="仿宋_GB2312" w:hAnsi="仿宋_GB2312" w:eastAsia="仿宋_GB2312" w:cs="仿宋_GB2312"/>
                  <w:color w:val="auto"/>
                  <w:sz w:val="24"/>
                  <w:szCs w:val="24"/>
                  <w:highlight w:val="none"/>
                </w:rPr>
                <w:alias w:val="箱体材质"/>
                <w:tag w:val="箱体材质"/>
                <w:id w:val="5779089"/>
                <w:placeholder>
                  <w:docPart w:val="{51463141-25d1-4888-bd70-e238e023c349}"/>
                </w:placeholder>
                <w:comboBox>
                  <w:listItem w:displayText="PP" w:value="PP"/>
                  <w:listItem w:displayText="SS316" w:value="SS316"/>
                  <w:listItem w:displayText="SS304" w:value="SS304"/>
                </w:comboBox>
              </w:sdtPr>
              <w:sdtEndPr>
                <w:rPr>
                  <w:rStyle w:val="46"/>
                  <w:rFonts w:hint="eastAsia" w:ascii="仿宋_GB2312" w:hAnsi="仿宋_GB2312" w:eastAsia="仿宋_GB2312" w:cs="仿宋_GB2312"/>
                  <w:color w:val="auto"/>
                  <w:sz w:val="24"/>
                  <w:szCs w:val="24"/>
                  <w:highlight w:val="none"/>
                </w:rPr>
              </w:sdtEndPr>
              <w:sdtContent>
                <w:r>
                  <w:rPr>
                    <w:rStyle w:val="46"/>
                    <w:rFonts w:hint="eastAsia" w:ascii="仿宋_GB2312" w:hAnsi="仿宋_GB2312" w:eastAsia="仿宋_GB2312" w:cs="仿宋_GB2312"/>
                    <w:color w:val="auto"/>
                    <w:sz w:val="24"/>
                    <w:szCs w:val="24"/>
                    <w:highlight w:val="none"/>
                  </w:rPr>
                  <w:t>PP</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3641"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熟化箱体</w:t>
            </w:r>
          </w:p>
        </w:tc>
        <w:tc>
          <w:tcPr>
            <w:tcW w:w="2062"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sdt>
              <w:sdtPr>
                <w:rPr>
                  <w:rStyle w:val="46"/>
                  <w:rFonts w:hint="eastAsia" w:ascii="仿宋_GB2312" w:hAnsi="仿宋_GB2312" w:eastAsia="仿宋_GB2312" w:cs="仿宋_GB2312"/>
                  <w:color w:val="auto"/>
                  <w:sz w:val="24"/>
                  <w:szCs w:val="24"/>
                  <w:highlight w:val="none"/>
                </w:rPr>
                <w:alias w:val="箱体材质"/>
                <w:tag w:val="箱体材质"/>
                <w:id w:val="5779092"/>
                <w:placeholder>
                  <w:docPart w:val="{b1b66ddf-943f-4bba-96cb-c15e667ba4e2}"/>
                </w:placeholder>
                <w:comboBox>
                  <w:listItem w:displayText="PP" w:value="PP"/>
                  <w:listItem w:displayText="SS316" w:value="SS316"/>
                  <w:listItem w:displayText="SS304" w:value="SS304"/>
                </w:comboBox>
              </w:sdtPr>
              <w:sdtEndPr>
                <w:rPr>
                  <w:rStyle w:val="46"/>
                  <w:rFonts w:hint="eastAsia" w:ascii="仿宋_GB2312" w:hAnsi="仿宋_GB2312" w:eastAsia="仿宋_GB2312" w:cs="仿宋_GB2312"/>
                  <w:color w:val="auto"/>
                  <w:sz w:val="24"/>
                  <w:szCs w:val="24"/>
                  <w:highlight w:val="none"/>
                </w:rPr>
              </w:sdtEndPr>
              <w:sdtContent>
                <w:r>
                  <w:rPr>
                    <w:rStyle w:val="46"/>
                    <w:rFonts w:hint="eastAsia" w:ascii="仿宋_GB2312" w:hAnsi="仿宋_GB2312" w:eastAsia="仿宋_GB2312" w:cs="仿宋_GB2312"/>
                    <w:color w:val="auto"/>
                    <w:sz w:val="24"/>
                    <w:szCs w:val="24"/>
                    <w:highlight w:val="none"/>
                  </w:rPr>
                  <w:t>PP</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3641"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储存箱体</w:t>
            </w:r>
          </w:p>
        </w:tc>
        <w:tc>
          <w:tcPr>
            <w:tcW w:w="2062"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sdt>
              <w:sdtPr>
                <w:rPr>
                  <w:rStyle w:val="46"/>
                  <w:rFonts w:hint="eastAsia" w:ascii="仿宋_GB2312" w:hAnsi="仿宋_GB2312" w:eastAsia="仿宋_GB2312" w:cs="仿宋_GB2312"/>
                  <w:color w:val="auto"/>
                  <w:sz w:val="24"/>
                  <w:szCs w:val="24"/>
                  <w:highlight w:val="none"/>
                </w:rPr>
                <w:alias w:val="箱体材质"/>
                <w:tag w:val="箱体材质"/>
                <w:id w:val="5779095"/>
                <w:placeholder>
                  <w:docPart w:val="{2469b2a0-aa9d-4418-8af9-2268b58d88a5}"/>
                </w:placeholder>
                <w:comboBox>
                  <w:listItem w:displayText="PP" w:value="PP"/>
                  <w:listItem w:displayText="SS316" w:value="SS316"/>
                  <w:listItem w:displayText="SS304" w:value="SS304"/>
                </w:comboBox>
              </w:sdtPr>
              <w:sdtEndPr>
                <w:rPr>
                  <w:rStyle w:val="46"/>
                  <w:rFonts w:hint="eastAsia" w:ascii="仿宋_GB2312" w:hAnsi="仿宋_GB2312" w:eastAsia="仿宋_GB2312" w:cs="仿宋_GB2312"/>
                  <w:color w:val="auto"/>
                  <w:sz w:val="24"/>
                  <w:szCs w:val="24"/>
                  <w:highlight w:val="none"/>
                </w:rPr>
              </w:sdtEndPr>
              <w:sdtContent>
                <w:r>
                  <w:rPr>
                    <w:rStyle w:val="46"/>
                    <w:rFonts w:hint="eastAsia" w:ascii="仿宋_GB2312" w:hAnsi="仿宋_GB2312" w:eastAsia="仿宋_GB2312" w:cs="仿宋_GB2312"/>
                    <w:color w:val="auto"/>
                    <w:sz w:val="24"/>
                    <w:szCs w:val="24"/>
                    <w:highlight w:val="none"/>
                  </w:rPr>
                  <w:t>PP</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3641"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螺旋给料器</w:t>
            </w:r>
          </w:p>
        </w:tc>
        <w:tc>
          <w:tcPr>
            <w:tcW w:w="2062"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sdt>
              <w:sdtPr>
                <w:rPr>
                  <w:rStyle w:val="46"/>
                  <w:rFonts w:hint="eastAsia" w:ascii="仿宋_GB2312" w:hAnsi="仿宋_GB2312" w:eastAsia="仿宋_GB2312" w:cs="仿宋_GB2312"/>
                  <w:color w:val="auto"/>
                  <w:sz w:val="24"/>
                  <w:szCs w:val="24"/>
                  <w:highlight w:val="none"/>
                </w:rPr>
                <w:alias w:val="箱体材质"/>
                <w:tag w:val="箱体材质"/>
                <w:id w:val="5779099"/>
                <w:placeholder>
                  <w:docPart w:val="{accb72cf-bcbd-4ac9-9abd-80cc0b96a438}"/>
                </w:placeholder>
                <w:comboBox>
                  <w:listItem w:displayText="PP" w:value="PP"/>
                  <w:listItem w:displayText="SS316" w:value="SS316"/>
                  <w:listItem w:displayText="SS304" w:value="SS304"/>
                </w:comboBox>
              </w:sdtPr>
              <w:sdtEndPr>
                <w:rPr>
                  <w:rStyle w:val="46"/>
                  <w:rFonts w:hint="eastAsia" w:ascii="仿宋_GB2312" w:hAnsi="仿宋_GB2312" w:eastAsia="仿宋_GB2312" w:cs="仿宋_GB2312"/>
                  <w:color w:val="auto"/>
                  <w:sz w:val="24"/>
                  <w:szCs w:val="24"/>
                  <w:highlight w:val="none"/>
                </w:rPr>
              </w:sdtEndPr>
              <w:sdtContent>
                <w:r>
                  <w:rPr>
                    <w:rStyle w:val="46"/>
                    <w:rFonts w:hint="eastAsia" w:ascii="仿宋_GB2312" w:hAnsi="仿宋_GB2312" w:eastAsia="仿宋_GB2312" w:cs="仿宋_GB2312"/>
                    <w:color w:val="auto"/>
                    <w:sz w:val="24"/>
                    <w:szCs w:val="24"/>
                    <w:highlight w:val="none"/>
                  </w:rPr>
                  <w:t>SS304</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3641"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进水电磁阀等集成体</w:t>
            </w:r>
          </w:p>
        </w:tc>
        <w:tc>
          <w:tcPr>
            <w:tcW w:w="2062"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黄铜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3641"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进水管材</w:t>
            </w:r>
          </w:p>
        </w:tc>
        <w:tc>
          <w:tcPr>
            <w:tcW w:w="2062"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PVC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3641"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箱体内部及外输管路、阀门</w:t>
            </w:r>
          </w:p>
        </w:tc>
        <w:tc>
          <w:tcPr>
            <w:tcW w:w="2062"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sdt>
              <w:sdtPr>
                <w:rPr>
                  <w:rStyle w:val="46"/>
                  <w:rFonts w:hint="eastAsia" w:ascii="仿宋_GB2312" w:hAnsi="仿宋_GB2312" w:eastAsia="仿宋_GB2312" w:cs="仿宋_GB2312"/>
                  <w:color w:val="auto"/>
                  <w:sz w:val="24"/>
                  <w:szCs w:val="24"/>
                  <w:highlight w:val="none"/>
                </w:rPr>
                <w:alias w:val="箱体材质"/>
                <w:tag w:val="箱体材质"/>
                <w:id w:val="5779105"/>
                <w:placeholder>
                  <w:docPart w:val="{6470d5d4-2267-48f6-a996-c5c703b5db44}"/>
                </w:placeholder>
                <w:comboBox>
                  <w:listItem w:displayText="PP" w:value="PP"/>
                  <w:listItem w:displayText="SS316" w:value="SS316"/>
                  <w:listItem w:displayText="SS304" w:value="SS304"/>
                </w:comboBox>
              </w:sdtPr>
              <w:sdtEndPr>
                <w:rPr>
                  <w:rStyle w:val="46"/>
                  <w:rFonts w:hint="eastAsia" w:ascii="仿宋_GB2312" w:hAnsi="仿宋_GB2312" w:eastAsia="仿宋_GB2312" w:cs="仿宋_GB2312"/>
                  <w:color w:val="auto"/>
                  <w:sz w:val="24"/>
                  <w:szCs w:val="24"/>
                  <w:highlight w:val="none"/>
                </w:rPr>
              </w:sdtEndPr>
              <w:sdtContent>
                <w:r>
                  <w:rPr>
                    <w:rStyle w:val="46"/>
                    <w:rFonts w:hint="eastAsia" w:ascii="仿宋_GB2312" w:hAnsi="仿宋_GB2312" w:eastAsia="仿宋_GB2312" w:cs="仿宋_GB2312"/>
                    <w:color w:val="auto"/>
                    <w:sz w:val="24"/>
                    <w:szCs w:val="24"/>
                    <w:highlight w:val="none"/>
                  </w:rPr>
                  <w:t>PP</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tc>
        <w:tc>
          <w:tcPr>
            <w:tcW w:w="3641"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控制柜箱体</w:t>
            </w:r>
          </w:p>
        </w:tc>
        <w:tc>
          <w:tcPr>
            <w:tcW w:w="2062"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碳钢喷塑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8"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3641"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料斗</w:t>
            </w:r>
          </w:p>
        </w:tc>
        <w:tc>
          <w:tcPr>
            <w:tcW w:w="2062" w:type="dxa"/>
            <w:shd w:val="clear" w:color="auto" w:fill="auto"/>
            <w:vAlign w:val="center"/>
          </w:tcPr>
          <w:p>
            <w:pPr>
              <w:spacing w:line="240" w:lineRule="auto"/>
              <w:jc w:val="center"/>
              <w:rPr>
                <w:rFonts w:hint="eastAsia" w:ascii="仿宋_GB2312" w:hAnsi="仿宋_GB2312" w:eastAsia="仿宋_GB2312" w:cs="仿宋_GB2312"/>
                <w:color w:val="auto"/>
                <w:sz w:val="24"/>
                <w:szCs w:val="24"/>
                <w:highlight w:val="none"/>
              </w:rPr>
            </w:pPr>
            <w:sdt>
              <w:sdtPr>
                <w:rPr>
                  <w:rStyle w:val="46"/>
                  <w:rFonts w:hint="eastAsia" w:ascii="仿宋_GB2312" w:hAnsi="仿宋_GB2312" w:eastAsia="仿宋_GB2312" w:cs="仿宋_GB2312"/>
                  <w:color w:val="auto"/>
                  <w:sz w:val="24"/>
                  <w:szCs w:val="24"/>
                  <w:highlight w:val="none"/>
                </w:rPr>
                <w:alias w:val="箱体材质"/>
                <w:tag w:val="箱体材质"/>
                <w:id w:val="5779108"/>
                <w:placeholder>
                  <w:docPart w:val="{c4a0329b-a414-4874-a0fa-d37b741e5c51}"/>
                </w:placeholder>
                <w:comboBox>
                  <w:listItem w:displayText="PP" w:value="PP"/>
                  <w:listItem w:displayText="SS316" w:value="SS316"/>
                  <w:listItem w:displayText="SS304" w:value="SS304"/>
                </w:comboBox>
              </w:sdtPr>
              <w:sdtEndPr>
                <w:rPr>
                  <w:rStyle w:val="46"/>
                  <w:rFonts w:hint="eastAsia" w:ascii="仿宋_GB2312" w:hAnsi="仿宋_GB2312" w:eastAsia="仿宋_GB2312" w:cs="仿宋_GB2312"/>
                  <w:color w:val="auto"/>
                  <w:sz w:val="24"/>
                  <w:szCs w:val="24"/>
                  <w:highlight w:val="none"/>
                </w:rPr>
              </w:sdtEndPr>
              <w:sdtContent>
                <w:r>
                  <w:rPr>
                    <w:rStyle w:val="46"/>
                    <w:rFonts w:hint="eastAsia" w:ascii="仿宋_GB2312" w:hAnsi="仿宋_GB2312" w:eastAsia="仿宋_GB2312" w:cs="仿宋_GB2312"/>
                    <w:color w:val="auto"/>
                    <w:sz w:val="24"/>
                    <w:szCs w:val="24"/>
                    <w:highlight w:val="none"/>
                  </w:rPr>
                  <w:t>PP</w:t>
                </w:r>
              </w:sdtContent>
            </w:sdt>
          </w:p>
        </w:tc>
      </w:tr>
    </w:tbl>
    <w:p>
      <w:pPr>
        <w:adjustRightInd w:val="0"/>
        <w:snapToGrid w:val="0"/>
        <w:spacing w:line="600" w:lineRule="exact"/>
        <w:jc w:val="both"/>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lang w:val="zh-CN"/>
        </w:rPr>
        <w:t>、项目商务要求</w:t>
      </w:r>
    </w:p>
    <w:p>
      <w:pPr>
        <w:spacing w:line="360" w:lineRule="auto"/>
        <w:ind w:firstLine="560" w:firstLineChars="200"/>
        <w:outlineLvl w:val="3"/>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1、</w:t>
      </w:r>
      <w:r>
        <w:rPr>
          <w:rFonts w:hint="eastAsia" w:ascii="仿宋_GB2312" w:hAnsi="仿宋_GB2312" w:eastAsia="仿宋_GB2312" w:cs="仿宋_GB2312"/>
          <w:color w:val="auto"/>
          <w:kern w:val="2"/>
          <w:sz w:val="28"/>
          <w:szCs w:val="28"/>
          <w:highlight w:val="none"/>
          <w:lang w:val="en-US" w:eastAsia="zh-CN" w:bidi="ar-SA"/>
        </w:rPr>
        <w:t>交货</w:t>
      </w:r>
      <w:r>
        <w:rPr>
          <w:rFonts w:hint="eastAsia" w:ascii="仿宋_GB2312" w:hAnsi="仿宋_GB2312" w:eastAsia="仿宋_GB2312" w:cs="仿宋_GB2312"/>
          <w:color w:val="auto"/>
          <w:kern w:val="2"/>
          <w:sz w:val="28"/>
          <w:szCs w:val="28"/>
          <w:highlight w:val="none"/>
          <w:lang w:val="zh-CN" w:eastAsia="zh-CN" w:bidi="ar-SA"/>
        </w:rPr>
        <w:t>期：合同</w:t>
      </w:r>
      <w:r>
        <w:rPr>
          <w:rFonts w:hint="eastAsia" w:ascii="仿宋_GB2312" w:hAnsi="仿宋_GB2312" w:eastAsia="仿宋_GB2312" w:cs="仿宋_GB2312"/>
          <w:color w:val="auto"/>
          <w:kern w:val="2"/>
          <w:sz w:val="28"/>
          <w:szCs w:val="28"/>
          <w:highlight w:val="none"/>
          <w:lang w:val="en-US" w:eastAsia="zh-CN" w:bidi="ar-SA"/>
        </w:rPr>
        <w:t>签订之日起30</w:t>
      </w:r>
      <w:r>
        <w:rPr>
          <w:rFonts w:hint="eastAsia" w:ascii="仿宋_GB2312" w:hAnsi="仿宋_GB2312" w:eastAsia="仿宋_GB2312" w:cs="仿宋_GB2312"/>
          <w:color w:val="auto"/>
          <w:kern w:val="2"/>
          <w:sz w:val="28"/>
          <w:szCs w:val="28"/>
          <w:highlight w:val="none"/>
          <w:lang w:val="zh-CN" w:eastAsia="zh-CN" w:bidi="ar-SA"/>
        </w:rPr>
        <w:t>天内交货。</w:t>
      </w:r>
    </w:p>
    <w:p>
      <w:pPr>
        <w:spacing w:line="360" w:lineRule="auto"/>
        <w:ind w:firstLine="560" w:firstLineChars="200"/>
        <w:outlineLvl w:val="3"/>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2、质量要求：确保货物为原装未拆封或未使用的产品；货物在质保期(为自供货验收合格之日起1年内）如有质量问题或未能适配原有设备时，报价人必须免费进行更换；本项目采购的备品备件在质保期期间如发生故障，</w:t>
      </w:r>
      <w:r>
        <w:rPr>
          <w:rFonts w:hint="eastAsia" w:ascii="仿宋_GB2312" w:hAnsi="仿宋_GB2312" w:eastAsia="仿宋_GB2312" w:cs="仿宋_GB2312"/>
          <w:color w:val="auto"/>
          <w:kern w:val="2"/>
          <w:sz w:val="28"/>
          <w:szCs w:val="28"/>
          <w:highlight w:val="none"/>
          <w:lang w:val="en-US" w:eastAsia="zh-CN" w:bidi="ar-SA"/>
        </w:rPr>
        <w:t>供应商</w:t>
      </w:r>
      <w:r>
        <w:rPr>
          <w:rFonts w:hint="eastAsia" w:ascii="仿宋_GB2312" w:hAnsi="仿宋_GB2312" w:eastAsia="仿宋_GB2312" w:cs="仿宋_GB2312"/>
          <w:color w:val="auto"/>
          <w:kern w:val="2"/>
          <w:sz w:val="28"/>
          <w:szCs w:val="28"/>
          <w:highlight w:val="none"/>
          <w:lang w:val="zh-CN" w:eastAsia="zh-CN" w:bidi="ar-SA"/>
        </w:rPr>
        <w:t>必须在24小时内到达现场处理。</w:t>
      </w:r>
      <w:r>
        <w:rPr>
          <w:rFonts w:hint="eastAsia" w:ascii="仿宋_GB2312" w:hAnsi="仿宋_GB2312" w:eastAsia="仿宋_GB2312" w:cs="仿宋_GB2312"/>
          <w:color w:val="auto"/>
          <w:kern w:val="2"/>
          <w:sz w:val="28"/>
          <w:szCs w:val="28"/>
          <w:highlight w:val="none"/>
          <w:lang w:val="en-US" w:eastAsia="zh-CN" w:bidi="ar-SA"/>
        </w:rPr>
        <w:t>本项目需要供应商提供不小于2次的现场技术培训，确保猎德分公司至少2名技术员学会，可以独立操作。</w:t>
      </w:r>
    </w:p>
    <w:p>
      <w:pPr>
        <w:spacing w:line="360" w:lineRule="auto"/>
        <w:ind w:firstLine="560" w:firstLineChars="200"/>
        <w:outlineLvl w:val="3"/>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3、总包及分包规定：</w:t>
      </w:r>
    </w:p>
    <w:p>
      <w:pPr>
        <w:spacing w:line="360" w:lineRule="auto"/>
        <w:ind w:firstLine="560" w:firstLineChars="200"/>
        <w:outlineLvl w:val="3"/>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承包单位不许转包，不许擅自分包, 否则，</w:t>
      </w:r>
      <w:r>
        <w:rPr>
          <w:rFonts w:hint="eastAsia" w:ascii="仿宋_GB2312" w:hAnsi="仿宋_GB2312" w:eastAsia="仿宋_GB2312" w:cs="仿宋_GB2312"/>
          <w:color w:val="auto"/>
          <w:kern w:val="2"/>
          <w:sz w:val="28"/>
          <w:szCs w:val="28"/>
          <w:highlight w:val="none"/>
          <w:lang w:val="en-US" w:eastAsia="zh-CN" w:bidi="ar-SA"/>
        </w:rPr>
        <w:t>采购</w:t>
      </w:r>
      <w:r>
        <w:rPr>
          <w:rFonts w:hint="eastAsia" w:ascii="仿宋_GB2312" w:hAnsi="仿宋_GB2312" w:eastAsia="仿宋_GB2312" w:cs="仿宋_GB2312"/>
          <w:color w:val="auto"/>
          <w:kern w:val="2"/>
          <w:sz w:val="28"/>
          <w:szCs w:val="28"/>
          <w:highlight w:val="none"/>
          <w:lang w:val="zh-CN" w:eastAsia="zh-CN" w:bidi="ar-SA"/>
        </w:rPr>
        <w:t>人有权单方面终止合同，并令其立即退场，由此而造成的经济损失由</w:t>
      </w:r>
      <w:r>
        <w:rPr>
          <w:rFonts w:hint="eastAsia" w:ascii="仿宋_GB2312" w:hAnsi="仿宋_GB2312" w:eastAsia="仿宋_GB2312" w:cs="仿宋_GB2312"/>
          <w:color w:val="auto"/>
          <w:kern w:val="2"/>
          <w:sz w:val="28"/>
          <w:szCs w:val="28"/>
          <w:highlight w:val="none"/>
          <w:lang w:val="en-US" w:eastAsia="zh-CN" w:bidi="ar-SA"/>
        </w:rPr>
        <w:t>供应商</w:t>
      </w:r>
      <w:r>
        <w:rPr>
          <w:rFonts w:hint="eastAsia" w:ascii="仿宋_GB2312" w:hAnsi="仿宋_GB2312" w:eastAsia="仿宋_GB2312" w:cs="仿宋_GB2312"/>
          <w:color w:val="auto"/>
          <w:kern w:val="2"/>
          <w:sz w:val="28"/>
          <w:szCs w:val="28"/>
          <w:highlight w:val="none"/>
          <w:lang w:val="zh-CN" w:eastAsia="zh-CN" w:bidi="ar-SA"/>
        </w:rPr>
        <w:t>负责赔偿。</w:t>
      </w:r>
    </w:p>
    <w:p>
      <w:pPr>
        <w:spacing w:line="360" w:lineRule="auto"/>
        <w:ind w:firstLine="560" w:firstLineChars="200"/>
        <w:outlineLvl w:val="3"/>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4、采购人将自承包人履行完合同义务之日起20天内组织验收，验收要求、验收标准及方法如下：</w:t>
      </w:r>
    </w:p>
    <w:p>
      <w:pPr>
        <w:spacing w:line="360" w:lineRule="auto"/>
        <w:ind w:firstLine="560" w:firstLineChars="200"/>
        <w:outlineLvl w:val="3"/>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1</w:t>
      </w:r>
      <w:r>
        <w:rPr>
          <w:rFonts w:hint="eastAsia" w:ascii="仿宋_GB2312" w:hAnsi="仿宋_GB2312" w:eastAsia="仿宋_GB2312" w:cs="仿宋_GB2312"/>
          <w:color w:val="auto"/>
          <w:kern w:val="2"/>
          <w:sz w:val="28"/>
          <w:szCs w:val="28"/>
          <w:highlight w:val="none"/>
          <w:lang w:val="zh-CN" w:eastAsia="zh-CN" w:bidi="ar-SA"/>
        </w:rPr>
        <w:t>）验收依据：</w:t>
      </w:r>
      <w:r>
        <w:rPr>
          <w:rFonts w:hint="eastAsia" w:ascii="仿宋_GB2312" w:hAnsi="仿宋_GB2312" w:eastAsia="仿宋_GB2312" w:cs="仿宋_GB2312"/>
          <w:color w:val="auto"/>
          <w:kern w:val="2"/>
          <w:sz w:val="28"/>
          <w:szCs w:val="28"/>
          <w:highlight w:val="none"/>
          <w:lang w:val="en-US" w:eastAsia="zh-CN" w:bidi="ar-SA"/>
        </w:rPr>
        <w:t>采购</w:t>
      </w:r>
      <w:r>
        <w:rPr>
          <w:rFonts w:hint="eastAsia" w:ascii="仿宋_GB2312" w:hAnsi="仿宋_GB2312" w:eastAsia="仿宋_GB2312" w:cs="仿宋_GB2312"/>
          <w:color w:val="auto"/>
          <w:kern w:val="2"/>
          <w:sz w:val="28"/>
          <w:szCs w:val="28"/>
          <w:highlight w:val="none"/>
          <w:lang w:val="zh-CN" w:eastAsia="zh-CN" w:bidi="ar-SA"/>
        </w:rPr>
        <w:t>文件、响应文件、</w:t>
      </w:r>
      <w:r>
        <w:rPr>
          <w:rFonts w:hint="eastAsia" w:ascii="仿宋_GB2312" w:hAnsi="仿宋_GB2312" w:eastAsia="仿宋_GB2312" w:cs="仿宋_GB2312"/>
          <w:color w:val="auto"/>
          <w:kern w:val="2"/>
          <w:sz w:val="28"/>
          <w:szCs w:val="28"/>
          <w:highlight w:val="none"/>
          <w:lang w:val="en-US" w:eastAsia="zh-CN" w:bidi="ar-SA"/>
        </w:rPr>
        <w:t>厂家货物技术标准说明及国家有关的质量标准规定</w:t>
      </w:r>
      <w:r>
        <w:rPr>
          <w:rFonts w:hint="eastAsia" w:ascii="仿宋_GB2312" w:hAnsi="仿宋_GB2312" w:eastAsia="仿宋_GB2312" w:cs="仿宋_GB2312"/>
          <w:color w:val="auto"/>
          <w:kern w:val="2"/>
          <w:sz w:val="28"/>
          <w:szCs w:val="28"/>
          <w:highlight w:val="none"/>
          <w:lang w:val="zh-CN" w:eastAsia="zh-CN" w:bidi="ar-SA"/>
        </w:rPr>
        <w:t>，均为验收依据。</w:t>
      </w:r>
    </w:p>
    <w:p>
      <w:pPr>
        <w:spacing w:line="360" w:lineRule="auto"/>
        <w:ind w:firstLine="560" w:firstLineChars="200"/>
        <w:outlineLvl w:val="3"/>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2</w:t>
      </w: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供应商</w:t>
      </w:r>
      <w:r>
        <w:rPr>
          <w:rFonts w:hint="eastAsia" w:ascii="仿宋_GB2312" w:hAnsi="仿宋_GB2312" w:eastAsia="仿宋_GB2312" w:cs="仿宋_GB2312"/>
          <w:color w:val="auto"/>
          <w:kern w:val="2"/>
          <w:sz w:val="28"/>
          <w:szCs w:val="28"/>
          <w:highlight w:val="none"/>
          <w:lang w:val="zh-CN" w:eastAsia="zh-CN" w:bidi="ar-SA"/>
        </w:rPr>
        <w:t>根据要求进行</w:t>
      </w:r>
      <w:r>
        <w:rPr>
          <w:rFonts w:hint="eastAsia" w:ascii="仿宋_GB2312" w:hAnsi="仿宋_GB2312" w:eastAsia="仿宋_GB2312" w:cs="仿宋_GB2312"/>
          <w:color w:val="auto"/>
          <w:kern w:val="2"/>
          <w:sz w:val="28"/>
          <w:szCs w:val="28"/>
          <w:highlight w:val="none"/>
          <w:lang w:val="en-US" w:eastAsia="zh-CN" w:bidi="ar-SA"/>
        </w:rPr>
        <w:t>旧设备的拆除、清运，及新</w:t>
      </w:r>
      <w:r>
        <w:rPr>
          <w:rFonts w:hint="eastAsia" w:ascii="仿宋_GB2312" w:hAnsi="仿宋_GB2312" w:eastAsia="仿宋_GB2312" w:cs="仿宋_GB2312"/>
          <w:color w:val="auto"/>
          <w:kern w:val="2"/>
          <w:sz w:val="28"/>
          <w:szCs w:val="28"/>
          <w:highlight w:val="none"/>
          <w:lang w:val="zh-CN" w:eastAsia="zh-CN" w:bidi="ar-SA"/>
        </w:rPr>
        <w:t>设备的安装、调试、测试后，由</w:t>
      </w:r>
      <w:r>
        <w:rPr>
          <w:rFonts w:hint="eastAsia" w:ascii="仿宋_GB2312" w:hAnsi="仿宋_GB2312" w:eastAsia="仿宋_GB2312" w:cs="仿宋_GB2312"/>
          <w:color w:val="auto"/>
          <w:kern w:val="2"/>
          <w:sz w:val="28"/>
          <w:szCs w:val="28"/>
          <w:highlight w:val="none"/>
          <w:lang w:val="en-US" w:eastAsia="zh-CN" w:bidi="ar-SA"/>
        </w:rPr>
        <w:t>采购</w:t>
      </w:r>
      <w:r>
        <w:rPr>
          <w:rFonts w:hint="eastAsia" w:ascii="仿宋_GB2312" w:hAnsi="仿宋_GB2312" w:eastAsia="仿宋_GB2312" w:cs="仿宋_GB2312"/>
          <w:color w:val="auto"/>
          <w:kern w:val="2"/>
          <w:sz w:val="28"/>
          <w:szCs w:val="28"/>
          <w:highlight w:val="none"/>
          <w:lang w:val="zh-CN" w:eastAsia="zh-CN" w:bidi="ar-SA"/>
        </w:rPr>
        <w:t>人或政府相关部门进行使用性能方面的验收。</w:t>
      </w:r>
    </w:p>
    <w:p>
      <w:pPr>
        <w:spacing w:line="360" w:lineRule="auto"/>
        <w:ind w:firstLine="560" w:firstLineChars="200"/>
        <w:outlineLvl w:val="3"/>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3</w:t>
      </w: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采购</w:t>
      </w:r>
      <w:r>
        <w:rPr>
          <w:rFonts w:hint="eastAsia" w:ascii="仿宋_GB2312" w:hAnsi="仿宋_GB2312" w:eastAsia="仿宋_GB2312" w:cs="仿宋_GB2312"/>
          <w:color w:val="auto"/>
          <w:kern w:val="2"/>
          <w:sz w:val="28"/>
          <w:szCs w:val="28"/>
          <w:highlight w:val="none"/>
          <w:lang w:val="zh-CN" w:eastAsia="zh-CN" w:bidi="ar-SA"/>
        </w:rPr>
        <w:t>人有权委托我国相关具有检验资质的部门、单位、机构针对维修后设备的精度、性能进行检验。其检验结果将作为验收标准的组成部分之一。</w:t>
      </w:r>
    </w:p>
    <w:p>
      <w:pPr>
        <w:spacing w:line="360" w:lineRule="auto"/>
        <w:ind w:firstLine="560" w:firstLineChars="200"/>
        <w:outlineLvl w:val="3"/>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4</w:t>
      </w:r>
      <w:r>
        <w:rPr>
          <w:rFonts w:hint="eastAsia" w:ascii="仿宋_GB2312" w:hAnsi="仿宋_GB2312" w:eastAsia="仿宋_GB2312" w:cs="仿宋_GB2312"/>
          <w:color w:val="auto"/>
          <w:kern w:val="2"/>
          <w:sz w:val="28"/>
          <w:szCs w:val="28"/>
          <w:highlight w:val="none"/>
          <w:lang w:val="zh-CN" w:eastAsia="zh-CN" w:bidi="ar-SA"/>
        </w:rPr>
        <w:t>）验收时</w:t>
      </w:r>
      <w:r>
        <w:rPr>
          <w:rFonts w:hint="eastAsia" w:ascii="仿宋_GB2312" w:hAnsi="仿宋_GB2312" w:eastAsia="仿宋_GB2312" w:cs="仿宋_GB2312"/>
          <w:color w:val="auto"/>
          <w:kern w:val="2"/>
          <w:sz w:val="28"/>
          <w:szCs w:val="28"/>
          <w:highlight w:val="none"/>
          <w:lang w:val="en-US" w:eastAsia="zh-CN" w:bidi="ar-SA"/>
        </w:rPr>
        <w:t>供应商</w:t>
      </w:r>
      <w:r>
        <w:rPr>
          <w:rFonts w:hint="eastAsia" w:ascii="仿宋_GB2312" w:hAnsi="仿宋_GB2312" w:eastAsia="仿宋_GB2312" w:cs="仿宋_GB2312"/>
          <w:color w:val="auto"/>
          <w:kern w:val="2"/>
          <w:sz w:val="28"/>
          <w:szCs w:val="28"/>
          <w:highlight w:val="none"/>
          <w:lang w:val="zh-CN" w:eastAsia="zh-CN" w:bidi="ar-SA"/>
        </w:rPr>
        <w:t>必须派代表参加。</w:t>
      </w:r>
    </w:p>
    <w:p>
      <w:pPr>
        <w:spacing w:line="360" w:lineRule="auto"/>
        <w:ind w:firstLine="560" w:firstLineChars="200"/>
        <w:outlineLvl w:val="3"/>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zh-CN" w:eastAsia="zh-CN" w:bidi="ar-SA"/>
        </w:rPr>
        <w:t>（</w:t>
      </w:r>
      <w:r>
        <w:rPr>
          <w:rFonts w:hint="eastAsia" w:ascii="仿宋_GB2312" w:hAnsi="仿宋_GB2312" w:eastAsia="仿宋_GB2312" w:cs="仿宋_GB2312"/>
          <w:color w:val="auto"/>
          <w:kern w:val="2"/>
          <w:sz w:val="28"/>
          <w:szCs w:val="28"/>
          <w:highlight w:val="none"/>
          <w:lang w:val="en-US" w:eastAsia="zh-CN" w:bidi="ar-SA"/>
        </w:rPr>
        <w:t>5</w:t>
      </w:r>
      <w:r>
        <w:rPr>
          <w:rFonts w:hint="eastAsia" w:ascii="仿宋_GB2312" w:hAnsi="仿宋_GB2312" w:eastAsia="仿宋_GB2312" w:cs="仿宋_GB2312"/>
          <w:color w:val="auto"/>
          <w:kern w:val="2"/>
          <w:sz w:val="28"/>
          <w:szCs w:val="28"/>
          <w:highlight w:val="none"/>
          <w:lang w:val="zh-CN" w:eastAsia="zh-CN" w:bidi="ar-SA"/>
        </w:rPr>
        <w:t>）验收过程所发生的一切费用由</w:t>
      </w:r>
      <w:r>
        <w:rPr>
          <w:rFonts w:hint="eastAsia" w:ascii="仿宋_GB2312" w:hAnsi="仿宋_GB2312" w:eastAsia="仿宋_GB2312" w:cs="仿宋_GB2312"/>
          <w:color w:val="auto"/>
          <w:kern w:val="2"/>
          <w:sz w:val="28"/>
          <w:szCs w:val="28"/>
          <w:highlight w:val="none"/>
          <w:lang w:val="en-US" w:eastAsia="zh-CN" w:bidi="ar-SA"/>
        </w:rPr>
        <w:t>供应商</w:t>
      </w:r>
      <w:r>
        <w:rPr>
          <w:rFonts w:hint="eastAsia" w:ascii="仿宋_GB2312" w:hAnsi="仿宋_GB2312" w:eastAsia="仿宋_GB2312" w:cs="仿宋_GB2312"/>
          <w:color w:val="auto"/>
          <w:kern w:val="2"/>
          <w:sz w:val="28"/>
          <w:szCs w:val="28"/>
          <w:highlight w:val="none"/>
          <w:lang w:val="zh-CN" w:eastAsia="zh-CN" w:bidi="ar-SA"/>
        </w:rPr>
        <w:t>承担。</w:t>
      </w:r>
    </w:p>
    <w:p>
      <w:pPr>
        <w:spacing w:line="360" w:lineRule="auto"/>
        <w:ind w:firstLine="560" w:firstLineChars="200"/>
        <w:outlineLvl w:val="3"/>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5、承包方式：</w:t>
      </w:r>
      <w:r>
        <w:rPr>
          <w:rFonts w:hint="eastAsia" w:ascii="仿宋_GB2312" w:hAnsi="仿宋_GB2312" w:eastAsia="仿宋_GB2312" w:cs="仿宋_GB2312"/>
          <w:color w:val="auto"/>
          <w:kern w:val="2"/>
          <w:sz w:val="28"/>
          <w:szCs w:val="28"/>
          <w:highlight w:val="none"/>
          <w:lang w:val="zh-CN" w:eastAsia="zh-CN" w:bidi="ar-SA"/>
        </w:rPr>
        <w:t>单价</w:t>
      </w:r>
      <w:r>
        <w:rPr>
          <w:rFonts w:hint="eastAsia" w:ascii="仿宋_GB2312" w:hAnsi="仿宋_GB2312" w:eastAsia="仿宋_GB2312" w:cs="仿宋_GB2312"/>
          <w:color w:val="auto"/>
          <w:kern w:val="2"/>
          <w:sz w:val="28"/>
          <w:szCs w:val="28"/>
          <w:highlight w:val="none"/>
          <w:lang w:val="en-US" w:eastAsia="zh-CN" w:bidi="ar-SA"/>
        </w:rPr>
        <w:t>包干。</w:t>
      </w:r>
    </w:p>
    <w:p>
      <w:pPr>
        <w:pStyle w:val="2"/>
        <w:ind w:firstLine="560" w:firstLineChars="200"/>
        <w:rPr>
          <w:rFonts w:hint="default"/>
          <w:color w:val="auto"/>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6、</w:t>
      </w:r>
      <w:r>
        <w:rPr>
          <w:rFonts w:hint="eastAsia" w:ascii="仿宋_GB2312" w:eastAsia="仿宋_GB2312"/>
          <w:color w:val="auto"/>
          <w:sz w:val="28"/>
          <w:szCs w:val="28"/>
          <w:highlight w:val="none"/>
          <w:u w:val="none"/>
        </w:rPr>
        <w:t>报价包括：</w:t>
      </w:r>
      <w:r>
        <w:rPr>
          <w:rFonts w:hint="eastAsia" w:ascii="仿宋_GB2312" w:eastAsia="仿宋_GB2312"/>
          <w:color w:val="auto"/>
          <w:sz w:val="28"/>
          <w:szCs w:val="28"/>
          <w:highlight w:val="none"/>
          <w:u w:val="none"/>
          <w:lang w:val="en-US" w:eastAsia="zh-CN"/>
        </w:rPr>
        <w:t>原三箱式干粉配制和投加装置的拆除费、搬运费、清运废弃物等费用，</w:t>
      </w:r>
      <w:r>
        <w:rPr>
          <w:rFonts w:hint="eastAsia" w:ascii="仿宋_GB2312" w:eastAsia="仿宋_GB2312"/>
          <w:color w:val="auto"/>
          <w:sz w:val="28"/>
          <w:szCs w:val="28"/>
          <w:highlight w:val="none"/>
          <w:u w:val="none"/>
        </w:rPr>
        <w:t>运至合同指定地点的货物、搬运费、运输费、卸装费、保险费、安装调试费、验收、人力成本等一切费用，采购人不再支付任何费用。质保期为</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rPr>
        <w:t>年，按照设备出厂标准保修。</w:t>
      </w:r>
    </w:p>
    <w:bookmarkEnd w:id="60"/>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4"/>
        <w:rPr>
          <w:color w:val="auto"/>
          <w:highlight w:val="none"/>
        </w:rPr>
      </w:pPr>
      <w:bookmarkStart w:id="62" w:name="_Toc15570"/>
      <w:bookmarkStart w:id="63" w:name="_Toc537"/>
      <w:bookmarkStart w:id="64" w:name="_Toc29835"/>
      <w:bookmarkStart w:id="65" w:name="_Toc4680"/>
      <w:bookmarkStart w:id="66" w:name="_Toc25925"/>
      <w:bookmarkStart w:id="67" w:name="_Toc1496"/>
      <w:bookmarkStart w:id="68" w:name="_Toc18538"/>
      <w:bookmarkStart w:id="69" w:name="_Toc12135"/>
      <w:bookmarkStart w:id="70" w:name="_Toc23330"/>
      <w:bookmarkStart w:id="71" w:name="_Toc23353"/>
      <w:bookmarkStart w:id="72" w:name="_Toc1284"/>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2"/>
      <w:bookmarkEnd w:id="63"/>
      <w:bookmarkEnd w:id="64"/>
      <w:bookmarkEnd w:id="65"/>
      <w:bookmarkEnd w:id="66"/>
      <w:bookmarkEnd w:id="67"/>
      <w:bookmarkEnd w:id="68"/>
      <w:bookmarkEnd w:id="69"/>
      <w:bookmarkEnd w:id="70"/>
      <w:bookmarkEnd w:id="71"/>
      <w:bookmarkEnd w:id="72"/>
    </w:p>
    <w:p>
      <w:pPr>
        <w:pStyle w:val="34"/>
        <w:rPr>
          <w:color w:val="auto"/>
          <w:highlight w:val="none"/>
        </w:rPr>
      </w:pPr>
    </w:p>
    <w:p>
      <w:pPr>
        <w:pStyle w:val="4"/>
        <w:rPr>
          <w:color w:val="auto"/>
          <w:highlight w:val="none"/>
        </w:rPr>
      </w:pPr>
      <w:bookmarkStart w:id="73" w:name="_Toc12968"/>
      <w:bookmarkStart w:id="74" w:name="_Toc19088"/>
      <w:bookmarkStart w:id="75" w:name="_Toc88209949"/>
      <w:bookmarkStart w:id="76" w:name="_Toc22797"/>
      <w:bookmarkStart w:id="77" w:name="_Toc12721"/>
      <w:bookmarkStart w:id="78" w:name="_Toc19686"/>
      <w:bookmarkStart w:id="79" w:name="_Toc12980"/>
      <w:bookmarkStart w:id="80" w:name="_Toc8183"/>
      <w:bookmarkStart w:id="81" w:name="_Toc87616386"/>
      <w:bookmarkStart w:id="82" w:name="_Toc13309"/>
      <w:bookmarkStart w:id="83" w:name="_Toc1375"/>
      <w:bookmarkStart w:id="84" w:name="_Toc323"/>
      <w:bookmarkStart w:id="85" w:name="_Toc22501"/>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spacing w:after="0" w:line="240" w:lineRule="auto"/>
        <w:jc w:val="right"/>
        <w:rPr>
          <w:rFonts w:hint="eastAsia" w:ascii="宋体" w:hAnsi="宋体"/>
          <w:b/>
          <w:color w:val="auto"/>
          <w:sz w:val="28"/>
          <w:szCs w:val="28"/>
          <w:highlight w:val="none"/>
        </w:rPr>
      </w:pPr>
    </w:p>
    <w:p>
      <w:pPr>
        <w:spacing w:after="0" w:line="240" w:lineRule="auto"/>
        <w:jc w:val="right"/>
        <w:rPr>
          <w:rFonts w:hint="eastAsia" w:ascii="宋体" w:hAnsi="宋体"/>
          <w:b/>
          <w:color w:val="auto"/>
          <w:sz w:val="28"/>
          <w:szCs w:val="28"/>
          <w:highlight w:val="none"/>
        </w:rPr>
      </w:pPr>
    </w:p>
    <w:p>
      <w:pPr>
        <w:spacing w:after="0" w:line="240" w:lineRule="auto"/>
        <w:jc w:val="right"/>
        <w:rPr>
          <w:rFonts w:hint="eastAsia" w:ascii="宋体" w:hAnsi="宋体"/>
          <w:b/>
          <w:color w:val="auto"/>
          <w:sz w:val="28"/>
          <w:szCs w:val="28"/>
          <w:highlight w:val="none"/>
        </w:rPr>
      </w:pPr>
    </w:p>
    <w:p>
      <w:pPr>
        <w:spacing w:after="0" w:line="240" w:lineRule="auto"/>
        <w:jc w:val="right"/>
        <w:rPr>
          <w:rFonts w:hint="eastAsia" w:ascii="宋体" w:hAnsi="宋体"/>
          <w:b/>
          <w:color w:val="auto"/>
          <w:sz w:val="28"/>
          <w:szCs w:val="28"/>
          <w:highlight w:val="none"/>
        </w:rPr>
      </w:pPr>
    </w:p>
    <w:p>
      <w:pPr>
        <w:spacing w:after="0" w:line="240" w:lineRule="auto"/>
        <w:jc w:val="right"/>
        <w:rPr>
          <w:rFonts w:hint="eastAsia" w:ascii="宋体" w:hAnsi="宋体"/>
          <w:b/>
          <w:color w:val="auto"/>
          <w:sz w:val="28"/>
          <w:szCs w:val="28"/>
          <w:highlight w:val="none"/>
        </w:rPr>
      </w:pPr>
    </w:p>
    <w:p>
      <w:pPr>
        <w:jc w:val="center"/>
        <w:rPr>
          <w:rFonts w:hint="eastAsia"/>
          <w:b/>
          <w:color w:val="auto"/>
          <w:sz w:val="48"/>
          <w:szCs w:val="48"/>
          <w:highlight w:val="none"/>
        </w:rPr>
      </w:pPr>
    </w:p>
    <w:p>
      <w:pPr>
        <w:spacing w:after="0" w:line="240" w:lineRule="auto"/>
        <w:jc w:val="right"/>
        <w:rPr>
          <w:b/>
          <w:color w:val="auto"/>
          <w:sz w:val="52"/>
          <w:szCs w:val="84"/>
          <w:highlight w:val="none"/>
        </w:rPr>
      </w:pPr>
      <w:r>
        <w:rPr>
          <w:rFonts w:hint="eastAsia" w:ascii="宋体" w:hAnsi="宋体"/>
          <w:b/>
          <w:color w:val="auto"/>
          <w:sz w:val="28"/>
          <w:szCs w:val="28"/>
          <w:highlight w:val="none"/>
        </w:rPr>
        <w:t xml:space="preserve">                                      </w:t>
      </w:r>
    </w:p>
    <w:p>
      <w:pPr>
        <w:jc w:val="center"/>
        <w:rPr>
          <w:rFonts w:hint="eastAsia"/>
          <w:b/>
          <w:color w:val="auto"/>
          <w:sz w:val="48"/>
          <w:szCs w:val="48"/>
          <w:highlight w:val="none"/>
        </w:rPr>
      </w:pP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rFonts w:hint="eastAsia"/>
          <w:bCs/>
          <w:color w:val="auto"/>
          <w:sz w:val="28"/>
          <w:szCs w:val="28"/>
          <w:highlight w:val="none"/>
          <w:lang w:val="en-US" w:eastAsia="zh-CN"/>
        </w:rPr>
      </w:pPr>
    </w:p>
    <w:p>
      <w:pPr>
        <w:jc w:val="center"/>
        <w:rPr>
          <w:rFonts w:hint="eastAsia"/>
          <w:bCs/>
          <w:color w:val="auto"/>
          <w:sz w:val="28"/>
          <w:szCs w:val="28"/>
          <w:highlight w:val="none"/>
          <w:lang w:val="en-US" w:eastAsia="zh-CN"/>
        </w:rPr>
      </w:pPr>
      <w:r>
        <w:rPr>
          <w:rFonts w:hint="eastAsia"/>
          <w:bCs/>
          <w:color w:val="auto"/>
          <w:sz w:val="28"/>
          <w:szCs w:val="28"/>
          <w:highlight w:val="none"/>
          <w:lang w:val="en-US" w:eastAsia="zh-CN"/>
        </w:rPr>
        <w:t xml:space="preserve">   </w:t>
      </w:r>
    </w:p>
    <w:p>
      <w:pPr>
        <w:pStyle w:val="21"/>
        <w:rPr>
          <w:rFonts w:hint="default"/>
          <w:color w:val="auto"/>
          <w:highlight w:val="none"/>
          <w:lang w:val="en-US" w:eastAsia="zh-CN"/>
        </w:rPr>
      </w:pPr>
    </w:p>
    <w:p>
      <w:pPr>
        <w:widowControl/>
        <w:spacing w:after="160" w:line="480" w:lineRule="auto"/>
        <w:jc w:val="left"/>
        <w:rPr>
          <w:rFonts w:hint="eastAsia" w:ascii="Calibri" w:hAnsi="Calibri" w:eastAsia="宋体" w:cs="Calibri"/>
          <w:color w:val="auto"/>
          <w:sz w:val="32"/>
          <w:szCs w:val="32"/>
          <w:highlight w:val="none"/>
          <w:lang w:val="en-US" w:eastAsia="zh-CN"/>
        </w:rPr>
      </w:pPr>
      <w:r>
        <w:rPr>
          <w:rFonts w:hint="eastAsia" w:ascii="Calibri" w:hAnsi="Calibri" w:eastAsia="宋体" w:cs="Calibri"/>
          <w:color w:val="auto"/>
          <w:sz w:val="32"/>
          <w:szCs w:val="32"/>
          <w:highlight w:val="none"/>
        </w:rPr>
        <w:t>项目名称：</w:t>
      </w:r>
      <w:r>
        <w:rPr>
          <w:rFonts w:hint="eastAsia" w:ascii="Calibri" w:hAnsi="Calibri" w:eastAsia="宋体" w:cs="Calibri"/>
          <w:color w:val="auto"/>
          <w:sz w:val="32"/>
          <w:szCs w:val="32"/>
          <w:highlight w:val="none"/>
          <w:lang w:val="en-US" w:eastAsia="zh-CN"/>
        </w:rPr>
        <w:t>猎德分公司2024年储泥池加药机采购项目</w:t>
      </w:r>
    </w:p>
    <w:p>
      <w:pPr>
        <w:widowControl/>
        <w:spacing w:after="160" w:line="480" w:lineRule="auto"/>
        <w:jc w:val="left"/>
        <w:rPr>
          <w:rFonts w:hint="eastAsia" w:ascii="Calibri" w:hAnsi="Calibri" w:eastAsia="宋体" w:cs="Calibri"/>
          <w:color w:val="auto"/>
          <w:sz w:val="32"/>
          <w:szCs w:val="32"/>
          <w:highlight w:val="none"/>
          <w:lang w:val="en-US" w:eastAsia="zh-CN"/>
        </w:rPr>
      </w:pPr>
      <w:r>
        <w:rPr>
          <w:rFonts w:hint="eastAsia" w:ascii="Calibri" w:hAnsi="Calibri" w:eastAsia="宋体" w:cs="Calibri"/>
          <w:color w:val="auto"/>
          <w:sz w:val="32"/>
          <w:szCs w:val="32"/>
          <w:highlight w:val="none"/>
          <w:lang w:val="en-US" w:eastAsia="zh-CN"/>
        </w:rPr>
        <w:t>项目编号：05012024000024</w:t>
      </w:r>
    </w:p>
    <w:p>
      <w:pPr>
        <w:widowControl/>
        <w:spacing w:after="160" w:line="480" w:lineRule="auto"/>
        <w:jc w:val="left"/>
        <w:rPr>
          <w:rFonts w:hint="eastAsia" w:ascii="Calibri" w:hAnsi="Calibri" w:eastAsia="宋体" w:cs="Calibri"/>
          <w:color w:val="auto"/>
          <w:sz w:val="32"/>
          <w:szCs w:val="32"/>
          <w:highlight w:val="none"/>
          <w:lang w:val="en-US" w:eastAsia="zh-CN"/>
        </w:rPr>
      </w:pPr>
    </w:p>
    <w:p>
      <w:pPr>
        <w:widowControl/>
        <w:spacing w:after="160" w:line="480" w:lineRule="auto"/>
        <w:jc w:val="left"/>
        <w:rPr>
          <w:rFonts w:hint="eastAsia" w:ascii="Calibri" w:hAnsi="Calibri" w:eastAsia="宋体" w:cs="Calibri"/>
          <w:color w:val="auto"/>
          <w:sz w:val="32"/>
          <w:szCs w:val="32"/>
          <w:highlight w:val="none"/>
        </w:rPr>
      </w:pPr>
      <w:r>
        <w:rPr>
          <w:rFonts w:hint="eastAsia" w:ascii="Calibri" w:hAnsi="Calibri" w:eastAsia="宋体" w:cs="Calibri"/>
          <w:color w:val="auto"/>
          <w:sz w:val="32"/>
          <w:szCs w:val="32"/>
          <w:highlight w:val="none"/>
        </w:rPr>
        <w:t>合同编号：穗净水合〔</w:t>
      </w:r>
      <w:r>
        <w:rPr>
          <w:rFonts w:hint="eastAsia" w:ascii="Calibri" w:hAnsi="Calibri" w:eastAsia="宋体" w:cs="Calibri"/>
          <w:color w:val="auto"/>
          <w:sz w:val="32"/>
          <w:szCs w:val="32"/>
          <w:highlight w:val="none"/>
          <w:lang w:val="en-US" w:eastAsia="zh-CN"/>
        </w:rPr>
        <w:t xml:space="preserve">      </w:t>
      </w:r>
      <w:r>
        <w:rPr>
          <w:rFonts w:hint="eastAsia" w:ascii="Calibri" w:hAnsi="Calibri" w:eastAsia="宋体" w:cs="Calibri"/>
          <w:color w:val="auto"/>
          <w:sz w:val="32"/>
          <w:szCs w:val="32"/>
          <w:highlight w:val="none"/>
        </w:rPr>
        <w:t>〕</w:t>
      </w:r>
      <w:r>
        <w:rPr>
          <w:rFonts w:hint="eastAsia" w:ascii="Calibri" w:hAnsi="Calibri" w:eastAsia="宋体" w:cs="Calibri"/>
          <w:color w:val="auto"/>
          <w:sz w:val="32"/>
          <w:szCs w:val="32"/>
          <w:highlight w:val="none"/>
          <w:lang w:val="en-US" w:eastAsia="zh-CN"/>
        </w:rPr>
        <w:t xml:space="preserve">  </w:t>
      </w:r>
      <w:r>
        <w:rPr>
          <w:rFonts w:hint="eastAsia" w:ascii="Calibri" w:hAnsi="Calibri" w:eastAsia="宋体" w:cs="Calibri"/>
          <w:color w:val="auto"/>
          <w:sz w:val="32"/>
          <w:szCs w:val="32"/>
          <w:highlight w:val="none"/>
        </w:rPr>
        <w:t xml:space="preserve">  号</w:t>
      </w:r>
    </w:p>
    <w:p>
      <w:pPr>
        <w:widowControl/>
        <w:spacing w:after="160" w:line="480" w:lineRule="auto"/>
        <w:jc w:val="left"/>
        <w:rPr>
          <w:rFonts w:hint="eastAsia" w:ascii="Calibri" w:hAnsi="Calibri" w:eastAsia="宋体" w:cs="Calibri"/>
          <w:color w:val="auto"/>
          <w:sz w:val="32"/>
          <w:szCs w:val="32"/>
          <w:highlight w:val="none"/>
        </w:rPr>
      </w:pPr>
    </w:p>
    <w:p>
      <w:pPr>
        <w:widowControl/>
        <w:spacing w:after="160" w:line="480" w:lineRule="auto"/>
        <w:jc w:val="left"/>
        <w:rPr>
          <w:rFonts w:hint="eastAsia" w:ascii="Calibri" w:hAnsi="Calibri" w:eastAsia="宋体" w:cs="Calibri"/>
          <w:color w:val="auto"/>
          <w:sz w:val="32"/>
          <w:szCs w:val="32"/>
          <w:highlight w:val="none"/>
        </w:rPr>
      </w:pPr>
      <w:r>
        <w:rPr>
          <w:rFonts w:hint="eastAsia" w:ascii="Calibri" w:hAnsi="Calibri" w:eastAsia="宋体" w:cs="Calibri"/>
          <w:color w:val="auto"/>
          <w:sz w:val="32"/>
          <w:szCs w:val="32"/>
          <w:highlight w:val="none"/>
        </w:rPr>
        <w:t>甲方（买方）：广州市净水有限公司</w:t>
      </w:r>
    </w:p>
    <w:p>
      <w:pPr>
        <w:widowControl/>
        <w:spacing w:after="160" w:line="480" w:lineRule="auto"/>
        <w:jc w:val="left"/>
        <w:rPr>
          <w:rFonts w:hint="eastAsia" w:ascii="Calibri" w:hAnsi="Calibri" w:eastAsia="宋体" w:cs="Calibri"/>
          <w:color w:val="auto"/>
          <w:sz w:val="32"/>
          <w:szCs w:val="32"/>
          <w:highlight w:val="none"/>
        </w:rPr>
      </w:pPr>
      <w:r>
        <w:rPr>
          <w:rFonts w:hint="eastAsia" w:ascii="Calibri" w:hAnsi="Calibri" w:eastAsia="宋体" w:cs="Calibri"/>
          <w:color w:val="auto"/>
          <w:sz w:val="32"/>
          <w:szCs w:val="32"/>
          <w:highlight w:val="none"/>
        </w:rPr>
        <w:t xml:space="preserve">乙方（卖方）：                        </w:t>
      </w:r>
    </w:p>
    <w:p>
      <w:pPr>
        <w:widowControl/>
        <w:spacing w:after="160" w:line="480" w:lineRule="auto"/>
        <w:jc w:val="left"/>
        <w:rPr>
          <w:rFonts w:hint="eastAsia" w:ascii="Calibri" w:hAnsi="Calibri" w:eastAsia="宋体" w:cs="Calibri"/>
          <w:color w:val="auto"/>
          <w:sz w:val="32"/>
          <w:szCs w:val="32"/>
          <w:highlight w:val="none"/>
        </w:rPr>
      </w:pPr>
      <w:r>
        <w:rPr>
          <w:rFonts w:hint="eastAsia" w:ascii="Calibri" w:hAnsi="Calibri" w:eastAsia="宋体" w:cs="Calibri"/>
          <w:color w:val="auto"/>
          <w:sz w:val="32"/>
          <w:szCs w:val="32"/>
          <w:highlight w:val="none"/>
        </w:rPr>
        <w:t>签订日期：           年       月     日</w:t>
      </w:r>
    </w:p>
    <w:p>
      <w:pPr>
        <w:widowControl/>
        <w:spacing w:after="160" w:line="480" w:lineRule="auto"/>
        <w:jc w:val="left"/>
        <w:rPr>
          <w:rFonts w:hint="eastAsia" w:ascii="Calibri" w:hAnsi="Calibri" w:eastAsia="宋体" w:cs="Calibri"/>
          <w:color w:val="auto"/>
          <w:sz w:val="32"/>
          <w:szCs w:val="32"/>
          <w:highlight w:val="none"/>
        </w:rPr>
      </w:pPr>
      <w:r>
        <w:rPr>
          <w:rFonts w:hint="eastAsia" w:ascii="Calibri" w:hAnsi="Calibri" w:eastAsia="宋体" w:cs="Calibri"/>
          <w:color w:val="auto"/>
          <w:sz w:val="32"/>
          <w:szCs w:val="32"/>
          <w:highlight w:val="none"/>
        </w:rPr>
        <w:t>签约地点：广州市</w:t>
      </w:r>
    </w:p>
    <w:p>
      <w:pPr>
        <w:pStyle w:val="47"/>
        <w:spacing w:line="500" w:lineRule="exact"/>
        <w:jc w:val="center"/>
        <w:rPr>
          <w:rFonts w:ascii="宋体" w:hAnsi="宋体" w:eastAsia="宋体" w:cs="宋体"/>
          <w:b/>
          <w:bCs/>
          <w:sz w:val="36"/>
          <w:szCs w:val="36"/>
          <w:highlight w:val="none"/>
          <w:lang w:val="zh-CN" w:eastAsia="zh-CN"/>
        </w:rPr>
      </w:pPr>
    </w:p>
    <w:p>
      <w:pPr>
        <w:spacing w:line="360" w:lineRule="auto"/>
        <w:ind w:firstLine="480" w:firstLineChars="200"/>
        <w:rPr>
          <w:rFonts w:hint="eastAsia" w:ascii="仿宋_GB2312" w:hAnsi="仿宋_GB2312" w:eastAsia="仿宋_GB2312" w:cs="仿宋_GB2312"/>
          <w:color w:val="auto"/>
          <w:sz w:val="24"/>
          <w:szCs w:val="24"/>
          <w:highlight w:val="none"/>
        </w:rPr>
      </w:pPr>
    </w:p>
    <w:p>
      <w:pPr>
        <w:spacing w:line="360" w:lineRule="auto"/>
        <w:ind w:firstLine="480" w:firstLineChars="200"/>
        <w:rPr>
          <w:rFonts w:hint="eastAsia" w:ascii="仿宋_GB2312" w:hAnsi="仿宋_GB2312" w:eastAsia="仿宋_GB2312" w:cs="仿宋_GB2312"/>
          <w:color w:val="auto"/>
          <w:sz w:val="24"/>
          <w:szCs w:val="24"/>
          <w:highlight w:val="none"/>
        </w:rPr>
        <w:sectPr>
          <w:footerReference r:id="rId7" w:type="first"/>
          <w:footerReference r:id="rId6" w:type="default"/>
          <w:pgSz w:w="11906" w:h="16838"/>
          <w:pgMar w:top="2098" w:right="1474" w:bottom="1985" w:left="1588" w:header="851" w:footer="992" w:gutter="0"/>
          <w:pgNumType w:fmt="decimal" w:start="1"/>
          <w:cols w:space="425" w:num="1"/>
          <w:docGrid w:type="lines" w:linePitch="312" w:charSpace="0"/>
        </w:sectPr>
      </w:pP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根据《中华人民共和国</w:t>
      </w:r>
      <w:r>
        <w:rPr>
          <w:rFonts w:hint="eastAsia" w:ascii="仿宋_GB2312" w:hAnsi="仿宋_GB2312" w:eastAsia="仿宋_GB2312" w:cs="仿宋_GB2312"/>
          <w:color w:val="auto"/>
          <w:sz w:val="24"/>
          <w:szCs w:val="24"/>
          <w:highlight w:val="none"/>
          <w:lang w:val="en-US" w:eastAsia="zh-CN"/>
        </w:rPr>
        <w:t>民法典</w:t>
      </w:r>
      <w:r>
        <w:rPr>
          <w:rFonts w:hint="eastAsia" w:ascii="仿宋_GB2312" w:hAnsi="仿宋_GB2312" w:eastAsia="仿宋_GB2312" w:cs="仿宋_GB2312"/>
          <w:color w:val="auto"/>
          <w:sz w:val="24"/>
          <w:szCs w:val="24"/>
          <w:highlight w:val="none"/>
        </w:rPr>
        <w:t>》及其他有关法律、行政法规，</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广州市净水有限公司</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（以下简称“甲方”）与</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（以下简称“乙方”）就</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猎德分公司2024年储泥池加药机采购项目 </w:t>
      </w:r>
      <w:r>
        <w:rPr>
          <w:rFonts w:hint="eastAsia" w:ascii="仿宋_GB2312" w:hAnsi="仿宋_GB2312" w:eastAsia="仿宋_GB2312" w:cs="仿宋_GB2312"/>
          <w:color w:val="auto"/>
          <w:sz w:val="24"/>
          <w:szCs w:val="24"/>
          <w:highlight w:val="none"/>
        </w:rPr>
        <w:t>采购和相应技术服务事宜，遵循平等、自愿、公平和诚实信用的原则，双方协商一致，订立本合同。</w:t>
      </w:r>
      <w:bookmarkStart w:id="86" w:name="_Toc474245210"/>
      <w:bookmarkStart w:id="87" w:name="_Toc183666513"/>
      <w:bookmarkStart w:id="88" w:name="_Toc1018"/>
      <w:bookmarkStart w:id="89" w:name="_Toc520190026"/>
      <w:bookmarkStart w:id="90" w:name="_Toc518992986"/>
    </w:p>
    <w:p>
      <w:pPr>
        <w:spacing w:line="360" w:lineRule="auto"/>
        <w:ind w:firstLine="54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第一条 组成合同的文件及优先顺序</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下列文件（如有）均为本合同的组成部分，可视为能相互说明和补充的，如果合同文件存在歧义或相矛盾的地方，则根据以下次序判断：</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⑴ 在本合同实施过程双方签署的补充与修正文件；</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⑵ 本合同书；</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⑶ 中标通知书/发包通知书/</w:t>
      </w:r>
      <w:r>
        <w:rPr>
          <w:rFonts w:hint="eastAsia" w:ascii="仿宋_GB2312" w:hAnsi="仿宋_GB2312" w:eastAsia="仿宋_GB2312" w:cs="仿宋_GB2312"/>
          <w:color w:val="auto"/>
          <w:sz w:val="24"/>
          <w:szCs w:val="24"/>
          <w:highlight w:val="none"/>
          <w:lang w:val="en-US" w:eastAsia="zh-CN"/>
        </w:rPr>
        <w:t>成交通知书/</w:t>
      </w:r>
      <w:r>
        <w:rPr>
          <w:rFonts w:hint="eastAsia" w:ascii="仿宋_GB2312" w:hAnsi="仿宋_GB2312" w:eastAsia="仿宋_GB2312" w:cs="仿宋_GB2312"/>
          <w:color w:val="auto"/>
          <w:sz w:val="24"/>
          <w:szCs w:val="24"/>
          <w:highlight w:val="none"/>
        </w:rPr>
        <w:t>委托函；</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⑷ 招标文件/询价文件；</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⑸ 投标文件/响应文件；</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⑹ 标准、规范及有关技术性文件；</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⑺ 图纸；</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⑻ 工程量清单/工程报价单或预算书；</w:t>
      </w:r>
    </w:p>
    <w:p>
      <w:pPr>
        <w:spacing w:line="24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⑼ 本合同其他附件；</w:t>
      </w:r>
    </w:p>
    <w:p>
      <w:pPr>
        <w:spacing w:line="360" w:lineRule="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b/>
          <w:bCs/>
          <w:color w:val="auto"/>
          <w:sz w:val="24"/>
          <w:szCs w:val="24"/>
          <w:highlight w:val="none"/>
        </w:rPr>
        <w:t xml:space="preserve"> 第二条 </w:t>
      </w:r>
      <w:bookmarkEnd w:id="86"/>
      <w:bookmarkEnd w:id="87"/>
      <w:bookmarkEnd w:id="88"/>
      <w:bookmarkEnd w:id="89"/>
      <w:bookmarkEnd w:id="90"/>
      <w:r>
        <w:rPr>
          <w:rFonts w:hint="eastAsia" w:ascii="仿宋_GB2312" w:hAnsi="仿宋_GB2312" w:eastAsia="仿宋_GB2312" w:cs="仿宋_GB2312"/>
          <w:b/>
          <w:color w:val="auto"/>
          <w:sz w:val="24"/>
          <w:szCs w:val="24"/>
          <w:highlight w:val="none"/>
        </w:rPr>
        <w:t>合同标的</w:t>
      </w:r>
    </w:p>
    <w:p>
      <w:pPr>
        <w:autoSpaceDE w:val="0"/>
        <w:autoSpaceDN w:val="0"/>
        <w:adjustRightInd w:val="0"/>
        <w:spacing w:line="360" w:lineRule="auto"/>
        <w:ind w:firstLine="480" w:firstLineChars="200"/>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本合同所指设备为</w:t>
      </w:r>
      <w:r>
        <w:rPr>
          <w:rFonts w:hint="eastAsia" w:ascii="仿宋_GB2312" w:hAnsi="仿宋_GB2312" w:eastAsia="仿宋_GB2312" w:cs="仿宋_GB2312"/>
          <w:color w:val="auto"/>
          <w:kern w:val="0"/>
          <w:sz w:val="24"/>
          <w:szCs w:val="24"/>
          <w:highlight w:val="none"/>
          <w:u w:val="single"/>
          <w:lang w:val="zh-CN"/>
        </w:rPr>
        <w:t xml:space="preserve"> </w:t>
      </w:r>
      <w:r>
        <w:rPr>
          <w:rFonts w:hint="eastAsia" w:ascii="仿宋_GB2312" w:hAnsi="仿宋_GB2312" w:eastAsia="仿宋_GB2312" w:cs="仿宋_GB2312"/>
          <w:color w:val="auto"/>
          <w:kern w:val="0"/>
          <w:sz w:val="24"/>
          <w:szCs w:val="24"/>
          <w:highlight w:val="none"/>
          <w:u w:val="single"/>
          <w:lang w:val="en-US" w:eastAsia="zh-CN"/>
        </w:rPr>
        <w:t>/</w:t>
      </w:r>
      <w:r>
        <w:rPr>
          <w:rFonts w:hint="eastAsia" w:ascii="仿宋_GB2312" w:hAnsi="仿宋_GB2312" w:eastAsia="仿宋_GB2312" w:cs="仿宋_GB2312"/>
          <w:color w:val="auto"/>
          <w:kern w:val="0"/>
          <w:sz w:val="24"/>
          <w:szCs w:val="24"/>
          <w:highlight w:val="none"/>
          <w:u w:val="single"/>
          <w:lang w:val="zh-CN"/>
        </w:rPr>
        <w:t xml:space="preserve"> </w:t>
      </w:r>
      <w:r>
        <w:rPr>
          <w:rFonts w:hint="eastAsia" w:ascii="仿宋_GB2312" w:hAnsi="仿宋_GB2312" w:eastAsia="仿宋_GB2312" w:cs="仿宋_GB2312"/>
          <w:color w:val="auto"/>
          <w:kern w:val="0"/>
          <w:sz w:val="24"/>
          <w:szCs w:val="24"/>
          <w:highlight w:val="none"/>
          <w:lang w:val="zh-CN"/>
        </w:rPr>
        <w:t>全新的原装产品，原产地为</w:t>
      </w:r>
      <w:r>
        <w:rPr>
          <w:rFonts w:hint="eastAsia" w:ascii="仿宋_GB2312" w:hAnsi="仿宋_GB2312" w:eastAsia="仿宋_GB2312" w:cs="仿宋_GB2312"/>
          <w:color w:val="auto"/>
          <w:kern w:val="0"/>
          <w:sz w:val="24"/>
          <w:szCs w:val="24"/>
          <w:highlight w:val="none"/>
          <w:u w:val="single"/>
          <w:lang w:val="zh-CN"/>
        </w:rPr>
        <w:t xml:space="preserve"> </w:t>
      </w:r>
      <w:r>
        <w:rPr>
          <w:rFonts w:hint="eastAsia" w:ascii="仿宋_GB2312" w:hAnsi="仿宋_GB2312" w:eastAsia="仿宋_GB2312" w:cs="仿宋_GB2312"/>
          <w:color w:val="auto"/>
          <w:kern w:val="0"/>
          <w:sz w:val="24"/>
          <w:szCs w:val="24"/>
          <w:highlight w:val="none"/>
          <w:u w:val="single"/>
          <w:lang w:val="en-US" w:eastAsia="zh-CN"/>
        </w:rPr>
        <w:t>/</w:t>
      </w:r>
      <w:r>
        <w:rPr>
          <w:rFonts w:hint="eastAsia" w:ascii="仿宋_GB2312" w:hAnsi="仿宋_GB2312" w:eastAsia="仿宋_GB2312" w:cs="仿宋_GB2312"/>
          <w:color w:val="auto"/>
          <w:kern w:val="0"/>
          <w:sz w:val="24"/>
          <w:szCs w:val="24"/>
          <w:highlight w:val="none"/>
          <w:u w:val="single"/>
          <w:lang w:val="zh-CN"/>
        </w:rPr>
        <w:t>，</w:t>
      </w:r>
      <w:r>
        <w:rPr>
          <w:rFonts w:hint="eastAsia" w:ascii="仿宋_GB2312" w:hAnsi="仿宋_GB2312" w:eastAsia="仿宋_GB2312" w:cs="仿宋_GB2312"/>
          <w:color w:val="auto"/>
          <w:kern w:val="0"/>
          <w:sz w:val="24"/>
          <w:szCs w:val="24"/>
          <w:highlight w:val="none"/>
        </w:rPr>
        <w:t>其</w:t>
      </w:r>
      <w:r>
        <w:rPr>
          <w:rFonts w:hint="eastAsia" w:ascii="仿宋_GB2312" w:hAnsi="仿宋_GB2312" w:eastAsia="仿宋_GB2312" w:cs="仿宋_GB2312"/>
          <w:color w:val="auto"/>
          <w:kern w:val="0"/>
          <w:sz w:val="24"/>
          <w:szCs w:val="24"/>
          <w:highlight w:val="none"/>
          <w:lang w:val="zh-CN"/>
        </w:rPr>
        <w:t>名称、型号、规格、数量、金额详见下表：</w:t>
      </w:r>
    </w:p>
    <w:tbl>
      <w:tblPr>
        <w:tblStyle w:val="22"/>
        <w:tblW w:w="9822" w:type="dxa"/>
        <w:tblInd w:w="-227" w:type="dxa"/>
        <w:tblLayout w:type="fixed"/>
        <w:tblCellMar>
          <w:top w:w="0" w:type="dxa"/>
          <w:left w:w="108" w:type="dxa"/>
          <w:bottom w:w="0" w:type="dxa"/>
          <w:right w:w="108" w:type="dxa"/>
        </w:tblCellMar>
      </w:tblPr>
      <w:tblGrid>
        <w:gridCol w:w="917"/>
        <w:gridCol w:w="1594"/>
        <w:gridCol w:w="994"/>
        <w:gridCol w:w="1868"/>
        <w:gridCol w:w="1189"/>
        <w:gridCol w:w="1105"/>
        <w:gridCol w:w="1077"/>
        <w:gridCol w:w="1078"/>
      </w:tblGrid>
      <w:tr>
        <w:tblPrEx>
          <w:tblCellMar>
            <w:top w:w="0" w:type="dxa"/>
            <w:left w:w="108" w:type="dxa"/>
            <w:bottom w:w="0" w:type="dxa"/>
            <w:right w:w="108" w:type="dxa"/>
          </w:tblCellMar>
        </w:tblPrEx>
        <w:trPr>
          <w:trHeight w:val="130" w:hRule="atLeast"/>
        </w:trPr>
        <w:tc>
          <w:tcPr>
            <w:tcW w:w="917"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en-US" w:eastAsia="zh-CN"/>
              </w:rPr>
            </w:pPr>
            <w:r>
              <w:rPr>
                <w:rFonts w:hint="eastAsia" w:ascii="仿宋_GB2312" w:hAnsi="仿宋" w:eastAsia="仿宋_GB2312" w:cs="Times New Roman"/>
                <w:color w:val="auto"/>
                <w:sz w:val="24"/>
                <w:szCs w:val="24"/>
                <w:highlight w:val="none"/>
                <w:vertAlign w:val="baseline"/>
                <w:lang w:val="en-US" w:eastAsia="zh-CN"/>
              </w:rPr>
              <w:t>序号</w:t>
            </w:r>
          </w:p>
        </w:tc>
        <w:tc>
          <w:tcPr>
            <w:tcW w:w="1594"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en-US" w:eastAsia="zh-CN"/>
              </w:rPr>
            </w:pPr>
            <w:r>
              <w:rPr>
                <w:rFonts w:hint="eastAsia" w:ascii="仿宋_GB2312" w:hAnsi="仿宋" w:eastAsia="仿宋_GB2312" w:cs="Times New Roman"/>
                <w:color w:val="auto"/>
                <w:sz w:val="24"/>
                <w:szCs w:val="24"/>
                <w:highlight w:val="none"/>
                <w:vertAlign w:val="baseline"/>
                <w:lang w:val="en-US" w:eastAsia="zh-CN"/>
              </w:rPr>
              <w:t>设备</w:t>
            </w:r>
          </w:p>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zh-CN" w:eastAsia="zh-CN"/>
              </w:rPr>
            </w:pPr>
            <w:r>
              <w:rPr>
                <w:rFonts w:hint="eastAsia" w:ascii="仿宋_GB2312" w:hAnsi="仿宋" w:eastAsia="仿宋_GB2312" w:cs="Times New Roman"/>
                <w:color w:val="auto"/>
                <w:sz w:val="24"/>
                <w:szCs w:val="24"/>
                <w:highlight w:val="none"/>
                <w:vertAlign w:val="baseline"/>
                <w:lang w:val="zh-CN" w:eastAsia="zh-CN"/>
              </w:rPr>
              <w:t>名称</w:t>
            </w:r>
          </w:p>
        </w:tc>
        <w:tc>
          <w:tcPr>
            <w:tcW w:w="994"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en-US" w:eastAsia="zh-CN"/>
              </w:rPr>
            </w:pPr>
            <w:r>
              <w:rPr>
                <w:rFonts w:hint="eastAsia" w:ascii="仿宋_GB2312" w:hAnsi="仿宋" w:eastAsia="仿宋_GB2312" w:cs="Times New Roman"/>
                <w:color w:val="auto"/>
                <w:sz w:val="24"/>
                <w:szCs w:val="24"/>
                <w:highlight w:val="none"/>
                <w:vertAlign w:val="baseline"/>
                <w:lang w:val="en-US" w:eastAsia="zh-CN"/>
              </w:rPr>
              <w:t>数量</w:t>
            </w:r>
          </w:p>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zh-CN" w:eastAsia="zh-CN"/>
              </w:rPr>
            </w:pPr>
            <w:r>
              <w:rPr>
                <w:rFonts w:hint="eastAsia" w:ascii="仿宋_GB2312" w:hAnsi="仿宋" w:eastAsia="仿宋_GB2312" w:cs="Times New Roman"/>
                <w:color w:val="auto"/>
                <w:sz w:val="24"/>
                <w:szCs w:val="24"/>
                <w:highlight w:val="none"/>
                <w:vertAlign w:val="baseline"/>
                <w:lang w:val="zh-CN" w:eastAsia="zh-CN"/>
              </w:rPr>
              <w:t>单位</w:t>
            </w:r>
          </w:p>
        </w:tc>
        <w:tc>
          <w:tcPr>
            <w:tcW w:w="1868" w:type="dxa"/>
            <w:vMerge w:val="restart"/>
            <w:tcBorders>
              <w:top w:val="single" w:color="000000" w:sz="2" w:space="0"/>
              <w:left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zh-CN" w:eastAsia="zh-CN"/>
              </w:rPr>
            </w:pPr>
            <w:r>
              <w:rPr>
                <w:rFonts w:hint="eastAsia" w:ascii="仿宋_GB2312" w:hAnsi="仿宋" w:eastAsia="仿宋_GB2312" w:cs="Times New Roman"/>
                <w:color w:val="auto"/>
                <w:sz w:val="24"/>
                <w:szCs w:val="24"/>
                <w:highlight w:val="none"/>
                <w:vertAlign w:val="baseline"/>
                <w:lang w:val="en-US" w:eastAsia="zh-CN"/>
              </w:rPr>
              <w:t>品牌型号</w:t>
            </w:r>
          </w:p>
        </w:tc>
        <w:tc>
          <w:tcPr>
            <w:tcW w:w="2294"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zh-CN" w:eastAsia="zh-CN"/>
              </w:rPr>
            </w:pPr>
            <w:r>
              <w:rPr>
                <w:rFonts w:hint="eastAsia" w:ascii="仿宋_GB2312" w:hAnsi="仿宋" w:eastAsia="仿宋_GB2312" w:cs="Times New Roman"/>
                <w:color w:val="auto"/>
                <w:sz w:val="24"/>
                <w:szCs w:val="24"/>
                <w:highlight w:val="none"/>
                <w:vertAlign w:val="baseline"/>
                <w:lang w:val="zh-CN" w:eastAsia="zh-CN"/>
              </w:rPr>
              <w:t>单价（万元）</w:t>
            </w:r>
          </w:p>
        </w:tc>
        <w:tc>
          <w:tcPr>
            <w:tcW w:w="215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zh-CN" w:eastAsia="zh-CN"/>
              </w:rPr>
            </w:pPr>
            <w:r>
              <w:rPr>
                <w:rFonts w:hint="eastAsia" w:ascii="仿宋_GB2312" w:hAnsi="仿宋" w:eastAsia="仿宋_GB2312" w:cs="Times New Roman"/>
                <w:color w:val="auto"/>
                <w:sz w:val="24"/>
                <w:szCs w:val="24"/>
                <w:highlight w:val="none"/>
                <w:vertAlign w:val="baseline"/>
                <w:lang w:val="zh-CN" w:eastAsia="zh-CN"/>
              </w:rPr>
              <w:t>金额（万元）</w:t>
            </w:r>
          </w:p>
        </w:tc>
      </w:tr>
      <w:tr>
        <w:tblPrEx>
          <w:tblCellMar>
            <w:top w:w="0" w:type="dxa"/>
            <w:left w:w="108" w:type="dxa"/>
            <w:bottom w:w="0" w:type="dxa"/>
            <w:right w:w="108" w:type="dxa"/>
          </w:tblCellMar>
        </w:tblPrEx>
        <w:trPr>
          <w:trHeight w:val="475" w:hRule="atLeast"/>
        </w:trPr>
        <w:tc>
          <w:tcPr>
            <w:tcW w:w="917"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en-US" w:eastAsia="zh-CN"/>
              </w:rPr>
            </w:pPr>
          </w:p>
        </w:tc>
        <w:tc>
          <w:tcPr>
            <w:tcW w:w="1594"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en-US" w:eastAsia="zh-CN"/>
              </w:rPr>
            </w:pPr>
          </w:p>
        </w:tc>
        <w:tc>
          <w:tcPr>
            <w:tcW w:w="994"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en-US" w:eastAsia="zh-CN"/>
              </w:rPr>
            </w:pPr>
          </w:p>
        </w:tc>
        <w:tc>
          <w:tcPr>
            <w:tcW w:w="1868" w:type="dxa"/>
            <w:vMerge w:val="continue"/>
            <w:tcBorders>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en-US" w:eastAsia="zh-CN"/>
              </w:rPr>
            </w:pPr>
          </w:p>
        </w:tc>
        <w:tc>
          <w:tcPr>
            <w:tcW w:w="118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zh-CN" w:eastAsia="zh-CN"/>
              </w:rPr>
            </w:pPr>
            <w:r>
              <w:rPr>
                <w:rFonts w:hint="eastAsia" w:ascii="仿宋_GB2312" w:hAnsi="仿宋" w:eastAsia="仿宋_GB2312" w:cs="Times New Roman"/>
                <w:color w:val="auto"/>
                <w:sz w:val="24"/>
                <w:szCs w:val="24"/>
                <w:highlight w:val="none"/>
                <w:vertAlign w:val="baseline"/>
                <w:lang w:val="zh-CN" w:eastAsia="zh-CN"/>
              </w:rPr>
              <w:t>含税</w:t>
            </w:r>
          </w:p>
        </w:tc>
        <w:tc>
          <w:tcPr>
            <w:tcW w:w="11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zh-CN" w:eastAsia="zh-CN"/>
              </w:rPr>
            </w:pPr>
            <w:r>
              <w:rPr>
                <w:rFonts w:hint="eastAsia" w:ascii="仿宋_GB2312" w:hAnsi="仿宋" w:eastAsia="仿宋_GB2312" w:cs="Times New Roman"/>
                <w:color w:val="auto"/>
                <w:sz w:val="24"/>
                <w:szCs w:val="24"/>
                <w:highlight w:val="none"/>
                <w:vertAlign w:val="baseline"/>
                <w:lang w:val="zh-CN" w:eastAsia="zh-CN"/>
              </w:rPr>
              <w:t>不含税</w:t>
            </w:r>
          </w:p>
        </w:tc>
        <w:tc>
          <w:tcPr>
            <w:tcW w:w="10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zh-CN" w:eastAsia="zh-CN"/>
              </w:rPr>
            </w:pPr>
            <w:r>
              <w:rPr>
                <w:rFonts w:hint="eastAsia" w:ascii="仿宋_GB2312" w:hAnsi="仿宋" w:eastAsia="仿宋_GB2312" w:cs="Times New Roman"/>
                <w:color w:val="auto"/>
                <w:sz w:val="24"/>
                <w:szCs w:val="24"/>
                <w:highlight w:val="none"/>
                <w:vertAlign w:val="baseline"/>
                <w:lang w:val="zh-CN" w:eastAsia="zh-CN"/>
              </w:rPr>
              <w:t>含税</w:t>
            </w:r>
          </w:p>
        </w:tc>
        <w:tc>
          <w:tcPr>
            <w:tcW w:w="10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sz w:val="24"/>
                <w:szCs w:val="24"/>
                <w:highlight w:val="none"/>
                <w:vertAlign w:val="baseline"/>
                <w:lang w:val="zh-CN" w:eastAsia="zh-CN"/>
              </w:rPr>
            </w:pPr>
            <w:r>
              <w:rPr>
                <w:rFonts w:hint="eastAsia" w:ascii="仿宋_GB2312" w:hAnsi="仿宋" w:eastAsia="仿宋_GB2312" w:cs="Times New Roman"/>
                <w:color w:val="auto"/>
                <w:sz w:val="24"/>
                <w:szCs w:val="24"/>
                <w:highlight w:val="none"/>
                <w:vertAlign w:val="baseline"/>
                <w:lang w:val="zh-CN" w:eastAsia="zh-CN"/>
              </w:rPr>
              <w:t>不含税</w:t>
            </w:r>
          </w:p>
        </w:tc>
      </w:tr>
      <w:tr>
        <w:tblPrEx>
          <w:tblCellMar>
            <w:top w:w="0" w:type="dxa"/>
            <w:left w:w="108" w:type="dxa"/>
            <w:bottom w:w="0" w:type="dxa"/>
            <w:right w:w="108" w:type="dxa"/>
          </w:tblCellMar>
        </w:tblPrEx>
        <w:trPr>
          <w:trHeight w:val="862" w:hRule="atLeast"/>
        </w:trPr>
        <w:tc>
          <w:tcPr>
            <w:tcW w:w="91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_GB2312" w:hAnsi="仿宋" w:eastAsia="仿宋_GB2312" w:cs="Times New Roman"/>
                <w:color w:val="auto"/>
                <w:sz w:val="24"/>
                <w:szCs w:val="24"/>
                <w:highlight w:val="none"/>
                <w:vertAlign w:val="baseline"/>
                <w:lang w:val="en-US" w:eastAsia="zh-CN"/>
              </w:rPr>
            </w:pPr>
            <w:r>
              <w:rPr>
                <w:rFonts w:hint="eastAsia" w:ascii="仿宋_GB2312" w:hAnsi="仿宋" w:eastAsia="仿宋_GB2312" w:cs="Times New Roman"/>
                <w:color w:val="auto"/>
                <w:sz w:val="24"/>
                <w:szCs w:val="24"/>
                <w:highlight w:val="none"/>
                <w:vertAlign w:val="baseline"/>
                <w:lang w:val="en-US" w:eastAsia="zh-CN"/>
              </w:rPr>
              <w:t>1</w:t>
            </w:r>
          </w:p>
        </w:tc>
        <w:tc>
          <w:tcPr>
            <w:tcW w:w="15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_GB2312" w:hAnsi="仿宋" w:eastAsia="仿宋_GB2312" w:cs="Times New Roman"/>
                <w:color w:val="auto"/>
                <w:sz w:val="24"/>
                <w:szCs w:val="24"/>
                <w:highlight w:val="none"/>
                <w:vertAlign w:val="baseline"/>
                <w:lang w:val="en-US" w:eastAsia="zh-CN"/>
              </w:rPr>
            </w:pPr>
            <w:r>
              <w:rPr>
                <w:rFonts w:hint="eastAsia" w:ascii="仿宋_GB2312" w:hAnsi="仿宋" w:eastAsia="仿宋_GB2312" w:cs="Times New Roman"/>
                <w:color w:val="auto"/>
                <w:sz w:val="24"/>
                <w:szCs w:val="24"/>
                <w:highlight w:val="none"/>
                <w:vertAlign w:val="baseline"/>
                <w:lang w:val="en-US" w:eastAsia="zh-CN"/>
              </w:rPr>
              <w:t xml:space="preserve"> </w:t>
            </w:r>
          </w:p>
        </w:tc>
        <w:tc>
          <w:tcPr>
            <w:tcW w:w="994"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_GB2312" w:hAnsi="仿宋" w:eastAsia="仿宋_GB2312" w:cs="Times New Roman"/>
                <w:color w:val="auto"/>
                <w:sz w:val="24"/>
                <w:szCs w:val="24"/>
                <w:highlight w:val="none"/>
                <w:vertAlign w:val="baseline"/>
                <w:lang w:val="en-US" w:eastAsia="zh-CN"/>
              </w:rPr>
            </w:pPr>
            <w:r>
              <w:rPr>
                <w:rFonts w:hint="eastAsia" w:ascii="仿宋_GB2312" w:hAnsi="仿宋" w:eastAsia="仿宋_GB2312" w:cs="Times New Roman"/>
                <w:color w:val="auto"/>
                <w:sz w:val="24"/>
                <w:szCs w:val="24"/>
                <w:highlight w:val="none"/>
                <w:vertAlign w:val="baseline"/>
                <w:lang w:val="en-US" w:eastAsia="zh-CN"/>
              </w:rPr>
              <w:t xml:space="preserve"> </w:t>
            </w:r>
          </w:p>
        </w:tc>
        <w:tc>
          <w:tcPr>
            <w:tcW w:w="186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_GB2312" w:hAnsi="仿宋" w:eastAsia="仿宋_GB2312" w:cs="Times New Roman"/>
                <w:color w:val="auto"/>
                <w:sz w:val="24"/>
                <w:szCs w:val="24"/>
                <w:highlight w:val="none"/>
                <w:vertAlign w:val="baseline"/>
                <w:lang w:val="en-US" w:eastAsia="zh-CN"/>
              </w:rPr>
            </w:pPr>
          </w:p>
        </w:tc>
        <w:tc>
          <w:tcPr>
            <w:tcW w:w="118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_GB2312" w:hAnsi="仿宋" w:eastAsia="仿宋_GB2312" w:cs="Times New Roman"/>
                <w:color w:val="auto"/>
                <w:sz w:val="24"/>
                <w:szCs w:val="24"/>
                <w:highlight w:val="none"/>
                <w:vertAlign w:val="baseline"/>
                <w:lang w:val="en-US" w:eastAsia="zh-CN"/>
              </w:rPr>
            </w:pPr>
          </w:p>
        </w:tc>
        <w:tc>
          <w:tcPr>
            <w:tcW w:w="110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_GB2312" w:hAnsi="仿宋" w:eastAsia="仿宋_GB2312" w:cs="Times New Roman"/>
                <w:color w:val="auto"/>
                <w:sz w:val="24"/>
                <w:szCs w:val="24"/>
                <w:highlight w:val="none"/>
                <w:vertAlign w:val="baseline"/>
                <w:lang w:val="en-US" w:eastAsia="zh-CN"/>
              </w:rPr>
            </w:pPr>
          </w:p>
        </w:tc>
        <w:tc>
          <w:tcPr>
            <w:tcW w:w="1077"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_GB2312" w:hAnsi="仿宋" w:eastAsia="仿宋_GB2312" w:cs="Times New Roman"/>
                <w:color w:val="auto"/>
                <w:sz w:val="24"/>
                <w:szCs w:val="24"/>
                <w:highlight w:val="none"/>
                <w:vertAlign w:val="baseline"/>
                <w:lang w:val="en-US" w:eastAsia="zh-CN"/>
              </w:rPr>
            </w:pPr>
          </w:p>
        </w:tc>
        <w:tc>
          <w:tcPr>
            <w:tcW w:w="107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_GB2312" w:hAnsi="仿宋" w:eastAsia="仿宋_GB2312" w:cs="Times New Roman"/>
                <w:color w:val="auto"/>
                <w:sz w:val="24"/>
                <w:szCs w:val="24"/>
                <w:highlight w:val="none"/>
                <w:vertAlign w:val="baseline"/>
                <w:lang w:val="en-US" w:eastAsia="zh-CN"/>
              </w:rPr>
            </w:pPr>
          </w:p>
        </w:tc>
      </w:tr>
      <w:tr>
        <w:tblPrEx>
          <w:tblCellMar>
            <w:top w:w="0" w:type="dxa"/>
            <w:left w:w="108" w:type="dxa"/>
            <w:bottom w:w="0" w:type="dxa"/>
            <w:right w:w="108" w:type="dxa"/>
          </w:tblCellMar>
        </w:tblPrEx>
        <w:trPr>
          <w:trHeight w:val="764" w:hRule="atLeast"/>
        </w:trPr>
        <w:tc>
          <w:tcPr>
            <w:tcW w:w="9822" w:type="dxa"/>
            <w:gridSpan w:val="8"/>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default" w:ascii="仿宋_GB2312" w:hAnsi="仿宋" w:eastAsia="仿宋_GB2312" w:cs="Times New Roman"/>
                <w:color w:val="auto"/>
                <w:sz w:val="24"/>
                <w:szCs w:val="24"/>
                <w:highlight w:val="none"/>
                <w:vertAlign w:val="baseline"/>
                <w:lang w:val="en-US" w:eastAsia="zh-CN"/>
              </w:rPr>
            </w:pPr>
            <w:r>
              <w:rPr>
                <w:rFonts w:hint="eastAsia" w:ascii="仿宋_GB2312" w:hAnsi="仿宋" w:eastAsia="仿宋_GB2312" w:cs="Times New Roman"/>
                <w:b w:val="0"/>
                <w:bCs w:val="0"/>
                <w:color w:val="auto"/>
                <w:sz w:val="24"/>
                <w:szCs w:val="24"/>
                <w:highlight w:val="none"/>
                <w:vertAlign w:val="baseline"/>
                <w:lang w:val="en-US" w:eastAsia="zh-CN"/>
              </w:rPr>
              <w:t>合计</w:t>
            </w:r>
            <w:r>
              <w:rPr>
                <w:rFonts w:hint="eastAsia" w:ascii="仿宋_GB2312" w:hAnsi="仿宋" w:eastAsia="仿宋_GB2312" w:cs="Times New Roman"/>
                <w:color w:val="auto"/>
                <w:sz w:val="24"/>
                <w:szCs w:val="24"/>
                <w:highlight w:val="none"/>
                <w:vertAlign w:val="baseline"/>
                <w:lang w:val="en-US" w:eastAsia="zh-CN"/>
              </w:rPr>
              <w:t>：</w:t>
            </w:r>
            <w:r>
              <w:rPr>
                <w:rFonts w:hint="eastAsia" w:ascii="仿宋_GB2312" w:hAnsi="仿宋" w:eastAsia="仿宋_GB2312" w:cs="Times New Roman"/>
                <w:b w:val="0"/>
                <w:bCs w:val="0"/>
                <w:color w:val="auto"/>
                <w:sz w:val="24"/>
                <w:szCs w:val="24"/>
                <w:highlight w:val="none"/>
                <w:vertAlign w:val="baseline"/>
                <w:lang w:val="en-US" w:eastAsia="zh-CN"/>
              </w:rPr>
              <w:t>¥            元（大写：           （含税   %））</w:t>
            </w:r>
          </w:p>
        </w:tc>
      </w:tr>
    </w:tbl>
    <w:p>
      <w:pPr>
        <w:spacing w:after="120" w:afterLines="50" w:line="360" w:lineRule="auto"/>
        <w:ind w:firstLine="480" w:firstLineChars="200"/>
        <w:rPr>
          <w:rFonts w:hint="eastAsia" w:ascii="仿宋_GB2312" w:hAnsi="仿宋_GB2312" w:eastAsia="仿宋_GB2312" w:cs="仿宋_GB2312"/>
          <w:color w:val="auto"/>
          <w:kern w:val="0"/>
          <w:sz w:val="24"/>
          <w:szCs w:val="24"/>
          <w:highlight w:val="none"/>
          <w:lang w:val="zh-CN"/>
        </w:rPr>
      </w:pPr>
      <w:bookmarkStart w:id="91" w:name="_Toc17140"/>
      <w:bookmarkStart w:id="92" w:name="_Toc474245211"/>
      <w:bookmarkStart w:id="93" w:name="_Toc518992987"/>
      <w:bookmarkStart w:id="94" w:name="_Toc520190027"/>
      <w:r>
        <w:rPr>
          <w:rFonts w:hint="eastAsia" w:ascii="仿宋_GB2312" w:hAnsi="仿宋_GB2312" w:eastAsia="仿宋_GB2312" w:cs="仿宋_GB2312"/>
          <w:color w:val="auto"/>
          <w:kern w:val="0"/>
          <w:sz w:val="24"/>
          <w:szCs w:val="24"/>
          <w:highlight w:val="none"/>
          <w:lang w:val="zh-CN"/>
        </w:rPr>
        <w:t>其他技术需求见附件（如需）。</w:t>
      </w:r>
      <w:bookmarkEnd w:id="91"/>
      <w:bookmarkStart w:id="95" w:name="_Toc26357"/>
      <w:bookmarkStart w:id="96" w:name="_Toc107447235"/>
      <w:bookmarkStart w:id="97" w:name="_Toc107446842"/>
      <w:bookmarkStart w:id="98" w:name="_Toc183666514"/>
    </w:p>
    <w:p>
      <w:pPr>
        <w:spacing w:after="120" w:afterLines="50" w:line="360" w:lineRule="auto"/>
        <w:ind w:firstLine="482" w:firstLineChars="200"/>
        <w:rPr>
          <w:rFonts w:hint="eastAsia" w:ascii="宋体" w:hAnsi="宋体" w:cs="宋体"/>
          <w:b/>
          <w:color w:val="auto"/>
          <w:sz w:val="24"/>
          <w:szCs w:val="24"/>
          <w:highlight w:val="none"/>
        </w:rPr>
      </w:pPr>
    </w:p>
    <w:p>
      <w:pPr>
        <w:spacing w:after="120" w:afterLines="50" w:line="360" w:lineRule="auto"/>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color w:val="auto"/>
          <w:sz w:val="24"/>
          <w:szCs w:val="24"/>
          <w:highlight w:val="none"/>
        </w:rPr>
        <w:t>第三条 交货日期及地点</w:t>
      </w:r>
    </w:p>
    <w:p>
      <w:pPr>
        <w:spacing w:after="120" w:afterLines="5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 交货日期 ：</w:t>
      </w:r>
      <w:r>
        <w:rPr>
          <w:rFonts w:hint="eastAsia" w:ascii="仿宋_GB2312" w:hAnsi="仿宋_GB2312" w:eastAsia="仿宋_GB2312" w:cs="仿宋_GB2312"/>
          <w:color w:val="auto"/>
          <w:sz w:val="24"/>
          <w:szCs w:val="24"/>
          <w:highlight w:val="none"/>
          <w:lang w:val="en-US" w:eastAsia="zh-CN"/>
        </w:rPr>
        <w:t>自合同签订之日起</w:t>
      </w:r>
      <w:r>
        <w:rPr>
          <w:rFonts w:hint="eastAsia" w:ascii="仿宋_GB2312" w:hAnsi="仿宋_GB2312" w:eastAsia="仿宋_GB2312" w:cs="仿宋_GB2312"/>
          <w:color w:val="auto"/>
          <w:sz w:val="24"/>
          <w:szCs w:val="24"/>
          <w:highlight w:val="none"/>
          <w:u w:val="none"/>
          <w:lang w:val="en-US" w:eastAsia="zh-CN"/>
        </w:rPr>
        <w:t>30个自然日</w:t>
      </w:r>
      <w:r>
        <w:rPr>
          <w:rFonts w:hint="eastAsia" w:ascii="仿宋_GB2312" w:hAnsi="仿宋_GB2312" w:eastAsia="仿宋_GB2312" w:cs="仿宋_GB2312"/>
          <w:color w:val="auto"/>
          <w:sz w:val="24"/>
          <w:szCs w:val="24"/>
          <w:highlight w:val="none"/>
          <w:lang w:val="en-US" w:eastAsia="zh-CN"/>
        </w:rPr>
        <w:t>内</w:t>
      </w:r>
      <w:r>
        <w:rPr>
          <w:rFonts w:hint="eastAsia" w:ascii="仿宋_GB2312" w:hAnsi="仿宋_GB2312" w:eastAsia="仿宋_GB2312" w:cs="仿宋_GB2312"/>
          <w:color w:val="auto"/>
          <w:sz w:val="24"/>
          <w:szCs w:val="24"/>
          <w:highlight w:val="none"/>
        </w:rPr>
        <w:t>完成供货（如需有不同交货时间注明）,具体交货时间以甲方通知为准。</w:t>
      </w:r>
    </w:p>
    <w:p>
      <w:pPr>
        <w:spacing w:after="0"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3.2交货地点：</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val="en-US" w:eastAsia="zh-CN"/>
        </w:rPr>
        <w:t>广州市净水有限公司猎德分公司</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,最终具体交货地点以甲方通知为准。</w:t>
      </w:r>
    </w:p>
    <w:p>
      <w:pPr>
        <w:spacing w:after="0"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3.3 交货方式：乙方在设备运至交货地</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val="en-US" w:eastAsia="zh-CN"/>
        </w:rPr>
        <w:t>7</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个工作日前通知甲方。</w:t>
      </w:r>
    </w:p>
    <w:p>
      <w:pPr>
        <w:spacing w:after="0" w:line="360" w:lineRule="auto"/>
        <w:ind w:firstLine="480"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3.4其他：</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w:t>
      </w:r>
    </w:p>
    <w:p>
      <w:pPr>
        <w:spacing w:after="0" w:line="360" w:lineRule="auto"/>
        <w:ind w:firstLine="482" w:firstLineChars="200"/>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b/>
          <w:color w:val="auto"/>
          <w:sz w:val="24"/>
          <w:szCs w:val="24"/>
          <w:highlight w:val="none"/>
        </w:rPr>
        <w:t>第四条 合同价格</w:t>
      </w:r>
    </w:p>
    <w:p>
      <w:pPr>
        <w:autoSpaceDE w:val="0"/>
        <w:autoSpaceDN w:val="0"/>
        <w:adjustRightInd w:val="0"/>
        <w:spacing w:after="0" w:line="360" w:lineRule="auto"/>
        <w:ind w:firstLine="480" w:firstLineChars="200"/>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sz w:val="24"/>
          <w:szCs w:val="24"/>
          <w:highlight w:val="none"/>
        </w:rPr>
        <w:t xml:space="preserve">4.1 </w:t>
      </w:r>
      <w:r>
        <w:rPr>
          <w:rFonts w:hint="eastAsia" w:ascii="仿宋_GB2312" w:hAnsi="仿宋_GB2312" w:eastAsia="仿宋_GB2312" w:cs="仿宋_GB2312"/>
          <w:color w:val="auto"/>
          <w:kern w:val="0"/>
          <w:sz w:val="24"/>
          <w:szCs w:val="24"/>
          <w:highlight w:val="none"/>
          <w:lang w:val="zh-CN"/>
        </w:rPr>
        <w:t>本合同</w:t>
      </w:r>
      <w:r>
        <w:rPr>
          <w:rFonts w:hint="eastAsia" w:ascii="仿宋_GB2312" w:hAnsi="仿宋_GB2312" w:eastAsia="仿宋_GB2312" w:cs="仿宋_GB2312"/>
          <w:color w:val="auto"/>
          <w:kern w:val="0"/>
          <w:sz w:val="24"/>
          <w:szCs w:val="24"/>
          <w:highlight w:val="none"/>
        </w:rPr>
        <w:t>暂定</w:t>
      </w:r>
      <w:r>
        <w:rPr>
          <w:rFonts w:hint="eastAsia" w:ascii="仿宋_GB2312" w:hAnsi="仿宋_GB2312" w:eastAsia="仿宋_GB2312" w:cs="仿宋_GB2312"/>
          <w:color w:val="auto"/>
          <w:kern w:val="0"/>
          <w:sz w:val="24"/>
          <w:szCs w:val="24"/>
          <w:highlight w:val="none"/>
          <w:lang w:val="zh-CN"/>
        </w:rPr>
        <w:t>总价为</w:t>
      </w:r>
      <w:r>
        <w:rPr>
          <w:rFonts w:hint="eastAsia" w:ascii="仿宋_GB2312" w:hAnsi="仿宋_GB2312" w:eastAsia="仿宋_GB2312" w:cs="仿宋_GB2312"/>
          <w:color w:val="auto"/>
          <w:kern w:val="0"/>
          <w:sz w:val="24"/>
          <w:szCs w:val="24"/>
          <w:highlight w:val="none"/>
          <w:u w:val="single"/>
          <w:lang w:val="zh-CN"/>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u w:val="single"/>
          <w:lang w:val="zh-CN"/>
        </w:rPr>
        <w:t xml:space="preserve"> </w:t>
      </w:r>
      <w:r>
        <w:rPr>
          <w:rFonts w:hint="eastAsia" w:ascii="仿宋_GB2312" w:hAnsi="仿宋_GB2312" w:eastAsia="仿宋_GB2312" w:cs="仿宋_GB2312"/>
          <w:color w:val="auto"/>
          <w:kern w:val="0"/>
          <w:sz w:val="24"/>
          <w:szCs w:val="24"/>
          <w:highlight w:val="none"/>
          <w:lang w:val="zh-CN"/>
        </w:rPr>
        <w:t>万元，（人民币）大写：</w:t>
      </w:r>
      <w:r>
        <w:rPr>
          <w:rFonts w:hint="eastAsia" w:ascii="仿宋_GB2312" w:hAnsi="仿宋_GB2312" w:eastAsia="仿宋_GB2312" w:cs="仿宋_GB2312"/>
          <w:color w:val="auto"/>
          <w:kern w:val="0"/>
          <w:sz w:val="24"/>
          <w:szCs w:val="24"/>
          <w:highlight w:val="none"/>
          <w:u w:val="single"/>
          <w:lang w:val="zh-CN"/>
        </w:rPr>
        <w:t xml:space="preserve"> </w:t>
      </w:r>
      <w:r>
        <w:rPr>
          <w:rFonts w:hint="eastAsia" w:ascii="仿宋_GB2312" w:hAnsi="仿宋" w:eastAsia="仿宋_GB2312" w:cs="Times New Roman"/>
          <w:b w:val="0"/>
          <w:bCs w:val="0"/>
          <w:color w:val="auto"/>
          <w:sz w:val="24"/>
          <w:szCs w:val="24"/>
          <w:highlight w:val="none"/>
          <w:u w:val="single"/>
          <w:vertAlign w:val="baseline"/>
          <w:lang w:val="en-US" w:eastAsia="zh-CN"/>
        </w:rPr>
        <w:t xml:space="preserve">        </w:t>
      </w:r>
      <w:r>
        <w:rPr>
          <w:rFonts w:hint="eastAsia" w:ascii="仿宋_GB2312" w:hAnsi="仿宋_GB2312" w:eastAsia="仿宋_GB2312" w:cs="仿宋_GB2312"/>
          <w:color w:val="auto"/>
          <w:kern w:val="0"/>
          <w:sz w:val="24"/>
          <w:szCs w:val="24"/>
          <w:highlight w:val="none"/>
          <w:u w:val="single"/>
          <w:lang w:val="zh-CN"/>
        </w:rPr>
        <w:t xml:space="preserve"> </w:t>
      </w:r>
      <w:r>
        <w:rPr>
          <w:rFonts w:hint="eastAsia" w:ascii="仿宋_GB2312" w:hAnsi="仿宋_GB2312" w:eastAsia="仿宋_GB2312" w:cs="仿宋_GB2312"/>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rPr>
        <w:t>4</w:t>
      </w:r>
      <w:r>
        <w:rPr>
          <w:rFonts w:hint="eastAsia" w:ascii="仿宋_GB2312" w:hAnsi="仿宋_GB2312" w:eastAsia="仿宋_GB2312" w:cs="仿宋_GB2312"/>
          <w:color w:val="auto"/>
          <w:kern w:val="0"/>
          <w:sz w:val="24"/>
          <w:szCs w:val="24"/>
          <w:highlight w:val="none"/>
          <w:lang w:val="zh-CN"/>
        </w:rPr>
        <w:t>.2</w:t>
      </w:r>
      <w:r>
        <w:rPr>
          <w:rFonts w:hint="eastAsia" w:ascii="仿宋_GB2312" w:hAnsi="仿宋_GB2312" w:eastAsia="仿宋_GB2312" w:cs="仿宋_GB2312"/>
          <w:color w:val="auto"/>
          <w:kern w:val="0"/>
          <w:sz w:val="24"/>
          <w:szCs w:val="24"/>
          <w:highlight w:val="none"/>
        </w:rPr>
        <w:t xml:space="preserve"> </w:t>
      </w:r>
      <w:r>
        <w:rPr>
          <w:rFonts w:hint="eastAsia" w:ascii="仿宋_GB2312" w:hAnsi="仿宋_GB2312" w:eastAsia="仿宋_GB2312" w:cs="仿宋_GB2312"/>
          <w:color w:val="auto"/>
          <w:kern w:val="0"/>
          <w:sz w:val="24"/>
          <w:szCs w:val="24"/>
          <w:highlight w:val="none"/>
          <w:lang w:val="zh-CN"/>
        </w:rPr>
        <w:t>设备价格包括</w:t>
      </w:r>
      <w:r>
        <w:rPr>
          <w:rFonts w:hint="eastAsia" w:ascii="仿宋_GB2312" w:hAnsi="仿宋_GB2312" w:eastAsia="仿宋_GB2312" w:cs="仿宋_GB2312"/>
          <w:color w:val="auto"/>
          <w:kern w:val="0"/>
          <w:sz w:val="24"/>
          <w:szCs w:val="24"/>
          <w:highlight w:val="none"/>
          <w:u w:val="single"/>
          <w:lang w:val="en-US" w:eastAsia="zh-CN"/>
        </w:rPr>
        <w:t>原三箱式干粉配制和投加装置的拆除费、搬运费、清运废弃物等费用，</w:t>
      </w:r>
      <w:r>
        <w:rPr>
          <w:rFonts w:hint="eastAsia" w:ascii="仿宋_GB2312" w:hAnsi="仿宋_GB2312" w:eastAsia="仿宋_GB2312" w:cs="仿宋_GB2312"/>
          <w:color w:val="auto"/>
          <w:kern w:val="0"/>
          <w:sz w:val="24"/>
          <w:szCs w:val="24"/>
          <w:highlight w:val="none"/>
          <w:u w:val="single"/>
          <w:lang w:val="zh-CN"/>
        </w:rPr>
        <w:t>工艺设计、设备及随机附件的制造、包装、运输（设备运输过程中所需的相关手续</w:t>
      </w:r>
      <w:r>
        <w:rPr>
          <w:rFonts w:hint="eastAsia" w:ascii="仿宋_GB2312" w:hAnsi="仿宋_GB2312" w:eastAsia="仿宋_GB2312" w:cs="仿宋_GB2312"/>
          <w:color w:val="auto"/>
          <w:kern w:val="0"/>
          <w:sz w:val="24"/>
          <w:szCs w:val="24"/>
          <w:highlight w:val="none"/>
          <w:u w:val="single"/>
        </w:rPr>
        <w:t>及费用</w:t>
      </w:r>
      <w:r>
        <w:rPr>
          <w:rFonts w:hint="eastAsia" w:ascii="仿宋_GB2312" w:hAnsi="仿宋_GB2312" w:eastAsia="仿宋_GB2312" w:cs="仿宋_GB2312"/>
          <w:color w:val="auto"/>
          <w:kern w:val="0"/>
          <w:sz w:val="24"/>
          <w:szCs w:val="24"/>
          <w:highlight w:val="none"/>
          <w:u w:val="single"/>
          <w:lang w:val="zh-CN"/>
        </w:rPr>
        <w:t>）、装卸、</w:t>
      </w:r>
      <w:r>
        <w:rPr>
          <w:rFonts w:hint="eastAsia" w:ascii="仿宋_GB2312" w:hAnsi="仿宋_GB2312" w:eastAsia="仿宋_GB2312" w:cs="仿宋_GB2312"/>
          <w:color w:val="auto"/>
          <w:kern w:val="0"/>
          <w:sz w:val="24"/>
          <w:szCs w:val="24"/>
          <w:highlight w:val="none"/>
          <w:u w:val="single"/>
          <w:lang w:val="en-US" w:eastAsia="zh-CN"/>
        </w:rPr>
        <w:t>指导安装调试</w:t>
      </w:r>
      <w:r>
        <w:rPr>
          <w:rFonts w:hint="eastAsia" w:ascii="仿宋_GB2312" w:hAnsi="仿宋_GB2312" w:eastAsia="仿宋_GB2312" w:cs="仿宋_GB2312"/>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w:t>
      </w:r>
      <w:r>
        <w:rPr>
          <w:rFonts w:hint="eastAsia" w:ascii="仿宋_GB2312" w:hAnsi="仿宋_GB2312" w:eastAsia="仿宋_GB2312" w:cs="仿宋_GB2312"/>
          <w:color w:val="auto"/>
          <w:kern w:val="0"/>
          <w:sz w:val="24"/>
          <w:szCs w:val="24"/>
          <w:highlight w:val="none"/>
          <w:lang w:val="zh-CN"/>
        </w:rPr>
        <w:t>.3</w:t>
      </w:r>
      <w:r>
        <w:rPr>
          <w:rFonts w:hint="eastAsia" w:ascii="仿宋_GB2312" w:hAnsi="仿宋_GB2312" w:eastAsia="仿宋_GB2312" w:cs="仿宋_GB2312"/>
          <w:color w:val="auto"/>
          <w:kern w:val="0"/>
          <w:sz w:val="24"/>
          <w:szCs w:val="24"/>
          <w:highlight w:val="none"/>
        </w:rPr>
        <w:t xml:space="preserve"> 本合同约定的价格为含税价价格</w:t>
      </w:r>
      <w:r>
        <w:rPr>
          <w:rFonts w:hint="eastAsia" w:ascii="仿宋_GB2312" w:hAnsi="仿宋_GB2312" w:eastAsia="仿宋_GB2312" w:cs="仿宋_GB2312"/>
          <w:color w:val="auto"/>
          <w:sz w:val="24"/>
          <w:szCs w:val="24"/>
          <w:highlight w:val="none"/>
        </w:rPr>
        <w:t>（税率</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hint="eastAsia" w:ascii="仿宋_GB2312" w:hAnsi="仿宋_GB2312" w:eastAsia="仿宋_GB2312" w:cs="仿宋_GB2312"/>
          <w:b/>
          <w:color w:val="auto"/>
          <w:sz w:val="24"/>
          <w:szCs w:val="24"/>
          <w:highlight w:val="none"/>
        </w:rPr>
      </w:pPr>
      <w:bookmarkStart w:id="99" w:name="_Toc474245213"/>
      <w:bookmarkStart w:id="100" w:name="_Toc520190029"/>
      <w:bookmarkStart w:id="101" w:name="_Toc518992989"/>
      <w:bookmarkStart w:id="102" w:name="_Toc107447236"/>
      <w:bookmarkStart w:id="103" w:name="_Toc107446843"/>
      <w:r>
        <w:rPr>
          <w:rFonts w:hint="eastAsia" w:ascii="仿宋_GB2312" w:hAnsi="仿宋_GB2312" w:eastAsia="仿宋_GB2312" w:cs="仿宋_GB2312"/>
          <w:b/>
          <w:color w:val="auto"/>
          <w:sz w:val="24"/>
          <w:szCs w:val="24"/>
          <w:highlight w:val="none"/>
        </w:rPr>
        <w:t>第五条 支付方式</w:t>
      </w:r>
      <w:bookmarkEnd w:id="99"/>
      <w:bookmarkEnd w:id="100"/>
      <w:bookmarkEnd w:id="101"/>
    </w:p>
    <w:bookmarkEnd w:id="102"/>
    <w:bookmarkEnd w:id="103"/>
    <w:p>
      <w:pPr>
        <w:tabs>
          <w:tab w:val="left" w:pos="851"/>
        </w:tabs>
        <w:adjustRightInd w:val="0"/>
        <w:snapToGrid w:val="0"/>
        <w:spacing w:after="0" w:line="360" w:lineRule="auto"/>
        <w:ind w:firstLine="480" w:firstLineChars="200"/>
        <w:rPr>
          <w:rFonts w:hint="eastAsia" w:ascii="仿宋_GB2312" w:hAnsi="仿宋_GB2312" w:eastAsia="仿宋_GB2312" w:cs="仿宋_GB2312"/>
          <w:color w:val="auto"/>
          <w:sz w:val="24"/>
          <w:szCs w:val="24"/>
          <w:highlight w:val="none"/>
        </w:rPr>
      </w:pPr>
      <w:bookmarkStart w:id="104" w:name="_Toc183666516"/>
      <w:bookmarkStart w:id="105" w:name="_Toc14703"/>
      <w:r>
        <w:rPr>
          <w:rFonts w:hint="eastAsia" w:ascii="仿宋_GB2312" w:hAnsi="仿宋_GB2312" w:eastAsia="仿宋_GB2312" w:cs="仿宋_GB2312"/>
          <w:color w:val="auto"/>
          <w:sz w:val="24"/>
          <w:szCs w:val="24"/>
          <w:highlight w:val="none"/>
        </w:rPr>
        <w:t>5.1</w:t>
      </w:r>
      <w:r>
        <w:rPr>
          <w:rFonts w:hint="eastAsia" w:ascii="仿宋_GB2312" w:hAnsi="仿宋_GB2312" w:eastAsia="仿宋_GB2312" w:cs="仿宋_GB2312"/>
          <w:bCs/>
          <w:color w:val="auto"/>
          <w:sz w:val="24"/>
          <w:szCs w:val="24"/>
          <w:highlight w:val="none"/>
        </w:rPr>
        <w:t>预付款的支付：</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bCs/>
          <w:color w:val="auto"/>
          <w:sz w:val="24"/>
          <w:szCs w:val="24"/>
          <w:highlight w:val="none"/>
        </w:rPr>
        <w:t xml:space="preserve">无； </w:t>
      </w:r>
      <w:r>
        <w:rPr>
          <w:rFonts w:hint="eastAsia" w:ascii="仿宋_GB2312" w:hAnsi="仿宋_GB2312" w:eastAsia="仿宋_GB2312" w:cs="仿宋_GB2312"/>
          <w:color w:val="auto"/>
          <w:szCs w:val="21"/>
          <w:highlight w:val="none"/>
          <w:lang w:eastAsia="zh-CN"/>
        </w:rPr>
        <w:t xml:space="preserve"> □</w:t>
      </w:r>
      <w:r>
        <w:rPr>
          <w:rFonts w:hint="eastAsia" w:ascii="仿宋_GB2312" w:hAnsi="仿宋_GB2312" w:eastAsia="仿宋_GB2312" w:cs="仿宋_GB2312"/>
          <w:color w:val="auto"/>
          <w:szCs w:val="21"/>
          <w:highlight w:val="none"/>
          <w:lang w:val="en-US" w:eastAsia="zh-CN"/>
        </w:rPr>
        <w:t>有，</w:t>
      </w:r>
      <w:r>
        <w:rPr>
          <w:rFonts w:hint="eastAsia" w:ascii="仿宋_GB2312" w:hAnsi="仿宋_GB2312" w:eastAsia="仿宋_GB2312" w:cs="仿宋_GB2312"/>
          <w:bCs/>
          <w:color w:val="auto"/>
          <w:sz w:val="24"/>
          <w:szCs w:val="24"/>
          <w:highlight w:val="none"/>
        </w:rPr>
        <w:t>合同签订后，乙方开具等额的增值税专用发票及提交履约担保（如有）后</w:t>
      </w:r>
      <w:r>
        <w:rPr>
          <w:rFonts w:hint="eastAsia" w:ascii="仿宋_GB2312" w:hAnsi="仿宋_GB2312" w:eastAsia="仿宋_GB2312" w:cs="仿宋_GB2312"/>
          <w:bCs/>
          <w:color w:val="auto"/>
          <w:sz w:val="24"/>
          <w:szCs w:val="24"/>
          <w:highlight w:val="none"/>
          <w:u w:val="single"/>
          <w:lang w:val="en-US" w:eastAsia="zh-CN"/>
        </w:rPr>
        <w:t>3</w:t>
      </w:r>
      <w:r>
        <w:rPr>
          <w:rFonts w:hint="eastAsia" w:ascii="仿宋_GB2312" w:hAnsi="仿宋_GB2312" w:eastAsia="仿宋_GB2312" w:cs="仿宋_GB2312"/>
          <w:bCs/>
          <w:color w:val="auto"/>
          <w:sz w:val="24"/>
          <w:szCs w:val="24"/>
          <w:highlight w:val="none"/>
          <w:u w:val="single"/>
        </w:rPr>
        <w:t>0</w:t>
      </w:r>
      <w:r>
        <w:rPr>
          <w:rFonts w:hint="eastAsia" w:ascii="仿宋_GB2312" w:hAnsi="仿宋_GB2312" w:eastAsia="仿宋_GB2312" w:cs="仿宋_GB2312"/>
          <w:bCs/>
          <w:color w:val="auto"/>
          <w:sz w:val="24"/>
          <w:szCs w:val="24"/>
          <w:highlight w:val="none"/>
        </w:rPr>
        <w:t xml:space="preserve">个工作日内，甲方支付合同暂定总价的 </w:t>
      </w:r>
      <w:r>
        <w:rPr>
          <w:rFonts w:hint="eastAsia" w:ascii="仿宋_GB2312" w:hAnsi="仿宋_GB2312" w:eastAsia="仿宋_GB2312" w:cs="仿宋_GB2312"/>
          <w:bCs/>
          <w:color w:val="auto"/>
          <w:sz w:val="24"/>
          <w:szCs w:val="24"/>
          <w:highlight w:val="none"/>
          <w:u w:val="single"/>
        </w:rPr>
        <w:t xml:space="preserve"> 30%  </w:t>
      </w:r>
      <w:r>
        <w:rPr>
          <w:rFonts w:hint="eastAsia" w:ascii="仿宋_GB2312" w:hAnsi="仿宋_GB2312" w:eastAsia="仿宋_GB2312" w:cs="仿宋_GB2312"/>
          <w:color w:val="auto"/>
          <w:sz w:val="24"/>
          <w:szCs w:val="24"/>
          <w:highlight w:val="none"/>
        </w:rPr>
        <w:t>即</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rPr>
        <w:t xml:space="preserve">元，（大写： </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rPr>
        <w:t xml:space="preserve"> ）  </w:t>
      </w:r>
      <w:r>
        <w:rPr>
          <w:rFonts w:hint="eastAsia" w:ascii="仿宋_GB2312" w:hAnsi="仿宋_GB2312" w:eastAsia="仿宋_GB2312" w:cs="仿宋_GB2312"/>
          <w:bCs/>
          <w:color w:val="auto"/>
          <w:sz w:val="24"/>
          <w:szCs w:val="24"/>
          <w:highlight w:val="none"/>
        </w:rPr>
        <w:t>作为预付款。</w:t>
      </w:r>
      <w:r>
        <w:rPr>
          <w:rFonts w:hint="eastAsia" w:ascii="仿宋_GB2312" w:hAnsi="仿宋_GB2312" w:eastAsia="仿宋_GB2312" w:cs="仿宋_GB2312"/>
          <w:color w:val="auto"/>
          <w:sz w:val="24"/>
          <w:szCs w:val="24"/>
          <w:highlight w:val="none"/>
        </w:rPr>
        <w:t>若合同解除或终止，乙方在</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1</w:t>
      </w:r>
      <w:r>
        <w:rPr>
          <w:rFonts w:hint="eastAsia" w:ascii="仿宋_GB2312" w:hAnsi="仿宋_GB2312" w:eastAsia="仿宋_GB2312" w:cs="仿宋_GB2312"/>
          <w:color w:val="auto"/>
          <w:sz w:val="24"/>
          <w:szCs w:val="24"/>
          <w:highlight w:val="none"/>
          <w:u w:val="single"/>
        </w:rPr>
        <w:t xml:space="preserve">5 </w:t>
      </w:r>
      <w:r>
        <w:rPr>
          <w:rFonts w:hint="eastAsia" w:ascii="仿宋_GB2312" w:hAnsi="仿宋_GB2312" w:eastAsia="仿宋_GB2312" w:cs="仿宋_GB2312"/>
          <w:color w:val="auto"/>
          <w:sz w:val="24"/>
          <w:szCs w:val="24"/>
          <w:highlight w:val="none"/>
        </w:rPr>
        <w:t>个工作日内返还预付款（无息）。</w:t>
      </w:r>
      <w:r>
        <w:rPr>
          <w:rFonts w:hint="eastAsia" w:ascii="仿宋_GB2312" w:hAnsi="仿宋_GB2312" w:eastAsia="仿宋_GB2312" w:cs="仿宋_GB2312"/>
          <w:bCs/>
          <w:color w:val="auto"/>
          <w:kern w:val="0"/>
          <w:sz w:val="24"/>
          <w:szCs w:val="24"/>
          <w:highlight w:val="none"/>
        </w:rPr>
        <w:t>逾期未返还，每逾期一天，乙方应按合同暂定总价的</w:t>
      </w:r>
      <w:r>
        <w:rPr>
          <w:rFonts w:hint="eastAsia" w:ascii="仿宋_GB2312" w:hAnsi="仿宋_GB2312" w:eastAsia="仿宋_GB2312" w:cs="仿宋_GB2312"/>
          <w:bCs/>
          <w:color w:val="auto"/>
          <w:kern w:val="0"/>
          <w:sz w:val="24"/>
          <w:szCs w:val="24"/>
          <w:highlight w:val="none"/>
          <w:u w:val="single"/>
        </w:rPr>
        <w:t>万分之五/天</w:t>
      </w:r>
      <w:r>
        <w:rPr>
          <w:rFonts w:hint="eastAsia" w:ascii="仿宋_GB2312" w:hAnsi="仿宋_GB2312" w:eastAsia="仿宋_GB2312" w:cs="仿宋_GB2312"/>
          <w:bCs/>
          <w:color w:val="auto"/>
          <w:kern w:val="0"/>
          <w:sz w:val="24"/>
          <w:szCs w:val="24"/>
          <w:highlight w:val="none"/>
        </w:rPr>
        <w:t>支付违约金</w:t>
      </w:r>
      <w:r>
        <w:rPr>
          <w:rFonts w:hint="eastAsia" w:ascii="仿宋_GB2312" w:hAnsi="仿宋_GB2312" w:eastAsia="仿宋_GB2312" w:cs="仿宋_GB2312"/>
          <w:color w:val="auto"/>
          <w:sz w:val="24"/>
          <w:szCs w:val="24"/>
          <w:highlight w:val="none"/>
        </w:rPr>
        <w:t>。</w:t>
      </w:r>
    </w:p>
    <w:p>
      <w:pPr>
        <w:tabs>
          <w:tab w:val="left" w:pos="851"/>
        </w:tabs>
        <w:adjustRightInd w:val="0"/>
        <w:snapToGrid w:val="0"/>
        <w:spacing w:after="0"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5.2 支付方式：</w:t>
      </w:r>
    </w:p>
    <w:p>
      <w:pPr>
        <w:autoSpaceDE w:val="0"/>
        <w:autoSpaceDN w:val="0"/>
        <w:adjustRightInd w:val="0"/>
        <w:spacing w:after="0" w:line="360" w:lineRule="auto"/>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5.2.1设备到达现场，经开箱验收合格并全部调试完毕</w:t>
      </w:r>
      <w:r>
        <w:rPr>
          <w:rFonts w:hint="eastAsia" w:ascii="仿宋_GB2312" w:hAnsi="仿宋_GB2312" w:eastAsia="仿宋_GB2312" w:cs="仿宋_GB2312"/>
          <w:color w:val="auto"/>
          <w:sz w:val="24"/>
          <w:szCs w:val="24"/>
          <w:highlight w:val="none"/>
          <w:lang w:val="en-US" w:eastAsia="zh-CN"/>
        </w:rPr>
        <w:t>后</w:t>
      </w:r>
      <w:r>
        <w:rPr>
          <w:rFonts w:hint="eastAsia" w:ascii="仿宋_GB2312" w:hAnsi="仿宋_GB2312" w:eastAsia="仿宋_GB2312" w:cs="仿宋_GB2312"/>
          <w:color w:val="auto"/>
          <w:sz w:val="24"/>
          <w:szCs w:val="24"/>
          <w:highlight w:val="none"/>
        </w:rPr>
        <w:t>，乙方提交请款资料及等额增值税专用发票，</w:t>
      </w:r>
      <w:r>
        <w:rPr>
          <w:rFonts w:hint="eastAsia" w:ascii="仿宋_GB2312" w:hAnsi="仿宋_GB2312" w:eastAsia="仿宋_GB2312" w:cs="仿宋_GB2312"/>
          <w:color w:val="auto"/>
          <w:sz w:val="24"/>
          <w:szCs w:val="24"/>
          <w:highlight w:val="none"/>
          <w:lang w:val="en-US" w:eastAsia="zh-CN"/>
        </w:rPr>
        <w:t>甲方支付该合同暂定价的</w:t>
      </w:r>
      <w:r>
        <w:rPr>
          <w:rFonts w:hint="eastAsia" w:ascii="仿宋_GB2312" w:hAnsi="仿宋_GB2312" w:eastAsia="仿宋_GB2312" w:cs="仿宋_GB2312"/>
          <w:color w:val="auto"/>
          <w:sz w:val="24"/>
          <w:szCs w:val="24"/>
          <w:highlight w:val="none"/>
          <w:u w:val="single"/>
          <w:lang w:val="en-US" w:eastAsia="zh-CN"/>
        </w:rPr>
        <w:t xml:space="preserve"> 80% </w:t>
      </w:r>
      <w:r>
        <w:rPr>
          <w:rFonts w:hint="eastAsia" w:ascii="仿宋_GB2312" w:hAnsi="仿宋_GB2312" w:eastAsia="仿宋_GB2312" w:cs="仿宋_GB2312"/>
          <w:color w:val="auto"/>
          <w:sz w:val="24"/>
          <w:szCs w:val="24"/>
          <w:highlight w:val="none"/>
          <w:lang w:val="en-US" w:eastAsia="zh-CN"/>
        </w:rPr>
        <w:t>即</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元给乙方。</w:t>
      </w:r>
    </w:p>
    <w:p>
      <w:pPr>
        <w:autoSpaceDE w:val="0"/>
        <w:autoSpaceDN w:val="0"/>
        <w:adjustRightInd w:val="0"/>
        <w:spacing w:after="0" w:line="360" w:lineRule="auto"/>
        <w:ind w:firstLine="480" w:firstLineChars="20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5.2.2</w:t>
      </w:r>
      <w:r>
        <w:rPr>
          <w:rFonts w:hint="eastAsia" w:ascii="仿宋_GB2312" w:hAnsi="仿宋_GB2312" w:eastAsia="仿宋_GB2312" w:cs="仿宋_GB2312"/>
          <w:color w:val="auto"/>
          <w:sz w:val="24"/>
          <w:szCs w:val="24"/>
          <w:highlight w:val="none"/>
          <w:lang w:val="en-US" w:eastAsia="zh-CN"/>
        </w:rPr>
        <w:t>经甲方或</w:t>
      </w:r>
      <w:r>
        <w:rPr>
          <w:rFonts w:hint="eastAsia" w:ascii="仿宋_GB2312" w:hAnsi="仿宋_GB2312" w:eastAsia="仿宋_GB2312" w:cs="仿宋_GB2312"/>
          <w:color w:val="auto"/>
          <w:sz w:val="24"/>
          <w:szCs w:val="24"/>
          <w:highlight w:val="none"/>
        </w:rPr>
        <w:t>甲方委托有资质第三方机构审核后，由乙方提交申请支付资料</w:t>
      </w:r>
      <w:r>
        <w:rPr>
          <w:rFonts w:hint="eastAsia" w:ascii="仿宋_GB2312" w:hAnsi="仿宋_GB2312" w:eastAsia="仿宋_GB2312" w:cs="仿宋_GB2312"/>
          <w:color w:val="auto"/>
          <w:sz w:val="24"/>
          <w:szCs w:val="24"/>
          <w:highlight w:val="none"/>
          <w:lang w:val="en-US" w:eastAsia="zh-CN"/>
        </w:rPr>
        <w:t>及剩余货款的等额增值税专用发票，</w:t>
      </w:r>
      <w:r>
        <w:rPr>
          <w:rFonts w:hint="eastAsia" w:ascii="仿宋_GB2312" w:hAnsi="仿宋_GB2312" w:eastAsia="仿宋_GB2312" w:cs="仿宋_GB2312"/>
          <w:color w:val="auto"/>
          <w:sz w:val="24"/>
          <w:szCs w:val="24"/>
          <w:highlight w:val="none"/>
        </w:rPr>
        <w:t>甲方审核无误</w:t>
      </w:r>
      <w:r>
        <w:rPr>
          <w:rFonts w:hint="eastAsia" w:ascii="仿宋_GB2312" w:hAnsi="仿宋_GB2312" w:eastAsia="仿宋_GB2312" w:cs="仿宋_GB2312"/>
          <w:color w:val="auto"/>
          <w:sz w:val="24"/>
          <w:szCs w:val="24"/>
          <w:highlight w:val="none"/>
          <w:lang w:val="en-US" w:eastAsia="zh-CN"/>
        </w:rPr>
        <w:t>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30</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个工作日内，支付至合同结算价的</w:t>
      </w:r>
      <w:r>
        <w:rPr>
          <w:rFonts w:hint="eastAsia" w:ascii="仿宋_GB2312" w:hAnsi="仿宋_GB2312" w:eastAsia="仿宋_GB2312" w:cs="仿宋_GB2312"/>
          <w:color w:val="auto"/>
          <w:sz w:val="24"/>
          <w:szCs w:val="24"/>
          <w:highlight w:val="none"/>
          <w:u w:val="single"/>
        </w:rPr>
        <w:t>95%</w:t>
      </w:r>
      <w:r>
        <w:rPr>
          <w:rFonts w:hint="eastAsia" w:ascii="仿宋_GB2312" w:hAnsi="仿宋_GB2312" w:eastAsia="仿宋_GB2312" w:cs="仿宋_GB2312"/>
          <w:color w:val="auto"/>
          <w:sz w:val="24"/>
          <w:szCs w:val="24"/>
          <w:highlight w:val="none"/>
        </w:rPr>
        <w:t>（含</w:t>
      </w:r>
      <w:r>
        <w:rPr>
          <w:rFonts w:hint="eastAsia" w:ascii="仿宋_GB2312" w:hAnsi="仿宋_GB2312" w:eastAsia="仿宋_GB2312" w:cs="仿宋_GB2312"/>
          <w:color w:val="auto"/>
          <w:sz w:val="24"/>
          <w:szCs w:val="24"/>
          <w:highlight w:val="none"/>
          <w:lang w:val="en-US" w:eastAsia="zh-CN"/>
        </w:rPr>
        <w:t>进度</w:t>
      </w:r>
      <w:r>
        <w:rPr>
          <w:rFonts w:hint="eastAsia" w:ascii="仿宋_GB2312" w:hAnsi="仿宋_GB2312" w:eastAsia="仿宋_GB2312" w:cs="仿宋_GB2312"/>
          <w:color w:val="auto"/>
          <w:sz w:val="24"/>
          <w:szCs w:val="24"/>
          <w:highlight w:val="none"/>
        </w:rPr>
        <w:t>款）（若审核价低于合同暂定总价，则以审核价作为合同结算价，否则以合同暂定总价为合同结算价），合同结算价的</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5%</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作为质保金留存。质保期按合同第</w:t>
      </w:r>
      <w:r>
        <w:rPr>
          <w:rFonts w:hint="eastAsia" w:ascii="仿宋_GB2312" w:hAnsi="仿宋_GB2312" w:eastAsia="仿宋_GB2312" w:cs="仿宋_GB2312"/>
          <w:color w:val="auto"/>
          <w:sz w:val="24"/>
          <w:szCs w:val="24"/>
          <w:highlight w:val="none"/>
          <w:lang w:val="en-US" w:eastAsia="zh-CN"/>
        </w:rPr>
        <w:t>十</w:t>
      </w:r>
      <w:r>
        <w:rPr>
          <w:rFonts w:hint="eastAsia" w:ascii="仿宋_GB2312" w:hAnsi="仿宋_GB2312" w:eastAsia="仿宋_GB2312" w:cs="仿宋_GB2312"/>
          <w:color w:val="auto"/>
          <w:sz w:val="24"/>
          <w:szCs w:val="24"/>
          <w:highlight w:val="none"/>
        </w:rPr>
        <w:t>条规定执行，质保期满且乙方不存在违约情形，</w:t>
      </w:r>
      <w:r>
        <w:rPr>
          <w:rFonts w:hint="eastAsia" w:ascii="仿宋_GB2312" w:hAnsi="仿宋_GB2312" w:eastAsia="仿宋_GB2312" w:cs="仿宋_GB2312"/>
          <w:color w:val="auto"/>
          <w:sz w:val="24"/>
          <w:szCs w:val="24"/>
          <w:highlight w:val="none"/>
          <w:lang w:val="en-US" w:eastAsia="zh-CN"/>
        </w:rPr>
        <w:t>由</w:t>
      </w:r>
      <w:r>
        <w:rPr>
          <w:rFonts w:hint="eastAsia" w:ascii="仿宋_GB2312" w:hAnsi="仿宋_GB2312" w:eastAsia="仿宋_GB2312" w:cs="仿宋_GB2312"/>
          <w:color w:val="auto"/>
          <w:sz w:val="24"/>
          <w:szCs w:val="24"/>
          <w:highlight w:val="none"/>
        </w:rPr>
        <w:t>乙方提交</w:t>
      </w:r>
      <w:r>
        <w:rPr>
          <w:rFonts w:hint="eastAsia" w:ascii="仿宋_GB2312" w:hAnsi="仿宋_GB2312" w:eastAsia="仿宋_GB2312" w:cs="仿宋_GB2312"/>
          <w:color w:val="auto"/>
          <w:sz w:val="24"/>
          <w:szCs w:val="24"/>
          <w:highlight w:val="none"/>
          <w:lang w:val="en-US" w:eastAsia="zh-CN"/>
        </w:rPr>
        <w:t>申请质保金退还资料</w:t>
      </w:r>
      <w:r>
        <w:rPr>
          <w:rFonts w:hint="eastAsia" w:ascii="仿宋_GB2312" w:hAnsi="仿宋_GB2312" w:eastAsia="仿宋_GB2312" w:cs="仿宋_GB2312"/>
          <w:color w:val="auto"/>
          <w:sz w:val="24"/>
          <w:szCs w:val="24"/>
          <w:highlight w:val="none"/>
        </w:rPr>
        <w:t>，甲方审核无误后在</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30</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个工作日内支付合同结算价的5％（质保金）给乙方(无息)。</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5.2.3乙方收款账户：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p>
    <w:p>
      <w:pPr>
        <w:spacing w:line="360" w:lineRule="auto"/>
        <w:ind w:firstLine="1200" w:firstLineChars="5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收款账号：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w:t>
      </w:r>
    </w:p>
    <w:p>
      <w:pPr>
        <w:spacing w:line="360" w:lineRule="auto"/>
        <w:ind w:firstLine="1200" w:firstLineChars="5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开</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户</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行：</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eastAsia="zh-CN"/>
        </w:rPr>
        <w:t>。</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5.2.4乙方在收款前需向甲方提交等额增值税专用发票，增值税专用发票信息：</w:t>
      </w:r>
    </w:p>
    <w:p>
      <w:pPr>
        <w:tabs>
          <w:tab w:val="left" w:pos="851"/>
        </w:tabs>
        <w:adjustRightInd w:val="0"/>
        <w:snapToGrid w:val="0"/>
        <w:spacing w:line="360" w:lineRule="auto"/>
        <w:ind w:firstLine="1200" w:firstLineChars="500"/>
        <w:outlineLvl w:val="1"/>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u w:val="none"/>
          <w:lang w:val="en-US" w:eastAsia="zh-CN"/>
        </w:rPr>
        <w:t>名        称：</w:t>
      </w:r>
      <w:r>
        <w:rPr>
          <w:rFonts w:hint="eastAsia" w:ascii="仿宋_GB2312" w:hAnsi="仿宋_GB2312" w:eastAsia="仿宋_GB2312" w:cs="仿宋_GB2312"/>
          <w:color w:val="auto"/>
          <w:sz w:val="24"/>
          <w:szCs w:val="24"/>
          <w:highlight w:val="none"/>
          <w:u w:val="single"/>
        </w:rPr>
        <w:t>广州市净水有限公司</w:t>
      </w:r>
      <w:r>
        <w:rPr>
          <w:rFonts w:hint="eastAsia" w:ascii="仿宋_GB2312" w:hAnsi="仿宋_GB2312" w:eastAsia="仿宋_GB2312" w:cs="仿宋_GB2312"/>
          <w:color w:val="auto"/>
          <w:sz w:val="24"/>
          <w:szCs w:val="24"/>
          <w:highlight w:val="none"/>
          <w:u w:val="none"/>
          <w:lang w:eastAsia="zh-CN"/>
        </w:rPr>
        <w:t>；</w:t>
      </w:r>
    </w:p>
    <w:p>
      <w:pPr>
        <w:tabs>
          <w:tab w:val="left" w:pos="851"/>
        </w:tabs>
        <w:adjustRightInd w:val="0"/>
        <w:snapToGrid w:val="0"/>
        <w:spacing w:line="360" w:lineRule="auto"/>
        <w:ind w:firstLine="1200" w:firstLineChars="500"/>
        <w:outlineLvl w:val="1"/>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u w:val="none"/>
        </w:rPr>
        <w:t>纳税人识别号</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single"/>
        </w:rPr>
        <w:t>91440101755584729Q</w:t>
      </w:r>
      <w:r>
        <w:rPr>
          <w:rFonts w:hint="eastAsia" w:ascii="仿宋_GB2312" w:hAnsi="仿宋_GB2312" w:eastAsia="仿宋_GB2312" w:cs="仿宋_GB2312"/>
          <w:color w:val="auto"/>
          <w:sz w:val="24"/>
          <w:szCs w:val="24"/>
          <w:highlight w:val="none"/>
          <w:u w:val="none"/>
          <w:lang w:eastAsia="zh-CN"/>
        </w:rPr>
        <w:t>；</w:t>
      </w:r>
    </w:p>
    <w:p>
      <w:pPr>
        <w:tabs>
          <w:tab w:val="left" w:pos="851"/>
        </w:tabs>
        <w:adjustRightInd w:val="0"/>
        <w:snapToGrid w:val="0"/>
        <w:spacing w:line="360" w:lineRule="auto"/>
        <w:ind w:firstLine="1200" w:firstLineChars="500"/>
        <w:outlineLvl w:val="1"/>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u w:val="none"/>
        </w:rPr>
        <w:t>地</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址/电</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话</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single"/>
        </w:rPr>
        <w:t>广州市天河区临江大道501号/020-38890283</w:t>
      </w:r>
      <w:r>
        <w:rPr>
          <w:rFonts w:hint="eastAsia" w:ascii="仿宋_GB2312" w:hAnsi="仿宋_GB2312" w:eastAsia="仿宋_GB2312" w:cs="仿宋_GB2312"/>
          <w:color w:val="auto"/>
          <w:sz w:val="24"/>
          <w:szCs w:val="24"/>
          <w:highlight w:val="none"/>
          <w:u w:val="none"/>
          <w:lang w:eastAsia="zh-CN"/>
        </w:rPr>
        <w:t>；</w:t>
      </w:r>
    </w:p>
    <w:p>
      <w:pPr>
        <w:tabs>
          <w:tab w:val="left" w:pos="851"/>
        </w:tabs>
        <w:adjustRightInd w:val="0"/>
        <w:snapToGrid w:val="0"/>
        <w:spacing w:line="360" w:lineRule="auto"/>
        <w:ind w:firstLine="1200" w:firstLineChars="500"/>
        <w:outlineLvl w:val="1"/>
        <w:rPr>
          <w:rFonts w:hint="eastAsia" w:ascii="仿宋_GB2312" w:hAnsi="仿宋_GB2312" w:eastAsia="仿宋_GB2312" w:cs="仿宋_GB2312"/>
          <w:color w:val="auto"/>
          <w:sz w:val="24"/>
          <w:szCs w:val="24"/>
          <w:highlight w:val="none"/>
          <w:u w:val="single"/>
          <w:lang w:eastAsia="zh-CN"/>
        </w:rPr>
      </w:pPr>
      <w:r>
        <w:rPr>
          <w:rFonts w:hint="eastAsia" w:ascii="仿宋_GB2312" w:hAnsi="仿宋_GB2312" w:eastAsia="仿宋_GB2312" w:cs="仿宋_GB2312"/>
          <w:color w:val="auto"/>
          <w:sz w:val="24"/>
          <w:szCs w:val="24"/>
          <w:highlight w:val="none"/>
          <w:u w:val="none"/>
        </w:rPr>
        <w:t>开户银行及账号</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single"/>
        </w:rPr>
        <w:t>民生银行广州</w:t>
      </w:r>
      <w:r>
        <w:rPr>
          <w:rFonts w:hint="eastAsia" w:ascii="仿宋_GB2312" w:hAnsi="仿宋_GB2312" w:eastAsia="仿宋_GB2312" w:cs="仿宋_GB2312"/>
          <w:color w:val="auto"/>
          <w:sz w:val="24"/>
          <w:szCs w:val="24"/>
          <w:highlight w:val="none"/>
          <w:u w:val="single"/>
          <w:lang w:val="en-US" w:eastAsia="zh-CN"/>
        </w:rPr>
        <w:t>分</w:t>
      </w:r>
      <w:r>
        <w:rPr>
          <w:rFonts w:hint="eastAsia" w:ascii="仿宋_GB2312" w:hAnsi="仿宋_GB2312" w:eastAsia="仿宋_GB2312" w:cs="仿宋_GB2312"/>
          <w:color w:val="auto"/>
          <w:sz w:val="24"/>
          <w:szCs w:val="24"/>
          <w:highlight w:val="none"/>
          <w:u w:val="single"/>
        </w:rPr>
        <w:t>行</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0301014140006932</w:t>
      </w:r>
      <w:r>
        <w:rPr>
          <w:rFonts w:hint="eastAsia" w:ascii="仿宋_GB2312" w:hAnsi="仿宋_GB2312" w:eastAsia="仿宋_GB2312" w:cs="仿宋_GB2312"/>
          <w:color w:val="auto"/>
          <w:sz w:val="24"/>
          <w:szCs w:val="24"/>
          <w:highlight w:val="none"/>
          <w:u w:val="none"/>
          <w:lang w:eastAsia="zh-CN"/>
        </w:rPr>
        <w:t>。</w:t>
      </w:r>
    </w:p>
    <w:p>
      <w:pPr>
        <w:tabs>
          <w:tab w:val="left" w:pos="851"/>
        </w:tabs>
        <w:adjustRightInd w:val="0"/>
        <w:snapToGrid w:val="0"/>
        <w:spacing w:line="360" w:lineRule="auto"/>
        <w:ind w:firstLine="480" w:firstLineChars="200"/>
        <w:outlineLvl w:val="1"/>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5.3付款方式： </w:t>
      </w:r>
      <w:r>
        <w:rPr>
          <w:rFonts w:hint="eastAsia" w:ascii="仿宋_GB2312" w:hAnsi="仿宋_GB2312" w:eastAsia="仿宋_GB2312" w:cs="仿宋_GB2312"/>
          <w:color w:val="auto"/>
          <w:sz w:val="24"/>
          <w:szCs w:val="24"/>
          <w:highlight w:val="none"/>
        </w:rPr>
        <w:sym w:font="Wingdings" w:char="00FE"/>
      </w:r>
      <w:r>
        <w:rPr>
          <w:rFonts w:hint="eastAsia" w:ascii="仿宋_GB2312" w:hAnsi="仿宋_GB2312" w:eastAsia="仿宋_GB2312" w:cs="仿宋_GB2312"/>
          <w:color w:val="auto"/>
          <w:sz w:val="24"/>
          <w:szCs w:val="24"/>
          <w:highlight w:val="none"/>
        </w:rPr>
        <w:t xml:space="preserve">网银支付；  </w:t>
      </w:r>
      <w:r>
        <w:rPr>
          <w:rFonts w:hint="eastAsia" w:ascii="仿宋_GB2312" w:hAnsi="仿宋_GB2312" w:eastAsia="仿宋_GB2312" w:cs="仿宋_GB2312"/>
          <w:color w:val="auto"/>
          <w:sz w:val="24"/>
          <w:szCs w:val="24"/>
          <w:highlight w:val="none"/>
        </w:rPr>
        <w:sym w:font="Wingdings" w:char="00A8"/>
      </w:r>
      <w:r>
        <w:rPr>
          <w:rFonts w:hint="eastAsia" w:ascii="仿宋_GB2312" w:hAnsi="仿宋_GB2312" w:eastAsia="仿宋_GB2312" w:cs="仿宋_GB2312"/>
          <w:color w:val="auto"/>
          <w:sz w:val="24"/>
          <w:szCs w:val="24"/>
          <w:highlight w:val="none"/>
        </w:rPr>
        <w:t xml:space="preserve">支票；   </w:t>
      </w:r>
      <w:r>
        <w:rPr>
          <w:rFonts w:hint="eastAsia" w:ascii="仿宋_GB2312" w:hAnsi="仿宋_GB2312" w:eastAsia="仿宋_GB2312" w:cs="仿宋_GB2312"/>
          <w:color w:val="auto"/>
          <w:sz w:val="24"/>
          <w:szCs w:val="24"/>
          <w:highlight w:val="none"/>
        </w:rPr>
        <w:sym w:font="Wingdings" w:char="00A8"/>
      </w:r>
      <w:r>
        <w:rPr>
          <w:rFonts w:hint="eastAsia" w:ascii="仿宋_GB2312" w:hAnsi="仿宋_GB2312" w:eastAsia="仿宋_GB2312" w:cs="仿宋_GB2312"/>
          <w:color w:val="auto"/>
          <w:sz w:val="24"/>
          <w:szCs w:val="24"/>
          <w:highlight w:val="none"/>
        </w:rPr>
        <w:t>其他：</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 xml:space="preserve">       </w:t>
      </w:r>
    </w:p>
    <w:p>
      <w:pPr>
        <w:autoSpaceDE w:val="0"/>
        <w:autoSpaceDN w:val="0"/>
        <w:adjustRightInd w:val="0"/>
        <w:spacing w:after="0" w:line="360" w:lineRule="auto"/>
        <w:ind w:firstLine="482"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color w:val="auto"/>
          <w:sz w:val="24"/>
          <w:szCs w:val="24"/>
          <w:highlight w:val="none"/>
        </w:rPr>
        <w:t>第六条 履约担保</w:t>
      </w:r>
    </w:p>
    <w:p>
      <w:pPr>
        <w:spacing w:after="0" w:line="360" w:lineRule="auto"/>
        <w:ind w:firstLine="480" w:firstLineChars="200"/>
        <w:outlineLvl w:val="0"/>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6.1履约担保：</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bCs/>
          <w:color w:val="auto"/>
          <w:sz w:val="24"/>
          <w:szCs w:val="24"/>
          <w:highlight w:val="none"/>
        </w:rPr>
        <w:t xml:space="preserve">无；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bCs/>
          <w:color w:val="auto"/>
          <w:sz w:val="24"/>
          <w:szCs w:val="24"/>
          <w:highlight w:val="none"/>
        </w:rPr>
        <w:t xml:space="preserve"> </w:t>
      </w:r>
      <w:r>
        <w:rPr>
          <w:rFonts w:hint="eastAsia" w:ascii="仿宋_GB2312" w:hAnsi="仿宋_GB2312" w:eastAsia="仿宋_GB2312" w:cs="仿宋_GB2312"/>
          <w:bCs/>
          <w:color w:val="auto"/>
          <w:sz w:val="24"/>
          <w:szCs w:val="24"/>
          <w:highlight w:val="none"/>
          <w:lang w:val="en-US" w:eastAsia="zh-CN"/>
        </w:rPr>
        <w:t>有，</w:t>
      </w:r>
      <w:r>
        <w:rPr>
          <w:rFonts w:hint="eastAsia" w:ascii="仿宋_GB2312" w:hAnsi="仿宋_GB2312" w:eastAsia="仿宋_GB2312" w:cs="仿宋_GB2312"/>
          <w:color w:val="auto"/>
          <w:sz w:val="24"/>
          <w:szCs w:val="24"/>
          <w:highlight w:val="none"/>
        </w:rPr>
        <w:t>本合同签订后10日内</w:t>
      </w:r>
      <w:r>
        <w:rPr>
          <w:rFonts w:hint="eastAsia" w:ascii="仿宋_GB2312" w:hAnsi="仿宋_GB2312" w:eastAsia="仿宋_GB2312" w:cs="仿宋_GB2312"/>
          <w:color w:val="auto"/>
          <w:sz w:val="24"/>
          <w:szCs w:val="24"/>
          <w:highlight w:val="none"/>
          <w:u w:val="single"/>
        </w:rPr>
        <w:t>以合同暂定总价的10%作为履约保证金，</w:t>
      </w:r>
      <w:r>
        <w:rPr>
          <w:rFonts w:hint="eastAsia" w:ascii="仿宋_GB2312" w:hAnsi="仿宋_GB2312" w:eastAsia="仿宋_GB2312" w:cs="仿宋_GB2312"/>
          <w:color w:val="auto"/>
          <w:sz w:val="24"/>
          <w:szCs w:val="24"/>
          <w:highlight w:val="none"/>
        </w:rPr>
        <w:t>金额为：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rPr>
        <w:t xml:space="preserve">（大写人民币： </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rPr>
        <w:t xml:space="preserve">  ）。</w:t>
      </w:r>
    </w:p>
    <w:p>
      <w:pPr>
        <w:pStyle w:val="2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6.2履约担保按以下任一种形式提供：</w:t>
      </w:r>
    </w:p>
    <w:p>
      <w:pPr>
        <w:pStyle w:val="2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1、符合甲方要求的银行独立保函，</w:t>
      </w:r>
    </w:p>
    <w:p>
      <w:pPr>
        <w:pStyle w:val="2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2、现金转账至甲方以下指定账户：</w:t>
      </w:r>
    </w:p>
    <w:p>
      <w:pPr>
        <w:pStyle w:val="2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户名：广州市净水有限公司</w:t>
      </w:r>
    </w:p>
    <w:p>
      <w:pPr>
        <w:pStyle w:val="2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账号：82010154900000342</w:t>
      </w:r>
    </w:p>
    <w:p>
      <w:pPr>
        <w:pStyle w:val="2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开户行：浦发银行广州分行</w:t>
      </w:r>
    </w:p>
    <w:p>
      <w:pPr>
        <w:pStyle w:val="20"/>
        <w:spacing w:before="0" w:beforeAutospacing="0" w:after="0" w:afterAutospacing="0" w:line="360" w:lineRule="auto"/>
        <w:ind w:firstLine="48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6.3履约担保的担保期限和返还</w:t>
      </w:r>
    </w:p>
    <w:p>
      <w:pPr>
        <w:spacing w:line="360" w:lineRule="auto"/>
        <w:ind w:firstLine="480"/>
        <w:outlineLvl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6.3.1</w:t>
      </w:r>
      <w:r>
        <w:rPr>
          <w:rFonts w:hint="eastAsia" w:ascii="仿宋_GB2312" w:hAnsi="仿宋_GB2312" w:eastAsia="仿宋_GB2312" w:cs="仿宋_GB2312"/>
          <w:color w:val="auto"/>
          <w:sz w:val="24"/>
          <w:highlight w:val="none"/>
        </w:rPr>
        <w:t>履约银行保函（或现金履约保证金）的担保期限：从提供履约担保（或转账成功）之日起至合同履行完成。</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6.3.2</w:t>
      </w:r>
      <w:r>
        <w:rPr>
          <w:rFonts w:hint="eastAsia" w:ascii="仿宋_GB2312" w:hAnsi="仿宋_GB2312" w:eastAsia="仿宋_GB2312" w:cs="仿宋_GB2312"/>
          <w:color w:val="auto"/>
          <w:sz w:val="24"/>
          <w:highlight w:val="none"/>
        </w:rPr>
        <w:t>履约银行保函在合同履行完成后，由乙方提出申请，甲方在28日内返还，不支付利息；</w:t>
      </w:r>
      <w:r>
        <w:rPr>
          <w:rFonts w:hint="eastAsia" w:ascii="仿宋_GB2312" w:hAnsi="仿宋_GB2312" w:eastAsia="仿宋_GB2312" w:cs="仿宋_GB2312"/>
          <w:color w:val="auto"/>
          <w:sz w:val="24"/>
          <w:szCs w:val="24"/>
          <w:highlight w:val="none"/>
        </w:rPr>
        <w:t xml:space="preserve"> </w:t>
      </w:r>
    </w:p>
    <w:p>
      <w:pPr>
        <w:spacing w:line="360" w:lineRule="auto"/>
        <w:ind w:firstLine="480" w:firstLineChars="200"/>
        <w:outlineLvl w:val="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6.3.3延长担保期限。履约银行保函形式提交履约保证金的，在银行保函到期前，乙方应提前</w:t>
      </w:r>
      <w:r>
        <w:rPr>
          <w:rFonts w:hint="eastAsia" w:ascii="仿宋_GB2312" w:hAnsi="仿宋_GB2312" w:eastAsia="仿宋_GB2312" w:cs="仿宋_GB2312"/>
          <w:color w:val="auto"/>
          <w:sz w:val="24"/>
          <w:szCs w:val="24"/>
          <w:highlight w:val="none"/>
          <w:u w:val="single"/>
        </w:rPr>
        <w:t xml:space="preserve"> 7 </w:t>
      </w:r>
      <w:r>
        <w:rPr>
          <w:rFonts w:hint="eastAsia" w:ascii="仿宋_GB2312" w:hAnsi="仿宋_GB2312" w:eastAsia="仿宋_GB2312" w:cs="仿宋_GB2312"/>
          <w:color w:val="auto"/>
          <w:sz w:val="24"/>
          <w:szCs w:val="24"/>
          <w:highlight w:val="none"/>
        </w:rPr>
        <w:t>天向甲方提交新的保函以替换即将到期的保函。如乙方未及时提交的，甲方有权直接要求担保银行支付其担保的全部金额并解除合同。</w:t>
      </w:r>
    </w:p>
    <w:p>
      <w:pPr>
        <w:pStyle w:val="20"/>
        <w:spacing w:before="0" w:beforeAutospacing="0" w:after="0" w:afterAutospacing="0" w:line="360" w:lineRule="auto"/>
        <w:ind w:firstLine="525"/>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6.3.4现金履约保证金的退还：合同履行完成后，由乙方提出申请，甲方在</w:t>
      </w:r>
      <w:r>
        <w:rPr>
          <w:rFonts w:hint="eastAsia" w:ascii="仿宋_GB2312" w:hAnsi="仿宋_GB2312" w:eastAsia="仿宋_GB2312" w:cs="仿宋_GB2312"/>
          <w:color w:val="auto"/>
          <w:highlight w:val="none"/>
          <w:u w:val="single"/>
        </w:rPr>
        <w:t>28</w:t>
      </w:r>
      <w:r>
        <w:rPr>
          <w:rFonts w:hint="eastAsia" w:ascii="仿宋_GB2312" w:hAnsi="仿宋_GB2312" w:eastAsia="仿宋_GB2312" w:cs="仿宋_GB2312"/>
          <w:color w:val="auto"/>
          <w:highlight w:val="none"/>
        </w:rPr>
        <w:t>天内将剩余履约保证金（无息）返还。</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6.3.5甲方按合同约定提取履约担保金额后，乙方应在收到甲方通知后</w:t>
      </w:r>
      <w:r>
        <w:rPr>
          <w:rFonts w:hint="eastAsia" w:ascii="仿宋_GB2312" w:hAnsi="仿宋_GB2312" w:eastAsia="仿宋_GB2312" w:cs="仿宋_GB2312"/>
          <w:color w:val="auto"/>
          <w:sz w:val="24"/>
          <w:szCs w:val="24"/>
          <w:highlight w:val="none"/>
          <w:u w:val="single"/>
        </w:rPr>
        <w:t xml:space="preserve"> 7 </w:t>
      </w:r>
      <w:r>
        <w:rPr>
          <w:rFonts w:hint="eastAsia" w:ascii="仿宋_GB2312" w:hAnsi="仿宋_GB2312" w:eastAsia="仿宋_GB2312" w:cs="仿宋_GB2312"/>
          <w:color w:val="auto"/>
          <w:sz w:val="24"/>
          <w:szCs w:val="24"/>
          <w:highlight w:val="none"/>
        </w:rPr>
        <w:t>天内补足数额，逾期未补足，则甲方有权提取履约担保的全部余额并解除合同。</w:t>
      </w:r>
    </w:p>
    <w:bookmarkEnd w:id="104"/>
    <w:bookmarkEnd w:id="105"/>
    <w:p>
      <w:pPr>
        <w:spacing w:after="0"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bCs/>
          <w:color w:val="auto"/>
          <w:kern w:val="0"/>
          <w:sz w:val="24"/>
          <w:szCs w:val="24"/>
          <w:highlight w:val="none"/>
        </w:rPr>
        <w:t xml:space="preserve">第七条 </w:t>
      </w:r>
      <w:r>
        <w:rPr>
          <w:rFonts w:hint="eastAsia" w:ascii="仿宋_GB2312" w:hAnsi="仿宋_GB2312" w:eastAsia="仿宋_GB2312" w:cs="仿宋_GB2312"/>
          <w:b/>
          <w:color w:val="auto"/>
          <w:sz w:val="24"/>
          <w:szCs w:val="24"/>
          <w:highlight w:val="none"/>
        </w:rPr>
        <w:t>交货及检验要求</w:t>
      </w:r>
    </w:p>
    <w:p>
      <w:pPr>
        <w:autoSpaceDE w:val="0"/>
        <w:autoSpaceDN w:val="0"/>
        <w:adjustRightInd w:val="0"/>
        <w:spacing w:after="0"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7.1 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7.2外观验收：设备运抵交货地点后，甲乙双方根据合同约定对合同设备的包装、外观与件数进行清点检查，并共同签署合同设备外观检查记录。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7.3 开箱验收：开箱检验在合同设备交付地点进行，</w:t>
      </w:r>
      <w:r>
        <w:rPr>
          <w:rFonts w:hint="eastAsia" w:ascii="仿宋_GB2312" w:hAnsi="仿宋_GB2312" w:eastAsia="仿宋_GB2312" w:cs="仿宋_GB2312"/>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spacing w:after="0" w:line="360" w:lineRule="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7.6 甲方有权对合同设备进行原厂正品验证，若合同设备无法获原厂验证，甲方有权退回设备，要求乙方在</w:t>
      </w:r>
      <w:r>
        <w:rPr>
          <w:rFonts w:hint="eastAsia" w:ascii="仿宋_GB2312" w:hAnsi="仿宋_GB2312" w:eastAsia="仿宋_GB2312" w:cs="仿宋_GB2312"/>
          <w:color w:val="auto"/>
          <w:sz w:val="24"/>
          <w:szCs w:val="24"/>
          <w:highlight w:val="none"/>
          <w:u w:val="single"/>
        </w:rPr>
        <w:t xml:space="preserve"> 5 </w:t>
      </w:r>
      <w:r>
        <w:rPr>
          <w:rFonts w:hint="eastAsia" w:ascii="仿宋_GB2312" w:hAnsi="仿宋_GB2312" w:eastAsia="仿宋_GB2312" w:cs="仿宋_GB2312"/>
          <w:color w:val="auto"/>
          <w:sz w:val="24"/>
          <w:szCs w:val="24"/>
          <w:highlight w:val="none"/>
        </w:rPr>
        <w:t>个工作日内退回已支付款项并按设备价格的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10</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%支付违约金。</w:t>
      </w:r>
    </w:p>
    <w:bookmarkEnd w:id="92"/>
    <w:bookmarkEnd w:id="93"/>
    <w:bookmarkEnd w:id="94"/>
    <w:bookmarkEnd w:id="95"/>
    <w:bookmarkEnd w:id="96"/>
    <w:bookmarkEnd w:id="97"/>
    <w:bookmarkEnd w:id="98"/>
    <w:p>
      <w:pPr>
        <w:spacing w:before="120" w:after="120" w:line="360" w:lineRule="auto"/>
        <w:ind w:firstLine="482" w:firstLineChars="200"/>
        <w:rPr>
          <w:rFonts w:hint="eastAsia" w:ascii="仿宋_GB2312" w:hAnsi="仿宋_GB2312" w:eastAsia="仿宋_GB2312" w:cs="仿宋_GB2312"/>
          <w:b/>
          <w:color w:val="auto"/>
          <w:sz w:val="24"/>
          <w:szCs w:val="24"/>
          <w:highlight w:val="none"/>
        </w:rPr>
      </w:pPr>
      <w:bookmarkStart w:id="106" w:name="_Toc474245215"/>
      <w:bookmarkStart w:id="107" w:name="_Toc520190030"/>
      <w:bookmarkStart w:id="108" w:name="_Toc518992990"/>
      <w:bookmarkStart w:id="109" w:name="_Toc183666534"/>
      <w:bookmarkStart w:id="110" w:name="_Toc257"/>
      <w:r>
        <w:rPr>
          <w:rFonts w:hint="eastAsia" w:ascii="仿宋_GB2312" w:hAnsi="仿宋_GB2312" w:eastAsia="仿宋_GB2312" w:cs="仿宋_GB2312"/>
          <w:b/>
          <w:color w:val="auto"/>
          <w:sz w:val="24"/>
          <w:szCs w:val="24"/>
          <w:highlight w:val="none"/>
        </w:rPr>
        <w:t>第八条 包装</w:t>
      </w:r>
      <w:bookmarkEnd w:id="106"/>
      <w:bookmarkEnd w:id="107"/>
      <w:bookmarkEnd w:id="108"/>
      <w:r>
        <w:rPr>
          <w:rFonts w:hint="eastAsia" w:ascii="仿宋_GB2312" w:hAnsi="仿宋_GB2312" w:eastAsia="仿宋_GB2312" w:cs="仿宋_GB2312"/>
          <w:b/>
          <w:color w:val="auto"/>
          <w:sz w:val="24"/>
          <w:szCs w:val="24"/>
          <w:highlight w:val="none"/>
        </w:rPr>
        <w:t>、标示及运输要求</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8.1 包装</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8.1.2超限设备的包装要求：</w:t>
      </w:r>
      <w:r>
        <w:rPr>
          <w:rFonts w:hint="eastAsia" w:ascii="仿宋_GB2312" w:hAnsi="仿宋_GB2312" w:eastAsia="仿宋_GB2312" w:cs="仿宋_GB2312"/>
          <w:bCs/>
          <w:color w:val="auto"/>
          <w:sz w:val="24"/>
          <w:szCs w:val="24"/>
          <w:highlight w:val="none"/>
          <w:u w:val="single"/>
        </w:rPr>
        <w:t xml:space="preserve">  /  </w:t>
      </w:r>
      <w:r>
        <w:rPr>
          <w:rFonts w:hint="eastAsia" w:ascii="仿宋_GB2312" w:hAnsi="仿宋_GB2312" w:eastAsia="仿宋_GB2312" w:cs="仿宋_GB2312"/>
          <w:bCs/>
          <w:color w:val="auto"/>
          <w:sz w:val="24"/>
          <w:szCs w:val="24"/>
          <w:highlight w:val="none"/>
        </w:rPr>
        <w:t>。</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8.2 </w:t>
      </w:r>
      <w:bookmarkStart w:id="111" w:name="_Toc107447244"/>
      <w:bookmarkStart w:id="112" w:name="_Toc107446851"/>
      <w:r>
        <w:rPr>
          <w:rFonts w:hint="eastAsia" w:ascii="仿宋_GB2312" w:hAnsi="仿宋_GB2312" w:eastAsia="仿宋_GB2312" w:cs="仿宋_GB2312"/>
          <w:bCs/>
          <w:color w:val="auto"/>
          <w:sz w:val="24"/>
          <w:szCs w:val="24"/>
          <w:highlight w:val="none"/>
        </w:rPr>
        <w:t>标志</w:t>
      </w:r>
    </w:p>
    <w:bookmarkEnd w:id="111"/>
    <w:bookmarkEnd w:id="112"/>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8.2.1乙方应按照国家标准对设备的外包装进行标志。</w:t>
      </w:r>
    </w:p>
    <w:p>
      <w:pPr>
        <w:adjustRightInd w:val="0"/>
        <w:snapToGrid w:val="0"/>
        <w:spacing w:after="0"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8.2.3  如由于包装不当或包装箱内部保护措施不符合要求而导致在装车或运输中发生设备或其任何部件的损坏或遗失，乙方应自费对缺损的设备、部件进行修理、更换或补供。</w:t>
      </w:r>
      <w:bookmarkStart w:id="113" w:name="_Toc183666521"/>
      <w:bookmarkStart w:id="114" w:name="_Toc520190032"/>
      <w:bookmarkStart w:id="115" w:name="_Toc474245218"/>
      <w:bookmarkStart w:id="116" w:name="_Toc518992992"/>
      <w:bookmarkStart w:id="117" w:name="_Toc9269"/>
      <w:bookmarkStart w:id="118" w:name="_Toc306350457"/>
    </w:p>
    <w:p>
      <w:pPr>
        <w:adjustRightInd w:val="0"/>
        <w:snapToGrid w:val="0"/>
        <w:spacing w:after="0"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8.3运输</w:t>
      </w:r>
    </w:p>
    <w:p>
      <w:pPr>
        <w:adjustRightInd w:val="0"/>
        <w:snapToGrid w:val="0"/>
        <w:spacing w:after="0"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8.3.1乙方应自行选择适宜的运输工具及线路安排合同设备运输。</w:t>
      </w:r>
    </w:p>
    <w:p>
      <w:pPr>
        <w:adjustRightInd w:val="0"/>
        <w:snapToGrid w:val="0"/>
        <w:spacing w:after="0"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8.3.2 除合同条款另有约定外，每件设备的备品备件应整套装运。</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bookmarkEnd w:id="113"/>
    <w:bookmarkEnd w:id="114"/>
    <w:bookmarkEnd w:id="115"/>
    <w:bookmarkEnd w:id="116"/>
    <w:bookmarkEnd w:id="117"/>
    <w:bookmarkEnd w:id="118"/>
    <w:p>
      <w:pPr>
        <w:adjustRightInd w:val="0"/>
        <w:snapToGrid w:val="0"/>
        <w:spacing w:before="120" w:beforeLines="50" w:after="120" w:afterLines="50" w:line="360" w:lineRule="auto"/>
        <w:ind w:firstLine="482" w:firstLineChars="200"/>
        <w:rPr>
          <w:rFonts w:hint="eastAsia" w:ascii="仿宋_GB2312" w:hAnsi="仿宋_GB2312" w:eastAsia="仿宋_GB2312" w:cs="仿宋_GB2312"/>
          <w:color w:val="auto"/>
          <w:sz w:val="24"/>
          <w:szCs w:val="24"/>
          <w:highlight w:val="none"/>
        </w:rPr>
      </w:pPr>
      <w:bookmarkStart w:id="119" w:name="_Toc306350458"/>
      <w:bookmarkStart w:id="120" w:name="_Toc18496"/>
      <w:bookmarkStart w:id="121" w:name="_Toc183666522"/>
      <w:r>
        <w:rPr>
          <w:rFonts w:hint="eastAsia" w:ascii="仿宋_GB2312" w:hAnsi="仿宋_GB2312" w:eastAsia="仿宋_GB2312" w:cs="仿宋_GB2312"/>
          <w:b/>
          <w:color w:val="auto"/>
          <w:sz w:val="24"/>
          <w:szCs w:val="24"/>
          <w:highlight w:val="none"/>
        </w:rPr>
        <w:t>第九条 技术服务</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9.1  乙方应按甲方需求，派遣技术熟练、称职的技术人员到现场为甲方提供设备调试运行等技术服务。</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9.2  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9.3  乙方技术人员应遵守甲方施工现场的各项规章制度和安全操作规程，并服从甲方的现场管理。</w:t>
      </w:r>
    </w:p>
    <w:p>
      <w:pPr>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19"/>
    <w:bookmarkEnd w:id="120"/>
    <w:bookmarkEnd w:id="121"/>
    <w:p>
      <w:pPr>
        <w:autoSpaceDE w:val="0"/>
        <w:autoSpaceDN w:val="0"/>
        <w:adjustRightInd w:val="0"/>
        <w:spacing w:line="360" w:lineRule="auto"/>
        <w:ind w:firstLine="482" w:firstLineChars="200"/>
        <w:rPr>
          <w:rFonts w:hint="eastAsia" w:ascii="仿宋_GB2312" w:hAnsi="仿宋_GB2312" w:eastAsia="仿宋_GB2312" w:cs="仿宋_GB2312"/>
          <w:b/>
          <w:color w:val="auto"/>
          <w:sz w:val="24"/>
          <w:szCs w:val="24"/>
          <w:highlight w:val="none"/>
        </w:rPr>
      </w:pPr>
      <w:bookmarkStart w:id="122" w:name="_Toc520190034"/>
      <w:bookmarkStart w:id="123" w:name="_Toc474245220"/>
      <w:bookmarkStart w:id="124" w:name="_Toc518992994"/>
      <w:bookmarkStart w:id="125" w:name="_Toc306350459"/>
      <w:bookmarkStart w:id="126" w:name="_Toc4682"/>
      <w:bookmarkStart w:id="127" w:name="_Toc183666523"/>
      <w:r>
        <w:rPr>
          <w:rFonts w:hint="eastAsia" w:ascii="仿宋_GB2312" w:hAnsi="仿宋_GB2312" w:eastAsia="仿宋_GB2312" w:cs="仿宋_GB2312"/>
          <w:b/>
          <w:color w:val="auto"/>
          <w:sz w:val="24"/>
          <w:szCs w:val="24"/>
          <w:highlight w:val="none"/>
        </w:rPr>
        <w:t>第十条 质量保</w:t>
      </w:r>
      <w:bookmarkEnd w:id="122"/>
      <w:bookmarkEnd w:id="123"/>
      <w:bookmarkEnd w:id="124"/>
      <w:r>
        <w:rPr>
          <w:rFonts w:hint="eastAsia" w:ascii="仿宋_GB2312" w:hAnsi="仿宋_GB2312" w:eastAsia="仿宋_GB2312" w:cs="仿宋_GB2312"/>
          <w:b/>
          <w:color w:val="auto"/>
          <w:sz w:val="24"/>
          <w:szCs w:val="24"/>
          <w:highlight w:val="none"/>
        </w:rPr>
        <w:t>修</w:t>
      </w:r>
    </w:p>
    <w:p>
      <w:pPr>
        <w:tabs>
          <w:tab w:val="left" w:pos="851"/>
        </w:tabs>
        <w:adjustRightInd w:val="0"/>
        <w:snapToGrid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10.1保修期：自</w:t>
      </w:r>
      <w:r>
        <w:rPr>
          <w:rFonts w:hint="eastAsia" w:ascii="仿宋_GB2312" w:hAnsi="仿宋_GB2312" w:eastAsia="仿宋_GB2312" w:cs="仿宋_GB2312"/>
          <w:color w:val="auto"/>
          <w:kern w:val="0"/>
          <w:sz w:val="24"/>
          <w:szCs w:val="24"/>
          <w:highlight w:val="none"/>
          <w:lang w:val="zh-CN"/>
        </w:rPr>
        <w:t>设备</w:t>
      </w:r>
      <w:r>
        <w:rPr>
          <w:rFonts w:hint="eastAsia" w:ascii="仿宋_GB2312" w:hAnsi="仿宋_GB2312" w:eastAsia="仿宋_GB2312" w:cs="仿宋_GB2312"/>
          <w:color w:val="auto"/>
          <w:kern w:val="0"/>
          <w:sz w:val="24"/>
          <w:szCs w:val="24"/>
          <w:highlight w:val="none"/>
        </w:rPr>
        <w:t>开箱</w:t>
      </w:r>
      <w:r>
        <w:rPr>
          <w:rFonts w:hint="eastAsia" w:ascii="仿宋_GB2312" w:hAnsi="仿宋_GB2312" w:eastAsia="仿宋_GB2312" w:cs="仿宋_GB2312"/>
          <w:color w:val="auto"/>
          <w:kern w:val="0"/>
          <w:sz w:val="24"/>
          <w:szCs w:val="24"/>
          <w:highlight w:val="none"/>
          <w:lang w:val="zh-CN"/>
        </w:rPr>
        <w:t>验收合格之日起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1</w:t>
      </w:r>
      <w:r>
        <w:rPr>
          <w:rFonts w:hint="eastAsia" w:ascii="仿宋_GB2312" w:hAnsi="仿宋_GB2312" w:eastAsia="仿宋_GB2312" w:cs="仿宋_GB2312"/>
          <w:color w:val="auto"/>
          <w:sz w:val="24"/>
          <w:szCs w:val="24"/>
          <w:highlight w:val="none"/>
          <w:u w:val="single"/>
        </w:rPr>
        <w:t xml:space="preserve"> 年</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val="en-US" w:eastAsia="zh-CN"/>
        </w:rPr>
        <w:t>且不得低于法定保修期限</w:t>
      </w:r>
      <w:r>
        <w:rPr>
          <w:rFonts w:hint="eastAsia" w:ascii="仿宋_GB2312" w:hAnsi="仿宋_GB2312" w:eastAsia="仿宋_GB2312" w:cs="仿宋_GB2312"/>
          <w:color w:val="auto"/>
          <w:sz w:val="24"/>
          <w:szCs w:val="24"/>
          <w:highlight w:val="none"/>
        </w:rPr>
        <w:t xml:space="preserve">。保修期内乙方应免费对设备进行日常维护保养及质量缺陷修复。                                          </w:t>
      </w:r>
    </w:p>
    <w:p>
      <w:pPr>
        <w:tabs>
          <w:tab w:val="left" w:pos="851"/>
        </w:tabs>
        <w:adjustRightInd w:val="0"/>
        <w:snapToGrid w:val="0"/>
        <w:spacing w:line="360" w:lineRule="auto"/>
        <w:ind w:firstLine="480" w:firstLineChars="200"/>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sz w:val="24"/>
          <w:szCs w:val="24"/>
          <w:highlight w:val="none"/>
        </w:rPr>
        <w:t>10.2</w:t>
      </w:r>
      <w:r>
        <w:rPr>
          <w:rFonts w:hint="eastAsia" w:ascii="仿宋_GB2312" w:hAnsi="仿宋_GB2312" w:eastAsia="仿宋_GB2312" w:cs="仿宋_GB2312"/>
          <w:color w:val="auto"/>
          <w:kern w:val="0"/>
          <w:sz w:val="24"/>
          <w:szCs w:val="24"/>
          <w:highlight w:val="none"/>
        </w:rPr>
        <w:t>保修</w:t>
      </w:r>
      <w:r>
        <w:rPr>
          <w:rFonts w:hint="eastAsia" w:ascii="仿宋_GB2312" w:hAnsi="仿宋_GB2312" w:eastAsia="仿宋_GB2312" w:cs="仿宋_GB2312"/>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仿宋_GB2312" w:hAnsi="仿宋_GB2312" w:eastAsia="仿宋_GB2312" w:cs="仿宋_GB2312"/>
          <w:color w:val="auto"/>
          <w:kern w:val="0"/>
          <w:sz w:val="24"/>
          <w:szCs w:val="24"/>
          <w:highlight w:val="none"/>
          <w:u w:val="single"/>
          <w:lang w:val="zh-CN"/>
        </w:rPr>
        <w:t>同暂定总价的10%作为</w:t>
      </w:r>
      <w:r>
        <w:rPr>
          <w:rFonts w:hint="eastAsia" w:ascii="仿宋_GB2312" w:hAnsi="仿宋_GB2312" w:eastAsia="仿宋_GB2312" w:cs="仿宋_GB2312"/>
          <w:color w:val="auto"/>
          <w:kern w:val="0"/>
          <w:sz w:val="24"/>
          <w:szCs w:val="24"/>
          <w:highlight w:val="none"/>
          <w:lang w:val="zh-CN"/>
        </w:rPr>
        <w:t>违约金，</w:t>
      </w:r>
      <w:r>
        <w:rPr>
          <w:rFonts w:hint="eastAsia" w:ascii="仿宋_GB2312" w:hAnsi="仿宋_GB2312" w:eastAsia="仿宋_GB2312" w:cs="仿宋_GB2312"/>
          <w:color w:val="auto"/>
          <w:kern w:val="0"/>
          <w:sz w:val="24"/>
          <w:szCs w:val="24"/>
          <w:highlight w:val="none"/>
        </w:rPr>
        <w:t>由此产生的</w:t>
      </w:r>
      <w:r>
        <w:rPr>
          <w:rFonts w:hint="eastAsia" w:ascii="仿宋_GB2312" w:hAnsi="仿宋_GB2312" w:eastAsia="仿宋_GB2312" w:cs="仿宋_GB2312"/>
          <w:color w:val="auto"/>
          <w:kern w:val="0"/>
          <w:sz w:val="24"/>
          <w:szCs w:val="24"/>
          <w:highlight w:val="none"/>
          <w:lang w:val="zh-CN"/>
        </w:rPr>
        <w:t>费用由乙方承担。对涉及运营费用，乙方应保证在</w:t>
      </w:r>
      <w:r>
        <w:rPr>
          <w:rFonts w:hint="eastAsia" w:ascii="仿宋_GB2312" w:hAnsi="仿宋_GB2312" w:eastAsia="仿宋_GB2312" w:cs="仿宋_GB2312"/>
          <w:color w:val="auto"/>
          <w:kern w:val="0"/>
          <w:sz w:val="24"/>
          <w:szCs w:val="24"/>
          <w:highlight w:val="none"/>
        </w:rPr>
        <w:t>开箱</w:t>
      </w:r>
      <w:r>
        <w:rPr>
          <w:rFonts w:hint="eastAsia" w:ascii="仿宋_GB2312" w:hAnsi="仿宋_GB2312" w:eastAsia="仿宋_GB2312" w:cs="仿宋_GB2312"/>
          <w:color w:val="auto"/>
          <w:kern w:val="0"/>
          <w:sz w:val="24"/>
          <w:szCs w:val="24"/>
          <w:highlight w:val="none"/>
          <w:lang w:val="zh-CN"/>
        </w:rPr>
        <w:t>验收</w:t>
      </w:r>
      <w:r>
        <w:rPr>
          <w:rFonts w:hint="eastAsia" w:ascii="仿宋_GB2312" w:hAnsi="仿宋_GB2312" w:eastAsia="仿宋_GB2312" w:cs="仿宋_GB2312"/>
          <w:color w:val="auto"/>
          <w:kern w:val="0"/>
          <w:sz w:val="24"/>
          <w:szCs w:val="24"/>
          <w:highlight w:val="none"/>
        </w:rPr>
        <w:t>合格</w:t>
      </w:r>
      <w:r>
        <w:rPr>
          <w:rFonts w:hint="eastAsia" w:ascii="仿宋_GB2312" w:hAnsi="仿宋_GB2312" w:eastAsia="仿宋_GB2312" w:cs="仿宋_GB2312"/>
          <w:color w:val="auto"/>
          <w:kern w:val="0"/>
          <w:sz w:val="24"/>
          <w:szCs w:val="24"/>
          <w:highlight w:val="none"/>
          <w:lang w:val="zh-CN"/>
        </w:rPr>
        <w:t>后三年内，</w:t>
      </w:r>
      <w:r>
        <w:rPr>
          <w:rFonts w:hint="eastAsia" w:ascii="仿宋_GB2312" w:hAnsi="仿宋_GB2312" w:eastAsia="仿宋_GB2312" w:cs="仿宋_GB2312"/>
          <w:color w:val="auto"/>
          <w:kern w:val="0"/>
          <w:sz w:val="24"/>
          <w:szCs w:val="24"/>
          <w:highlight w:val="none"/>
        </w:rPr>
        <w:t>设备</w:t>
      </w:r>
      <w:r>
        <w:rPr>
          <w:rFonts w:hint="eastAsia" w:ascii="仿宋_GB2312" w:hAnsi="仿宋_GB2312" w:eastAsia="仿宋_GB2312" w:cs="仿宋_GB2312"/>
          <w:color w:val="auto"/>
          <w:kern w:val="0"/>
          <w:sz w:val="24"/>
          <w:szCs w:val="24"/>
          <w:highlight w:val="none"/>
          <w:lang w:val="zh-CN"/>
        </w:rPr>
        <w:t>运行费用不高于投标文件/响应文件的承诺指标，</w:t>
      </w:r>
      <w:r>
        <w:rPr>
          <w:rFonts w:hint="eastAsia" w:ascii="仿宋_GB2312" w:hAnsi="仿宋_GB2312" w:eastAsia="仿宋_GB2312" w:cs="仿宋_GB2312"/>
          <w:color w:val="auto"/>
          <w:kern w:val="0"/>
          <w:sz w:val="24"/>
          <w:szCs w:val="24"/>
          <w:highlight w:val="none"/>
        </w:rPr>
        <w:t>否则，</w:t>
      </w:r>
      <w:r>
        <w:rPr>
          <w:rFonts w:hint="eastAsia" w:ascii="仿宋_GB2312" w:hAnsi="仿宋_GB2312" w:eastAsia="仿宋_GB2312" w:cs="仿宋_GB2312"/>
          <w:color w:val="auto"/>
          <w:kern w:val="0"/>
          <w:sz w:val="24"/>
          <w:szCs w:val="24"/>
          <w:highlight w:val="none"/>
          <w:lang w:val="zh-CN"/>
        </w:rPr>
        <w:t>乙方需无条件免费更换设备</w:t>
      </w:r>
      <w:r>
        <w:rPr>
          <w:rFonts w:hint="eastAsia" w:ascii="仿宋_GB2312" w:hAnsi="仿宋_GB2312" w:eastAsia="仿宋_GB2312" w:cs="仿宋_GB2312"/>
          <w:color w:val="auto"/>
          <w:kern w:val="0"/>
          <w:sz w:val="24"/>
          <w:szCs w:val="24"/>
          <w:highlight w:val="none"/>
        </w:rPr>
        <w:t>并支付违约金</w:t>
      </w:r>
      <w:r>
        <w:rPr>
          <w:rFonts w:hint="eastAsia" w:ascii="仿宋_GB2312" w:hAnsi="仿宋_GB2312" w:eastAsia="仿宋_GB2312" w:cs="仿宋_GB2312"/>
          <w:color w:val="auto"/>
          <w:kern w:val="0"/>
          <w:sz w:val="24"/>
          <w:szCs w:val="24"/>
          <w:highlight w:val="none"/>
          <w:u w:val="single"/>
        </w:rPr>
        <w:t xml:space="preserve"> </w:t>
      </w:r>
      <w:r>
        <w:rPr>
          <w:rFonts w:hint="eastAsia" w:ascii="仿宋_GB2312" w:hAnsi="仿宋_GB2312" w:eastAsia="仿宋_GB2312" w:cs="仿宋_GB2312"/>
          <w:color w:val="auto"/>
          <w:kern w:val="0"/>
          <w:sz w:val="24"/>
          <w:szCs w:val="24"/>
          <w:highlight w:val="none"/>
          <w:u w:val="single"/>
          <w:lang w:val="en-US" w:eastAsia="zh-CN"/>
        </w:rPr>
        <w:t xml:space="preserve">10000 </w:t>
      </w:r>
      <w:r>
        <w:rPr>
          <w:rFonts w:hint="eastAsia" w:ascii="仿宋_GB2312" w:hAnsi="仿宋_GB2312" w:eastAsia="仿宋_GB2312" w:cs="仿宋_GB2312"/>
          <w:color w:val="auto"/>
          <w:kern w:val="0"/>
          <w:sz w:val="24"/>
          <w:szCs w:val="24"/>
          <w:highlight w:val="none"/>
        </w:rPr>
        <w:t>元</w:t>
      </w:r>
      <w:r>
        <w:rPr>
          <w:rFonts w:hint="eastAsia" w:ascii="仿宋_GB2312" w:hAnsi="仿宋_GB2312" w:eastAsia="仿宋_GB2312" w:cs="仿宋_GB2312"/>
          <w:color w:val="auto"/>
          <w:kern w:val="0"/>
          <w:sz w:val="24"/>
          <w:szCs w:val="24"/>
          <w:highlight w:val="none"/>
          <w:lang w:val="zh-CN"/>
        </w:rPr>
        <w:t>（如有）。</w:t>
      </w:r>
    </w:p>
    <w:p>
      <w:pPr>
        <w:tabs>
          <w:tab w:val="left" w:pos="851"/>
        </w:tabs>
        <w:adjustRightInd w:val="0"/>
        <w:snapToGrid w:val="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10.3 保修期间由于设备本身原因产生的故障仍属质保范围，对更换或维修过的零部件从更换或维修完成并验收合格之日起，质量保修期重新计算。</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10.4 质量保修期间，如合同设备出现故障，乙方应在接到甲方通知后</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val="en-US" w:eastAsia="zh-CN"/>
        </w:rPr>
        <w:t>12</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小时内通过电话、网络等提供远程技术指导，如甲方需要乙方到场的，乙方应在收到甲方通知后</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val="en-US" w:eastAsia="zh-CN"/>
        </w:rPr>
        <w:t>24</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小时内派专业技术人员到场负责解决及维修故障。</w:t>
      </w:r>
      <w:bookmarkEnd w:id="125"/>
      <w:bookmarkEnd w:id="126"/>
      <w:bookmarkEnd w:id="127"/>
      <w:bookmarkStart w:id="128" w:name="_Toc27734"/>
      <w:bookmarkStart w:id="129" w:name="_Toc107446857"/>
      <w:bookmarkStart w:id="130" w:name="_Toc183666528"/>
      <w:bookmarkStart w:id="131" w:name="_Toc306350464"/>
      <w:bookmarkStart w:id="132" w:name="_Toc518992997"/>
      <w:bookmarkStart w:id="133" w:name="_Toc107447250"/>
      <w:bookmarkStart w:id="134" w:name="_Toc520190037"/>
      <w:bookmarkStart w:id="135" w:name="_Toc474245223"/>
      <w:r>
        <w:rPr>
          <w:rFonts w:hint="eastAsia" w:ascii="仿宋_GB2312" w:hAnsi="仿宋_GB2312" w:eastAsia="仿宋_GB2312" w:cs="仿宋_GB2312"/>
          <w:bCs/>
          <w:color w:val="auto"/>
          <w:sz w:val="24"/>
          <w:szCs w:val="24"/>
          <w:highlight w:val="none"/>
        </w:rPr>
        <w:t>如果乙方不按时到场维修或到场后不能修复的，甲方有权委托他人予以维修，乙方承担由此发生的费用并支付</w:t>
      </w:r>
      <w:r>
        <w:rPr>
          <w:rFonts w:hint="eastAsia" w:ascii="仿宋_GB2312" w:hAnsi="仿宋_GB2312" w:eastAsia="仿宋_GB2312" w:cs="仿宋_GB2312"/>
          <w:bCs/>
          <w:color w:val="auto"/>
          <w:sz w:val="24"/>
          <w:szCs w:val="24"/>
          <w:highlight w:val="none"/>
          <w:u w:val="single"/>
        </w:rPr>
        <w:t>合同暂定总价10%/次</w:t>
      </w:r>
      <w:r>
        <w:rPr>
          <w:rFonts w:hint="eastAsia" w:ascii="仿宋_GB2312" w:hAnsi="仿宋_GB2312" w:eastAsia="仿宋_GB2312" w:cs="仿宋_GB2312"/>
          <w:bCs/>
          <w:color w:val="auto"/>
          <w:sz w:val="24"/>
          <w:szCs w:val="24"/>
          <w:highlight w:val="none"/>
        </w:rPr>
        <w:t>作为违约金。</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
          <w:color w:val="auto"/>
          <w:sz w:val="24"/>
          <w:szCs w:val="24"/>
          <w:highlight w:val="none"/>
        </w:rPr>
        <w:t>第十一条 违约责任</w:t>
      </w:r>
      <w:bookmarkEnd w:id="128"/>
      <w:bookmarkEnd w:id="129"/>
      <w:bookmarkEnd w:id="130"/>
      <w:bookmarkEnd w:id="131"/>
      <w:bookmarkEnd w:id="132"/>
      <w:bookmarkEnd w:id="133"/>
      <w:bookmarkEnd w:id="134"/>
      <w:bookmarkEnd w:id="135"/>
    </w:p>
    <w:p>
      <w:pPr>
        <w:spacing w:line="360" w:lineRule="auto"/>
        <w:ind w:firstLine="482"/>
        <w:rPr>
          <w:rFonts w:hint="eastAsia" w:ascii="仿宋_GB2312" w:hAnsi="仿宋_GB2312" w:eastAsia="仿宋_GB2312" w:cs="仿宋_GB2312"/>
          <w:bCs/>
          <w:color w:val="auto"/>
          <w:sz w:val="24"/>
          <w:szCs w:val="24"/>
          <w:highlight w:val="none"/>
        </w:rPr>
      </w:pPr>
      <w:bookmarkStart w:id="136" w:name="_Toc306350465"/>
      <w:bookmarkStart w:id="137" w:name="_Toc5166"/>
      <w:bookmarkStart w:id="138" w:name="_Toc183666529"/>
      <w:r>
        <w:rPr>
          <w:rFonts w:hint="eastAsia" w:ascii="仿宋_GB2312" w:hAnsi="仿宋_GB2312" w:eastAsia="仿宋_GB2312" w:cs="仿宋_GB2312"/>
          <w:bCs/>
          <w:color w:val="auto"/>
          <w:sz w:val="24"/>
          <w:szCs w:val="24"/>
          <w:highlight w:val="none"/>
        </w:rPr>
        <w:t>11.1 延期交货的违约责任</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11.1.1 乙方应按照本合同约定的时间交货。如乙方因客观情况导致无法按时交货，乙方应在交货期前</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val="en-US" w:eastAsia="zh-CN"/>
        </w:rPr>
        <w:t>15</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日，以书面形式将原因及预计拖延的时间通知甲方。经甲方同意后，交货期顺延。</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11.1.2乙方未能在合同规定期限内交货并交付完整技术资料的，每逾期一天，甲方有权按迟</w:t>
      </w:r>
      <w:r>
        <w:rPr>
          <w:rFonts w:hint="eastAsia" w:ascii="仿宋_GB2312" w:hAnsi="仿宋_GB2312" w:eastAsia="仿宋_GB2312" w:cs="仿宋_GB2312"/>
          <w:bCs/>
          <w:color w:val="auto"/>
          <w:sz w:val="24"/>
          <w:szCs w:val="24"/>
          <w:highlight w:val="none"/>
          <w:u w:val="single"/>
        </w:rPr>
        <w:t>交货设备价格的1%/天</w:t>
      </w:r>
      <w:r>
        <w:rPr>
          <w:rFonts w:hint="eastAsia" w:ascii="仿宋_GB2312" w:hAnsi="仿宋_GB2312" w:eastAsia="仿宋_GB2312" w:cs="仿宋_GB2312"/>
          <w:bCs/>
          <w:color w:val="auto"/>
          <w:sz w:val="24"/>
          <w:szCs w:val="24"/>
          <w:highlight w:val="none"/>
        </w:rPr>
        <w:t>要求乙方支付违约金。逾期超过</w:t>
      </w:r>
      <w:r>
        <w:rPr>
          <w:rFonts w:hint="eastAsia" w:ascii="仿宋_GB2312" w:hAnsi="仿宋_GB2312" w:eastAsia="仿宋_GB2312" w:cs="仿宋_GB2312"/>
          <w:bCs/>
          <w:color w:val="auto"/>
          <w:sz w:val="24"/>
          <w:szCs w:val="24"/>
          <w:highlight w:val="none"/>
          <w:u w:val="single"/>
        </w:rPr>
        <w:t xml:space="preserve"> 15 </w:t>
      </w:r>
      <w:r>
        <w:rPr>
          <w:rFonts w:hint="eastAsia" w:ascii="仿宋_GB2312" w:hAnsi="仿宋_GB2312" w:eastAsia="仿宋_GB2312" w:cs="仿宋_GB2312"/>
          <w:bCs/>
          <w:color w:val="auto"/>
          <w:sz w:val="24"/>
          <w:szCs w:val="24"/>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11.2 质量问题的违约责任</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（1）乙方承担费用，用合格的新设备更换有缺陷的设备或修补缺陷部分；</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（3）按不合格设备价格的</w:t>
      </w:r>
      <w:r>
        <w:rPr>
          <w:rFonts w:hint="eastAsia" w:ascii="仿宋_GB2312" w:hAnsi="仿宋_GB2312" w:eastAsia="仿宋_GB2312" w:cs="仿宋_GB2312"/>
          <w:bCs/>
          <w:color w:val="auto"/>
          <w:sz w:val="24"/>
          <w:szCs w:val="24"/>
          <w:highlight w:val="none"/>
          <w:u w:val="single"/>
        </w:rPr>
        <w:t>50</w:t>
      </w:r>
      <w:r>
        <w:rPr>
          <w:rFonts w:hint="eastAsia" w:ascii="仿宋_GB2312" w:hAnsi="仿宋_GB2312" w:eastAsia="仿宋_GB2312" w:cs="仿宋_GB2312"/>
          <w:bCs/>
          <w:color w:val="auto"/>
          <w:sz w:val="24"/>
          <w:szCs w:val="24"/>
          <w:highlight w:val="none"/>
        </w:rPr>
        <w:t>%支付违约金。</w:t>
      </w:r>
    </w:p>
    <w:p>
      <w:pPr>
        <w:numPr>
          <w:ilvl w:val="255"/>
          <w:numId w:val="0"/>
        </w:numPr>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（4）赔偿甲方因设备质量问题导致的一切损失。</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11.2.2 如果乙方提供的技术资料有错误，或者由于乙方技术人员原因造成设备安装、调试不成功和（或）造成合同设备损坏的情况，乙方应在</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val="en-US" w:eastAsia="zh-CN"/>
        </w:rPr>
        <w:t>24</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小时内采取修理、更换、退货等补救措施并负担因此发生的费用，同时需向甲方支付</w:t>
      </w:r>
      <w:r>
        <w:rPr>
          <w:rFonts w:hint="eastAsia" w:ascii="仿宋_GB2312" w:hAnsi="仿宋_GB2312" w:eastAsia="仿宋_GB2312" w:cs="仿宋_GB2312"/>
          <w:bCs/>
          <w:color w:val="auto"/>
          <w:sz w:val="24"/>
          <w:szCs w:val="24"/>
          <w:highlight w:val="none"/>
          <w:u w:val="single"/>
        </w:rPr>
        <w:t xml:space="preserve">不合格设备价格的 50 </w:t>
      </w:r>
      <w:r>
        <w:rPr>
          <w:rFonts w:hint="eastAsia" w:ascii="仿宋_GB2312" w:hAnsi="仿宋_GB2312" w:eastAsia="仿宋_GB2312" w:cs="仿宋_GB2312"/>
          <w:bCs/>
          <w:color w:val="auto"/>
          <w:sz w:val="24"/>
          <w:szCs w:val="24"/>
          <w:highlight w:val="none"/>
        </w:rPr>
        <w:t>%作为违约金。</w:t>
      </w:r>
    </w:p>
    <w:p>
      <w:pPr>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仿宋_GB2312" w:hAnsi="仿宋_GB2312" w:eastAsia="仿宋_GB2312" w:cs="仿宋_GB2312"/>
          <w:bCs/>
          <w:color w:val="auto"/>
          <w:sz w:val="24"/>
          <w:szCs w:val="24"/>
          <w:highlight w:val="none"/>
          <w:u w:val="single"/>
        </w:rPr>
        <w:t>合同暂定总价的 100 %</w:t>
      </w:r>
      <w:r>
        <w:rPr>
          <w:rFonts w:hint="eastAsia" w:ascii="仿宋_GB2312" w:hAnsi="仿宋_GB2312" w:eastAsia="仿宋_GB2312" w:cs="仿宋_GB2312"/>
          <w:bCs/>
          <w:color w:val="auto"/>
          <w:sz w:val="24"/>
          <w:szCs w:val="24"/>
          <w:highlight w:val="none"/>
        </w:rPr>
        <w:t>支付违约金。</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11.3 如乙方未按合同</w:t>
      </w:r>
      <w:r>
        <w:rPr>
          <w:rFonts w:hint="eastAsia" w:ascii="仿宋_GB2312" w:hAnsi="仿宋_GB2312" w:eastAsia="仿宋_GB2312" w:cs="仿宋_GB2312"/>
          <w:bCs/>
          <w:color w:val="auto"/>
          <w:sz w:val="24"/>
          <w:szCs w:val="24"/>
          <w:highlight w:val="none"/>
          <w:lang w:val="en-US" w:eastAsia="zh-CN"/>
        </w:rPr>
        <w:t>第</w:t>
      </w:r>
      <w:r>
        <w:rPr>
          <w:rFonts w:hint="eastAsia" w:ascii="仿宋_GB2312" w:hAnsi="仿宋_GB2312" w:eastAsia="仿宋_GB2312" w:cs="仿宋_GB2312"/>
          <w:bCs/>
          <w:color w:val="auto"/>
          <w:sz w:val="24"/>
          <w:szCs w:val="24"/>
          <w:highlight w:val="none"/>
        </w:rPr>
        <w:t>六条约定递交履约保证金，甲方有权解除合同并要求乙方支付</w:t>
      </w:r>
      <w:r>
        <w:rPr>
          <w:rFonts w:hint="eastAsia" w:ascii="仿宋_GB2312" w:hAnsi="仿宋_GB2312" w:eastAsia="仿宋_GB2312" w:cs="仿宋_GB2312"/>
          <w:bCs/>
          <w:color w:val="auto"/>
          <w:sz w:val="24"/>
          <w:szCs w:val="24"/>
          <w:highlight w:val="none"/>
          <w:u w:val="single"/>
        </w:rPr>
        <w:t>合同暂定总价的20%</w:t>
      </w:r>
      <w:r>
        <w:rPr>
          <w:rFonts w:hint="eastAsia" w:ascii="仿宋_GB2312" w:hAnsi="仿宋_GB2312" w:eastAsia="仿宋_GB2312" w:cs="仿宋_GB2312"/>
          <w:bCs/>
          <w:color w:val="auto"/>
          <w:sz w:val="24"/>
          <w:szCs w:val="24"/>
          <w:highlight w:val="none"/>
        </w:rPr>
        <w:t xml:space="preserve">作为违约金。 </w:t>
      </w:r>
    </w:p>
    <w:p>
      <w:pPr>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11.4 如双方对质量责任认定有争议，</w:t>
      </w:r>
      <w:r>
        <w:rPr>
          <w:rFonts w:hint="eastAsia" w:ascii="仿宋_GB2312" w:hAnsi="仿宋_GB2312" w:eastAsia="仿宋_GB2312" w:cs="仿宋_GB2312"/>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11.5乙方不履行合同义务、或履行合同义务不符合合同约定、或违反国家、省、市行业标准的，甲方有权要求乙方限期整改。乙方逾期未完成整改的，每项每超过</w:t>
      </w:r>
      <w:r>
        <w:rPr>
          <w:rFonts w:hint="eastAsia" w:ascii="仿宋_GB2312" w:hAnsi="仿宋_GB2312" w:eastAsia="仿宋_GB2312" w:cs="仿宋_GB2312"/>
          <w:bCs/>
          <w:color w:val="auto"/>
          <w:sz w:val="24"/>
          <w:szCs w:val="24"/>
          <w:highlight w:val="none"/>
          <w:u w:val="single"/>
        </w:rPr>
        <w:t>1</w:t>
      </w:r>
      <w:r>
        <w:rPr>
          <w:rFonts w:hint="eastAsia" w:ascii="仿宋_GB2312" w:hAnsi="仿宋_GB2312" w:eastAsia="仿宋_GB2312" w:cs="仿宋_GB2312"/>
          <w:bCs/>
          <w:color w:val="auto"/>
          <w:sz w:val="24"/>
          <w:szCs w:val="24"/>
          <w:highlight w:val="none"/>
        </w:rPr>
        <w:t>日支付违约金人民币1万元，超过</w:t>
      </w:r>
      <w:r>
        <w:rPr>
          <w:rFonts w:hint="eastAsia" w:ascii="仿宋_GB2312" w:hAnsi="仿宋_GB2312" w:eastAsia="仿宋_GB2312" w:cs="仿宋_GB2312"/>
          <w:bCs/>
          <w:color w:val="auto"/>
          <w:sz w:val="24"/>
          <w:szCs w:val="24"/>
          <w:highlight w:val="none"/>
          <w:u w:val="single"/>
          <w:lang w:val="en-US" w:eastAsia="zh-CN"/>
        </w:rPr>
        <w:t xml:space="preserve"> 15 </w:t>
      </w:r>
      <w:r>
        <w:rPr>
          <w:rFonts w:hint="eastAsia" w:ascii="仿宋_GB2312" w:hAnsi="仿宋_GB2312" w:eastAsia="仿宋_GB2312" w:cs="仿宋_GB2312"/>
          <w:bCs/>
          <w:color w:val="auto"/>
          <w:sz w:val="24"/>
          <w:szCs w:val="24"/>
          <w:highlight w:val="none"/>
        </w:rPr>
        <w:t>日，甲方有权解除合同并要求乙方支付</w:t>
      </w:r>
      <w:r>
        <w:rPr>
          <w:rFonts w:hint="eastAsia" w:ascii="仿宋_GB2312" w:hAnsi="仿宋_GB2312" w:eastAsia="仿宋_GB2312" w:cs="仿宋_GB2312"/>
          <w:bCs/>
          <w:color w:val="auto"/>
          <w:sz w:val="24"/>
          <w:szCs w:val="24"/>
          <w:highlight w:val="none"/>
          <w:u w:val="single"/>
        </w:rPr>
        <w:t>合同暂定总价的20%</w:t>
      </w:r>
      <w:r>
        <w:rPr>
          <w:rFonts w:hint="eastAsia" w:ascii="仿宋_GB2312" w:hAnsi="仿宋_GB2312" w:eastAsia="仿宋_GB2312" w:cs="仿宋_GB2312"/>
          <w:bCs/>
          <w:color w:val="auto"/>
          <w:sz w:val="24"/>
          <w:szCs w:val="24"/>
          <w:highlight w:val="none"/>
        </w:rPr>
        <w:t>作为违约金（</w:t>
      </w:r>
      <w:r>
        <w:rPr>
          <w:rFonts w:hint="eastAsia" w:ascii="仿宋_GB2312" w:hAnsi="仿宋_GB2312" w:eastAsia="仿宋_GB2312" w:cs="仿宋_GB2312"/>
          <w:color w:val="auto"/>
          <w:sz w:val="24"/>
          <w:highlight w:val="none"/>
        </w:rPr>
        <w:t>如合同另行约定违约责任，从其约定</w:t>
      </w:r>
      <w:r>
        <w:rPr>
          <w:rFonts w:hint="eastAsia" w:ascii="仿宋_GB2312" w:hAnsi="仿宋_GB2312" w:eastAsia="仿宋_GB2312" w:cs="仿宋_GB2312"/>
          <w:bCs/>
          <w:color w:val="auto"/>
          <w:sz w:val="24"/>
          <w:szCs w:val="24"/>
          <w:highlight w:val="none"/>
        </w:rPr>
        <w:t xml:space="preserve">）。 </w:t>
      </w:r>
    </w:p>
    <w:p>
      <w:pPr>
        <w:spacing w:line="360" w:lineRule="auto"/>
        <w:ind w:firstLine="482" w:firstLineChars="200"/>
        <w:rPr>
          <w:rFonts w:hint="eastAsia" w:ascii="仿宋_GB2312" w:hAnsi="仿宋_GB2312" w:eastAsia="仿宋_GB2312" w:cs="仿宋_GB2312"/>
          <w:b/>
          <w:color w:val="auto"/>
          <w:sz w:val="24"/>
          <w:szCs w:val="24"/>
          <w:highlight w:val="none"/>
        </w:rPr>
      </w:pPr>
      <w:bookmarkStart w:id="139" w:name="_Toc107446860"/>
      <w:bookmarkStart w:id="140" w:name="_Toc520190038"/>
      <w:bookmarkStart w:id="141" w:name="_Toc107446861"/>
      <w:bookmarkStart w:id="142" w:name="_Toc474245224"/>
      <w:bookmarkStart w:id="143" w:name="_Toc107447254"/>
      <w:bookmarkStart w:id="144" w:name="_Toc518992998"/>
      <w:bookmarkStart w:id="145" w:name="_Toc118086592"/>
      <w:bookmarkStart w:id="146" w:name="_Toc107447253"/>
      <w:r>
        <w:rPr>
          <w:rFonts w:hint="eastAsia" w:ascii="仿宋_GB2312" w:hAnsi="仿宋_GB2312" w:eastAsia="仿宋_GB2312" w:cs="仿宋_GB2312"/>
          <w:b/>
          <w:color w:val="auto"/>
          <w:sz w:val="24"/>
          <w:szCs w:val="24"/>
          <w:highlight w:val="none"/>
        </w:rPr>
        <w:t>第十二条 变更或解除</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12.1 甲方解除合同</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如乙方存在下述情况之一，甲方有权向乙方发出书面通知，全部或部分解除本合同：</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12.1.1 乙方未能在本合同约定或甲方另行指定的期限内提供部分或全部设备或提供技术服务，并经甲方催告后仍未提供； </w:t>
      </w:r>
    </w:p>
    <w:p>
      <w:pPr>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12.1.2乙方交付的设备存在严重的质量问题，导致本合同目的不能实现；</w:t>
      </w:r>
    </w:p>
    <w:p>
      <w:pPr>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12.1.3 乙方存在违反合同义务的其他情形，经甲方催告后仍未作出补救或完成整改；</w:t>
      </w:r>
    </w:p>
    <w:p>
      <w:pPr>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12.1.4 乙方投标时提交的资料不真实，或任何时候发现乙方有违反投标时的承诺和（或）声明的情况；</w:t>
      </w:r>
    </w:p>
    <w:p>
      <w:pPr>
        <w:spacing w:line="360" w:lineRule="auto"/>
        <w:ind w:firstLine="482"/>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12.2 乙方解除合同</w:t>
      </w:r>
    </w:p>
    <w:p>
      <w:pPr>
        <w:spacing w:line="360" w:lineRule="auto"/>
        <w:ind w:firstLine="48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如甲方无正当理由未能按本合同约定期限向乙方支付合同款，并经乙方催告后超过</w:t>
      </w:r>
      <w:r>
        <w:rPr>
          <w:rFonts w:hint="eastAsia" w:ascii="仿宋_GB2312" w:hAnsi="仿宋_GB2312" w:eastAsia="仿宋_GB2312" w:cs="仿宋_GB2312"/>
          <w:bCs/>
          <w:color w:val="auto"/>
          <w:sz w:val="24"/>
          <w:szCs w:val="24"/>
          <w:highlight w:val="none"/>
          <w:u w:val="single"/>
          <w:lang w:eastAsia="zh-CN"/>
        </w:rPr>
        <w:t>2</w:t>
      </w:r>
      <w:r>
        <w:rPr>
          <w:rFonts w:hint="eastAsia" w:ascii="仿宋_GB2312" w:hAnsi="仿宋_GB2312" w:eastAsia="仿宋_GB2312" w:cs="仿宋_GB2312"/>
          <w:bCs/>
          <w:color w:val="auto"/>
          <w:sz w:val="24"/>
          <w:szCs w:val="24"/>
          <w:highlight w:val="none"/>
          <w:u w:val="single"/>
          <w:lang w:val="en-US" w:eastAsia="zh-CN"/>
        </w:rPr>
        <w:t>0</w:t>
      </w:r>
      <w:r>
        <w:rPr>
          <w:rFonts w:hint="eastAsia" w:ascii="仿宋_GB2312" w:hAnsi="仿宋_GB2312" w:eastAsia="仿宋_GB2312" w:cs="仿宋_GB2312"/>
          <w:bCs/>
          <w:color w:val="auto"/>
          <w:sz w:val="24"/>
          <w:szCs w:val="24"/>
          <w:highlight w:val="none"/>
        </w:rPr>
        <w:t>天仍未支付，乙方有权以书面通知解除本合同。</w:t>
      </w:r>
      <w:r>
        <w:rPr>
          <w:rFonts w:hint="eastAsia" w:ascii="仿宋_GB2312" w:hAnsi="仿宋_GB2312" w:eastAsia="仿宋_GB2312" w:cs="仿宋_GB2312"/>
          <w:color w:val="auto"/>
          <w:sz w:val="24"/>
          <w:szCs w:val="24"/>
          <w:highlight w:val="none"/>
        </w:rPr>
        <w:br w:type="textWrapping"/>
      </w:r>
      <w:r>
        <w:rPr>
          <w:rFonts w:hint="eastAsia" w:ascii="仿宋_GB2312" w:hAnsi="仿宋_GB2312" w:eastAsia="仿宋_GB2312" w:cs="仿宋_GB2312"/>
          <w:color w:val="auto"/>
          <w:sz w:val="24"/>
          <w:szCs w:val="24"/>
          <w:highlight w:val="none"/>
        </w:rPr>
        <w:t>   12.3甲乙双方经协商一致后解除合同。</w:t>
      </w:r>
    </w:p>
    <w:p>
      <w:pPr>
        <w:spacing w:line="480" w:lineRule="exact"/>
        <w:ind w:firstLine="482"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第十三条 不可抗力</w:t>
      </w:r>
    </w:p>
    <w:p>
      <w:pPr>
        <w:widowControl w:val="0"/>
        <w:numPr>
          <w:ilvl w:val="255"/>
          <w:numId w:val="0"/>
        </w:numPr>
        <w:spacing w:line="4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（2）战争行为、入侵、武装冲突或外敌行为、封锁、暴乱、恐怖行为或军事演习；</w:t>
      </w:r>
    </w:p>
    <w:p>
      <w:pPr>
        <w:widowControl w:val="0"/>
        <w:spacing w:line="48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第十四条 争议解决方式：</w:t>
      </w:r>
    </w:p>
    <w:p>
      <w:pPr>
        <w:spacing w:line="360" w:lineRule="auto"/>
        <w:ind w:firstLine="600" w:firstLineChars="2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 因本合同引起的或与本合同有关的任何争议，甲乙双方应友好协商解决，如协商不成，任何一方均可依法向</w:t>
      </w:r>
      <w:r>
        <w:rPr>
          <w:rFonts w:hint="eastAsia" w:ascii="仿宋_GB2312" w:hAnsi="仿宋_GB2312" w:eastAsia="仿宋_GB2312" w:cs="仿宋_GB2312"/>
          <w:color w:val="auto"/>
          <w:sz w:val="24"/>
          <w:szCs w:val="24"/>
          <w:highlight w:val="none"/>
          <w:u w:val="single"/>
        </w:rPr>
        <w:t>甲方所在地人民法院</w:t>
      </w:r>
      <w:r>
        <w:rPr>
          <w:rFonts w:hint="eastAsia" w:ascii="仿宋_GB2312" w:hAnsi="仿宋_GB2312" w:eastAsia="仿宋_GB2312" w:cs="仿宋_GB2312"/>
          <w:color w:val="auto"/>
          <w:sz w:val="24"/>
          <w:szCs w:val="24"/>
          <w:highlight w:val="none"/>
        </w:rPr>
        <w:t>提起诉讼。</w:t>
      </w:r>
    </w:p>
    <w:p>
      <w:pPr>
        <w:spacing w:line="360" w:lineRule="auto"/>
        <w:ind w:firstLine="600" w:firstLineChars="2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14.2 在甲方同意的情况下，除有争端之外的合同其它部分在争端解决前应继续执行。</w:t>
      </w:r>
    </w:p>
    <w:p>
      <w:pPr>
        <w:spacing w:line="360" w:lineRule="auto"/>
        <w:ind w:firstLine="482" w:firstLineChars="200"/>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第十五条 其他：</w:t>
      </w:r>
    </w:p>
    <w:p>
      <w:pPr>
        <w:spacing w:line="360" w:lineRule="auto"/>
        <w:ind w:firstLine="595" w:firstLineChars="248"/>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15.1</w:t>
      </w:r>
      <w:r>
        <w:rPr>
          <w:rFonts w:hint="eastAsia" w:ascii="仿宋_GB2312" w:hAnsi="仿宋_GB2312" w:eastAsia="仿宋_GB2312" w:cs="仿宋_GB2312"/>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15.2本合同自甲乙双方法定代表人或授权代理人签字并加盖公章之日起生效。</w:t>
      </w:r>
    </w:p>
    <w:p>
      <w:pPr>
        <w:spacing w:line="360" w:lineRule="auto"/>
        <w:ind w:firstLine="600" w:firstLineChars="25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15.3本合同一式</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陆</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份，甲方执</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肆</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份，乙方执</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贰</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份。均具有同等法律效力。</w:t>
      </w:r>
    </w:p>
    <w:p>
      <w:pPr>
        <w:spacing w:line="360" w:lineRule="auto"/>
        <w:ind w:firstLine="720" w:firstLineChars="3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15.4补充条款：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bookmarkEnd w:id="109"/>
      <w:bookmarkEnd w:id="110"/>
      <w:bookmarkEnd w:id="136"/>
      <w:bookmarkEnd w:id="137"/>
      <w:bookmarkEnd w:id="138"/>
      <w:bookmarkEnd w:id="139"/>
      <w:bookmarkEnd w:id="140"/>
      <w:bookmarkEnd w:id="141"/>
      <w:bookmarkEnd w:id="142"/>
      <w:bookmarkEnd w:id="143"/>
      <w:bookmarkEnd w:id="144"/>
      <w:bookmarkEnd w:id="145"/>
      <w:bookmarkEnd w:id="146"/>
    </w:p>
    <w:p>
      <w:pPr>
        <w:numPr>
          <w:ilvl w:val="0"/>
          <w:numId w:val="0"/>
        </w:numPr>
        <w:spacing w:line="46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附件：</w:t>
      </w:r>
    </w:p>
    <w:p>
      <w:pPr>
        <w:numPr>
          <w:ilvl w:val="0"/>
          <w:numId w:val="0"/>
        </w:numPr>
        <w:spacing w:line="460" w:lineRule="exact"/>
        <w:ind w:firstLine="1200" w:firstLineChars="5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1.成交通知书</w:t>
      </w:r>
    </w:p>
    <w:p>
      <w:pPr>
        <w:numPr>
          <w:ilvl w:val="0"/>
          <w:numId w:val="0"/>
        </w:numPr>
        <w:spacing w:line="460" w:lineRule="exact"/>
        <w:ind w:firstLine="1200" w:firstLineChars="5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廉洁协议</w:t>
      </w:r>
    </w:p>
    <w:p>
      <w:pPr>
        <w:numPr>
          <w:ilvl w:val="0"/>
          <w:numId w:val="0"/>
        </w:numPr>
        <w:spacing w:line="460" w:lineRule="exact"/>
        <w:ind w:firstLine="1200" w:firstLineChars="5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营运单位内运输、装（卸）安全及消防安全协议书</w:t>
      </w:r>
    </w:p>
    <w:p>
      <w:pPr>
        <w:numPr>
          <w:ilvl w:val="0"/>
          <w:numId w:val="0"/>
        </w:numPr>
        <w:spacing w:line="460" w:lineRule="exact"/>
        <w:ind w:firstLine="1200" w:firstLineChars="500"/>
        <w:rPr>
          <w:rFonts w:hint="eastAsia" w:ascii="仿宋_GB2312" w:hAnsi="仿宋_GB2312" w:eastAsia="仿宋_GB2312" w:cs="仿宋_GB2312"/>
          <w:color w:val="auto"/>
          <w:sz w:val="24"/>
          <w:szCs w:val="24"/>
          <w:highlight w:val="none"/>
          <w:lang w:val="en-US" w:eastAsia="zh-CN"/>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 xml:space="preserve"> </w:t>
            </w: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4812" w:type="dxa"/>
            <w:tcBorders>
              <w:top w:val="nil"/>
              <w:left w:val="nil"/>
              <w:bottom w:val="nil"/>
              <w:right w:val="nil"/>
            </w:tcBorders>
          </w:tcPr>
          <w:p>
            <w:pPr>
              <w:adjustRightInd w:val="0"/>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经办人：</w:t>
            </w:r>
            <w:r>
              <w:rPr>
                <w:rFonts w:hint="eastAsia" w:ascii="宋体" w:hAnsi="宋体" w:cs="宋体"/>
                <w:color w:val="auto"/>
                <w:sz w:val="24"/>
                <w:szCs w:val="24"/>
                <w:highlight w:val="none"/>
                <w:lang w:val="en-US" w:eastAsia="zh-CN"/>
              </w:rPr>
              <w:t xml:space="preserve"> </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4812" w:type="dxa"/>
            <w:tcBorders>
              <w:top w:val="nil"/>
              <w:left w:val="nil"/>
              <w:bottom w:val="nil"/>
              <w:right w:val="nil"/>
            </w:tcBorders>
          </w:tcPr>
          <w:p>
            <w:pPr>
              <w:adjustRightInd w:val="0"/>
              <w:snapToGrid w:val="0"/>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val="en-US" w:eastAsia="zh-CN"/>
              </w:rPr>
              <w:t xml:space="preserve"> </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p>
    <w:p>
      <w:pPr>
        <w:pStyle w:val="44"/>
        <w:rPr>
          <w:rFonts w:hint="eastAsia" w:ascii="宋体" w:hAnsi="宋体" w:cs="宋体"/>
          <w:b/>
          <w:bCs/>
          <w:color w:val="auto"/>
          <w:szCs w:val="21"/>
          <w:highlight w:val="none"/>
        </w:rPr>
      </w:pPr>
    </w:p>
    <w:p>
      <w:pPr>
        <w:pStyle w:val="44"/>
        <w:rPr>
          <w:rFonts w:hint="eastAsia" w:ascii="宋体" w:hAnsi="宋体" w:cs="宋体"/>
          <w:b/>
          <w:bCs/>
          <w:color w:val="auto"/>
          <w:szCs w:val="21"/>
          <w:highlight w:val="none"/>
        </w:rPr>
      </w:pPr>
    </w:p>
    <w:p>
      <w:pPr>
        <w:pStyle w:val="44"/>
        <w:rPr>
          <w:rFonts w:hint="eastAsia" w:ascii="宋体" w:hAnsi="宋体" w:cs="宋体"/>
          <w:b/>
          <w:bCs/>
          <w:color w:val="auto"/>
          <w:szCs w:val="21"/>
          <w:highlight w:val="none"/>
        </w:rPr>
      </w:pPr>
    </w:p>
    <w:p>
      <w:pPr>
        <w:pStyle w:val="44"/>
        <w:rPr>
          <w:rFonts w:hint="eastAsia" w:ascii="宋体" w:hAnsi="宋体" w:cs="宋体"/>
          <w:b/>
          <w:bCs/>
          <w:color w:val="auto"/>
          <w:szCs w:val="21"/>
          <w:highlight w:val="none"/>
        </w:rPr>
      </w:pPr>
    </w:p>
    <w:p>
      <w:pPr>
        <w:pStyle w:val="44"/>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eastAsiaTheme="minorEastAsia"/>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成交通知书</w:t>
      </w: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lang w:val="en-US" w:eastAsia="zh-CN"/>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附件2：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猎德分公司2024年储泥池加药机采购项目</w:t>
      </w:r>
      <w:r>
        <w:rPr>
          <w:rFonts w:hint="eastAsia" w:ascii="仿宋_GB2312" w:hAnsi="仿宋_GB2312" w:eastAsia="仿宋_GB2312" w:cs="仿宋_GB2312"/>
          <w:b w:val="0"/>
          <w:bCs/>
          <w:color w:val="auto"/>
          <w:sz w:val="28"/>
          <w:szCs w:val="28"/>
          <w:highlight w:val="none"/>
          <w:u w:val="single"/>
        </w:rPr>
        <w:t>合同</w:t>
      </w:r>
      <w:r>
        <w:rPr>
          <w:rFonts w:hint="eastAsia" w:ascii="仿宋_GB2312" w:hAnsi="仿宋_GB2312" w:eastAsia="仿宋_GB2312" w:cs="仿宋_GB2312"/>
          <w:b w:val="0"/>
          <w:bCs/>
          <w:color w:val="auto"/>
          <w:sz w:val="28"/>
          <w:szCs w:val="28"/>
          <w:highlight w:val="none"/>
        </w:rPr>
        <w:t>（以下简称：主合同），自觉履行合同约定的相关义务。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猎德分公司2024年储泥池加药机采购项目</w:t>
      </w:r>
      <w:r>
        <w:rPr>
          <w:rFonts w:hint="eastAsia" w:ascii="仿宋_GB2312" w:hAnsi="仿宋_GB2312" w:eastAsia="仿宋_GB2312" w:cs="仿宋_GB2312"/>
          <w:b w:val="0"/>
          <w:bCs/>
          <w:color w:val="auto"/>
          <w:sz w:val="28"/>
          <w:szCs w:val="28"/>
          <w:highlight w:val="none"/>
          <w:u w:val="single"/>
        </w:rPr>
        <w:t>合同（</w:t>
      </w:r>
      <w:r>
        <w:rPr>
          <w:rFonts w:hint="eastAsia" w:ascii="仿宋_GB2312" w:hAnsi="仿宋_GB2312" w:eastAsia="仿宋_GB2312" w:cs="仿宋_GB2312"/>
          <w:b w:val="0"/>
          <w:bCs/>
          <w:color w:val="auto"/>
          <w:sz w:val="28"/>
          <w:szCs w:val="28"/>
          <w:highlight w:val="none"/>
          <w:u w:val="single"/>
          <w:lang w:val="en-US" w:eastAsia="zh-CN"/>
        </w:rPr>
        <w:t>穗净水合〔2024〕   号</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1"/>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签约代表： </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 xml:space="preserve">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spacing w:line="360" w:lineRule="auto"/>
        <w:rPr>
          <w:rFonts w:hint="eastAsia" w:ascii="宋体" w:hAnsi="宋体" w:cs="宋体"/>
          <w:b/>
          <w:color w:val="auto"/>
          <w:szCs w:val="21"/>
          <w:highlight w:val="none"/>
        </w:rPr>
      </w:pPr>
    </w:p>
    <w:p>
      <w:pPr>
        <w:pStyle w:val="44"/>
        <w:rPr>
          <w:rFonts w:hint="eastAsia" w:ascii="宋体" w:hAnsi="宋体" w:cs="宋体"/>
          <w:b/>
          <w:color w:val="auto"/>
          <w:szCs w:val="21"/>
          <w:highlight w:val="none"/>
        </w:rPr>
      </w:pPr>
    </w:p>
    <w:p>
      <w:pPr>
        <w:pStyle w:val="44"/>
        <w:rPr>
          <w:rFonts w:hint="eastAsia" w:ascii="宋体" w:hAnsi="宋体" w:cs="宋体"/>
          <w:b/>
          <w:color w:val="auto"/>
          <w:szCs w:val="21"/>
          <w:highlight w:val="none"/>
        </w:rPr>
      </w:pPr>
    </w:p>
    <w:p>
      <w:pPr>
        <w:pStyle w:val="44"/>
        <w:rPr>
          <w:rFonts w:hint="eastAsia" w:ascii="宋体" w:hAnsi="宋体" w:cs="宋体"/>
          <w:b/>
          <w:color w:val="auto"/>
          <w:szCs w:val="21"/>
          <w:highlight w:val="none"/>
        </w:rPr>
      </w:pPr>
    </w:p>
    <w:p>
      <w:pPr>
        <w:pStyle w:val="44"/>
        <w:rPr>
          <w:rFonts w:hint="eastAsia" w:ascii="宋体" w:hAnsi="宋体" w:cs="宋体"/>
          <w:b/>
          <w:color w:val="auto"/>
          <w:szCs w:val="21"/>
          <w:highlight w:val="none"/>
        </w:rPr>
      </w:pPr>
    </w:p>
    <w:p>
      <w:pPr>
        <w:pStyle w:val="44"/>
        <w:rPr>
          <w:rFonts w:hint="eastAsia" w:ascii="宋体" w:hAnsi="宋体" w:cs="宋体"/>
          <w:b/>
          <w:color w:val="auto"/>
          <w:szCs w:val="21"/>
          <w:highlight w:val="none"/>
        </w:rPr>
      </w:pPr>
    </w:p>
    <w:p>
      <w:pPr>
        <w:pStyle w:val="44"/>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w:t>
      </w:r>
      <w:r>
        <w:rPr>
          <w:rFonts w:hint="eastAsia" w:ascii="宋体" w:hAnsi="宋体" w:cs="宋体" w:eastAsiaTheme="minorEastAsia"/>
          <w:b/>
          <w:color w:val="auto"/>
          <w:sz w:val="21"/>
          <w:szCs w:val="21"/>
          <w:highlight w:val="none"/>
          <w:lang w:val="en-US" w:eastAsia="zh-CN"/>
        </w:rPr>
        <w:t>营运单位内运输、装（卸）安全及消防安全协议书</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营运单位内运输、装（卸）安全及消防安全协议书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highlight w:val="none"/>
        </w:rPr>
      </w:pP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甲方：</w:t>
      </w:r>
      <w:r>
        <w:rPr>
          <w:rFonts w:hint="eastAsia" w:ascii="仿宋_GB2312" w:hAnsi="仿宋_GB2312" w:eastAsia="仿宋_GB2312" w:cs="仿宋_GB2312"/>
          <w:color w:val="auto"/>
          <w:sz w:val="24"/>
          <w:szCs w:val="24"/>
          <w:highlight w:val="none"/>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乙方： </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kern w:val="0"/>
          <w:sz w:val="24"/>
          <w:szCs w:val="24"/>
          <w:highlight w:val="none"/>
        </w:rPr>
      </w:pP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根据《中华人民共和国安全生产法》、</w:t>
      </w:r>
      <w:r>
        <w:rPr>
          <w:rFonts w:hint="eastAsia" w:ascii="仿宋_GB2312" w:hAnsi="仿宋_GB2312" w:eastAsia="仿宋_GB2312" w:cs="仿宋_GB2312"/>
          <w:color w:val="auto"/>
          <w:kern w:val="0"/>
          <w:sz w:val="24"/>
          <w:szCs w:val="24"/>
          <w:highlight w:val="none"/>
          <w:lang w:eastAsia="zh-CN"/>
        </w:rPr>
        <w:t>《中华人民共和国消防法》、</w:t>
      </w:r>
      <w:r>
        <w:rPr>
          <w:rFonts w:hint="eastAsia" w:ascii="仿宋_GB2312" w:hAnsi="仿宋_GB2312" w:eastAsia="仿宋_GB2312" w:cs="仿宋_GB2312"/>
          <w:color w:val="auto"/>
          <w:kern w:val="0"/>
          <w:sz w:val="24"/>
          <w:szCs w:val="24"/>
          <w:highlight w:val="none"/>
        </w:rPr>
        <w:t>《生产安全事故报告和调查处理条例》等国家及地方有关安全生产</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消防安全</w:t>
      </w:r>
      <w:r>
        <w:rPr>
          <w:rFonts w:hint="eastAsia" w:ascii="仿宋_GB2312" w:hAnsi="仿宋_GB2312" w:eastAsia="仿宋_GB2312" w:cs="仿宋_GB2312"/>
          <w:color w:val="auto"/>
          <w:kern w:val="0"/>
          <w:sz w:val="24"/>
          <w:szCs w:val="24"/>
          <w:highlight w:val="none"/>
        </w:rPr>
        <w:t>法律法规，甲乙双方就安全</w:t>
      </w:r>
      <w:r>
        <w:rPr>
          <w:rFonts w:hint="eastAsia" w:ascii="仿宋_GB2312" w:hAnsi="仿宋_GB2312" w:eastAsia="仿宋_GB2312" w:cs="仿宋_GB2312"/>
          <w:color w:val="auto"/>
          <w:kern w:val="0"/>
          <w:sz w:val="24"/>
          <w:szCs w:val="24"/>
          <w:highlight w:val="none"/>
          <w:lang w:val="en-US" w:eastAsia="zh-CN"/>
        </w:rPr>
        <w:t>及消防安全</w:t>
      </w:r>
      <w:r>
        <w:rPr>
          <w:rFonts w:hint="eastAsia" w:ascii="仿宋_GB2312" w:hAnsi="仿宋_GB2312" w:eastAsia="仿宋_GB2312" w:cs="仿宋_GB2312"/>
          <w:color w:val="auto"/>
          <w:kern w:val="0"/>
          <w:sz w:val="24"/>
          <w:szCs w:val="24"/>
          <w:highlight w:val="none"/>
        </w:rPr>
        <w:t>事宜，</w:t>
      </w:r>
      <w:r>
        <w:rPr>
          <w:rFonts w:hint="eastAsia" w:ascii="仿宋_GB2312" w:hAnsi="仿宋_GB2312" w:eastAsia="仿宋_GB2312" w:cs="仿宋_GB2312"/>
          <w:color w:val="auto"/>
          <w:sz w:val="24"/>
          <w:szCs w:val="24"/>
          <w:highlight w:val="none"/>
        </w:rPr>
        <w:t>经双方友好协商，达成如下协议</w:t>
      </w:r>
      <w:r>
        <w:rPr>
          <w:rFonts w:hint="eastAsia" w:ascii="仿宋_GB2312" w:hAnsi="仿宋_GB2312" w:eastAsia="仿宋_GB2312" w:cs="仿宋_GB2312"/>
          <w:color w:val="auto"/>
          <w:kern w:val="0"/>
          <w:sz w:val="24"/>
          <w:szCs w:val="24"/>
          <w:highlight w:val="none"/>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本协议是合同</w:t>
      </w:r>
      <w:r>
        <w:rPr>
          <w:rFonts w:hint="eastAsia" w:ascii="仿宋_GB2312" w:hAnsi="仿宋_GB2312" w:eastAsia="仿宋_GB2312" w:cs="仿宋_GB2312"/>
          <w:color w:val="auto"/>
          <w:sz w:val="24"/>
          <w:szCs w:val="24"/>
          <w:highlight w:val="none"/>
          <w:u w:val="single"/>
        </w:rPr>
        <w:t xml:space="preserve">                      （穗净水合〔     〕    号） </w:t>
      </w:r>
      <w:r>
        <w:rPr>
          <w:rFonts w:hint="eastAsia" w:ascii="仿宋_GB2312" w:hAnsi="仿宋_GB2312" w:eastAsia="仿宋_GB2312" w:cs="仿宋_GB2312"/>
          <w:color w:val="auto"/>
          <w:sz w:val="24"/>
          <w:szCs w:val="24"/>
          <w:highlight w:val="none"/>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二</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甲</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乙双方应遵守国家、省、市有关安全生产</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消防安全的法律、法规、规章，履行</w:t>
      </w:r>
      <w:r>
        <w:rPr>
          <w:rFonts w:hint="eastAsia" w:ascii="仿宋_GB2312" w:hAnsi="仿宋_GB2312" w:eastAsia="仿宋_GB2312" w:cs="仿宋_GB2312"/>
          <w:color w:val="auto"/>
          <w:kern w:val="0"/>
          <w:sz w:val="24"/>
          <w:szCs w:val="24"/>
          <w:highlight w:val="none"/>
          <w:lang w:val="en-US" w:eastAsia="zh-CN"/>
        </w:rPr>
        <w:t>安全生产、</w:t>
      </w:r>
      <w:r>
        <w:rPr>
          <w:rFonts w:hint="eastAsia" w:ascii="仿宋_GB2312" w:hAnsi="仿宋_GB2312" w:eastAsia="仿宋_GB2312" w:cs="仿宋_GB2312"/>
          <w:color w:val="auto"/>
          <w:kern w:val="0"/>
          <w:sz w:val="24"/>
          <w:szCs w:val="24"/>
          <w:highlight w:val="none"/>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三</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甲</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rPr>
        <w:t>乙双方应当逐级落实</w:t>
      </w:r>
      <w:r>
        <w:rPr>
          <w:rFonts w:hint="eastAsia" w:ascii="仿宋_GB2312" w:hAnsi="仿宋_GB2312" w:eastAsia="仿宋_GB2312" w:cs="仿宋_GB2312"/>
          <w:color w:val="auto"/>
          <w:kern w:val="0"/>
          <w:sz w:val="24"/>
          <w:szCs w:val="24"/>
          <w:highlight w:val="none"/>
          <w:lang w:val="en-US" w:eastAsia="zh-CN"/>
        </w:rPr>
        <w:t>安全生产、</w:t>
      </w:r>
      <w:r>
        <w:rPr>
          <w:rFonts w:hint="eastAsia" w:ascii="仿宋_GB2312" w:hAnsi="仿宋_GB2312" w:eastAsia="仿宋_GB2312" w:cs="仿宋_GB2312"/>
          <w:color w:val="auto"/>
          <w:kern w:val="0"/>
          <w:sz w:val="24"/>
          <w:szCs w:val="24"/>
          <w:highlight w:val="none"/>
        </w:rPr>
        <w:t>消防安全责任制，明确逐级岗位人员的安全</w:t>
      </w:r>
      <w:r>
        <w:rPr>
          <w:rFonts w:hint="eastAsia" w:ascii="仿宋_GB2312" w:hAnsi="仿宋_GB2312" w:eastAsia="仿宋_GB2312" w:cs="仿宋_GB2312"/>
          <w:color w:val="auto"/>
          <w:kern w:val="0"/>
          <w:sz w:val="24"/>
          <w:szCs w:val="24"/>
          <w:highlight w:val="none"/>
          <w:lang w:val="en-US" w:eastAsia="zh-CN"/>
        </w:rPr>
        <w:t>生产、消防安全</w:t>
      </w:r>
      <w:r>
        <w:rPr>
          <w:rFonts w:hint="eastAsia" w:ascii="仿宋_GB2312" w:hAnsi="仿宋_GB2312" w:eastAsia="仿宋_GB2312" w:cs="仿宋_GB2312"/>
          <w:color w:val="auto"/>
          <w:kern w:val="0"/>
          <w:sz w:val="24"/>
          <w:szCs w:val="24"/>
          <w:highlight w:val="none"/>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四</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（五）对乙方租用的第三方车辆，视同为乙方车辆，由乙方承担安全及消防安全责任。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六</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乙方的单位、车辆、人员资质（</w:t>
      </w:r>
      <w:r>
        <w:rPr>
          <w:rFonts w:hint="eastAsia" w:ascii="仿宋_GB2312" w:hAnsi="仿宋_GB2312" w:eastAsia="仿宋_GB2312" w:cs="仿宋_GB2312"/>
          <w:b/>
          <w:bCs w:val="0"/>
          <w:color w:val="auto"/>
          <w:kern w:val="0"/>
          <w:sz w:val="24"/>
          <w:szCs w:val="24"/>
          <w:highlight w:val="none"/>
          <w:lang w:val="en-US" w:eastAsia="zh-CN"/>
        </w:rPr>
        <w:t>单项选择并填写</w:t>
      </w:r>
      <w:r>
        <w:rPr>
          <w:rFonts w:hint="eastAsia" w:ascii="仿宋_GB2312" w:hAnsi="仿宋_GB2312" w:eastAsia="仿宋_GB2312" w:cs="仿宋_GB2312"/>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kern w:val="0"/>
          <w:sz w:val="24"/>
          <w:szCs w:val="24"/>
          <w:highlight w:val="none"/>
          <w:lang w:val="en-US" w:eastAsia="zh-CN"/>
        </w:rPr>
        <w:sym w:font="Wingdings 2" w:char="00A3"/>
      </w:r>
      <w:r>
        <w:rPr>
          <w:rFonts w:hint="eastAsia" w:ascii="仿宋_GB2312" w:hAnsi="仿宋_GB2312" w:eastAsia="仿宋_GB2312" w:cs="仿宋_GB2312"/>
          <w:color w:val="auto"/>
          <w:kern w:val="0"/>
          <w:sz w:val="24"/>
          <w:szCs w:val="24"/>
          <w:highlight w:val="none"/>
          <w:lang w:val="en-US" w:eastAsia="zh-CN"/>
        </w:rPr>
        <w:t>1.详见合同第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sym w:font="Wingdings 2" w:char="00A3"/>
      </w:r>
      <w:r>
        <w:rPr>
          <w:rFonts w:hint="eastAsia" w:ascii="仿宋_GB2312" w:hAnsi="仿宋_GB2312" w:eastAsia="仿宋_GB2312" w:cs="仿宋_GB2312"/>
          <w:color w:val="auto"/>
          <w:kern w:val="0"/>
          <w:sz w:val="24"/>
          <w:szCs w:val="24"/>
          <w:highlight w:val="none"/>
          <w:lang w:val="en-US" w:eastAsia="zh-CN"/>
        </w:rPr>
        <w:t>2.详见文件《</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交底告知</w:t>
      </w:r>
      <w:r>
        <w:rPr>
          <w:rFonts w:hint="eastAsia" w:ascii="仿宋_GB2312" w:hAnsi="仿宋_GB2312" w:eastAsia="仿宋_GB2312" w:cs="仿宋_GB2312"/>
          <w:color w:val="auto"/>
          <w:sz w:val="24"/>
          <w:szCs w:val="24"/>
          <w:highlight w:val="none"/>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甲方应对乙方进行交底。交底内容应</w:t>
      </w:r>
      <w:r>
        <w:rPr>
          <w:rFonts w:hint="eastAsia" w:ascii="仿宋_GB2312" w:hAnsi="仿宋_GB2312" w:eastAsia="仿宋_GB2312" w:cs="仿宋_GB2312"/>
          <w:color w:val="auto"/>
          <w:sz w:val="24"/>
          <w:szCs w:val="24"/>
          <w:highlight w:val="none"/>
          <w:lang w:val="en-US" w:eastAsia="zh-CN"/>
        </w:rPr>
        <w:t>向乙方传达</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lang w:val="en-US" w:eastAsia="zh-CN"/>
        </w:rPr>
        <w:t>甲方规定的</w:t>
      </w:r>
      <w:r>
        <w:rPr>
          <w:rFonts w:hint="eastAsia" w:ascii="仿宋_GB2312" w:hAnsi="仿宋_GB2312" w:eastAsia="仿宋_GB2312" w:cs="仿宋_GB2312"/>
          <w:color w:val="auto"/>
          <w:sz w:val="24"/>
          <w:szCs w:val="24"/>
          <w:highlight w:val="none"/>
        </w:rPr>
        <w:t>安全生产及消防安全管理要求。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2.当乙方提出相关规范或乙方内部管理制度，比甲方规定的</w:t>
      </w:r>
      <w:r>
        <w:rPr>
          <w:rFonts w:hint="eastAsia" w:ascii="仿宋_GB2312" w:hAnsi="仿宋_GB2312" w:eastAsia="仿宋_GB2312" w:cs="仿宋_GB2312"/>
          <w:color w:val="auto"/>
          <w:sz w:val="24"/>
          <w:szCs w:val="24"/>
          <w:highlight w:val="none"/>
        </w:rPr>
        <w:t>安全生产及消防安全管理要求</w:t>
      </w:r>
      <w:r>
        <w:rPr>
          <w:rFonts w:hint="eastAsia" w:ascii="仿宋_GB2312" w:hAnsi="仿宋_GB2312" w:eastAsia="仿宋_GB2312" w:cs="仿宋_GB2312"/>
          <w:color w:val="auto"/>
          <w:sz w:val="24"/>
          <w:szCs w:val="24"/>
          <w:highlight w:val="none"/>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3.告知乙方车辆允许行驶的区域、限速、限高、限重，允许停车装、卸作业的位置。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（二）现场监管。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1.甲方应在其管辖区域对乙方的运输、装卸等过程的安全生产实行监督，及时纠正乙方人员违章指挥、违章驾驶、违反禁令等行为。</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2.甲方应监督乙方车辆离开营运单位前做好车辆外观检查，确保车牌、反光标志等无被遮挡。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（三）事故报告。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1.乙方在甲方属地范围内发生安全事故及消防安全事故，应当按水投集团有关程序，如实向集团报告。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（四）补充条款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接受交底告知并复核确认安全风险，落实管控措施</w:t>
      </w:r>
      <w:r>
        <w:rPr>
          <w:rFonts w:hint="eastAsia" w:ascii="仿宋_GB2312" w:hAnsi="仿宋_GB2312" w:eastAsia="仿宋_GB2312" w:cs="仿宋_GB2312"/>
          <w:color w:val="auto"/>
          <w:sz w:val="24"/>
          <w:szCs w:val="24"/>
          <w:highlight w:val="none"/>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在甲方属地范围内的作业与应急</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1.乙方车辆仅允许在甲方指定的区域，按方向行驶、停放以及装卸作业。</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2.乙方的车辆限速、限高、限重应符合甲方要求。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3.乙方在甲方属地范围作业应当配备的个人劳动防护用品，由乙方负责提供，并确保有效。</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4.乙方在甲方属地范围内发生安全事故及消防安全事故的，必须配合甲方现场人员开展应急工作。</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在甲方属地范围外的作业与应急</w:t>
      </w:r>
      <w:r>
        <w:rPr>
          <w:rFonts w:hint="eastAsia" w:ascii="仿宋_GB2312" w:hAnsi="仿宋_GB2312" w:eastAsia="仿宋_GB2312" w:cs="仿宋_GB2312"/>
          <w:color w:val="auto"/>
          <w:sz w:val="24"/>
          <w:szCs w:val="24"/>
          <w:highlight w:val="none"/>
          <w:lang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1.由乙方根据交通运输、危化品、危废、固废等法律法规、行业标准等予以执行。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2.乙方车辆载有甲方货物（含废物料等），在甲方属地范围外发生安全事故及消防安全事故的，除按交通及行业有关要求上报外，应及时告知甲方。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（四）补充条款</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一</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在甲方甲方属地范围内，未发生安全事故或消防安全事故的违约责任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1.乙方未履行安全及消防安全责任的，有权按合同相关条款处理。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（二）在甲方属地范围内，发生安全事故或消防安全事故的违约责任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2.如甲方未能提供甲方履职证明的，根据责任调查报告（意见）承担责任。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（三）在甲方属地范围外，发生安全事故或消防安全事故的违约责任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1.由乙方承担责任。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2.如对甲方货物造成损失的，根据合同向甲方赔偿。</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color w:val="auto"/>
          <w:kern w:val="0"/>
          <w:sz w:val="24"/>
          <w:szCs w:val="24"/>
          <w:highlight w:val="none"/>
          <w:lang w:val="en-US" w:eastAsia="zh-CN"/>
        </w:rPr>
      </w:pPr>
      <w:r>
        <w:rPr>
          <w:rFonts w:hint="eastAsia" w:ascii="仿宋_GB2312" w:hAnsi="仿宋_GB2312" w:eastAsia="仿宋_GB2312" w:cs="仿宋_GB2312"/>
          <w:color w:val="auto"/>
          <w:kern w:val="0"/>
          <w:sz w:val="24"/>
          <w:szCs w:val="24"/>
          <w:highlight w:val="none"/>
          <w:lang w:val="en-US" w:eastAsia="zh-CN"/>
        </w:rPr>
        <w:t>3.如对甲方造成负面舆情等声誉损失的，乙方应当澄清对甲方的负面影响。拒不执行的，甲方有权向乙方索赔。</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rPr>
        <w:t>）本协议</w:t>
      </w:r>
      <w:r>
        <w:rPr>
          <w:rFonts w:hint="eastAsia" w:ascii="仿宋_GB2312" w:hAnsi="仿宋_GB2312" w:eastAsia="仿宋_GB2312" w:cs="仿宋_GB2312"/>
          <w:color w:val="auto"/>
          <w:sz w:val="24"/>
          <w:szCs w:val="24"/>
          <w:highlight w:val="none"/>
          <w:lang w:val="en-US" w:eastAsia="zh-CN"/>
        </w:rPr>
        <w:t>作为合同的附件</w:t>
      </w:r>
      <w:r>
        <w:rPr>
          <w:rFonts w:hint="eastAsia" w:ascii="仿宋_GB2312" w:hAnsi="仿宋_GB2312" w:eastAsia="仿宋_GB2312" w:cs="仿宋_GB2312"/>
          <w:color w:val="auto"/>
          <w:sz w:val="24"/>
          <w:szCs w:val="24"/>
          <w:highlight w:val="none"/>
        </w:rPr>
        <w:t>同时</w:t>
      </w:r>
      <w:r>
        <w:rPr>
          <w:rFonts w:hint="eastAsia" w:ascii="仿宋_GB2312" w:hAnsi="仿宋_GB2312" w:eastAsia="仿宋_GB2312" w:cs="仿宋_GB2312"/>
          <w:color w:val="auto"/>
          <w:sz w:val="24"/>
          <w:szCs w:val="24"/>
          <w:highlight w:val="none"/>
          <w:lang w:val="en-US" w:eastAsia="zh-CN"/>
        </w:rPr>
        <w:t>签字、同事盖章</w:t>
      </w:r>
      <w:r>
        <w:rPr>
          <w:rFonts w:hint="eastAsia" w:ascii="仿宋_GB2312" w:hAnsi="仿宋_GB2312" w:eastAsia="仿宋_GB2312" w:cs="仿宋_GB2312"/>
          <w:color w:val="auto"/>
          <w:sz w:val="24"/>
          <w:szCs w:val="24"/>
          <w:highlight w:val="none"/>
        </w:rPr>
        <w:t>、同时生效、同时终止，具有</w:t>
      </w:r>
      <w:r>
        <w:rPr>
          <w:rFonts w:hint="eastAsia" w:ascii="仿宋_GB2312" w:hAnsi="仿宋_GB2312" w:eastAsia="仿宋_GB2312" w:cs="仿宋_GB2312"/>
          <w:color w:val="auto"/>
          <w:sz w:val="24"/>
          <w:szCs w:val="24"/>
          <w:highlight w:val="none"/>
          <w:lang w:val="en-US" w:eastAsia="zh-CN"/>
        </w:rPr>
        <w:t>同等</w:t>
      </w:r>
      <w:r>
        <w:rPr>
          <w:rFonts w:hint="eastAsia" w:ascii="仿宋_GB2312" w:hAnsi="仿宋_GB2312" w:eastAsia="仿宋_GB2312" w:cs="仿宋_GB2312"/>
          <w:color w:val="auto"/>
          <w:sz w:val="24"/>
          <w:szCs w:val="24"/>
          <w:highlight w:val="none"/>
        </w:rPr>
        <w:t>的法律效力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甲方、乙方双方执持数量与合同一致。</w:t>
      </w:r>
    </w:p>
    <w:p>
      <w:pPr>
        <w:rPr>
          <w:rFonts w:hint="eastAsia" w:ascii="仿宋_GB2312" w:hAnsi="仿宋_GB2312" w:eastAsia="仿宋_GB2312" w:cs="仿宋_GB2312"/>
          <w:color w:val="auto"/>
          <w:sz w:val="24"/>
          <w:szCs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ind w:firstLine="240" w:firstLineChars="100"/>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c>
          <w:tcPr>
            <w:tcW w:w="4474" w:type="dxa"/>
          </w:tcPr>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乙方</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盖章</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签约代表：</w:t>
            </w:r>
          </w:p>
          <w:p>
            <w:pPr>
              <w:adjustRightInd w:val="0"/>
              <w:snapToGrid w:val="0"/>
              <w:spacing w:line="56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联系电话：</w:t>
            </w:r>
          </w:p>
          <w:p>
            <w:pPr>
              <w:adjustRightInd w:val="0"/>
              <w:snapToGrid w:val="0"/>
              <w:spacing w:line="560" w:lineRule="exact"/>
              <w:jc w:val="righ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年    月    日</w:t>
            </w:r>
          </w:p>
        </w:tc>
      </w:tr>
    </w:tbl>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p>
    <w:p>
      <w:pPr>
        <w:spacing w:line="360" w:lineRule="auto"/>
        <w:ind w:firstLine="480" w:firstLineChars="200"/>
        <w:rPr>
          <w:rFonts w:hint="eastAsia" w:ascii="仿宋_GB2312" w:hAnsi="仿宋_GB2312" w:eastAsia="仿宋_GB2312" w:cs="仿宋_GB2312"/>
          <w:color w:val="auto"/>
          <w:sz w:val="24"/>
          <w:szCs w:val="24"/>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4"/>
        <w:rPr>
          <w:color w:val="auto"/>
          <w:highlight w:val="none"/>
        </w:rPr>
      </w:pPr>
      <w:bookmarkStart w:id="147" w:name="_Toc12169"/>
      <w:bookmarkStart w:id="148" w:name="_Toc3723"/>
      <w:bookmarkStart w:id="149" w:name="_Toc6230"/>
      <w:bookmarkStart w:id="150" w:name="_Toc8147"/>
      <w:bookmarkStart w:id="151" w:name="_Toc23515"/>
      <w:bookmarkStart w:id="152" w:name="_Toc21847"/>
      <w:bookmarkStart w:id="153" w:name="_Toc28358"/>
      <w:bookmarkStart w:id="154" w:name="_Toc16552"/>
      <w:bookmarkStart w:id="155" w:name="_Toc1563"/>
      <w:bookmarkStart w:id="156" w:name="_Toc5129"/>
      <w:bookmarkStart w:id="157" w:name="_Toc30824"/>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47"/>
      <w:bookmarkEnd w:id="148"/>
      <w:bookmarkEnd w:id="149"/>
      <w:bookmarkEnd w:id="150"/>
      <w:bookmarkEnd w:id="151"/>
      <w:bookmarkEnd w:id="152"/>
      <w:bookmarkEnd w:id="153"/>
      <w:bookmarkEnd w:id="154"/>
      <w:bookmarkEnd w:id="155"/>
      <w:bookmarkEnd w:id="156"/>
      <w:bookmarkEnd w:id="157"/>
    </w:p>
    <w:p>
      <w:pPr>
        <w:pStyle w:val="34"/>
        <w:rPr>
          <w:color w:val="auto"/>
          <w:highlight w:val="none"/>
        </w:rPr>
      </w:pPr>
    </w:p>
    <w:p>
      <w:pPr>
        <w:pStyle w:val="4"/>
        <w:rPr>
          <w:color w:val="auto"/>
          <w:highlight w:val="none"/>
        </w:rPr>
      </w:pPr>
      <w:bookmarkStart w:id="158" w:name="_Toc12769"/>
      <w:bookmarkStart w:id="159" w:name="_Toc31564"/>
      <w:bookmarkStart w:id="160" w:name="_Toc88209951"/>
      <w:bookmarkStart w:id="161" w:name="_Toc5342"/>
      <w:bookmarkStart w:id="162" w:name="_Toc17119"/>
      <w:bookmarkStart w:id="163" w:name="_Toc10840"/>
      <w:bookmarkStart w:id="164" w:name="_Toc24815"/>
      <w:bookmarkStart w:id="165" w:name="_Toc87616388"/>
      <w:bookmarkStart w:id="166" w:name="_Toc22764"/>
      <w:bookmarkStart w:id="167" w:name="_Toc24490"/>
      <w:bookmarkStart w:id="168" w:name="_Toc21675"/>
      <w:bookmarkStart w:id="169" w:name="_Toc30157"/>
      <w:bookmarkStart w:id="170" w:name="_Toc12610"/>
      <w:r>
        <w:rPr>
          <w:rFonts w:hint="eastAsia"/>
          <w:color w:val="auto"/>
          <w:highlight w:val="none"/>
        </w:rPr>
        <w:t>响应文件</w:t>
      </w:r>
      <w:r>
        <w:rPr>
          <w:rFonts w:hint="eastAsia"/>
          <w:color w:val="auto"/>
          <w:highlight w:val="none"/>
          <w:lang w:val="en-US" w:eastAsia="zh-CN"/>
        </w:rPr>
        <w:t>格式要求</w:t>
      </w:r>
      <w:bookmarkEnd w:id="158"/>
      <w:bookmarkEnd w:id="159"/>
      <w:bookmarkEnd w:id="160"/>
      <w:bookmarkEnd w:id="161"/>
      <w:bookmarkEnd w:id="162"/>
      <w:bookmarkEnd w:id="163"/>
      <w:bookmarkEnd w:id="164"/>
      <w:bookmarkEnd w:id="165"/>
      <w:bookmarkEnd w:id="166"/>
      <w:bookmarkEnd w:id="167"/>
      <w:bookmarkEnd w:id="168"/>
      <w:bookmarkEnd w:id="169"/>
      <w:bookmarkEnd w:id="17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3"/>
        <w:rPr>
          <w:rFonts w:hint="eastAsia" w:ascii="方正小标宋简体" w:eastAsia="方正小标宋简体"/>
          <w:color w:val="auto"/>
          <w:sz w:val="48"/>
          <w:szCs w:val="48"/>
          <w:highlight w:val="none"/>
        </w:rPr>
      </w:pPr>
    </w:p>
    <w:p>
      <w:pPr>
        <w:pStyle w:val="3"/>
        <w:rPr>
          <w:rFonts w:hint="eastAsia" w:ascii="方正小标宋简体" w:eastAsia="方正小标宋简体"/>
          <w:color w:val="auto"/>
          <w:sz w:val="48"/>
          <w:szCs w:val="48"/>
          <w:highlight w:val="none"/>
        </w:rPr>
      </w:pPr>
    </w:p>
    <w:p>
      <w:pPr>
        <w:pStyle w:val="3"/>
        <w:rPr>
          <w:rFonts w:hint="eastAsia" w:ascii="方正小标宋简体" w:eastAsia="方正小标宋简体"/>
          <w:color w:val="auto"/>
          <w:sz w:val="48"/>
          <w:szCs w:val="48"/>
          <w:highlight w:val="none"/>
        </w:rPr>
      </w:pPr>
    </w:p>
    <w:p>
      <w:pPr>
        <w:pStyle w:val="3"/>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1" w:name="_Toc88209952"/>
      <w:bookmarkStart w:id="172" w:name="_Toc87616389"/>
      <w:r>
        <w:rPr>
          <w:rFonts w:hint="eastAsia" w:ascii="仿宋_GB2312" w:eastAsia="仿宋_GB2312"/>
          <w:color w:val="auto"/>
          <w:sz w:val="28"/>
          <w:szCs w:val="28"/>
          <w:highlight w:val="none"/>
        </w:rPr>
        <w:t>1.响应函</w:t>
      </w:r>
      <w:bookmarkEnd w:id="171"/>
      <w:bookmarkEnd w:id="172"/>
    </w:p>
    <w:p>
      <w:pPr>
        <w:spacing w:line="600" w:lineRule="exact"/>
        <w:rPr>
          <w:rFonts w:hint="eastAsia" w:ascii="仿宋_GB2312" w:eastAsia="仿宋_GB2312"/>
          <w:color w:val="auto"/>
          <w:sz w:val="28"/>
          <w:szCs w:val="28"/>
          <w:highlight w:val="none"/>
        </w:rPr>
      </w:pPr>
      <w:bookmarkStart w:id="173" w:name="_Toc88209953"/>
      <w:bookmarkStart w:id="174" w:name="_Toc87616390"/>
      <w:r>
        <w:rPr>
          <w:rFonts w:hint="eastAsia" w:ascii="仿宋_GB2312" w:eastAsia="仿宋_GB2312"/>
          <w:color w:val="auto"/>
          <w:sz w:val="28"/>
          <w:szCs w:val="28"/>
          <w:highlight w:val="none"/>
        </w:rPr>
        <w:t>2.法定代表人证明或授权委托书</w:t>
      </w:r>
      <w:bookmarkEnd w:id="173"/>
      <w:bookmarkEnd w:id="174"/>
      <w:bookmarkStart w:id="175" w:name="_Toc87616393"/>
      <w:bookmarkStart w:id="17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75"/>
      <w:bookmarkEnd w:id="17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7" w:name="_Toc12665"/>
      <w:bookmarkStart w:id="178" w:name="_Toc28619645"/>
      <w:bookmarkStart w:id="179" w:name="_Toc87616394"/>
      <w:bookmarkStart w:id="180" w:name="_Toc88209957"/>
      <w:bookmarkStart w:id="181" w:name="_Toc6313"/>
      <w:r>
        <w:rPr>
          <w:rFonts w:hint="eastAsia" w:asciiTheme="minorEastAsia" w:hAnsiTheme="minorEastAsia" w:eastAsiaTheme="minorEastAsia"/>
          <w:color w:val="auto"/>
          <w:sz w:val="28"/>
          <w:szCs w:val="28"/>
          <w:highlight w:val="none"/>
        </w:rPr>
        <w:t>1.响应函</w:t>
      </w:r>
      <w:bookmarkEnd w:id="177"/>
      <w:bookmarkEnd w:id="178"/>
      <w:bookmarkEnd w:id="179"/>
      <w:bookmarkEnd w:id="180"/>
      <w:bookmarkEnd w:id="18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w:t>
      </w:r>
      <w:r>
        <w:rPr>
          <w:rFonts w:hint="eastAsia" w:ascii="仿宋_GB2312" w:eastAsia="仿宋_GB2312" w:hAnsiTheme="minorEastAsia"/>
          <w:color w:val="auto"/>
          <w:sz w:val="28"/>
          <w:szCs w:val="28"/>
          <w:highlight w:val="none"/>
          <w:lang w:val="en-US" w:eastAsia="zh-CN"/>
        </w:rPr>
        <w:t>签</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2" w:name="_Toc29833"/>
      <w:bookmarkStart w:id="183" w:name="_Toc87616395"/>
      <w:bookmarkStart w:id="184" w:name="_Toc88209958"/>
      <w:bookmarkStart w:id="185"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2"/>
      <w:bookmarkEnd w:id="183"/>
      <w:bookmarkEnd w:id="184"/>
      <w:bookmarkEnd w:id="18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6"/>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5"/>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4"/>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4"/>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2.提供授权委托人自公告发布当月（含）往前在本单位近三个月社保记录（以加盖社会保险基金管理中心印章的《缴费历史明细表》或《社会保险参保人员证明》为准），否则为无效代理人，响应文件无效。</w:t>
      </w:r>
    </w:p>
    <w:p>
      <w:pPr>
        <w:pStyle w:val="34"/>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或签章</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或签章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自公告发布当月（含）往前</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pStyle w:val="6"/>
        <w:rPr>
          <w:rFonts w:asciiTheme="minorEastAsia" w:hAnsiTheme="minorEastAsia" w:eastAsiaTheme="minorEastAsia"/>
          <w:color w:val="auto"/>
          <w:sz w:val="28"/>
          <w:szCs w:val="28"/>
          <w:highlight w:val="none"/>
        </w:rPr>
      </w:pPr>
      <w:bookmarkStart w:id="186" w:name="_Toc8086"/>
      <w:bookmarkStart w:id="187" w:name="_Toc87616400"/>
      <w:bookmarkStart w:id="188" w:name="_Toc88209963"/>
      <w:bookmarkStart w:id="189"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6"/>
      <w:bookmarkEnd w:id="187"/>
      <w:bookmarkEnd w:id="188"/>
      <w:bookmarkEnd w:id="18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9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9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r>
        <w:rPr>
          <w:rFonts w:hint="eastAsia" w:ascii="宋体" w:hAnsi="宋体" w:cs="宋体" w:eastAsiaTheme="minorEastAsia"/>
          <w:color w:val="auto"/>
          <w:sz w:val="24"/>
          <w:szCs w:val="24"/>
          <w:highlight w:val="none"/>
          <w:lang w:val="en-GB"/>
        </w:rPr>
        <w:t>（7）在“信用中国”网站（www.creditchina.gov.cn）</w:t>
      </w:r>
      <w:r>
        <w:rPr>
          <w:rFonts w:hint="eastAsia" w:ascii="宋体" w:hAnsi="宋体" w:cs="宋体" w:eastAsiaTheme="minorEastAsia"/>
          <w:color w:val="auto"/>
          <w:sz w:val="24"/>
          <w:szCs w:val="24"/>
          <w:highlight w:val="none"/>
          <w:lang w:val="en-GB" w:eastAsia="zh-CN"/>
        </w:rPr>
        <w:t>中被列入失信被执行人、安全生产领域严重失信惩戒名单、拖欠农民工工资失信联合惩戒对象名单。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w:t>
      </w:r>
      <w:r>
        <w:rPr>
          <w:rFonts w:hint="eastAsia" w:ascii="宋体" w:hAnsi="宋体" w:cs="宋体" w:eastAsiaTheme="minorEastAsia"/>
          <w:color w:val="auto"/>
          <w:sz w:val="24"/>
          <w:szCs w:val="24"/>
          <w:highlight w:val="none"/>
          <w:lang w:val="en-GB" w:eastAsia="zh-CN"/>
        </w:rPr>
        <w:t>在</w:t>
      </w:r>
      <w:r>
        <w:rPr>
          <w:rFonts w:hint="eastAsia" w:ascii="宋体" w:hAnsi="宋体" w:cs="宋体" w:eastAsiaTheme="minorEastAsia"/>
          <w:color w:val="auto"/>
          <w:sz w:val="24"/>
          <w:szCs w:val="24"/>
          <w:highlight w:val="none"/>
          <w:lang w:val="en-GB"/>
        </w:rPr>
        <w:t>“信用中国”网站（www.creditchina.gov.cn）</w:t>
      </w:r>
      <w:r>
        <w:rPr>
          <w:rFonts w:hint="eastAsia" w:ascii="宋体" w:hAnsi="宋体" w:cs="宋体" w:eastAsiaTheme="minorEastAsia"/>
          <w:color w:val="auto"/>
          <w:sz w:val="24"/>
          <w:szCs w:val="24"/>
          <w:highlight w:val="none"/>
          <w:lang w:val="en-GB" w:eastAsia="zh-CN"/>
        </w:rPr>
        <w:t>中被列入严重失信主体名单</w:t>
      </w:r>
      <w:r>
        <w:rPr>
          <w:rFonts w:hint="eastAsia" w:ascii="宋体" w:hAnsi="宋体" w:cs="宋体" w:eastAsiaTheme="minorEastAsia"/>
          <w:color w:val="auto"/>
          <w:sz w:val="24"/>
          <w:szCs w:val="24"/>
          <w:highlight w:val="none"/>
          <w:lang w:val="en-GB"/>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eastAsiaTheme="minorEastAsia"/>
          <w:color w:val="auto"/>
          <w:sz w:val="24"/>
          <w:szCs w:val="24"/>
          <w:highlight w:val="none"/>
          <w:lang w:val="en-GB" w:eastAsia="zh-CN"/>
        </w:rPr>
        <w:t>9</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eastAsiaTheme="minorEastAsia"/>
          <w:color w:val="auto"/>
          <w:sz w:val="24"/>
          <w:szCs w:val="24"/>
          <w:highlight w:val="none"/>
          <w:lang w:val="en-GB" w:eastAsia="zh-CN"/>
        </w:rPr>
        <w:t>0</w:t>
      </w:r>
      <w:r>
        <w:rPr>
          <w:rFonts w:hint="eastAsia" w:ascii="宋体" w:hAnsi="宋体" w:cs="宋体" w:eastAsiaTheme="minorEastAsia"/>
          <w:color w:val="auto"/>
          <w:sz w:val="24"/>
          <w:szCs w:val="24"/>
          <w:highlight w:val="none"/>
          <w:lang w:val="en-GB"/>
        </w:rPr>
        <w:t>）其他禁止情形：</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6"/>
        <w:rPr>
          <w:rFonts w:hint="eastAsia" w:asciiTheme="minorEastAsia" w:hAnsiTheme="minorEastAsia" w:eastAsiaTheme="minorEastAsia"/>
          <w:color w:val="auto"/>
          <w:sz w:val="28"/>
          <w:szCs w:val="28"/>
          <w:highlight w:val="none"/>
          <w:lang w:eastAsia="zh-CN"/>
        </w:rPr>
      </w:pPr>
      <w:bookmarkStart w:id="191" w:name="_Toc32430"/>
      <w:bookmarkStart w:id="192"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91"/>
      <w:bookmarkEnd w:id="192"/>
      <w:r>
        <w:rPr>
          <w:rFonts w:hint="eastAsia" w:asciiTheme="minorEastAsia" w:hAnsiTheme="minorEastAsia" w:eastAsiaTheme="minorEastAsia"/>
          <w:color w:val="auto"/>
          <w:sz w:val="28"/>
          <w:szCs w:val="28"/>
          <w:highlight w:val="none"/>
          <w:lang w:val="en-US" w:eastAsia="zh-CN"/>
        </w:rPr>
        <w:t xml:space="preserve"> </w:t>
      </w:r>
    </w:p>
    <w:tbl>
      <w:tblPr>
        <w:tblStyle w:val="23"/>
        <w:tblpPr w:leftFromText="180" w:rightFromText="180" w:vertAnchor="text" w:horzAnchor="page" w:tblpX="1414"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124"/>
        <w:gridCol w:w="1164"/>
        <w:gridCol w:w="1700"/>
        <w:gridCol w:w="2733"/>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060" w:type="dxa"/>
            <w:gridSpan w:val="6"/>
            <w:vAlign w:val="center"/>
          </w:tcPr>
          <w:p>
            <w:pPr>
              <w:pStyle w:val="44"/>
              <w:jc w:val="center"/>
              <w:rPr>
                <w:rFonts w:hint="eastAsia" w:hAnsi="宋体" w:eastAsia="宋体" w:cs="宋体"/>
                <w:b/>
                <w:bCs/>
                <w:color w:val="auto"/>
                <w:sz w:val="24"/>
                <w:szCs w:val="24"/>
                <w:highlight w:val="none"/>
                <w:lang w:eastAsia="zh-CN"/>
              </w:rPr>
            </w:pPr>
            <w:bookmarkStart w:id="193" w:name="工程量清单"/>
            <w:bookmarkEnd w:id="193"/>
            <w:r>
              <w:rPr>
                <w:rFonts w:hint="eastAsia" w:hAnsi="宋体" w:eastAsia="宋体" w:cs="宋体"/>
                <w:b/>
                <w:bCs/>
                <w:color w:val="auto"/>
                <w:sz w:val="24"/>
                <w:szCs w:val="24"/>
                <w:highlight w:val="none"/>
                <w:lang w:eastAsia="zh-CN"/>
              </w:rPr>
              <w:t>广州市净水有限公司</w:t>
            </w:r>
            <w:r>
              <w:rPr>
                <w:rFonts w:hint="eastAsia" w:hAnsi="宋体" w:eastAsia="宋体"/>
                <w:b/>
                <w:bCs/>
                <w:color w:val="auto"/>
                <w:highlight w:val="none"/>
                <w:lang w:eastAsia="zh-CN"/>
              </w:rPr>
              <w:t>猎德分公司</w:t>
            </w:r>
            <w:r>
              <w:rPr>
                <w:rFonts w:hint="eastAsia" w:hAnsi="宋体" w:eastAsia="宋体"/>
                <w:b/>
                <w:bCs/>
                <w:color w:val="auto"/>
                <w:highlight w:val="none"/>
                <w:lang w:val="en-US" w:eastAsia="zh-CN"/>
              </w:rPr>
              <w:t>2024年储泥池加药机采购</w:t>
            </w:r>
            <w:r>
              <w:rPr>
                <w:rFonts w:hint="eastAsia" w:hAnsi="宋体" w:eastAsia="宋体"/>
                <w:b/>
                <w:bCs/>
                <w:color w:val="auto"/>
                <w:highlight w:val="none"/>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57" w:type="dxa"/>
            <w:vAlign w:val="center"/>
          </w:tcPr>
          <w:p>
            <w:pPr>
              <w:pStyle w:val="44"/>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124"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rPr>
              <w:t>设备名称</w:t>
            </w:r>
          </w:p>
        </w:tc>
        <w:tc>
          <w:tcPr>
            <w:tcW w:w="1164"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bCs/>
                <w:color w:val="auto"/>
                <w:kern w:val="0"/>
                <w:sz w:val="24"/>
                <w:szCs w:val="24"/>
                <w:highlight w:val="none"/>
                <w:vertAlign w:val="baseline"/>
                <w:lang w:val="en-US" w:eastAsia="zh-CN" w:bidi="ar-SA"/>
              </w:rPr>
            </w:pPr>
            <w:r>
              <w:rPr>
                <w:rFonts w:hint="eastAsia" w:ascii="宋体" w:hAnsi="宋体" w:eastAsia="宋体" w:cs="宋体"/>
                <w:b/>
                <w:bCs/>
                <w:color w:val="auto"/>
                <w:kern w:val="0"/>
                <w:sz w:val="24"/>
                <w:szCs w:val="24"/>
                <w:highlight w:val="none"/>
                <w:vertAlign w:val="baseline"/>
                <w:lang w:val="en-US" w:eastAsia="zh-CN"/>
              </w:rPr>
              <w:t>数量单位</w:t>
            </w:r>
          </w:p>
        </w:tc>
        <w:tc>
          <w:tcPr>
            <w:tcW w:w="1700" w:type="dxa"/>
            <w:vAlign w:val="center"/>
          </w:tcPr>
          <w:p>
            <w:pPr>
              <w:pStyle w:val="44"/>
              <w:jc w:val="center"/>
              <w:rPr>
                <w:rFonts w:hint="eastAsia"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项目</w:t>
            </w:r>
            <w:r>
              <w:rPr>
                <w:rFonts w:hint="eastAsia" w:hAnsi="宋体" w:eastAsia="宋体" w:cs="宋体"/>
                <w:b/>
                <w:bCs/>
                <w:color w:val="auto"/>
                <w:sz w:val="24"/>
                <w:szCs w:val="24"/>
                <w:highlight w:val="none"/>
                <w:lang w:val="en-US" w:eastAsia="zh-CN"/>
              </w:rPr>
              <w:t>单价</w:t>
            </w:r>
          </w:p>
          <w:p>
            <w:pPr>
              <w:pStyle w:val="4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（含税价/元）</w:t>
            </w:r>
          </w:p>
        </w:tc>
        <w:tc>
          <w:tcPr>
            <w:tcW w:w="2733" w:type="dxa"/>
            <w:vAlign w:val="center"/>
          </w:tcPr>
          <w:p>
            <w:pPr>
              <w:pStyle w:val="4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项目总价</w:t>
            </w:r>
          </w:p>
          <w:p>
            <w:pPr>
              <w:pStyle w:val="44"/>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（含税价/元）</w:t>
            </w:r>
          </w:p>
        </w:tc>
        <w:tc>
          <w:tcPr>
            <w:tcW w:w="1882" w:type="dxa"/>
            <w:vAlign w:val="center"/>
          </w:tcPr>
          <w:p>
            <w:pPr>
              <w:pStyle w:val="44"/>
              <w:jc w:val="center"/>
              <w:rPr>
                <w:rFonts w:hint="default" w:ascii="宋体"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57" w:type="dxa"/>
            <w:vAlign w:val="center"/>
          </w:tcPr>
          <w:p>
            <w:pPr>
              <w:pStyle w:val="44"/>
              <w:spacing w:line="360" w:lineRule="auto"/>
              <w:jc w:val="center"/>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124" w:type="dxa"/>
            <w:vAlign w:val="center"/>
          </w:tcPr>
          <w:p>
            <w:pPr>
              <w:pStyle w:val="44"/>
              <w:jc w:val="center"/>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三箱式干粉配制和投加装置</w:t>
            </w:r>
            <w:r>
              <w:rPr>
                <w:rFonts w:hint="eastAsia" w:hAnsi="宋体" w:eastAsia="宋体" w:cs="宋体"/>
                <w:b/>
                <w:bCs/>
                <w:color w:val="auto"/>
                <w:kern w:val="2"/>
                <w:sz w:val="24"/>
                <w:szCs w:val="24"/>
                <w:highlight w:val="none"/>
                <w:lang w:val="en-US" w:eastAsia="zh-CN" w:bidi="ar-SA"/>
              </w:rPr>
              <w:t>（加药机）</w:t>
            </w:r>
          </w:p>
        </w:tc>
        <w:tc>
          <w:tcPr>
            <w:tcW w:w="1164" w:type="dxa"/>
            <w:vAlign w:val="center"/>
          </w:tcPr>
          <w:p>
            <w:pPr>
              <w:pStyle w:val="44"/>
              <w:jc w:val="center"/>
              <w:rPr>
                <w:rFonts w:hint="default" w:ascii="宋体" w:hAnsi="宋体" w:eastAsia="宋体" w:cs="宋体"/>
                <w:color w:val="auto"/>
                <w:sz w:val="24"/>
                <w:szCs w:val="24"/>
                <w:highlight w:val="none"/>
                <w:lang w:val="en-US" w:eastAsia="zh-CN"/>
              </w:rPr>
            </w:pPr>
            <w:r>
              <w:rPr>
                <w:rFonts w:hint="eastAsia" w:hAnsi="宋体" w:eastAsia="宋体" w:cs="宋体"/>
                <w:b/>
                <w:bCs/>
                <w:color w:val="auto"/>
                <w:kern w:val="2"/>
                <w:sz w:val="24"/>
                <w:szCs w:val="24"/>
                <w:highlight w:val="none"/>
                <w:lang w:val="en-US" w:eastAsia="zh-CN"/>
              </w:rPr>
              <w:t>2台</w:t>
            </w:r>
          </w:p>
        </w:tc>
        <w:tc>
          <w:tcPr>
            <w:tcW w:w="1700" w:type="dxa"/>
            <w:vAlign w:val="center"/>
          </w:tcPr>
          <w:p>
            <w:pPr>
              <w:pStyle w:val="44"/>
              <w:jc w:val="center"/>
              <w:rPr>
                <w:rFonts w:hint="eastAsia" w:ascii="宋体" w:hAnsi="宋体" w:eastAsia="宋体" w:cs="宋体"/>
                <w:color w:val="auto"/>
                <w:sz w:val="24"/>
                <w:szCs w:val="24"/>
                <w:highlight w:val="none"/>
              </w:rPr>
            </w:pPr>
          </w:p>
        </w:tc>
        <w:tc>
          <w:tcPr>
            <w:tcW w:w="2733" w:type="dxa"/>
            <w:vAlign w:val="center"/>
          </w:tcPr>
          <w:p>
            <w:pPr>
              <w:pStyle w:val="44"/>
              <w:jc w:val="center"/>
              <w:rPr>
                <w:rFonts w:hint="eastAsia" w:ascii="宋体" w:hAnsi="宋体" w:eastAsia="宋体" w:cs="宋体"/>
                <w:color w:val="auto"/>
                <w:sz w:val="24"/>
                <w:szCs w:val="24"/>
                <w:highlight w:val="none"/>
              </w:rPr>
            </w:pPr>
          </w:p>
        </w:tc>
        <w:tc>
          <w:tcPr>
            <w:tcW w:w="1882" w:type="dxa"/>
            <w:vAlign w:val="center"/>
          </w:tcPr>
          <w:p>
            <w:pPr>
              <w:pStyle w:val="44"/>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7" w:type="dxa"/>
            <w:shd w:val="clear" w:color="auto" w:fill="auto"/>
            <w:vAlign w:val="center"/>
          </w:tcPr>
          <w:p>
            <w:pPr>
              <w:pStyle w:val="11"/>
              <w:spacing w:line="360" w:lineRule="auto"/>
              <w:jc w:val="center"/>
              <w:outlineLvl w:val="1"/>
              <w:rPr>
                <w:rFonts w:hint="eastAsia" w:ascii="宋体" w:hAnsi="宋体" w:eastAsia="宋体" w:cs="宋体"/>
                <w:b/>
                <w:bCs/>
                <w:color w:val="auto"/>
                <w:sz w:val="24"/>
                <w:szCs w:val="24"/>
                <w:highlight w:val="none"/>
              </w:rPr>
            </w:pPr>
          </w:p>
        </w:tc>
        <w:tc>
          <w:tcPr>
            <w:tcW w:w="1124" w:type="dxa"/>
            <w:shd w:val="clear" w:color="auto" w:fill="auto"/>
            <w:vAlign w:val="center"/>
          </w:tcPr>
          <w:p>
            <w:pPr>
              <w:pStyle w:val="11"/>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合计</w:t>
            </w:r>
          </w:p>
        </w:tc>
        <w:tc>
          <w:tcPr>
            <w:tcW w:w="1164" w:type="dxa"/>
            <w:vAlign w:val="center"/>
          </w:tcPr>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kern w:val="2"/>
                <w:sz w:val="24"/>
                <w:szCs w:val="24"/>
                <w:highlight w:val="none"/>
                <w:vertAlign w:val="baseline"/>
                <w:lang w:val="en-US" w:eastAsia="zh-CN" w:bidi="ar-SA"/>
              </w:rPr>
            </w:pPr>
            <w:r>
              <w:rPr>
                <w:rFonts w:hint="eastAsia" w:ascii="仿宋_GB2312" w:hAnsi="仿宋" w:eastAsia="仿宋_GB2312" w:cs="Times New Roman"/>
                <w:color w:val="auto"/>
                <w:sz w:val="24"/>
                <w:szCs w:val="24"/>
                <w:highlight w:val="none"/>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after="0" w:line="240" w:lineRule="auto"/>
              <w:jc w:val="center"/>
              <w:textAlignment w:val="auto"/>
              <w:rPr>
                <w:rFonts w:hint="eastAsia" w:ascii="仿宋_GB2312" w:hAnsi="仿宋" w:eastAsia="仿宋_GB2312" w:cs="Times New Roman"/>
                <w:color w:val="auto"/>
                <w:kern w:val="2"/>
                <w:sz w:val="24"/>
                <w:szCs w:val="24"/>
                <w:highlight w:val="none"/>
                <w:vertAlign w:val="baseline"/>
                <w:lang w:val="en-US" w:eastAsia="zh-CN" w:bidi="ar-SA"/>
              </w:rPr>
            </w:pPr>
            <w:r>
              <w:rPr>
                <w:rFonts w:hint="eastAsia" w:ascii="仿宋_GB2312" w:hAnsi="仿宋" w:eastAsia="仿宋_GB2312" w:cs="Times New Roman"/>
                <w:color w:val="auto"/>
                <w:sz w:val="24"/>
                <w:szCs w:val="24"/>
                <w:highlight w:val="none"/>
                <w:vertAlign w:val="baseline"/>
                <w:lang w:val="en-US" w:eastAsia="zh-CN"/>
              </w:rPr>
              <w:t xml:space="preserve"> </w:t>
            </w:r>
          </w:p>
        </w:tc>
        <w:tc>
          <w:tcPr>
            <w:tcW w:w="1700" w:type="dxa"/>
            <w:vAlign w:val="center"/>
          </w:tcPr>
          <w:p>
            <w:pPr>
              <w:pStyle w:val="44"/>
              <w:jc w:val="center"/>
              <w:rPr>
                <w:rFonts w:hint="eastAsia" w:ascii="宋体" w:hAnsi="宋体" w:eastAsia="宋体" w:cs="宋体"/>
                <w:color w:val="auto"/>
                <w:sz w:val="24"/>
                <w:szCs w:val="24"/>
                <w:highlight w:val="none"/>
              </w:rPr>
            </w:pPr>
            <w:r>
              <w:rPr>
                <w:rFonts w:hint="eastAsia" w:hAnsi="宋体" w:eastAsia="宋体" w:cs="宋体"/>
                <w:b/>
                <w:bCs/>
                <w:color w:val="auto"/>
                <w:kern w:val="2"/>
                <w:sz w:val="24"/>
                <w:szCs w:val="24"/>
                <w:highlight w:val="none"/>
                <w:lang w:val="en-US" w:eastAsia="zh-CN"/>
              </w:rPr>
              <w:t>税率</w:t>
            </w:r>
          </w:p>
        </w:tc>
        <w:tc>
          <w:tcPr>
            <w:tcW w:w="2733" w:type="dxa"/>
            <w:vAlign w:val="center"/>
          </w:tcPr>
          <w:p>
            <w:pPr>
              <w:pStyle w:val="44"/>
              <w:jc w:val="center"/>
              <w:rPr>
                <w:rFonts w:hint="eastAsia" w:ascii="宋体" w:hAnsi="宋体" w:eastAsia="宋体" w:cs="宋体"/>
                <w:color w:val="auto"/>
                <w:sz w:val="24"/>
                <w:szCs w:val="24"/>
                <w:highlight w:val="none"/>
              </w:rPr>
            </w:pPr>
          </w:p>
        </w:tc>
        <w:tc>
          <w:tcPr>
            <w:tcW w:w="1882" w:type="dxa"/>
            <w:vAlign w:val="center"/>
          </w:tcPr>
          <w:p>
            <w:pPr>
              <w:pStyle w:val="44"/>
              <w:jc w:val="center"/>
              <w:rPr>
                <w:rFonts w:hint="eastAsia" w:ascii="宋体" w:hAnsi="宋体" w:eastAsia="宋体" w:cs="宋体"/>
                <w:color w:val="auto"/>
                <w:sz w:val="24"/>
                <w:szCs w:val="24"/>
                <w:highlight w:val="none"/>
              </w:rPr>
            </w:pPr>
          </w:p>
        </w:tc>
      </w:tr>
    </w:tbl>
    <w:p>
      <w:pPr>
        <w:adjustRightInd w:val="0"/>
        <w:snapToGrid w:val="0"/>
        <w:spacing w:line="600" w:lineRule="exact"/>
        <w:ind w:firstLine="560" w:firstLineChars="200"/>
        <w:rPr>
          <w:rFonts w:hint="eastAsia" w:ascii="仿宋_GB2312" w:eastAsia="仿宋_GB2312" w:hAnsiTheme="minorEastAsia"/>
          <w:color w:val="auto"/>
          <w:sz w:val="28"/>
          <w:szCs w:val="28"/>
          <w:highlight w:val="none"/>
        </w:rPr>
      </w:pPr>
    </w:p>
    <w:p>
      <w:pPr>
        <w:adjustRightInd w:val="0"/>
        <w:snapToGrid w:val="0"/>
        <w:spacing w:line="600" w:lineRule="exact"/>
        <w:ind w:firstLine="560" w:firstLineChars="200"/>
        <w:rPr>
          <w:rFonts w:hint="eastAsia" w:ascii="仿宋_GB2312" w:eastAsia="仿宋_GB2312" w:hAnsiTheme="minorEastAsia"/>
          <w:color w:val="auto"/>
          <w:sz w:val="28"/>
          <w:szCs w:val="28"/>
          <w:highlight w:val="none"/>
        </w:rPr>
      </w:pPr>
    </w:p>
    <w:p>
      <w:pPr>
        <w:adjustRightInd w:val="0"/>
        <w:snapToGrid w:val="0"/>
        <w:spacing w:line="600" w:lineRule="exact"/>
        <w:ind w:firstLine="0"/>
        <w:rPr>
          <w:rFonts w:hint="eastAsia" w:ascii="仿宋_GB2312" w:eastAsia="仿宋_GB2312" w:hAnsiTheme="minorEastAsia"/>
          <w:color w:val="auto"/>
          <w:sz w:val="28"/>
          <w:szCs w:val="28"/>
          <w:highlight w:val="none"/>
          <w:lang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1"/>
        <w:rPr>
          <w:rFonts w:hint="default"/>
          <w:color w:val="auto"/>
          <w:highlight w:val="none"/>
          <w:lang w:val="en-US"/>
        </w:rPr>
      </w:pPr>
    </w:p>
    <w:p>
      <w:pPr>
        <w:pStyle w:val="6"/>
        <w:numPr>
          <w:ilvl w:val="-1"/>
          <w:numId w:val="0"/>
        </w:numPr>
        <w:rPr>
          <w:rFonts w:hint="eastAsia" w:asciiTheme="majorEastAsia" w:hAnsiTheme="majorEastAsia" w:eastAsiaTheme="majorEastAsia"/>
          <w:color w:val="auto"/>
          <w:sz w:val="28"/>
          <w:szCs w:val="28"/>
          <w:highlight w:val="none"/>
          <w:lang w:val="en-US" w:eastAsia="zh-CN"/>
        </w:rPr>
      </w:pPr>
      <w:bookmarkStart w:id="194" w:name="_Toc88209965"/>
      <w:bookmarkStart w:id="195" w:name="_Toc87616402"/>
      <w:bookmarkStart w:id="196" w:name="_Toc6058"/>
      <w:bookmarkStart w:id="197" w:name="_Toc16386"/>
      <w:r>
        <w:rPr>
          <w:rFonts w:hint="eastAsia" w:asciiTheme="majorEastAsia" w:hAnsiTheme="majorEastAsia" w:eastAsiaTheme="majorEastAsia"/>
          <w:color w:val="auto"/>
          <w:sz w:val="28"/>
          <w:szCs w:val="28"/>
          <w:highlight w:val="none"/>
          <w:lang w:val="en-US" w:eastAsia="zh-CN"/>
        </w:rPr>
        <w:t>6.承诺函</w:t>
      </w:r>
    </w:p>
    <w:p>
      <w:pPr>
        <w:pStyle w:val="6"/>
        <w:numPr>
          <w:ilvl w:val="-1"/>
          <w:numId w:val="0"/>
        </w:numPr>
        <w:rPr>
          <w:rFonts w:hint="eastAsia"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 xml:space="preserve">    我公司承诺，所供货物皆为制造商全新原装产品，完全满足采购文件技术需求，且符合使用要求。货物在质保期(为自供货验收合格之日起1年）如有质量问题或未能适配原有设备时，免费进行更换；本项目采购的备品备件在质保期期间如发生故障，24小时内到达现场处理。</w:t>
      </w:r>
      <w:r>
        <w:rPr>
          <w:rFonts w:hint="eastAsia" w:asciiTheme="majorEastAsia" w:hAnsiTheme="majorEastAsia" w:eastAsiaTheme="majorEastAsia"/>
          <w:color w:val="auto"/>
          <w:sz w:val="28"/>
          <w:szCs w:val="28"/>
          <w:highlight w:val="none"/>
        </w:rPr>
        <w:br w:type="textWrapping"/>
      </w:r>
    </w:p>
    <w:p>
      <w:pPr>
        <w:adjustRightInd w:val="0"/>
        <w:snapToGrid w:val="0"/>
        <w:spacing w:line="360" w:lineRule="auto"/>
        <w:jc w:val="right"/>
        <w:rPr>
          <w:rFonts w:hint="eastAsia" w:asciiTheme="majorEastAsia" w:hAnsiTheme="majorEastAsia" w:eastAsiaTheme="maj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 xml:space="preserve">供应商名称（加盖公章）： </w:t>
      </w:r>
      <w:r>
        <w:rPr>
          <w:rFonts w:hint="eastAsia" w:ascii="宋体" w:hAnsi="宋体" w:eastAsia="宋体" w:cs="宋体"/>
          <w:color w:val="auto"/>
          <w:kern w:val="2"/>
          <w:sz w:val="24"/>
          <w:szCs w:val="24"/>
          <w:highlight w:val="none"/>
          <w:lang w:val="en-GB"/>
        </w:rPr>
        <w:br w:type="textWrapping"/>
      </w:r>
      <w:r>
        <w:rPr>
          <w:rFonts w:hint="eastAsia" w:ascii="宋体" w:hAnsi="宋体" w:eastAsia="宋体" w:cs="宋体"/>
          <w:color w:val="auto"/>
          <w:kern w:val="2"/>
          <w:sz w:val="24"/>
          <w:szCs w:val="24"/>
          <w:highlight w:val="none"/>
          <w:lang w:val="en-GB"/>
        </w:rPr>
        <w:t>年  月  日</w:t>
      </w:r>
    </w:p>
    <w:p>
      <w:pPr>
        <w:pStyle w:val="6"/>
        <w:rPr>
          <w:rFonts w:hint="eastAsia" w:asciiTheme="majorEastAsia" w:hAnsiTheme="majorEastAsia" w:eastAsiaTheme="majorEastAsia"/>
          <w:color w:val="auto"/>
          <w:sz w:val="28"/>
          <w:szCs w:val="28"/>
          <w:highlight w:val="none"/>
          <w:lang w:val="en-US" w:eastAsia="zh-CN"/>
        </w:rPr>
      </w:pPr>
    </w:p>
    <w:p>
      <w:pPr>
        <w:rPr>
          <w:rFonts w:hint="eastAsia" w:asciiTheme="majorEastAsia" w:hAnsiTheme="majorEastAsia" w:eastAsiaTheme="majorEastAsia"/>
          <w:color w:val="auto"/>
          <w:sz w:val="28"/>
          <w:szCs w:val="28"/>
          <w:highlight w:val="none"/>
          <w:lang w:val="en-US" w:eastAsia="zh-CN"/>
        </w:rPr>
      </w:pPr>
    </w:p>
    <w:p>
      <w:pPr>
        <w:pStyle w:val="2"/>
        <w:rPr>
          <w:rFonts w:hint="eastAsia" w:asciiTheme="majorEastAsia" w:hAnsiTheme="majorEastAsia" w:eastAsiaTheme="majorEastAsia"/>
          <w:color w:val="auto"/>
          <w:sz w:val="28"/>
          <w:szCs w:val="28"/>
          <w:highlight w:val="none"/>
          <w:lang w:val="en-US" w:eastAsia="zh-CN"/>
        </w:rPr>
      </w:pPr>
    </w:p>
    <w:p>
      <w:pPr>
        <w:pStyle w:val="3"/>
        <w:rPr>
          <w:rFonts w:hint="eastAsia"/>
          <w:color w:val="auto"/>
          <w:highlight w:val="none"/>
          <w:lang w:val="en-US" w:eastAsia="zh-CN"/>
        </w:rPr>
      </w:pPr>
    </w:p>
    <w:p>
      <w:pPr>
        <w:pStyle w:val="6"/>
        <w:rPr>
          <w:rFonts w:hint="eastAsia" w:asciiTheme="majorEastAsia" w:hAnsiTheme="majorEastAsia" w:eastAsiaTheme="majorEastAsia"/>
          <w:color w:val="auto"/>
          <w:sz w:val="28"/>
          <w:szCs w:val="28"/>
          <w:highlight w:val="none"/>
          <w:lang w:val="en-US" w:eastAsia="zh-CN"/>
        </w:rPr>
      </w:pPr>
    </w:p>
    <w:p>
      <w:pPr>
        <w:pStyle w:val="6"/>
        <w:rPr>
          <w:rFonts w:hint="eastAsia" w:asciiTheme="majorEastAsia" w:hAnsiTheme="majorEastAsia" w:eastAsiaTheme="majorEastAsia"/>
          <w:color w:val="auto"/>
          <w:sz w:val="28"/>
          <w:szCs w:val="28"/>
          <w:highlight w:val="none"/>
          <w:lang w:val="en-US" w:eastAsia="zh-CN"/>
        </w:rPr>
      </w:pPr>
    </w:p>
    <w:p>
      <w:pPr>
        <w:rPr>
          <w:rFonts w:hint="eastAsia" w:asciiTheme="majorEastAsia" w:hAnsiTheme="majorEastAsia" w:eastAsiaTheme="majorEastAsia"/>
          <w:color w:val="auto"/>
          <w:sz w:val="28"/>
          <w:szCs w:val="28"/>
          <w:highlight w:val="none"/>
          <w:lang w:val="en-US" w:eastAsia="zh-CN"/>
        </w:rPr>
      </w:pPr>
    </w:p>
    <w:p>
      <w:pPr>
        <w:pStyle w:val="2"/>
        <w:rPr>
          <w:rFonts w:hint="eastAsia"/>
          <w:color w:val="auto"/>
          <w:highlight w:val="none"/>
          <w:lang w:val="en-US" w:eastAsia="zh-CN"/>
        </w:rPr>
      </w:pPr>
    </w:p>
    <w:p>
      <w:pPr>
        <w:pStyle w:val="6"/>
        <w:rPr>
          <w:rFonts w:asciiTheme="majorEastAsia" w:hAnsiTheme="majorEastAsia" w:eastAsiaTheme="majorEastAsia"/>
          <w:color w:val="auto"/>
          <w:sz w:val="28"/>
          <w:szCs w:val="28"/>
          <w:highlight w:val="none"/>
        </w:rPr>
      </w:pPr>
      <w:r>
        <w:rPr>
          <w:rFonts w:hint="eastAsia" w:asciiTheme="majorEastAsia" w:hAnsiTheme="majorEastAsia" w:eastAsiaTheme="majorEastAsia"/>
          <w:color w:val="auto"/>
          <w:sz w:val="28"/>
          <w:szCs w:val="28"/>
          <w:highlight w:val="none"/>
          <w:lang w:val="en-US" w:eastAsia="zh-CN"/>
        </w:rPr>
        <w:t>7.</w:t>
      </w:r>
      <w:r>
        <w:rPr>
          <w:rFonts w:hint="eastAsia" w:asciiTheme="majorEastAsia" w:hAnsiTheme="majorEastAsia" w:eastAsiaTheme="majorEastAsia"/>
          <w:color w:val="auto"/>
          <w:sz w:val="28"/>
          <w:szCs w:val="28"/>
          <w:highlight w:val="none"/>
        </w:rPr>
        <w:t>其他资料</w:t>
      </w:r>
      <w:bookmarkEnd w:id="194"/>
      <w:bookmarkEnd w:id="195"/>
      <w:bookmarkEnd w:id="196"/>
      <w:bookmarkEnd w:id="19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53338F"/>
    <w:rsid w:val="06C64829"/>
    <w:rsid w:val="070E7B6E"/>
    <w:rsid w:val="071D62B7"/>
    <w:rsid w:val="077D16D2"/>
    <w:rsid w:val="07CA07CF"/>
    <w:rsid w:val="082A69F3"/>
    <w:rsid w:val="08675FC8"/>
    <w:rsid w:val="09635A79"/>
    <w:rsid w:val="09B713FD"/>
    <w:rsid w:val="09EF6ACC"/>
    <w:rsid w:val="0A315056"/>
    <w:rsid w:val="0A3E3B7B"/>
    <w:rsid w:val="0A694621"/>
    <w:rsid w:val="0AA213B4"/>
    <w:rsid w:val="0AF61C7E"/>
    <w:rsid w:val="0AFB45AD"/>
    <w:rsid w:val="0B351E9B"/>
    <w:rsid w:val="0B4C50D3"/>
    <w:rsid w:val="0B4E5BBB"/>
    <w:rsid w:val="0B806B92"/>
    <w:rsid w:val="0B827E94"/>
    <w:rsid w:val="0B842F76"/>
    <w:rsid w:val="0BD070E1"/>
    <w:rsid w:val="0BD65B6B"/>
    <w:rsid w:val="0C2361E7"/>
    <w:rsid w:val="0C247926"/>
    <w:rsid w:val="0C5D5AF0"/>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175FC8"/>
    <w:rsid w:val="104974DD"/>
    <w:rsid w:val="106D2640"/>
    <w:rsid w:val="10CF50A9"/>
    <w:rsid w:val="111703D2"/>
    <w:rsid w:val="112B101A"/>
    <w:rsid w:val="11877731"/>
    <w:rsid w:val="119B53FC"/>
    <w:rsid w:val="1215733B"/>
    <w:rsid w:val="12424CDC"/>
    <w:rsid w:val="129A2738"/>
    <w:rsid w:val="12B56BF1"/>
    <w:rsid w:val="12CB1A89"/>
    <w:rsid w:val="12F83C31"/>
    <w:rsid w:val="131840FB"/>
    <w:rsid w:val="13467417"/>
    <w:rsid w:val="136E76CF"/>
    <w:rsid w:val="1424395D"/>
    <w:rsid w:val="145F08C6"/>
    <w:rsid w:val="14E43F59"/>
    <w:rsid w:val="153100E0"/>
    <w:rsid w:val="15776308"/>
    <w:rsid w:val="15973CBB"/>
    <w:rsid w:val="15BC6B3C"/>
    <w:rsid w:val="15EC2C59"/>
    <w:rsid w:val="16360A7B"/>
    <w:rsid w:val="164D40B0"/>
    <w:rsid w:val="1694429A"/>
    <w:rsid w:val="16FA09A5"/>
    <w:rsid w:val="17635326"/>
    <w:rsid w:val="178D4AD1"/>
    <w:rsid w:val="17B803EA"/>
    <w:rsid w:val="1815096B"/>
    <w:rsid w:val="18236EFD"/>
    <w:rsid w:val="18377249"/>
    <w:rsid w:val="185D743E"/>
    <w:rsid w:val="189D5B1F"/>
    <w:rsid w:val="18A34CD0"/>
    <w:rsid w:val="18F73736"/>
    <w:rsid w:val="19A53EA8"/>
    <w:rsid w:val="19B64DBC"/>
    <w:rsid w:val="19EC6A4A"/>
    <w:rsid w:val="1A144659"/>
    <w:rsid w:val="1A373ACF"/>
    <w:rsid w:val="1A7B10BA"/>
    <w:rsid w:val="1A895341"/>
    <w:rsid w:val="1B0D071F"/>
    <w:rsid w:val="1B4568CE"/>
    <w:rsid w:val="1B655C38"/>
    <w:rsid w:val="1B6C733D"/>
    <w:rsid w:val="1B7C704E"/>
    <w:rsid w:val="1B9015B7"/>
    <w:rsid w:val="1B950DA6"/>
    <w:rsid w:val="1BEF2AA3"/>
    <w:rsid w:val="1BF54245"/>
    <w:rsid w:val="1C257632"/>
    <w:rsid w:val="1C762AA7"/>
    <w:rsid w:val="1CB63A5C"/>
    <w:rsid w:val="1D0E6976"/>
    <w:rsid w:val="1D183169"/>
    <w:rsid w:val="1D5A79EE"/>
    <w:rsid w:val="1DEA5853"/>
    <w:rsid w:val="1E0E2CD0"/>
    <w:rsid w:val="1E164317"/>
    <w:rsid w:val="1E661274"/>
    <w:rsid w:val="1E6E2769"/>
    <w:rsid w:val="1E831280"/>
    <w:rsid w:val="1E8A6AB3"/>
    <w:rsid w:val="1E985FE8"/>
    <w:rsid w:val="1EBC4704"/>
    <w:rsid w:val="1EE522C8"/>
    <w:rsid w:val="1F172EB5"/>
    <w:rsid w:val="1F22070B"/>
    <w:rsid w:val="1F336899"/>
    <w:rsid w:val="1F94592D"/>
    <w:rsid w:val="1FB860DE"/>
    <w:rsid w:val="203C5A02"/>
    <w:rsid w:val="209D4C94"/>
    <w:rsid w:val="20B44FCD"/>
    <w:rsid w:val="20E84705"/>
    <w:rsid w:val="21303941"/>
    <w:rsid w:val="218400BA"/>
    <w:rsid w:val="21AB1E2F"/>
    <w:rsid w:val="21D40498"/>
    <w:rsid w:val="220E6500"/>
    <w:rsid w:val="22493963"/>
    <w:rsid w:val="22767047"/>
    <w:rsid w:val="229F6E90"/>
    <w:rsid w:val="23A05588"/>
    <w:rsid w:val="240476A1"/>
    <w:rsid w:val="24E953B9"/>
    <w:rsid w:val="24FD7FDE"/>
    <w:rsid w:val="25431AEB"/>
    <w:rsid w:val="258B6320"/>
    <w:rsid w:val="25973B07"/>
    <w:rsid w:val="25B875EB"/>
    <w:rsid w:val="25BE3BFB"/>
    <w:rsid w:val="25BF43FD"/>
    <w:rsid w:val="25E36DCB"/>
    <w:rsid w:val="25F86BCD"/>
    <w:rsid w:val="2605748B"/>
    <w:rsid w:val="260B2287"/>
    <w:rsid w:val="261B28A8"/>
    <w:rsid w:val="26396D26"/>
    <w:rsid w:val="264544A6"/>
    <w:rsid w:val="267702FB"/>
    <w:rsid w:val="269E416A"/>
    <w:rsid w:val="26C11C6B"/>
    <w:rsid w:val="272100D3"/>
    <w:rsid w:val="272C72FC"/>
    <w:rsid w:val="275131CB"/>
    <w:rsid w:val="278F6521"/>
    <w:rsid w:val="27D33279"/>
    <w:rsid w:val="27EB149D"/>
    <w:rsid w:val="27FD3E52"/>
    <w:rsid w:val="284130B3"/>
    <w:rsid w:val="28E11370"/>
    <w:rsid w:val="294A756A"/>
    <w:rsid w:val="29781BF8"/>
    <w:rsid w:val="297939E2"/>
    <w:rsid w:val="29C33ED0"/>
    <w:rsid w:val="29D5322D"/>
    <w:rsid w:val="29D94562"/>
    <w:rsid w:val="2A025DD9"/>
    <w:rsid w:val="2A2619CB"/>
    <w:rsid w:val="2A7317D3"/>
    <w:rsid w:val="2A7C2231"/>
    <w:rsid w:val="2A920E4F"/>
    <w:rsid w:val="2ABB753D"/>
    <w:rsid w:val="2AFE6EC4"/>
    <w:rsid w:val="2B345DDC"/>
    <w:rsid w:val="2B7A49FA"/>
    <w:rsid w:val="2C615D26"/>
    <w:rsid w:val="2CB679ED"/>
    <w:rsid w:val="2CB73169"/>
    <w:rsid w:val="2CE83C37"/>
    <w:rsid w:val="2CEB2FFC"/>
    <w:rsid w:val="2CF021D7"/>
    <w:rsid w:val="2D173C07"/>
    <w:rsid w:val="2D424A86"/>
    <w:rsid w:val="2DDA66B7"/>
    <w:rsid w:val="2E6F2D11"/>
    <w:rsid w:val="2E7B52DB"/>
    <w:rsid w:val="2E84707B"/>
    <w:rsid w:val="2ED60115"/>
    <w:rsid w:val="2F324CFE"/>
    <w:rsid w:val="2FBA09F1"/>
    <w:rsid w:val="2FEF2ACF"/>
    <w:rsid w:val="2FF93D20"/>
    <w:rsid w:val="30540211"/>
    <w:rsid w:val="30BC0D4E"/>
    <w:rsid w:val="30E45100"/>
    <w:rsid w:val="31112A0D"/>
    <w:rsid w:val="3118711F"/>
    <w:rsid w:val="311F4B20"/>
    <w:rsid w:val="312D7741"/>
    <w:rsid w:val="316F137F"/>
    <w:rsid w:val="31815AF3"/>
    <w:rsid w:val="31DF525F"/>
    <w:rsid w:val="31EC162B"/>
    <w:rsid w:val="32324C2E"/>
    <w:rsid w:val="327171DF"/>
    <w:rsid w:val="33133EB9"/>
    <w:rsid w:val="33305A23"/>
    <w:rsid w:val="333B0302"/>
    <w:rsid w:val="3391569E"/>
    <w:rsid w:val="33B43F5E"/>
    <w:rsid w:val="341E3434"/>
    <w:rsid w:val="3437693D"/>
    <w:rsid w:val="34456FB5"/>
    <w:rsid w:val="34BB4442"/>
    <w:rsid w:val="3584136B"/>
    <w:rsid w:val="35EE5A04"/>
    <w:rsid w:val="35FF5AA4"/>
    <w:rsid w:val="360B7EBA"/>
    <w:rsid w:val="36416867"/>
    <w:rsid w:val="367D5DD4"/>
    <w:rsid w:val="369C32FD"/>
    <w:rsid w:val="37666E72"/>
    <w:rsid w:val="37693D74"/>
    <w:rsid w:val="37FF4429"/>
    <w:rsid w:val="38081EA3"/>
    <w:rsid w:val="38167A04"/>
    <w:rsid w:val="381C3783"/>
    <w:rsid w:val="38D004A9"/>
    <w:rsid w:val="38EA0422"/>
    <w:rsid w:val="394B167A"/>
    <w:rsid w:val="39AD34EA"/>
    <w:rsid w:val="39DA2868"/>
    <w:rsid w:val="39DF6BF2"/>
    <w:rsid w:val="3A055F4B"/>
    <w:rsid w:val="3A4E4336"/>
    <w:rsid w:val="3A6007FE"/>
    <w:rsid w:val="3A802587"/>
    <w:rsid w:val="3A852164"/>
    <w:rsid w:val="3AE84366"/>
    <w:rsid w:val="3AF93D6C"/>
    <w:rsid w:val="3AFD06C8"/>
    <w:rsid w:val="3B477B26"/>
    <w:rsid w:val="3B7C2CE4"/>
    <w:rsid w:val="3BAF716B"/>
    <w:rsid w:val="3BD258C9"/>
    <w:rsid w:val="3C0B5355"/>
    <w:rsid w:val="3C7E7F35"/>
    <w:rsid w:val="3CD4176B"/>
    <w:rsid w:val="3D1F44D9"/>
    <w:rsid w:val="3D5C38CD"/>
    <w:rsid w:val="3DF80ED0"/>
    <w:rsid w:val="3E1C107E"/>
    <w:rsid w:val="3E5070F1"/>
    <w:rsid w:val="3E7569E0"/>
    <w:rsid w:val="3E7F6695"/>
    <w:rsid w:val="3EC370CB"/>
    <w:rsid w:val="3EF26282"/>
    <w:rsid w:val="3F6C3589"/>
    <w:rsid w:val="3F850180"/>
    <w:rsid w:val="3F9004D6"/>
    <w:rsid w:val="3FEE7CFA"/>
    <w:rsid w:val="400E4D5E"/>
    <w:rsid w:val="40E1138C"/>
    <w:rsid w:val="41230975"/>
    <w:rsid w:val="412344D1"/>
    <w:rsid w:val="413814BA"/>
    <w:rsid w:val="41410F3C"/>
    <w:rsid w:val="41872511"/>
    <w:rsid w:val="41AC0693"/>
    <w:rsid w:val="41BF069E"/>
    <w:rsid w:val="41DF1251"/>
    <w:rsid w:val="424236D9"/>
    <w:rsid w:val="42466655"/>
    <w:rsid w:val="42C82F57"/>
    <w:rsid w:val="433B4DFB"/>
    <w:rsid w:val="435707E5"/>
    <w:rsid w:val="439927E1"/>
    <w:rsid w:val="43C76AF7"/>
    <w:rsid w:val="43D1290A"/>
    <w:rsid w:val="43D54C8A"/>
    <w:rsid w:val="43E97E4A"/>
    <w:rsid w:val="440D65DA"/>
    <w:rsid w:val="446828F0"/>
    <w:rsid w:val="45093E85"/>
    <w:rsid w:val="450B3BFA"/>
    <w:rsid w:val="45C13B4D"/>
    <w:rsid w:val="46054BCA"/>
    <w:rsid w:val="464C6AFC"/>
    <w:rsid w:val="46797C8A"/>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1D311C"/>
    <w:rsid w:val="4D2044E7"/>
    <w:rsid w:val="4D916BA6"/>
    <w:rsid w:val="4DC44169"/>
    <w:rsid w:val="4DE24E21"/>
    <w:rsid w:val="4E1B19A3"/>
    <w:rsid w:val="4E48787F"/>
    <w:rsid w:val="4E5C7274"/>
    <w:rsid w:val="4E8D5680"/>
    <w:rsid w:val="4EF0709E"/>
    <w:rsid w:val="4F0469A4"/>
    <w:rsid w:val="4FBF5D0D"/>
    <w:rsid w:val="500E56F4"/>
    <w:rsid w:val="50540C73"/>
    <w:rsid w:val="50752AF8"/>
    <w:rsid w:val="513C6A7B"/>
    <w:rsid w:val="517300C9"/>
    <w:rsid w:val="51B31D16"/>
    <w:rsid w:val="5268443A"/>
    <w:rsid w:val="52EC6EC2"/>
    <w:rsid w:val="532D486F"/>
    <w:rsid w:val="5333545B"/>
    <w:rsid w:val="538D0E89"/>
    <w:rsid w:val="5450213C"/>
    <w:rsid w:val="546711F3"/>
    <w:rsid w:val="546C3825"/>
    <w:rsid w:val="54C365BE"/>
    <w:rsid w:val="54D062C6"/>
    <w:rsid w:val="54D24048"/>
    <w:rsid w:val="54D64CD5"/>
    <w:rsid w:val="5532287C"/>
    <w:rsid w:val="55887D69"/>
    <w:rsid w:val="55EE5D11"/>
    <w:rsid w:val="561A0928"/>
    <w:rsid w:val="56423872"/>
    <w:rsid w:val="569E06BC"/>
    <w:rsid w:val="56AB6FEB"/>
    <w:rsid w:val="56B279F0"/>
    <w:rsid w:val="56D20E7C"/>
    <w:rsid w:val="56F20F86"/>
    <w:rsid w:val="579D710E"/>
    <w:rsid w:val="580D6A59"/>
    <w:rsid w:val="581F22F6"/>
    <w:rsid w:val="582D717A"/>
    <w:rsid w:val="586E1E17"/>
    <w:rsid w:val="58862C35"/>
    <w:rsid w:val="58C14957"/>
    <w:rsid w:val="58CC23D2"/>
    <w:rsid w:val="58E66050"/>
    <w:rsid w:val="596B36B6"/>
    <w:rsid w:val="598C4EB2"/>
    <w:rsid w:val="59E63F07"/>
    <w:rsid w:val="59FC7994"/>
    <w:rsid w:val="5A074538"/>
    <w:rsid w:val="5AE83A50"/>
    <w:rsid w:val="5B353193"/>
    <w:rsid w:val="5B4D68C3"/>
    <w:rsid w:val="5B645B5F"/>
    <w:rsid w:val="5BAB2917"/>
    <w:rsid w:val="5BFC33FA"/>
    <w:rsid w:val="5C3107A4"/>
    <w:rsid w:val="5C337866"/>
    <w:rsid w:val="5C3B1B93"/>
    <w:rsid w:val="5C9220DF"/>
    <w:rsid w:val="5D4A15F3"/>
    <w:rsid w:val="5D69542A"/>
    <w:rsid w:val="5D783B72"/>
    <w:rsid w:val="5E0930EF"/>
    <w:rsid w:val="5E0C470E"/>
    <w:rsid w:val="5E3D4D53"/>
    <w:rsid w:val="5E4717E6"/>
    <w:rsid w:val="5E55774C"/>
    <w:rsid w:val="5E8A70FF"/>
    <w:rsid w:val="5F750196"/>
    <w:rsid w:val="60045F96"/>
    <w:rsid w:val="60104DDC"/>
    <w:rsid w:val="605C0804"/>
    <w:rsid w:val="60913E6F"/>
    <w:rsid w:val="611F0045"/>
    <w:rsid w:val="61733C3E"/>
    <w:rsid w:val="6189617B"/>
    <w:rsid w:val="61B52BB6"/>
    <w:rsid w:val="61B749C2"/>
    <w:rsid w:val="62280D20"/>
    <w:rsid w:val="629C50CC"/>
    <w:rsid w:val="62B4786E"/>
    <w:rsid w:val="62CA2457"/>
    <w:rsid w:val="631303F2"/>
    <w:rsid w:val="636444CA"/>
    <w:rsid w:val="638240A1"/>
    <w:rsid w:val="63833423"/>
    <w:rsid w:val="63A5257B"/>
    <w:rsid w:val="63B60F47"/>
    <w:rsid w:val="63BD3DCC"/>
    <w:rsid w:val="63C61741"/>
    <w:rsid w:val="63E06BDE"/>
    <w:rsid w:val="64560967"/>
    <w:rsid w:val="64C5470E"/>
    <w:rsid w:val="656B1D10"/>
    <w:rsid w:val="65B841F9"/>
    <w:rsid w:val="66022B28"/>
    <w:rsid w:val="664A38E2"/>
    <w:rsid w:val="66581E87"/>
    <w:rsid w:val="665965B1"/>
    <w:rsid w:val="666F1DE3"/>
    <w:rsid w:val="66766EBB"/>
    <w:rsid w:val="66FA11D5"/>
    <w:rsid w:val="674302C7"/>
    <w:rsid w:val="67CB09D8"/>
    <w:rsid w:val="67EE3B0F"/>
    <w:rsid w:val="680A5986"/>
    <w:rsid w:val="680D5F4B"/>
    <w:rsid w:val="68113F51"/>
    <w:rsid w:val="68251194"/>
    <w:rsid w:val="68B272C7"/>
    <w:rsid w:val="68E94770"/>
    <w:rsid w:val="68EC1CEF"/>
    <w:rsid w:val="68F24605"/>
    <w:rsid w:val="68F949C9"/>
    <w:rsid w:val="695A4290"/>
    <w:rsid w:val="696F3649"/>
    <w:rsid w:val="69F43222"/>
    <w:rsid w:val="6A1C320B"/>
    <w:rsid w:val="6A267606"/>
    <w:rsid w:val="6A3240F1"/>
    <w:rsid w:val="6A334932"/>
    <w:rsid w:val="6A3353FF"/>
    <w:rsid w:val="6A5D63E6"/>
    <w:rsid w:val="6A5F24D1"/>
    <w:rsid w:val="6ACA70C4"/>
    <w:rsid w:val="6AE347EB"/>
    <w:rsid w:val="6B330365"/>
    <w:rsid w:val="6B434AF0"/>
    <w:rsid w:val="6B57675A"/>
    <w:rsid w:val="6B87098A"/>
    <w:rsid w:val="6BDD7B4D"/>
    <w:rsid w:val="6C2B3D10"/>
    <w:rsid w:val="6D52013C"/>
    <w:rsid w:val="6E8C2E06"/>
    <w:rsid w:val="6EBC0B3A"/>
    <w:rsid w:val="6EED597D"/>
    <w:rsid w:val="6EF51C7D"/>
    <w:rsid w:val="6F8363E5"/>
    <w:rsid w:val="6F841DCF"/>
    <w:rsid w:val="6FA80CCD"/>
    <w:rsid w:val="6FAC3CC5"/>
    <w:rsid w:val="6FC746F5"/>
    <w:rsid w:val="6FE33EF5"/>
    <w:rsid w:val="70317AC6"/>
    <w:rsid w:val="704B26F7"/>
    <w:rsid w:val="70697B21"/>
    <w:rsid w:val="70863262"/>
    <w:rsid w:val="70A76ED3"/>
    <w:rsid w:val="70BD39C1"/>
    <w:rsid w:val="71860B17"/>
    <w:rsid w:val="71B22797"/>
    <w:rsid w:val="71EA7695"/>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6D0694"/>
    <w:rsid w:val="7E791CAD"/>
    <w:rsid w:val="7E9F0934"/>
    <w:rsid w:val="7EA128FE"/>
    <w:rsid w:val="7EA50DFB"/>
    <w:rsid w:val="7EAC7B9F"/>
    <w:rsid w:val="7EC86878"/>
    <w:rsid w:val="7F16390D"/>
    <w:rsid w:val="7F752917"/>
    <w:rsid w:val="7FC6485C"/>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0"/>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8"/>
    <w:unhideWhenUsed/>
    <w:qFormat/>
    <w:uiPriority w:val="99"/>
    <w:pPr>
      <w:spacing w:after="120"/>
    </w:pPr>
    <w:rPr>
      <w:sz w:val="16"/>
      <w:szCs w:val="16"/>
    </w:r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Balloon Text"/>
    <w:basedOn w:val="1"/>
    <w:link w:val="33"/>
    <w:semiHidden/>
    <w:unhideWhenUsed/>
    <w:qFormat/>
    <w:uiPriority w:val="99"/>
    <w:rPr>
      <w:sz w:val="18"/>
      <w:szCs w:val="18"/>
    </w:rPr>
  </w:style>
  <w:style w:type="paragraph" w:styleId="16">
    <w:name w:val="footer"/>
    <w:basedOn w:val="1"/>
    <w:link w:val="27"/>
    <w:unhideWhenUsed/>
    <w:qFormat/>
    <w:uiPriority w:val="99"/>
    <w:pPr>
      <w:tabs>
        <w:tab w:val="center" w:pos="4153"/>
        <w:tab w:val="right" w:pos="8306"/>
      </w:tabs>
      <w:snapToGrid w:val="0"/>
      <w:jc w:val="left"/>
    </w:pPr>
    <w:rPr>
      <w:sz w:val="18"/>
      <w:szCs w:val="18"/>
    </w:rPr>
  </w:style>
  <w:style w:type="paragraph" w:styleId="17">
    <w:name w:val="header"/>
    <w:basedOn w:val="1"/>
    <w:link w:val="2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character" w:customStyle="1" w:styleId="26">
    <w:name w:val="页眉 Char"/>
    <w:basedOn w:val="24"/>
    <w:link w:val="17"/>
    <w:semiHidden/>
    <w:qFormat/>
    <w:uiPriority w:val="99"/>
    <w:rPr>
      <w:sz w:val="18"/>
      <w:szCs w:val="18"/>
    </w:rPr>
  </w:style>
  <w:style w:type="character" w:customStyle="1" w:styleId="27">
    <w:name w:val="页脚 Char"/>
    <w:basedOn w:val="24"/>
    <w:link w:val="16"/>
    <w:qFormat/>
    <w:uiPriority w:val="99"/>
    <w:rPr>
      <w:sz w:val="18"/>
      <w:szCs w:val="18"/>
    </w:rPr>
  </w:style>
  <w:style w:type="character" w:customStyle="1" w:styleId="28">
    <w:name w:val="标题 1 Char"/>
    <w:basedOn w:val="24"/>
    <w:link w:val="4"/>
    <w:qFormat/>
    <w:uiPriority w:val="9"/>
    <w:rPr>
      <w:rFonts w:eastAsia="方正小标宋简体"/>
      <w:bCs/>
      <w:kern w:val="44"/>
      <w:sz w:val="44"/>
      <w:szCs w:val="44"/>
    </w:rPr>
  </w:style>
  <w:style w:type="character" w:customStyle="1" w:styleId="29">
    <w:name w:val="标题 2 Char"/>
    <w:basedOn w:val="24"/>
    <w:link w:val="5"/>
    <w:qFormat/>
    <w:uiPriority w:val="9"/>
    <w:rPr>
      <w:rFonts w:eastAsia="方正小标宋简体" w:asciiTheme="majorHAnsi" w:hAnsiTheme="majorHAnsi" w:cstheme="majorBidi"/>
      <w:bCs/>
      <w:sz w:val="36"/>
      <w:szCs w:val="32"/>
    </w:rPr>
  </w:style>
  <w:style w:type="character" w:customStyle="1" w:styleId="30">
    <w:name w:val="标题 3 Char"/>
    <w:basedOn w:val="24"/>
    <w:link w:val="6"/>
    <w:qFormat/>
    <w:uiPriority w:val="9"/>
    <w:rPr>
      <w:rFonts w:ascii="Calibri" w:hAnsi="Calibri" w:eastAsia="宋体" w:cs="Times New Roman"/>
      <w:b/>
      <w:bCs/>
      <w:sz w:val="32"/>
      <w:szCs w:val="32"/>
    </w:rPr>
  </w:style>
  <w:style w:type="paragraph" w:styleId="31">
    <w:name w:val="List Paragraph"/>
    <w:basedOn w:val="1"/>
    <w:next w:val="1"/>
    <w:link w:val="39"/>
    <w:qFormat/>
    <w:uiPriority w:val="34"/>
    <w:pPr>
      <w:ind w:firstLine="420" w:firstLineChars="200"/>
    </w:p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24"/>
    <w:link w:val="15"/>
    <w:semiHidden/>
    <w:qFormat/>
    <w:uiPriority w:val="99"/>
    <w:rPr>
      <w:sz w:val="18"/>
      <w:szCs w:val="18"/>
    </w:rPr>
  </w:style>
  <w:style w:type="paragraph" w:styleId="3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12"/>
    <w:next w:val="12"/>
    <w:qFormat/>
    <w:uiPriority w:val="0"/>
    <w:pPr>
      <w:spacing w:after="373"/>
    </w:pPr>
    <w:rPr>
      <w:color w:val="auto"/>
    </w:rPr>
  </w:style>
  <w:style w:type="paragraph" w:customStyle="1" w:styleId="36">
    <w:name w:val="CM91"/>
    <w:basedOn w:val="12"/>
    <w:next w:val="12"/>
    <w:qFormat/>
    <w:uiPriority w:val="0"/>
    <w:pPr>
      <w:spacing w:after="160"/>
    </w:pPr>
    <w:rPr>
      <w:color w:val="auto"/>
    </w:rPr>
  </w:style>
  <w:style w:type="character" w:customStyle="1" w:styleId="37">
    <w:name w:val="正文文本 3 Char"/>
    <w:link w:val="8"/>
    <w:qFormat/>
    <w:uiPriority w:val="99"/>
    <w:rPr>
      <w:sz w:val="16"/>
      <w:szCs w:val="16"/>
    </w:rPr>
  </w:style>
  <w:style w:type="character" w:customStyle="1" w:styleId="38">
    <w:name w:val="正文文本 3 Char1"/>
    <w:basedOn w:val="24"/>
    <w:link w:val="8"/>
    <w:semiHidden/>
    <w:qFormat/>
    <w:uiPriority w:val="99"/>
    <w:rPr>
      <w:sz w:val="16"/>
      <w:szCs w:val="16"/>
    </w:rPr>
  </w:style>
  <w:style w:type="character" w:customStyle="1" w:styleId="39">
    <w:name w:val="列出段落 Char"/>
    <w:link w:val="31"/>
    <w:qFormat/>
    <w:uiPriority w:val="34"/>
  </w:style>
  <w:style w:type="paragraph" w:customStyle="1" w:styleId="40">
    <w:name w:val="1"/>
    <w:basedOn w:val="1"/>
    <w:next w:val="11"/>
    <w:qFormat/>
    <w:uiPriority w:val="99"/>
    <w:pPr>
      <w:widowControl w:val="0"/>
      <w:jc w:val="both"/>
    </w:pPr>
    <w:rPr>
      <w:rFonts w:ascii="宋体" w:hAnsi="Courier New"/>
      <w:kern w:val="2"/>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paragraph" w:customStyle="1" w:styleId="43">
    <w:name w:val="WPSOffice手动目录 3"/>
    <w:qFormat/>
    <w:uiPriority w:val="0"/>
    <w:pPr>
      <w:ind w:leftChars="400"/>
    </w:pPr>
    <w:rPr>
      <w:rFonts w:asciiTheme="minorHAnsi" w:hAnsiTheme="minorHAnsi" w:eastAsiaTheme="minorEastAsia" w:cstheme="minorBidi"/>
      <w:sz w:val="20"/>
      <w:szCs w:val="20"/>
    </w:rPr>
  </w:style>
  <w:style w:type="paragraph" w:customStyle="1" w:styleId="4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5">
    <w:name w:val="p141"/>
    <w:qFormat/>
    <w:uiPriority w:val="0"/>
    <w:rPr>
      <w:sz w:val="21"/>
      <w:szCs w:val="21"/>
    </w:rPr>
  </w:style>
  <w:style w:type="character" w:customStyle="1" w:styleId="46">
    <w:name w:val="样式2"/>
    <w:basedOn w:val="24"/>
    <w:qFormat/>
    <w:uiPriority w:val="1"/>
    <w:rPr>
      <w:color w:val="FF0000"/>
    </w:rPr>
  </w:style>
  <w:style w:type="paragraph" w:customStyle="1" w:styleId="47">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9f8c4c5-ca2b-479f-b8fc-a9c1fbed2a80}"/>
        <w:style w:val=""/>
        <w:category>
          <w:name w:val="常规"/>
          <w:gallery w:val="placeholder"/>
        </w:category>
        <w:types>
          <w:type w:val="bbPlcHdr"/>
        </w:types>
        <w:behaviors>
          <w:behavior w:val="content"/>
        </w:behaviors>
        <w:description w:val=""/>
        <w:guid w:val="{79f8c4c5-ca2b-479f-b8fc-a9c1fbed2a80}"/>
      </w:docPartPr>
      <w:docPartBody>
        <w:p>
          <w:pPr>
            <w:pStyle w:val="3"/>
          </w:pPr>
          <w:r>
            <w:rPr>
              <w:rStyle w:val="4"/>
              <w:rFonts w:hint="eastAsia"/>
            </w:rPr>
            <w:t>选择一项。</w:t>
          </w:r>
        </w:p>
      </w:docPartBody>
    </w:docPart>
    <w:docPart>
      <w:docPartPr>
        <w:name w:val="{bdb20bce-3e97-49eb-844f-e53163e52f3b}"/>
        <w:style w:val=""/>
        <w:category>
          <w:name w:val="常规"/>
          <w:gallery w:val="placeholder"/>
        </w:category>
        <w:types>
          <w:type w:val="bbPlcHdr"/>
        </w:types>
        <w:behaviors>
          <w:behavior w:val="content"/>
        </w:behaviors>
        <w:description w:val=""/>
        <w:guid w:val="{bdb20bce-3e97-49eb-844f-e53163e52f3b}"/>
      </w:docPartPr>
      <w:docPartBody>
        <w:p>
          <w:pPr>
            <w:pStyle w:val="5"/>
          </w:pPr>
          <w:r>
            <w:rPr>
              <w:rStyle w:val="4"/>
              <w:rFonts w:hint="eastAsia"/>
            </w:rPr>
            <w:t>选择一项。</w:t>
          </w:r>
        </w:p>
      </w:docPartBody>
    </w:docPart>
    <w:docPart>
      <w:docPartPr>
        <w:name w:val="{b62434fb-0fda-4600-93e1-b0c023c6c14b}"/>
        <w:style w:val=""/>
        <w:category>
          <w:name w:val="常规"/>
          <w:gallery w:val="placeholder"/>
        </w:category>
        <w:types>
          <w:type w:val="bbPlcHdr"/>
        </w:types>
        <w:behaviors>
          <w:behavior w:val="content"/>
        </w:behaviors>
        <w:description w:val=""/>
        <w:guid w:val="{b62434fb-0fda-4600-93e1-b0c023c6c14b}"/>
      </w:docPartPr>
      <w:docPartBody>
        <w:p>
          <w:pPr>
            <w:pStyle w:val="6"/>
          </w:pPr>
          <w:r>
            <w:rPr>
              <w:rStyle w:val="4"/>
              <w:rFonts w:hint="eastAsia"/>
            </w:rPr>
            <w:t>选择一项。</w:t>
          </w:r>
        </w:p>
      </w:docPartBody>
    </w:docPart>
    <w:docPart>
      <w:docPartPr>
        <w:name w:val="{fd45030c-9159-47d1-83b8-8a48311bf074}"/>
        <w:style w:val=""/>
        <w:category>
          <w:name w:val="常规"/>
          <w:gallery w:val="placeholder"/>
        </w:category>
        <w:types>
          <w:type w:val="bbPlcHdr"/>
        </w:types>
        <w:behaviors>
          <w:behavior w:val="content"/>
        </w:behaviors>
        <w:description w:val=""/>
        <w:guid w:val="{fd45030c-9159-47d1-83b8-8a48311bf074}"/>
      </w:docPartPr>
      <w:docPartBody>
        <w:p>
          <w:r>
            <w:rPr>
              <w:rStyle w:val="4"/>
              <w:rFonts w:hint="eastAsia"/>
            </w:rPr>
            <w:t>选择一项。</w:t>
          </w:r>
        </w:p>
      </w:docPartBody>
    </w:docPart>
    <w:docPart>
      <w:docPartPr>
        <w:name w:val="{51463141-25d1-4888-bd70-e238e023c349}"/>
        <w:style w:val=""/>
        <w:category>
          <w:name w:val="常规"/>
          <w:gallery w:val="placeholder"/>
        </w:category>
        <w:types>
          <w:type w:val="bbPlcHdr"/>
        </w:types>
        <w:behaviors>
          <w:behavior w:val="content"/>
        </w:behaviors>
        <w:description w:val=""/>
        <w:guid w:val="{51463141-25d1-4888-bd70-e238e023c349}"/>
      </w:docPartPr>
      <w:docPartBody>
        <w:p>
          <w:pPr>
            <w:pStyle w:val="7"/>
          </w:pPr>
          <w:r>
            <w:rPr>
              <w:rStyle w:val="4"/>
              <w:rFonts w:hint="eastAsia"/>
            </w:rPr>
            <w:t>选择一项。</w:t>
          </w:r>
        </w:p>
      </w:docPartBody>
    </w:docPart>
    <w:docPart>
      <w:docPartPr>
        <w:name w:val="{b1b66ddf-943f-4bba-96cb-c15e667ba4e2}"/>
        <w:style w:val=""/>
        <w:category>
          <w:name w:val="常规"/>
          <w:gallery w:val="placeholder"/>
        </w:category>
        <w:types>
          <w:type w:val="bbPlcHdr"/>
        </w:types>
        <w:behaviors>
          <w:behavior w:val="content"/>
        </w:behaviors>
        <w:description w:val=""/>
        <w:guid w:val="{b1b66ddf-943f-4bba-96cb-c15e667ba4e2}"/>
      </w:docPartPr>
      <w:docPartBody>
        <w:p>
          <w:pPr>
            <w:pStyle w:val="8"/>
          </w:pPr>
          <w:r>
            <w:rPr>
              <w:rStyle w:val="4"/>
              <w:rFonts w:hint="eastAsia"/>
            </w:rPr>
            <w:t>选择一项。</w:t>
          </w:r>
        </w:p>
      </w:docPartBody>
    </w:docPart>
    <w:docPart>
      <w:docPartPr>
        <w:name w:val="{2469b2a0-aa9d-4418-8af9-2268b58d88a5}"/>
        <w:style w:val=""/>
        <w:category>
          <w:name w:val="常规"/>
          <w:gallery w:val="placeholder"/>
        </w:category>
        <w:types>
          <w:type w:val="bbPlcHdr"/>
        </w:types>
        <w:behaviors>
          <w:behavior w:val="content"/>
        </w:behaviors>
        <w:description w:val=""/>
        <w:guid w:val="{2469b2a0-aa9d-4418-8af9-2268b58d88a5}"/>
      </w:docPartPr>
      <w:docPartBody>
        <w:p>
          <w:pPr>
            <w:pStyle w:val="9"/>
          </w:pPr>
          <w:r>
            <w:rPr>
              <w:rStyle w:val="4"/>
              <w:rFonts w:hint="eastAsia"/>
            </w:rPr>
            <w:t>选择一项。</w:t>
          </w:r>
        </w:p>
      </w:docPartBody>
    </w:docPart>
    <w:docPart>
      <w:docPartPr>
        <w:name w:val="{accb72cf-bcbd-4ac9-9abd-80cc0b96a438}"/>
        <w:style w:val=""/>
        <w:category>
          <w:name w:val="常规"/>
          <w:gallery w:val="placeholder"/>
        </w:category>
        <w:types>
          <w:type w:val="bbPlcHdr"/>
        </w:types>
        <w:behaviors>
          <w:behavior w:val="content"/>
        </w:behaviors>
        <w:description w:val=""/>
        <w:guid w:val="{accb72cf-bcbd-4ac9-9abd-80cc0b96a438}"/>
      </w:docPartPr>
      <w:docPartBody>
        <w:p>
          <w:pPr>
            <w:pStyle w:val="10"/>
          </w:pPr>
          <w:r>
            <w:rPr>
              <w:rStyle w:val="4"/>
              <w:rFonts w:hint="eastAsia"/>
            </w:rPr>
            <w:t>选择一项。</w:t>
          </w:r>
        </w:p>
      </w:docPartBody>
    </w:docPart>
    <w:docPart>
      <w:docPartPr>
        <w:name w:val="{6470d5d4-2267-48f6-a996-c5c703b5db44}"/>
        <w:style w:val=""/>
        <w:category>
          <w:name w:val="常规"/>
          <w:gallery w:val="placeholder"/>
        </w:category>
        <w:types>
          <w:type w:val="bbPlcHdr"/>
        </w:types>
        <w:behaviors>
          <w:behavior w:val="content"/>
        </w:behaviors>
        <w:description w:val=""/>
        <w:guid w:val="{6470d5d4-2267-48f6-a996-c5c703b5db44}"/>
      </w:docPartPr>
      <w:docPartBody>
        <w:p>
          <w:pPr>
            <w:pStyle w:val="11"/>
          </w:pPr>
          <w:r>
            <w:rPr>
              <w:rStyle w:val="4"/>
              <w:rFonts w:hint="eastAsia"/>
            </w:rPr>
            <w:t>选择一项。</w:t>
          </w:r>
        </w:p>
      </w:docPartBody>
    </w:docPart>
    <w:docPart>
      <w:docPartPr>
        <w:name w:val="{c4a0329b-a414-4874-a0fa-d37b741e5c51}"/>
        <w:style w:val=""/>
        <w:category>
          <w:name w:val="常规"/>
          <w:gallery w:val="placeholder"/>
        </w:category>
        <w:types>
          <w:type w:val="bbPlcHdr"/>
        </w:types>
        <w:behaviors>
          <w:behavior w:val="content"/>
        </w:behaviors>
        <w:description w:val=""/>
        <w:guid w:val="{c4a0329b-a414-4874-a0fa-d37b741e5c51}"/>
      </w:docPartPr>
      <w:docPartBody>
        <w:p>
          <w:pPr>
            <w:pStyle w:val="12"/>
          </w:pPr>
          <w:r>
            <w:rPr>
              <w:rStyle w:val="4"/>
              <w:rFonts w:hint="eastAsia"/>
            </w:rPr>
            <w:t>选择一项。</w:t>
          </w:r>
        </w:p>
      </w:docPartBody>
    </w:docPart>
    <w:docPart>
      <w:docPartPr>
        <w:name w:val="{513aa934-5cec-4563-81dc-b6d37bb22bd2}"/>
        <w:style w:val=""/>
        <w:category>
          <w:name w:val="常规"/>
          <w:gallery w:val="placeholder"/>
        </w:category>
        <w:types>
          <w:type w:val="bbPlcHdr"/>
        </w:types>
        <w:behaviors>
          <w:behavior w:val="content"/>
        </w:behaviors>
        <w:description w:val=""/>
        <w:guid w:val="{513aa934-5cec-4563-81dc-b6d37bb22bd2}"/>
      </w:docPartPr>
      <w:docPartBody>
        <w:p>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paragraph" w:customStyle="1" w:styleId="3">
    <w:name w:val="8650BD61E34C4402ACC8BD96DD49859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4">
    <w:name w:val="Placeholder Text"/>
    <w:basedOn w:val="2"/>
    <w:semiHidden/>
    <w:qFormat/>
    <w:uiPriority w:val="99"/>
    <w:rPr>
      <w:color w:val="808080"/>
    </w:rPr>
  </w:style>
  <w:style w:type="paragraph" w:customStyle="1" w:styleId="5">
    <w:name w:val="32C85512D473492583AE97CF60017F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8720F5D634B4B2EA6A670300A540B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1CE93E970B74B8BB1639AE79EFA56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B65D538E9ABE4D7B9E872781FDA45D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472C80311F804B51B0927BAFD69997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2C2A6D8A25478D914ADAE4D056C8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7DE0F128EE8341D98CFA1E1BC89142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F5518B8615C6407DAE72827E79682B2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24081</Words>
  <Characters>25092</Characters>
  <Lines>300</Lines>
  <Paragraphs>84</Paragraphs>
  <TotalTime>1</TotalTime>
  <ScaleCrop>false</ScaleCrop>
  <LinksUpToDate>false</LinksUpToDate>
  <CharactersWithSpaces>27247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2024-11-12T07:59:53Z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F12FBD8BAAAE4130ACA2C438CC80C866_13</vt:lpwstr>
  </property>
</Properties>
</file>