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5" w:name="_GoBack"/>
      <w:bookmarkEnd w:id="85"/>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流动资金贷款采购项目（第二次）</w:t>
      </w:r>
    </w:p>
    <w:p>
      <w:pPr>
        <w:pStyle w:val="2"/>
        <w:rPr>
          <w:rFonts w:hint="eastAsia"/>
          <w:color w:val="auto"/>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2"/>
        <w:rPr>
          <w:rFonts w:ascii="仿宋_GB2312" w:eastAsia="仿宋"/>
          <w:color w:val="auto"/>
          <w:sz w:val="32"/>
          <w:szCs w:val="32"/>
          <w:highlight w:val="none"/>
        </w:rPr>
      </w:pPr>
    </w:p>
    <w:p>
      <w:pPr>
        <w:pStyle w:val="2"/>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711"/>
      <w:bookmarkStart w:id="2" w:name="_Toc18145"/>
      <w:bookmarkStart w:id="3" w:name="_Toc17696"/>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17801"/>
      <w:bookmarkStart w:id="5" w:name="_Toc31938"/>
      <w:bookmarkStart w:id="6" w:name="_Toc11322"/>
      <w:bookmarkStart w:id="7" w:name="_Toc7519"/>
      <w:bookmarkStart w:id="8" w:name="_Toc19609"/>
      <w:bookmarkStart w:id="9" w:name="_Toc4275"/>
      <w:bookmarkStart w:id="10" w:name="_Toc1669"/>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广州市净水有限公司2024年流动资金贷款采购项目</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lang w:val="en-US" w:eastAsia="zh-CN"/>
        </w:rPr>
        <w:t>第二次）</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color w:val="auto"/>
          <w:sz w:val="28"/>
          <w:szCs w:val="28"/>
          <w:highlight w:val="none"/>
        </w:rPr>
        <w:t>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广州市净水有限公司2024年流动资金贷款采购项目</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第二次）</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XJ-20241108-1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snapToGrid w:val="0"/>
        <w:spacing w:line="600" w:lineRule="exact"/>
        <w:rPr>
          <w:rFonts w:hint="eastAsia"/>
          <w:color w:val="auto"/>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一年期贷款市场报价利率（LPR）</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即下浮0基点</w:t>
      </w:r>
      <w:r>
        <w:rPr>
          <w:rFonts w:hint="eastAsia" w:ascii="仿宋_GB2312" w:eastAsia="仿宋"/>
          <w:color w:val="auto"/>
          <w:sz w:val="28"/>
          <w:szCs w:val="28"/>
          <w:highlight w:val="none"/>
          <w:u w:val="none"/>
          <w:lang w:val="en-US"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_GB2312"/>
          <w:color w:val="auto"/>
          <w:sz w:val="28"/>
          <w:szCs w:val="28"/>
          <w:highlight w:val="none"/>
          <w:u w:val="single"/>
        </w:rPr>
        <w:t>选取</w:t>
      </w:r>
      <w:r>
        <w:rPr>
          <w:rFonts w:hint="eastAsia" w:ascii="仿宋_GB2312" w:eastAsia="仿宋_GB2312"/>
          <w:color w:val="auto"/>
          <w:sz w:val="28"/>
          <w:szCs w:val="28"/>
          <w:highlight w:val="none"/>
          <w:u w:val="single"/>
          <w:lang w:val="en-US" w:eastAsia="zh-CN"/>
        </w:rPr>
        <w:t>一</w:t>
      </w:r>
      <w:r>
        <w:rPr>
          <w:rFonts w:hint="eastAsia" w:ascii="仿宋_GB2312" w:eastAsia="仿宋_GB2312"/>
          <w:color w:val="auto"/>
          <w:sz w:val="28"/>
          <w:szCs w:val="28"/>
          <w:highlight w:val="none"/>
          <w:u w:val="single"/>
        </w:rPr>
        <w:t>家贷款银行，提供</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亿元的流动资金贷款</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hAnsiTheme="minorHAnsi" w:cstheme="minorBidi"/>
          <w:b w:val="0"/>
          <w:bCs w:val="0"/>
          <w:color w:val="auto"/>
          <w:sz w:val="28"/>
          <w:szCs w:val="28"/>
          <w:highlight w:val="none"/>
          <w:u w:val="single"/>
          <w:lang w:val="en-US" w:eastAsia="zh-CN"/>
        </w:rPr>
        <w:t>贷款期限3年</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供</w:t>
      </w:r>
      <w:r>
        <w:rPr>
          <w:rFonts w:hint="eastAsia" w:ascii="仿宋_GB2312" w:eastAsia="仿宋_GB2312"/>
          <w:color w:val="auto"/>
          <w:sz w:val="28"/>
          <w:szCs w:val="28"/>
          <w:highlight w:val="none"/>
          <w:u w:val="single"/>
          <w:lang w:val="en-US" w:eastAsia="zh-CN"/>
        </w:rPr>
        <w:t>应商需在我司每次提供完整提款资料后10个日历日内放款</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）供应商必须为中华人民共和国境内注册成立并合法存续的法人或其分支机构，持有事业单位登记管理部门核发的事业单位法人证书或工商行政管理部门核发的营业执照，且在有效期内。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一个银行主体仅允许一家机构参与，如出现一个银行主体有两个及以上机构参与报价的，询价人有权取消该银行主体的所有机构报价资格。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监管机构批复的金融许可证</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流动资金贷款</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业绩时间以合同时间为准，业绩金额以合同金额为准；</w:t>
      </w:r>
      <w:r>
        <w:rPr>
          <w:rFonts w:hint="eastAsia" w:ascii="仿宋_GB2312" w:eastAsia="仿宋"/>
          <w:color w:val="auto"/>
          <w:sz w:val="28"/>
          <w:szCs w:val="28"/>
          <w:highlight w:val="none"/>
        </w:rPr>
        <w:t>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提供放款时间承诺函（模板见第七章）</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3.3</w:t>
      </w:r>
      <w:r>
        <w:rPr>
          <w:rFonts w:hint="eastAsia" w:ascii="仿宋_GB2312" w:eastAsia="仿宋"/>
          <w:color w:val="auto"/>
          <w:sz w:val="28"/>
          <w:szCs w:val="28"/>
          <w:highlight w:val="none"/>
        </w:rPr>
        <w:t xml:space="preserve">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时</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00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23749"/>
      <w:bookmarkStart w:id="15" w:name="_Toc19295"/>
      <w:bookmarkStart w:id="16" w:name="_Toc9448"/>
      <w:bookmarkStart w:id="17" w:name="_Toc7340"/>
      <w:bookmarkStart w:id="18" w:name="_Toc32588"/>
      <w:bookmarkStart w:id="19" w:name="_Toc25603"/>
      <w:bookmarkStart w:id="20" w:name="_Toc16705"/>
      <w:bookmarkStart w:id="21" w:name="_Toc2331"/>
      <w:bookmarkStart w:id="22" w:name="_Toc16557"/>
      <w:bookmarkStart w:id="23" w:name="_Toc2324"/>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5"/>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5"/>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ind w:firstLine="560" w:firstLineChars="2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成交价格：1年期LPR-   bp。</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7616371"/>
      <w:bookmarkStart w:id="28" w:name="_Toc7040"/>
      <w:bookmarkStart w:id="29" w:name="_Toc88209934"/>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1840"/>
      <w:bookmarkStart w:id="33" w:name="_Toc21079"/>
      <w:bookmarkStart w:id="34" w:name="_Toc7831"/>
      <w:bookmarkStart w:id="35" w:name="_Toc13898"/>
      <w:bookmarkStart w:id="36" w:name="_Toc12177"/>
      <w:bookmarkStart w:id="37" w:name="_Toc29484"/>
      <w:bookmarkStart w:id="38" w:name="_Toc87616378"/>
      <w:bookmarkStart w:id="39" w:name="_Toc22212"/>
      <w:bookmarkStart w:id="40" w:name="_Toc29345"/>
      <w:bookmarkStart w:id="41" w:name="_Toc32607"/>
      <w:bookmarkStart w:id="42" w:name="_Toc6308"/>
      <w:bookmarkStart w:id="43" w:name="_Toc30530"/>
      <w:bookmarkStart w:id="44" w:name="_Toc88209941"/>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6826"/>
      <w:bookmarkStart w:id="46" w:name="_Toc23033"/>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供应商必须为中华人民共和国境内注册成立并合法存续的法人或其分支机构，持有事业单位登记管理部门核发的事业单位法人证书或工商行政管理部门核发的营业执照，且在有效期内。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w:t>
      </w:r>
      <w:r>
        <w:rPr>
          <w:rFonts w:hint="eastAsia" w:ascii="仿宋_GB2312" w:eastAsia="仿宋" w:hAnsiTheme="minorEastAsia"/>
          <w:color w:val="auto"/>
          <w:sz w:val="28"/>
          <w:szCs w:val="28"/>
          <w:highlight w:val="none"/>
          <w:lang w:val="en-US" w:eastAsia="zh-CN"/>
        </w:rPr>
        <w:t>放款时间承诺函承诺放款时间最短的供应商为成交供应商；如评审价格及放款时间承诺函承诺放款时间相同时，单项业绩金额最高的供应商为成交供应商；如评审价格、放款时间承诺函承诺放款时间及单项业绩金额相同，</w:t>
      </w:r>
      <w:r>
        <w:rPr>
          <w:rFonts w:hint="eastAsia" w:ascii="仿宋_GB2312" w:eastAsia="仿宋" w:hAnsiTheme="minorEastAsia"/>
          <w:color w:val="auto"/>
          <w:sz w:val="28"/>
          <w:szCs w:val="28"/>
          <w:highlight w:val="none"/>
        </w:rPr>
        <w:t>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一、项目情况介绍</w:t>
      </w:r>
    </w:p>
    <w:p>
      <w:pPr>
        <w:pageBreakBefore w:val="0"/>
        <w:wordWrap/>
        <w:topLinePunct w:val="0"/>
        <w:bidi w:val="0"/>
        <w:spacing w:line="360" w:lineRule="auto"/>
        <w:ind w:firstLine="470" w:firstLineChars="19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（一）标的名称：广州市净水有限公司流动资金贷款采购项目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第二次）</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（二）项目内容：选取一家贷款银行，提供5亿元的流动资金贷款。</w:t>
      </w:r>
    </w:p>
    <w:p>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二、项目要求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（一）项目贷款金额需求：选取一家贷款银行，提供5亿元的流动资金贷款。</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（二）项目期限需求：贷款期限3年。</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（三）项目其他需求：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1.签订贷款合同后需尽快放款。本项目贷款将分期提款，贷款银行需在我司每次提供完整提款资料后10个日历日内放款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如遇法定节假日可顺延，以</w:t>
      </w:r>
      <w:r>
        <w:rPr>
          <w:rFonts w:hint="eastAsia" w:ascii="宋体" w:hAnsi="宋体" w:eastAsia="宋体" w:cs="宋体"/>
          <w:color w:val="auto"/>
          <w:sz w:val="24"/>
          <w:szCs w:val="24"/>
          <w:highlight w:val="none"/>
        </w:rPr>
        <w:t>《国务院关于修改〈全国年节及纪念日放假办法〉的决定》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中华人民共和国国务院令</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第644号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或其最新版本为准</w:t>
      </w:r>
      <w:r>
        <w:rPr>
          <w:rFonts w:hint="eastAsia" w:ascii="宋体" w:hAnsi="宋体" w:eastAsia="宋体" w:cs="宋体"/>
          <w:color w:val="auto"/>
          <w:sz w:val="24"/>
          <w:szCs w:val="24"/>
          <w:highlight w:val="none"/>
        </w:rPr>
        <w:t>，若无法及时放款</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，需发函致我司告知无法放款，</w:t>
      </w:r>
      <w:r>
        <w:rPr>
          <w:rFonts w:hint="eastAsia" w:ascii="宋体" w:hAnsi="宋体" w:eastAsia="宋体" w:cs="宋体"/>
          <w:color w:val="auto"/>
          <w:sz w:val="24"/>
          <w:szCs w:val="24"/>
          <w:highlight w:val="none"/>
          <w:lang w:val="en-US" w:eastAsia="zh-CN"/>
        </w:rPr>
        <w:t>并说明原因</w:t>
      </w:r>
      <w:r>
        <w:rPr>
          <w:rFonts w:hint="eastAsia" w:ascii="宋体" w:hAnsi="宋体" w:eastAsia="宋体" w:cs="宋体"/>
          <w:color w:val="auto"/>
          <w:sz w:val="24"/>
          <w:szCs w:val="24"/>
          <w:highlight w:val="none"/>
        </w:rPr>
        <w:t>。</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2.根据我司实际资金需求提款。</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3.以报价函里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一年期贷款市场报价利率（LPR）减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bp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形式的报价作为合同签订贷款的浮动利率。实际一年期贷款市场报价利率（LPR）以中国人民银行授权全国银行间同业拆借中心公布的，最新的</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年期贷款市场报价利率（LPR）为准。</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4.借贷人因广州市净水有限公司及广州市水务投资集团有限公司相关批复文件导致该项目无法履行的，</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终止该项目，双方互不承担责任，不得有异议。</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5.一个银行主体仅允许一家机构参与，如出现一个银行主体有两个及以上机构参与报价</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，询价人有权取消该银行主体的所有机构报价资格。</w:t>
      </w:r>
    </w:p>
    <w:bookmarkEnd w:id="47"/>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12721"/>
      <w:bookmarkStart w:id="49" w:name="_Toc19686"/>
      <w:bookmarkStart w:id="50" w:name="_Toc19088"/>
      <w:bookmarkStart w:id="51" w:name="_Toc22501"/>
      <w:bookmarkStart w:id="52" w:name="_Toc88209949"/>
      <w:bookmarkStart w:id="53" w:name="_Toc1375"/>
      <w:bookmarkStart w:id="54" w:name="_Toc8183"/>
      <w:bookmarkStart w:id="55" w:name="_Toc12980"/>
      <w:bookmarkStart w:id="56" w:name="_Toc12968"/>
      <w:bookmarkStart w:id="57" w:name="_Toc22797"/>
      <w:bookmarkStart w:id="58" w:name="_Toc13309"/>
      <w:bookmarkStart w:id="59" w:name="_Toc87616386"/>
      <w:bookmarkStart w:id="60" w:name="_Toc323"/>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35"/>
        <w:rPr>
          <w:color w:val="auto"/>
          <w:highlight w:val="none"/>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r>
        <w:rPr>
          <w:rFonts w:hint="eastAsia" w:ascii="方正小标宋简体" w:eastAsia="仿宋"/>
          <w:color w:val="auto"/>
          <w:sz w:val="28"/>
          <w:szCs w:val="28"/>
          <w:highlight w:val="none"/>
        </w:rPr>
        <w:t>具体以中选供应商确定</w:t>
      </w:r>
    </w:p>
    <w:p>
      <w:pPr>
        <w:adjustRightInd w:val="0"/>
        <w:snapToGrid w:val="0"/>
        <w:spacing w:beforeLines="50" w:afterLines="50" w:line="600" w:lineRule="exact"/>
        <w:jc w:val="center"/>
        <w:rPr>
          <w:rFonts w:ascii="方正小标宋简体" w:eastAsia="仿宋"/>
          <w:color w:val="auto"/>
          <w:sz w:val="44"/>
          <w:szCs w:val="44"/>
          <w:highlight w:val="none"/>
        </w:rPr>
      </w:pP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8209952"/>
      <w:bookmarkStart w:id="62" w:name="_Toc87616389"/>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7616390"/>
      <w:bookmarkStart w:id="64" w:name="_Toc88209953"/>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28619645"/>
      <w:bookmarkStart w:id="68" w:name="_Toc12665"/>
      <w:bookmarkStart w:id="69" w:name="_Toc6313"/>
      <w:bookmarkStart w:id="70" w:name="_Toc88209957"/>
      <w:bookmarkStart w:id="71" w:name="_Toc87616394"/>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采购文件的全部内容，愿意以一年期贷款市场报价利率（LPR）减</w:t>
      </w:r>
      <w:r>
        <w:rPr>
          <w:rFonts w:hint="eastAsia" w:ascii="仿宋_GB2312" w:hAnsi="黑体" w:eastAsia="仿宋"/>
          <w:color w:val="auto"/>
          <w:sz w:val="28"/>
          <w:szCs w:val="28"/>
          <w:highlight w:val="none"/>
          <w:u w:val="single"/>
        </w:rPr>
        <w:t xml:space="preserve">     </w:t>
      </w:r>
      <w:r>
        <w:rPr>
          <w:rFonts w:hint="eastAsia" w:ascii="仿宋_GB2312" w:hAnsi="黑体" w:eastAsia="仿宋"/>
          <w:color w:val="auto"/>
          <w:sz w:val="28"/>
          <w:szCs w:val="28"/>
          <w:highlight w:val="none"/>
        </w:rPr>
        <w:t>bp的报价完成/提供本项目□工程 □货物</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87616395"/>
      <w:bookmarkStart w:id="73" w:name="_Toc88209958"/>
      <w:bookmarkStart w:id="74" w:name="_Toc22527"/>
      <w:bookmarkStart w:id="75"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2.提供授权委托代理人在本单位近三个月社保记录（以加盖社会保险基金管理中心印章的《缴费历史明细表》或《社会保险参保人员证明》为准），否则为无效代理人，响应文件无效。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val="en-US" w:eastAsia="zh-CN"/>
              </w:rPr>
              <w:t>授权</w:t>
            </w:r>
            <w:r>
              <w:rPr>
                <w:rFonts w:hint="eastAsia" w:ascii="仿宋_GB2312" w:hAnsi="仿宋_GB2312" w:eastAsia="仿宋" w:cs="仿宋_GB2312"/>
                <w:color w:val="auto"/>
                <w:sz w:val="28"/>
                <w:szCs w:val="28"/>
                <w:highlight w:val="none"/>
              </w:rPr>
              <w:t>委托代理人</w:t>
            </w:r>
            <w:r>
              <w:rPr>
                <w:rFonts w:hint="eastAsia" w:ascii="仿宋_GB2312" w:hAnsi="仿宋_GB2312" w:eastAsia="仿宋" w:cs="仿宋_GB2312"/>
                <w:color w:val="auto"/>
                <w:sz w:val="28"/>
                <w:szCs w:val="28"/>
                <w:highlight w:val="none"/>
                <w:lang w:eastAsia="zh-CN"/>
              </w:rPr>
              <w:t>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19830"/>
      <w:bookmarkStart w:id="77" w:name="_Toc8086"/>
      <w:bookmarkStart w:id="78" w:name="_Toc88209963"/>
      <w:bookmarkStart w:id="79"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adjustRightInd w:val="0"/>
        <w:snapToGrid w:val="0"/>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项目最高限价：一年期贷款市场报价利率（LPR）（</w:t>
      </w:r>
      <w:r>
        <w:rPr>
          <w:rFonts w:hint="eastAsia" w:ascii="仿宋" w:hAnsi="仿宋" w:eastAsia="仿宋" w:cs="仿宋"/>
          <w:bCs/>
          <w:color w:val="auto"/>
          <w:sz w:val="28"/>
          <w:szCs w:val="28"/>
          <w:highlight w:val="none"/>
          <w:lang w:val="en-US" w:eastAsia="zh-CN"/>
        </w:rPr>
        <w:t>以</w:t>
      </w:r>
      <w:r>
        <w:rPr>
          <w:rFonts w:hint="eastAsia" w:ascii="仿宋" w:hAnsi="仿宋" w:eastAsia="仿宋" w:cs="仿宋"/>
          <w:bCs/>
          <w:color w:val="auto"/>
          <w:sz w:val="28"/>
          <w:szCs w:val="28"/>
          <w:highlight w:val="none"/>
        </w:rPr>
        <w:t>中国人民银行授权全国银行间同业拆借中心公布</w:t>
      </w:r>
      <w:r>
        <w:rPr>
          <w:rFonts w:hint="eastAsia" w:ascii="仿宋" w:hAnsi="仿宋" w:eastAsia="仿宋" w:cs="仿宋"/>
          <w:bCs/>
          <w:color w:val="auto"/>
          <w:sz w:val="28"/>
          <w:szCs w:val="28"/>
          <w:highlight w:val="none"/>
          <w:lang w:val="en-US" w:eastAsia="zh-CN"/>
        </w:rPr>
        <w:t>的，最新的1年期</w:t>
      </w:r>
      <w:r>
        <w:rPr>
          <w:rFonts w:hint="eastAsia" w:ascii="仿宋" w:hAnsi="仿宋" w:eastAsia="仿宋" w:cs="仿宋"/>
          <w:bCs/>
          <w:color w:val="auto"/>
          <w:sz w:val="28"/>
          <w:szCs w:val="28"/>
          <w:highlight w:val="none"/>
        </w:rPr>
        <w:t>贷款市场报价利率（LPR）为</w:t>
      </w:r>
      <w:r>
        <w:rPr>
          <w:rFonts w:hint="eastAsia" w:ascii="仿宋" w:hAnsi="仿宋" w:eastAsia="仿宋" w:cs="仿宋"/>
          <w:bCs/>
          <w:color w:val="auto"/>
          <w:sz w:val="28"/>
          <w:szCs w:val="28"/>
          <w:highlight w:val="none"/>
          <w:lang w:val="en-US" w:eastAsia="zh-CN"/>
        </w:rPr>
        <w:t>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w:t>
      </w:r>
    </w:p>
    <w:p>
      <w:pPr>
        <w:pStyle w:val="13"/>
        <w:rPr>
          <w:color w:val="auto"/>
          <w:highlight w:val="none"/>
        </w:rPr>
      </w:pPr>
    </w:p>
    <w:tbl>
      <w:tblPr>
        <w:tblStyle w:val="2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328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noWrap w:val="0"/>
            <w:vAlign w:val="center"/>
          </w:tcPr>
          <w:p>
            <w:pPr>
              <w:snapToGrid/>
              <w:spacing w:line="240" w:lineRule="auto"/>
              <w:ind w:left="0" w:leftChars="0" w:right="0" w:rightChars="0" w:firstLine="0" w:firstLineChars="0"/>
              <w:jc w:val="center"/>
              <w:rPr>
                <w:rFonts w:ascii="宋体" w:hAnsi="宋体" w:cs="宋体"/>
                <w:b/>
                <w:color w:val="auto"/>
                <w:kern w:val="2"/>
                <w:sz w:val="24"/>
                <w:szCs w:val="24"/>
                <w:highlight w:val="none"/>
              </w:rPr>
            </w:pPr>
            <w:r>
              <w:rPr>
                <w:rFonts w:hint="eastAsia" w:asciiTheme="minorEastAsia" w:hAnsiTheme="minorEastAsia" w:cstheme="minorEastAsia"/>
                <w:b/>
                <w:color w:val="auto"/>
                <w:sz w:val="24"/>
                <w:szCs w:val="24"/>
                <w:highlight w:val="none"/>
                <w:lang w:val="en-US" w:eastAsia="zh-CN"/>
              </w:rPr>
              <w:t>项目名称</w:t>
            </w:r>
          </w:p>
        </w:tc>
        <w:tc>
          <w:tcPr>
            <w:tcW w:w="3285" w:type="dxa"/>
            <w:noWrap w:val="0"/>
            <w:vAlign w:val="center"/>
          </w:tcPr>
          <w:p>
            <w:pPr>
              <w:snapToGrid/>
              <w:spacing w:line="240" w:lineRule="auto"/>
              <w:ind w:left="0" w:leftChars="0" w:right="0" w:rightChars="0" w:firstLine="0" w:firstLineChars="0"/>
              <w:jc w:val="center"/>
              <w:rPr>
                <w:rFonts w:hint="eastAsia" w:ascii="宋体" w:hAnsi="宋体" w:cs="宋体" w:eastAsiaTheme="minorEastAsia"/>
                <w:b/>
                <w:color w:val="auto"/>
                <w:kern w:val="2"/>
                <w:sz w:val="24"/>
                <w:szCs w:val="24"/>
                <w:highlight w:val="none"/>
                <w:lang w:val="en-US" w:eastAsia="zh-CN"/>
              </w:rPr>
            </w:pPr>
            <w:r>
              <w:rPr>
                <w:rFonts w:hint="eastAsia" w:asciiTheme="minorEastAsia" w:hAnsiTheme="minorEastAsia" w:cstheme="minorEastAsia"/>
                <w:b/>
                <w:color w:val="auto"/>
                <w:sz w:val="24"/>
                <w:szCs w:val="24"/>
                <w:highlight w:val="none"/>
                <w:lang w:val="en-US" w:eastAsia="zh-CN"/>
              </w:rPr>
              <w:t>报价利率</w:t>
            </w:r>
          </w:p>
        </w:tc>
        <w:tc>
          <w:tcPr>
            <w:tcW w:w="1453" w:type="dxa"/>
            <w:noWrap w:val="0"/>
            <w:vAlign w:val="center"/>
          </w:tcPr>
          <w:p>
            <w:pPr>
              <w:snapToGrid/>
              <w:spacing w:line="240" w:lineRule="auto"/>
              <w:ind w:left="0" w:leftChars="0" w:right="0" w:rightChars="0" w:firstLine="0" w:firstLineChars="0"/>
              <w:jc w:val="center"/>
              <w:rPr>
                <w:rFonts w:ascii="宋体" w:hAnsi="宋体" w:cs="宋体"/>
                <w:b/>
                <w:color w:val="auto"/>
                <w:kern w:val="2"/>
                <w:sz w:val="24"/>
                <w:szCs w:val="24"/>
                <w:highlight w:val="none"/>
              </w:rPr>
            </w:pPr>
            <w:r>
              <w:rPr>
                <w:rFonts w:hint="eastAsia" w:asciiTheme="minorEastAsia" w:hAnsiTheme="minorEastAsia" w:eastAsiaTheme="minorEastAsia" w:cstheme="minorEastAsia"/>
                <w:b/>
                <w:color w:val="auto"/>
                <w:sz w:val="24"/>
                <w:szCs w:val="24"/>
                <w:highlight w:val="none"/>
              </w:rPr>
              <w:t>贷款期限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03" w:type="dxa"/>
            <w:noWrap w:val="0"/>
            <w:vAlign w:val="center"/>
          </w:tcPr>
          <w:p>
            <w:pPr>
              <w:spacing w:line="240" w:lineRule="auto"/>
              <w:ind w:firstLine="0" w:firstLineChars="0"/>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广州市净水有限公司</w:t>
            </w:r>
          </w:p>
          <w:p>
            <w:pPr>
              <w:spacing w:line="240" w:lineRule="auto"/>
              <w:ind w:firstLine="0" w:firstLineChars="0"/>
              <w:jc w:val="center"/>
              <w:rPr>
                <w:rFonts w:ascii="宋体" w:hAnsi="宋体" w:cs="宋体"/>
                <w:color w:val="auto"/>
                <w:kern w:val="2"/>
                <w:sz w:val="24"/>
                <w:szCs w:val="24"/>
                <w:highlight w:val="none"/>
              </w:rPr>
            </w:pPr>
            <w:r>
              <w:rPr>
                <w:rFonts w:hint="eastAsia" w:asciiTheme="minorEastAsia" w:hAnsiTheme="minorEastAsia" w:cstheme="minorEastAsia"/>
                <w:color w:val="auto"/>
                <w:sz w:val="24"/>
                <w:szCs w:val="24"/>
                <w:highlight w:val="none"/>
              </w:rPr>
              <w:t>2024年流动资金贷款采购项目</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第二次）</w:t>
            </w:r>
          </w:p>
        </w:tc>
        <w:tc>
          <w:tcPr>
            <w:tcW w:w="3285" w:type="dxa"/>
            <w:noWrap w:val="0"/>
            <w:vAlign w:val="center"/>
          </w:tcPr>
          <w:p>
            <w:pPr>
              <w:spacing w:line="240" w:lineRule="auto"/>
              <w:jc w:val="center"/>
              <w:rPr>
                <w:rFonts w:ascii="宋体" w:hAnsi="宋体" w:cs="宋体"/>
                <w:color w:val="auto"/>
                <w:kern w:val="2"/>
                <w:sz w:val="24"/>
                <w:szCs w:val="24"/>
                <w:highlight w:val="none"/>
              </w:rPr>
            </w:pPr>
            <w:r>
              <w:rPr>
                <w:rFonts w:hint="eastAsia" w:ascii="宋体" w:hAnsi="宋体" w:cs="仿宋"/>
                <w:color w:val="auto"/>
                <w:sz w:val="24"/>
                <w:szCs w:val="24"/>
                <w:highlight w:val="none"/>
                <w:u w:val="single"/>
              </w:rPr>
              <w:t xml:space="preserve">一年期贷款市场报价利率（LPR）减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bp</w:t>
            </w:r>
          </w:p>
        </w:tc>
        <w:tc>
          <w:tcPr>
            <w:tcW w:w="1453" w:type="dxa"/>
            <w:noWrap w:val="0"/>
            <w:vAlign w:val="center"/>
          </w:tcPr>
          <w:p>
            <w:pPr>
              <w:spacing w:line="240" w:lineRule="auto"/>
              <w:jc w:val="center"/>
              <w:rPr>
                <w:rFonts w:hint="default" w:ascii="宋体" w:hAnsi="宋体" w:cs="宋体" w:eastAsiaTheme="minorEastAsia"/>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3年</w:t>
            </w:r>
          </w:p>
        </w:tc>
      </w:tr>
    </w:tbl>
    <w:p>
      <w:pPr>
        <w:widowControl w:val="0"/>
        <w:adjustRightInd w:val="0"/>
        <w:snapToGrid w:val="0"/>
        <w:spacing w:line="360" w:lineRule="auto"/>
        <w:jc w:val="both"/>
        <w:rPr>
          <w:rFonts w:ascii="宋体" w:hAnsi="宋体" w:cs="宋体"/>
          <w:color w:val="auto"/>
          <w:kern w:val="2"/>
          <w:sz w:val="28"/>
          <w:szCs w:val="28"/>
          <w:highlight w:val="none"/>
        </w:rPr>
      </w:pPr>
    </w:p>
    <w:p>
      <w:pPr>
        <w:widowControl w:val="0"/>
        <w:adjustRightInd w:val="0"/>
        <w:snapToGrid w:val="0"/>
        <w:spacing w:line="360" w:lineRule="auto"/>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注：</w:t>
      </w:r>
    </w:p>
    <w:p>
      <w:pPr>
        <w:pStyle w:val="41"/>
        <w:adjustRightInd w:val="0"/>
        <w:snapToGrid w:val="0"/>
        <w:spacing w:line="360" w:lineRule="auto"/>
        <w:rPr>
          <w:rFonts w:hAnsi="宋体" w:cs="仿宋"/>
          <w:color w:val="auto"/>
          <w:kern w:val="0"/>
          <w:sz w:val="24"/>
          <w:szCs w:val="24"/>
          <w:highlight w:val="none"/>
        </w:rPr>
      </w:pPr>
      <w:r>
        <w:rPr>
          <w:rFonts w:hint="eastAsia" w:ascii="宋体" w:hAnsi="宋体" w:cs="仿宋"/>
          <w:color w:val="auto"/>
          <w:sz w:val="24"/>
          <w:szCs w:val="24"/>
          <w:highlight w:val="none"/>
        </w:rPr>
        <w:t>1. 报价利率组成：</w:t>
      </w:r>
      <w:r>
        <w:rPr>
          <w:rFonts w:hint="eastAsia" w:hAnsi="宋体" w:cs="仿宋"/>
          <w:color w:val="auto"/>
          <w:sz w:val="24"/>
          <w:szCs w:val="24"/>
          <w:highlight w:val="none"/>
          <w:lang w:val="en-US" w:eastAsia="zh-CN"/>
        </w:rPr>
        <w:t>一</w:t>
      </w:r>
      <w:r>
        <w:rPr>
          <w:rFonts w:hint="eastAsia" w:hAnsi="宋体" w:cs="仿宋"/>
          <w:color w:val="auto"/>
          <w:kern w:val="0"/>
          <w:sz w:val="24"/>
          <w:szCs w:val="24"/>
          <w:highlight w:val="none"/>
        </w:rPr>
        <w:t>年期贷款市场报价利率（LPR）减</w:t>
      </w:r>
      <w:r>
        <w:rPr>
          <w:rFonts w:hint="eastAsia" w:hAnsi="宋体" w:cs="仿宋"/>
          <w:color w:val="auto"/>
          <w:kern w:val="0"/>
          <w:sz w:val="24"/>
          <w:szCs w:val="24"/>
          <w:highlight w:val="none"/>
          <w:u w:val="single"/>
        </w:rPr>
        <w:t xml:space="preserve">    </w:t>
      </w:r>
      <w:r>
        <w:rPr>
          <w:rFonts w:hint="eastAsia" w:hAnsi="宋体" w:cs="仿宋"/>
          <w:color w:val="auto"/>
          <w:kern w:val="0"/>
          <w:sz w:val="24"/>
          <w:szCs w:val="24"/>
          <w:highlight w:val="none"/>
        </w:rPr>
        <w:t>bp。</w:t>
      </w:r>
    </w:p>
    <w:p>
      <w:pPr>
        <w:widowControl w:val="0"/>
        <w:adjustRightInd w:val="0"/>
        <w:snapToGrid w:val="0"/>
        <w:spacing w:line="360" w:lineRule="auto"/>
        <w:jc w:val="both"/>
        <w:rPr>
          <w:rFonts w:ascii="宋体" w:hAnsi="宋体" w:cs="仿宋"/>
          <w:color w:val="auto"/>
          <w:sz w:val="24"/>
          <w:szCs w:val="24"/>
          <w:highlight w:val="none"/>
        </w:rPr>
      </w:pPr>
      <w:r>
        <w:rPr>
          <w:rFonts w:hint="eastAsia" w:ascii="宋体" w:hAnsi="宋体" w:cs="仿宋"/>
          <w:color w:val="auto"/>
          <w:sz w:val="24"/>
          <w:szCs w:val="24"/>
          <w:highlight w:val="none"/>
        </w:rPr>
        <w:t>2. 基点（bp）即Basis Point，是一个用于金融方面，衡量债券和票据利率改变量的度量单位。通常一个基点等于0.01%，即1bp=0.01%。</w:t>
      </w:r>
    </w:p>
    <w:p>
      <w:pPr>
        <w:pStyle w:val="41"/>
        <w:adjustRightInd w:val="0"/>
        <w:snapToGrid w:val="0"/>
        <w:spacing w:line="360" w:lineRule="auto"/>
        <w:rPr>
          <w:rFonts w:hint="eastAsia" w:hAnsi="宋体" w:cs="仿宋" w:eastAsiaTheme="minorEastAsia"/>
          <w:color w:val="auto"/>
          <w:sz w:val="24"/>
          <w:szCs w:val="24"/>
          <w:highlight w:val="none"/>
          <w:lang w:val="en-US" w:eastAsia="zh-CN"/>
        </w:rPr>
      </w:pPr>
      <w:r>
        <w:rPr>
          <w:rFonts w:hint="eastAsia" w:hAnsi="宋体" w:cs="仿宋"/>
          <w:color w:val="auto"/>
          <w:sz w:val="24"/>
          <w:szCs w:val="24"/>
          <w:highlight w:val="none"/>
          <w:lang w:val="en-US" w:eastAsia="zh-CN"/>
        </w:rPr>
        <w:t>3.实际</w:t>
      </w:r>
      <w:r>
        <w:rPr>
          <w:rFonts w:hint="eastAsia" w:hAnsi="宋体" w:cs="仿宋"/>
          <w:color w:val="auto"/>
          <w:sz w:val="24"/>
          <w:szCs w:val="24"/>
          <w:highlight w:val="none"/>
        </w:rPr>
        <w:t>一年期贷款市场报价利率（LPR）以中国人民银行授权全国银行间同业拆借中心公布的，最新的1年期贷款市场报价利率（LPR）为准</w:t>
      </w:r>
      <w:r>
        <w:rPr>
          <w:rFonts w:hint="eastAsia" w:hAnsi="宋体" w:cs="仿宋"/>
          <w:color w:val="auto"/>
          <w:sz w:val="24"/>
          <w:szCs w:val="24"/>
          <w:highlight w:val="none"/>
          <w:lang w:eastAsia="zh-CN"/>
        </w:rPr>
        <w:t>。</w:t>
      </w:r>
    </w:p>
    <w:p>
      <w:pPr>
        <w:pStyle w:val="8"/>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16386"/>
      <w:bookmarkStart w:id="82" w:name="_Toc6058"/>
      <w:bookmarkStart w:id="83" w:name="_Toc88209965"/>
      <w:bookmarkStart w:id="84" w:name="_Toc87616402"/>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6.1放款时间承诺函。</w:t>
      </w:r>
    </w:p>
    <w:p>
      <w:pPr>
        <w:pStyle w:val="2"/>
        <w:rPr>
          <w:rFonts w:hint="eastAsia"/>
          <w:color w:val="auto"/>
          <w:highlight w:val="none"/>
          <w:lang w:val="en-US" w:eastAsia="zh-CN"/>
        </w:rPr>
      </w:pPr>
    </w:p>
    <w:p>
      <w:pPr>
        <w:pStyle w:val="2"/>
        <w:jc w:val="center"/>
        <w:rPr>
          <w:rFonts w:hint="eastAsia" w:ascii="仿宋_GB2312" w:eastAsia="仿宋" w:hAnsiTheme="minorEastAsia"/>
          <w:color w:val="auto"/>
          <w:sz w:val="44"/>
          <w:szCs w:val="44"/>
          <w:highlight w:val="none"/>
          <w:lang w:val="en-US" w:eastAsia="zh-CN"/>
        </w:rPr>
      </w:pPr>
      <w:r>
        <w:rPr>
          <w:rFonts w:hint="eastAsia" w:ascii="仿宋_GB2312" w:hAnsi="仿宋_GB2312" w:eastAsia="仿宋" w:cs="仿宋_GB2312"/>
          <w:b/>
          <w:bCs/>
          <w:color w:val="auto"/>
          <w:kern w:val="2"/>
          <w:sz w:val="44"/>
          <w:szCs w:val="44"/>
          <w:highlight w:val="none"/>
          <w:lang w:val="en-US" w:eastAsia="zh-CN"/>
        </w:rPr>
        <w:t>放款时间承诺函</w:t>
      </w:r>
    </w:p>
    <w:p>
      <w:pPr>
        <w:pStyle w:val="2"/>
        <w:jc w:val="center"/>
        <w:rPr>
          <w:rFonts w:hint="eastAsia" w:ascii="仿宋_GB2312" w:eastAsia="仿宋" w:hAnsiTheme="minorEastAsia"/>
          <w:color w:val="auto"/>
          <w:sz w:val="28"/>
          <w:szCs w:val="28"/>
          <w:highlight w:val="none"/>
          <w:lang w:val="en-US" w:eastAsia="zh-CN"/>
        </w:rPr>
      </w:pPr>
    </w:p>
    <w:p>
      <w:pPr>
        <w:snapToGrid w:val="0"/>
        <w:spacing w:line="360" w:lineRule="auto"/>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pStyle w:val="2"/>
        <w:ind w:firstLine="560" w:firstLineChars="200"/>
        <w:rPr>
          <w:rFonts w:hint="eastAsia" w:ascii="仿宋_GB2312" w:hAnsi="仿宋_GB2312" w:eastAsia="仿宋" w:cs="仿宋_GB2312"/>
          <w:color w:val="auto"/>
          <w:kern w:val="2"/>
          <w:sz w:val="28"/>
          <w:szCs w:val="28"/>
          <w:highlight w:val="none"/>
          <w:lang w:val="en-GB" w:eastAsia="zh-CN"/>
        </w:rPr>
      </w:pPr>
      <w:r>
        <w:rPr>
          <w:rFonts w:hint="eastAsia" w:ascii="仿宋_GB2312" w:hAnsi="仿宋_GB2312" w:eastAsia="仿宋" w:cs="仿宋_GB2312"/>
          <w:b w:val="0"/>
          <w:bCs w:val="0"/>
          <w:color w:val="auto"/>
          <w:kern w:val="2"/>
          <w:sz w:val="28"/>
          <w:szCs w:val="28"/>
          <w:highlight w:val="none"/>
          <w:lang w:val="en-GB" w:eastAsia="zh-CN"/>
        </w:rPr>
        <w:t>我司承诺在贵司每次提供完整提款资料后</w:t>
      </w:r>
      <w:r>
        <w:rPr>
          <w:rFonts w:hint="eastAsia" w:ascii="仿宋_GB2312" w:hAnsi="仿宋_GB2312" w:eastAsia="仿宋" w:cs="仿宋_GB2312"/>
          <w:b w:val="0"/>
          <w:bCs w:val="0"/>
          <w:color w:val="auto"/>
          <w:kern w:val="2"/>
          <w:sz w:val="28"/>
          <w:szCs w:val="28"/>
          <w:highlight w:val="none"/>
          <w:u w:val="single"/>
          <w:lang w:val="en-GB" w:eastAsia="zh-CN"/>
        </w:rPr>
        <w:t xml:space="preserve">    </w:t>
      </w:r>
      <w:r>
        <w:rPr>
          <w:rFonts w:hint="eastAsia" w:ascii="仿宋_GB2312" w:hAnsi="仿宋_GB2312" w:eastAsia="仿宋" w:cs="仿宋_GB2312"/>
          <w:b w:val="0"/>
          <w:bCs w:val="0"/>
          <w:color w:val="auto"/>
          <w:kern w:val="2"/>
          <w:sz w:val="28"/>
          <w:szCs w:val="28"/>
          <w:highlight w:val="none"/>
          <w:lang w:val="en-GB" w:eastAsia="zh-CN"/>
        </w:rPr>
        <w:t>个工作日内放款。</w:t>
      </w:r>
    </w:p>
    <w:p>
      <w:pPr>
        <w:adjustRightInd w:val="0"/>
        <w:snapToGrid w:val="0"/>
        <w:spacing w:line="600" w:lineRule="exact"/>
        <w:ind w:firstLine="570"/>
        <w:rPr>
          <w:rFonts w:hint="eastAsia" w:ascii="仿宋_GB2312" w:hAnsi="仿宋_GB2312" w:eastAsia="仿宋" w:cs="仿宋_GB2312"/>
          <w:color w:val="auto"/>
          <w:sz w:val="28"/>
          <w:szCs w:val="28"/>
          <w:highlight w:val="none"/>
          <w:lang w:val="en-GB"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0"/>
        <w:rPr>
          <w:rFonts w:hint="default" w:ascii="仿宋_GB2312" w:eastAsia="仿宋" w:hAnsiTheme="minorEastAsia"/>
          <w:color w:val="auto"/>
          <w:sz w:val="28"/>
          <w:szCs w:val="28"/>
          <w:highlight w:val="none"/>
          <w:lang w:val="en-US" w:eastAsia="zh-CN"/>
        </w:rPr>
      </w:pPr>
    </w:p>
    <w:p>
      <w:pPr>
        <w:wordWrap w:val="0"/>
        <w:adjustRightInd w:val="0"/>
        <w:snapToGrid w:val="0"/>
        <w:spacing w:line="360" w:lineRule="auto"/>
        <w:jc w:val="center"/>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adjustRightInd w:val="0"/>
        <w:snapToGrid w:val="0"/>
        <w:spacing w:line="600" w:lineRule="exact"/>
        <w:ind w:firstLine="4398" w:firstLineChars="1571"/>
        <w:rPr>
          <w:rFonts w:hint="eastAsia"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p>
    <w:p>
      <w:pPr>
        <w:adjustRightInd w:val="0"/>
        <w:snapToGrid w:val="0"/>
        <w:spacing w:line="600" w:lineRule="exact"/>
        <w:ind w:firstLine="57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6E269F"/>
    <w:rsid w:val="129A2738"/>
    <w:rsid w:val="12B56BF1"/>
    <w:rsid w:val="12CB1A89"/>
    <w:rsid w:val="131840FB"/>
    <w:rsid w:val="13467417"/>
    <w:rsid w:val="136E76CF"/>
    <w:rsid w:val="1424395D"/>
    <w:rsid w:val="145F08C6"/>
    <w:rsid w:val="14E43F59"/>
    <w:rsid w:val="14EF6FFD"/>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F95B20"/>
    <w:rsid w:val="1D0E6976"/>
    <w:rsid w:val="1D3D339A"/>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51415D"/>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8F05B32"/>
    <w:rsid w:val="29013EA1"/>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4B5692"/>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6EC1C61"/>
    <w:rsid w:val="37666E72"/>
    <w:rsid w:val="38081EA3"/>
    <w:rsid w:val="38167A04"/>
    <w:rsid w:val="381C3783"/>
    <w:rsid w:val="394B167A"/>
    <w:rsid w:val="39AD34EA"/>
    <w:rsid w:val="39DA2868"/>
    <w:rsid w:val="39DF6BF2"/>
    <w:rsid w:val="3A055F4B"/>
    <w:rsid w:val="3A10210A"/>
    <w:rsid w:val="3A4E4336"/>
    <w:rsid w:val="3A5718B5"/>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096F4A"/>
    <w:rsid w:val="424236D9"/>
    <w:rsid w:val="42466655"/>
    <w:rsid w:val="42C82F57"/>
    <w:rsid w:val="435707E5"/>
    <w:rsid w:val="4397028D"/>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8D4EF2"/>
    <w:rsid w:val="61B52BB6"/>
    <w:rsid w:val="61B749C2"/>
    <w:rsid w:val="62280D20"/>
    <w:rsid w:val="628641A2"/>
    <w:rsid w:val="629C50CC"/>
    <w:rsid w:val="62B4786E"/>
    <w:rsid w:val="62CA2457"/>
    <w:rsid w:val="631303F2"/>
    <w:rsid w:val="638240A1"/>
    <w:rsid w:val="63833423"/>
    <w:rsid w:val="63A5257B"/>
    <w:rsid w:val="63BD3DCC"/>
    <w:rsid w:val="63C61741"/>
    <w:rsid w:val="64267CB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156F06"/>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7C27899"/>
    <w:rsid w:val="780E5898"/>
    <w:rsid w:val="782642CC"/>
    <w:rsid w:val="7894095E"/>
    <w:rsid w:val="78964555"/>
    <w:rsid w:val="78CF4963"/>
    <w:rsid w:val="79000679"/>
    <w:rsid w:val="7916258F"/>
    <w:rsid w:val="791C0FE5"/>
    <w:rsid w:val="79A416F0"/>
    <w:rsid w:val="79B03EB6"/>
    <w:rsid w:val="79B61437"/>
    <w:rsid w:val="7AE15A5C"/>
    <w:rsid w:val="7AF37579"/>
    <w:rsid w:val="7AF861A7"/>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w:basedOn w:val="8"/>
    <w:qFormat/>
    <w:uiPriority w:val="0"/>
    <w:pPr>
      <w:ind w:firstLine="420"/>
    </w:p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6089</Words>
  <Characters>6389</Characters>
  <Lines>300</Lines>
  <Paragraphs>84</Paragraphs>
  <TotalTime>19</TotalTime>
  <ScaleCrop>false</ScaleCrop>
  <LinksUpToDate>false</LinksUpToDate>
  <CharactersWithSpaces>7443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2024-11-08T08:58:23Z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