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rPr>
          <w:rFonts w:hint="eastAsia"/>
          <w:color w:val="auto"/>
          <w:highlight w:val="none"/>
        </w:rPr>
      </w:pPr>
    </w:p>
    <w:p>
      <w:pPr>
        <w:jc w:val="center"/>
        <w:rPr>
          <w:rFonts w:hint="eastAsia" w:ascii="方正小标宋简体" w:hAnsi="方正小标宋简体" w:eastAsia="方正小标宋简体" w:cs="方正小标宋简体"/>
          <w:color w:val="auto"/>
          <w:sz w:val="52"/>
          <w:szCs w:val="52"/>
          <w:highlight w:val="none"/>
        </w:rPr>
      </w:pPr>
      <w:r>
        <w:rPr>
          <w:rFonts w:hint="eastAsia" w:ascii="方正小标宋简体" w:hAnsi="方正小标宋简体" w:eastAsia="方正小标宋简体" w:cs="方正小标宋简体"/>
          <w:color w:val="auto"/>
          <w:sz w:val="52"/>
          <w:szCs w:val="52"/>
          <w:highlight w:val="none"/>
        </w:rPr>
        <w:t>广州市净水有限公司猎德分公司</w:t>
      </w:r>
    </w:p>
    <w:p>
      <w:pPr>
        <w:jc w:val="center"/>
        <w:rPr>
          <w:rFonts w:hint="eastAsia" w:ascii="方正小标宋简体" w:hAnsi="方正小标宋简体" w:eastAsia="方正小标宋简体" w:cs="方正小标宋简体"/>
          <w:color w:val="auto"/>
          <w:sz w:val="52"/>
          <w:szCs w:val="52"/>
          <w:highlight w:val="none"/>
        </w:rPr>
      </w:pPr>
      <w:r>
        <w:rPr>
          <w:rFonts w:hint="eastAsia" w:ascii="方正小标宋简体" w:hAnsi="方正小标宋简体" w:eastAsia="方正小标宋简体" w:cs="方正小标宋简体"/>
          <w:b/>
          <w:bCs/>
          <w:color w:val="auto"/>
          <w:sz w:val="52"/>
          <w:szCs w:val="52"/>
          <w:highlight w:val="none"/>
        </w:rPr>
        <w:t>北面应急值班室修缮项目</w:t>
      </w:r>
    </w:p>
    <w:p>
      <w:pPr>
        <w:pStyle w:val="2"/>
        <w:ind w:firstLine="0"/>
        <w:rPr>
          <w:rFonts w:hint="eastAsia"/>
          <w:color w:val="auto"/>
          <w:sz w:val="52"/>
          <w:szCs w:val="52"/>
          <w:highlight w:val="none"/>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jc w:val="center"/>
        <w:rPr>
          <w:rFonts w:hint="eastAsia"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二四年十月</w:t>
      </w:r>
    </w:p>
    <w:p>
      <w:pPr>
        <w:rPr>
          <w:color w:val="auto"/>
          <w:highlight w:val="none"/>
        </w:rPr>
        <w:sectPr>
          <w:headerReference r:id="rId5" w:type="default"/>
          <w:footerReference r:id="rId6" w:type="default"/>
          <w:footerReference r:id="rId7" w:type="even"/>
          <w:pgSz w:w="11906" w:h="16838"/>
          <w:pgMar w:top="1644" w:right="1588" w:bottom="1644" w:left="1588" w:header="851" w:footer="992" w:gutter="0"/>
          <w:pgNumType w:fmt="numberInDash"/>
          <w:cols w:space="720" w:num="1"/>
          <w:docGrid w:type="lines" w:linePitch="312" w:charSpace="0"/>
        </w:sectPr>
      </w:pPr>
    </w:p>
    <w:p>
      <w:pPr>
        <w:pStyle w:val="2"/>
        <w:rPr>
          <w:rFonts w:hint="eastAsia"/>
          <w:color w:val="auto"/>
          <w:highlight w:val="none"/>
        </w:rPr>
      </w:pPr>
    </w:p>
    <w:p>
      <w:pPr>
        <w:pStyle w:val="54"/>
        <w:adjustRightInd w:val="0"/>
        <w:snapToGrid w:val="0"/>
        <w:spacing w:before="0" w:line="600" w:lineRule="exact"/>
        <w:jc w:val="center"/>
        <w:rPr>
          <w:rFonts w:ascii="方正小标宋简体" w:eastAsia="方正小标宋简体"/>
          <w:b/>
          <w:color w:val="auto"/>
          <w:sz w:val="44"/>
          <w:szCs w:val="44"/>
          <w:highlight w:val="none"/>
        </w:rPr>
      </w:pPr>
      <w:r>
        <w:rPr>
          <w:rFonts w:hint="eastAsia" w:ascii="方正小标宋简体" w:eastAsia="方正小标宋简体"/>
          <w:b/>
          <w:color w:val="auto"/>
          <w:sz w:val="44"/>
          <w:szCs w:val="44"/>
          <w:highlight w:val="none"/>
        </w:rPr>
        <w:t>目录</w:t>
      </w:r>
    </w:p>
    <w:p>
      <w:pPr>
        <w:rPr>
          <w:rFonts w:hint="eastAsia" w:asciiTheme="minorEastAsia" w:hAnsiTheme="minorEastAsia"/>
          <w:color w:val="auto"/>
          <w:sz w:val="24"/>
          <w:szCs w:val="24"/>
          <w:highlight w:val="none"/>
        </w:rPr>
      </w:pPr>
    </w:p>
    <w:p>
      <w:pPr>
        <w:pStyle w:val="27"/>
        <w:numPr>
          <w:ilvl w:val="0"/>
          <w:numId w:val="1"/>
        </w:numPr>
        <w:tabs>
          <w:tab w:val="right" w:pos="8844"/>
        </w:tabs>
        <w:rPr>
          <w:color w:val="auto"/>
          <w:highlight w:val="none"/>
        </w:rPr>
      </w:pPr>
      <w:r>
        <w:rPr>
          <w:rFonts w:hint="eastAsia"/>
          <w:color w:val="auto"/>
          <w:highlight w:val="none"/>
        </w:rPr>
        <w:t>采购公告</w:t>
      </w:r>
    </w:p>
    <w:p>
      <w:pPr>
        <w:pStyle w:val="27"/>
        <w:numPr>
          <w:ilvl w:val="0"/>
          <w:numId w:val="1"/>
        </w:numPr>
        <w:tabs>
          <w:tab w:val="right" w:pos="8844"/>
        </w:tabs>
        <w:rPr>
          <w:color w:val="auto"/>
          <w:highlight w:val="none"/>
        </w:rPr>
      </w:pPr>
      <w:r>
        <w:rPr>
          <w:rFonts w:hint="eastAsia"/>
          <w:color w:val="auto"/>
          <w:highlight w:val="none"/>
        </w:rPr>
        <w:t>供应商须知</w:t>
      </w:r>
    </w:p>
    <w:p>
      <w:pPr>
        <w:pStyle w:val="27"/>
        <w:numPr>
          <w:ilvl w:val="0"/>
          <w:numId w:val="1"/>
        </w:numPr>
        <w:tabs>
          <w:tab w:val="right" w:pos="8844"/>
        </w:tabs>
        <w:rPr>
          <w:color w:val="auto"/>
          <w:highlight w:val="none"/>
        </w:rPr>
      </w:pPr>
      <w:r>
        <w:rPr>
          <w:rFonts w:hint="eastAsia"/>
          <w:color w:val="auto"/>
          <w:highlight w:val="none"/>
        </w:rPr>
        <w:t>采购方法</w:t>
      </w:r>
    </w:p>
    <w:p>
      <w:pPr>
        <w:pStyle w:val="27"/>
        <w:numPr>
          <w:ilvl w:val="0"/>
          <w:numId w:val="1"/>
        </w:numPr>
        <w:tabs>
          <w:tab w:val="right" w:pos="8844"/>
        </w:tabs>
        <w:rPr>
          <w:color w:val="auto"/>
          <w:highlight w:val="none"/>
        </w:rPr>
      </w:pPr>
      <w:r>
        <w:rPr>
          <w:rFonts w:hint="eastAsia"/>
          <w:color w:val="auto"/>
          <w:highlight w:val="none"/>
        </w:rPr>
        <w:t>评审方法</w:t>
      </w:r>
    </w:p>
    <w:p>
      <w:pPr>
        <w:pStyle w:val="27"/>
        <w:numPr>
          <w:ilvl w:val="0"/>
          <w:numId w:val="1"/>
        </w:numPr>
        <w:tabs>
          <w:tab w:val="right" w:pos="8844"/>
        </w:tabs>
        <w:rPr>
          <w:color w:val="auto"/>
          <w:highlight w:val="none"/>
        </w:rPr>
      </w:pPr>
      <w:r>
        <w:rPr>
          <w:rFonts w:hint="eastAsia"/>
          <w:color w:val="auto"/>
          <w:highlight w:val="none"/>
        </w:rPr>
        <w:t>采购需求</w:t>
      </w:r>
    </w:p>
    <w:p>
      <w:pPr>
        <w:pStyle w:val="27"/>
        <w:numPr>
          <w:ilvl w:val="0"/>
          <w:numId w:val="1"/>
        </w:numPr>
        <w:tabs>
          <w:tab w:val="right" w:pos="8844"/>
        </w:tabs>
        <w:rPr>
          <w:color w:val="auto"/>
          <w:highlight w:val="none"/>
        </w:rPr>
      </w:pPr>
      <w:r>
        <w:rPr>
          <w:rFonts w:hint="eastAsia"/>
          <w:color w:val="auto"/>
          <w:highlight w:val="none"/>
        </w:rPr>
        <w:t>合同草案</w:t>
      </w:r>
    </w:p>
    <w:p>
      <w:pPr>
        <w:pStyle w:val="27"/>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7"/>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7"/>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rFonts w:hint="eastAsia"/>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color w:val="auto"/>
          <w:highlight w:val="none"/>
        </w:rPr>
      </w:pPr>
      <w:bookmarkStart w:id="0" w:name="_Toc26148"/>
      <w:bookmarkStart w:id="1" w:name="_Toc18145"/>
    </w:p>
    <w:p>
      <w:pPr>
        <w:rPr>
          <w:color w:val="auto"/>
          <w:highlight w:val="none"/>
        </w:rPr>
      </w:pPr>
    </w:p>
    <w:p>
      <w:pPr>
        <w:pStyle w:val="5"/>
        <w:rPr>
          <w:color w:val="auto"/>
          <w:highlight w:val="none"/>
        </w:rPr>
      </w:pPr>
      <w:bookmarkStart w:id="2" w:name="_Toc1711"/>
      <w:bookmarkStart w:id="3" w:name="_Toc17696"/>
    </w:p>
    <w:p>
      <w:pPr>
        <w:rPr>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5"/>
        <w:jc w:val="both"/>
        <w:rPr>
          <w:color w:val="auto"/>
          <w:highlight w:val="none"/>
        </w:rPr>
      </w:pPr>
      <w:bookmarkStart w:id="4" w:name="_Toc1669"/>
      <w:bookmarkStart w:id="5" w:name="_Toc31938"/>
      <w:bookmarkStart w:id="6" w:name="_Toc11322"/>
      <w:bookmarkStart w:id="7" w:name="_Toc4275"/>
      <w:bookmarkStart w:id="8" w:name="_Toc19609"/>
      <w:bookmarkStart w:id="9" w:name="_Toc7519"/>
      <w:bookmarkStart w:id="10" w:name="_Toc17801"/>
    </w:p>
    <w:p>
      <w:pPr>
        <w:pStyle w:val="5"/>
        <w:rPr>
          <w:color w:val="auto"/>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2352040</wp:posOffset>
                </wp:positionH>
                <wp:positionV relativeFrom="paragraph">
                  <wp:posOffset>504190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5.2pt;margin-top:39.7pt;height:0pt;width:75.5pt;z-index:251674624;mso-width-relative:page;mso-height-relative:page;" filled="f" stroked="t" coordsize="21600,21600" o:gfxdata="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Od99cAAAAJ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3600;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56"/>
        <w:rPr>
          <w:color w:val="auto"/>
          <w:highlight w:val="none"/>
        </w:rPr>
      </w:pPr>
    </w:p>
    <w:p>
      <w:pPr>
        <w:pStyle w:val="5"/>
        <w:rPr>
          <w:color w:val="auto"/>
          <w:highlight w:val="none"/>
        </w:rPr>
      </w:pPr>
      <w:bookmarkStart w:id="11" w:name="_Toc26363"/>
      <w:bookmarkStart w:id="12" w:name="_Toc30131"/>
      <w:bookmarkStart w:id="13" w:name="_Toc999"/>
      <w:bookmarkStart w:id="14" w:name="_Toc5230"/>
      <w:bookmarkStart w:id="15" w:name="_Toc10122"/>
      <w:bookmarkStart w:id="16" w:name="_Toc88209924"/>
      <w:bookmarkStart w:id="17" w:name="_Toc2659"/>
      <w:bookmarkStart w:id="18" w:name="_Toc30989"/>
      <w:bookmarkStart w:id="19" w:name="_Toc28995"/>
      <w:bookmarkStart w:id="20" w:name="_Toc15709"/>
      <w:bookmarkStart w:id="21" w:name="_Toc8201"/>
      <w:bookmarkStart w:id="22" w:name="_Toc14238"/>
      <w:r>
        <w:rPr>
          <w:rFonts w:hint="eastAsia"/>
          <w:color w:val="auto"/>
          <w:highlight w:val="none"/>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hint="eastAsia" w:ascii="方正小标宋简体" w:eastAsia="方正小标宋简体"/>
          <w:color w:val="auto"/>
          <w:sz w:val="44"/>
          <w:szCs w:val="44"/>
          <w:highlight w:val="none"/>
        </w:rPr>
      </w:pPr>
    </w:p>
    <w:p>
      <w:pPr>
        <w:pStyle w:val="2"/>
        <w:rPr>
          <w:rFonts w:hint="eastAsia" w:ascii="方正小标宋简体" w:eastAsia="方正小标宋简体"/>
          <w:color w:val="auto"/>
          <w:sz w:val="44"/>
          <w:szCs w:val="44"/>
          <w:highlight w:val="none"/>
        </w:rPr>
      </w:pPr>
    </w:p>
    <w:p>
      <w:pPr>
        <w:pStyle w:val="2"/>
        <w:rPr>
          <w:rFonts w:hint="eastAsia" w:ascii="方正小标宋简体" w:eastAsia="方正小标宋简体"/>
          <w:color w:val="auto"/>
          <w:sz w:val="44"/>
          <w:szCs w:val="44"/>
          <w:highlight w:val="none"/>
        </w:rPr>
      </w:pPr>
    </w:p>
    <w:p>
      <w:pPr>
        <w:pStyle w:val="2"/>
        <w:rPr>
          <w:rFonts w:hint="eastAsia" w:ascii="方正小标宋简体" w:eastAsia="方正小标宋简体"/>
          <w:color w:val="auto"/>
          <w:sz w:val="44"/>
          <w:szCs w:val="44"/>
          <w:highlight w:val="none"/>
        </w:rPr>
      </w:pPr>
    </w:p>
    <w:p>
      <w:pPr>
        <w:pStyle w:val="2"/>
        <w:rPr>
          <w:rFonts w:hint="eastAsia" w:ascii="仿宋_GB2312" w:eastAsia="仿宋_GB2312"/>
          <w:color w:val="auto"/>
          <w:sz w:val="28"/>
          <w:szCs w:val="28"/>
          <w:highlight w:val="none"/>
        </w:rPr>
      </w:pPr>
    </w:p>
    <w:p>
      <w:pPr>
        <w:pStyle w:val="2"/>
        <w:rPr>
          <w:rFonts w:hint="eastAsia" w:ascii="仿宋_GB2312" w:eastAsia="仿宋_GB2312"/>
          <w:color w:val="auto"/>
          <w:sz w:val="28"/>
          <w:szCs w:val="28"/>
          <w:highlight w:val="none"/>
        </w:rPr>
      </w:pPr>
    </w:p>
    <w:p>
      <w:pPr>
        <w:pStyle w:val="2"/>
        <w:rPr>
          <w:rFonts w:hint="eastAsia" w:ascii="仿宋_GB2312" w:eastAsia="仿宋_GB2312"/>
          <w:color w:val="auto"/>
          <w:sz w:val="28"/>
          <w:szCs w:val="28"/>
          <w:highlight w:val="none"/>
        </w:rPr>
      </w:pPr>
    </w:p>
    <w:p>
      <w:pPr>
        <w:adjustRightInd w:val="0"/>
        <w:snapToGrid w:val="0"/>
        <w:spacing w:before="156" w:beforeLines="50" w:after="156"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spacing w:line="600" w:lineRule="exact"/>
        <w:jc w:val="center"/>
        <w:rPr>
          <w:rFonts w:hint="eastAsia" w:eastAsia="方正小标宋简体" w:asciiTheme="majorHAnsi" w:hAnsiTheme="majorHAnsi" w:cstheme="majorBidi"/>
          <w:bCs/>
          <w:color w:val="auto"/>
          <w:sz w:val="36"/>
          <w:szCs w:val="32"/>
          <w:highlight w:val="none"/>
        </w:rPr>
      </w:pPr>
      <w:bookmarkStart w:id="23" w:name="_Toc9680"/>
      <w:bookmarkStart w:id="24" w:name="_Toc21373"/>
      <w:r>
        <w:rPr>
          <w:rFonts w:hint="eastAsia" w:eastAsia="方正小标宋简体" w:asciiTheme="majorHAnsi" w:hAnsiTheme="majorHAnsi" w:cstheme="majorBidi"/>
          <w:bCs/>
          <w:color w:val="auto"/>
          <w:sz w:val="36"/>
          <w:szCs w:val="32"/>
          <w:highlight w:val="none"/>
        </w:rPr>
        <w:t>广州市净水有限公司猎德分公司北面</w:t>
      </w:r>
    </w:p>
    <w:p>
      <w:pPr>
        <w:spacing w:line="600" w:lineRule="exact"/>
        <w:jc w:val="center"/>
        <w:rPr>
          <w:color w:val="auto"/>
          <w:highlight w:val="none"/>
        </w:rPr>
      </w:pPr>
      <w:r>
        <w:rPr>
          <w:rFonts w:hint="eastAsia" w:eastAsia="方正小标宋简体" w:asciiTheme="majorHAnsi" w:hAnsiTheme="majorHAnsi" w:cstheme="majorBidi"/>
          <w:bCs/>
          <w:color w:val="auto"/>
          <w:sz w:val="36"/>
          <w:szCs w:val="32"/>
          <w:highlight w:val="none"/>
        </w:rPr>
        <w:t>应急值班室修缮项目采购公告</w:t>
      </w:r>
      <w:bookmarkEnd w:id="23"/>
      <w:bookmarkEnd w:id="24"/>
    </w:p>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广州市净水有限公司猎德分公司北面应急值班室修缮项目</w:t>
      </w:r>
      <w:r>
        <w:rPr>
          <w:rFonts w:hint="eastAsia" w:ascii="仿宋_GB2312" w:eastAsia="仿宋_GB2312"/>
          <w:color w:val="auto"/>
          <w:sz w:val="28"/>
          <w:szCs w:val="28"/>
          <w:highlight w:val="none"/>
        </w:rPr>
        <w:t xml:space="preserve">已具备采购条件，现对该☑施工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货物 □服务项目实施公开采购活动，采用</w:t>
      </w:r>
      <w:r>
        <w:rPr>
          <w:rFonts w:hint="eastAsia" w:ascii="仿宋_GB2312" w:eastAsia="仿宋_GB2312"/>
          <w:color w:val="auto"/>
          <w:sz w:val="28"/>
          <w:szCs w:val="28"/>
          <w:highlight w:val="none"/>
          <w:u w:val="single"/>
        </w:rPr>
        <w:t>□邀请询比 ☑公开询比</w:t>
      </w:r>
      <w:r>
        <w:rPr>
          <w:rFonts w:hint="eastAsia" w:ascii="仿宋_GB2312" w:eastAsia="仿宋_GB2312"/>
          <w:color w:val="auto"/>
          <w:sz w:val="28"/>
          <w:szCs w:val="28"/>
          <w:highlight w:val="none"/>
        </w:rPr>
        <w:t>的方式公开邀请合格供应商参加本项目采购活动。</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pStyle w:val="2"/>
        <w:ind w:firstLine="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rPr>
        <w:t>广州市净水有限公司猎德分公司北面应急值班室修缮项目</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XJ-20241028-2</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1.3资金来源：</w:t>
      </w:r>
      <w:r>
        <w:rPr>
          <w:rFonts w:hint="eastAsia" w:ascii="仿宋_GB2312" w:eastAsia="仿宋_GB2312"/>
          <w:color w:val="auto"/>
          <w:sz w:val="28"/>
          <w:szCs w:val="28"/>
          <w:highlight w:val="none"/>
          <w:u w:val="single"/>
        </w:rPr>
        <w:t>自有资金</w:t>
      </w:r>
    </w:p>
    <w:p>
      <w:pPr>
        <w:autoSpaceDE w:val="0"/>
        <w:autoSpaceDN w:val="0"/>
        <w:spacing w:line="240" w:lineRule="auto"/>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1.4最高限价（元）：</w:t>
      </w:r>
      <w:r>
        <w:rPr>
          <w:rFonts w:hint="eastAsia" w:ascii="仿宋_GB2312" w:eastAsia="仿宋_GB2312"/>
          <w:color w:val="auto"/>
          <w:sz w:val="28"/>
          <w:szCs w:val="28"/>
          <w:highlight w:val="none"/>
          <w:u w:val="single"/>
        </w:rPr>
        <w:t>673103.09元，其中不含税造价为617525.77元，税率为9%，按费率计算绿色施工安全防护措施费为21996.17元（建筑工程为13743.46元，安装工程为8252.71元），暂列金为53386.72元（建筑工程为43199.64元，安装工程为10187.09元）。</w:t>
      </w:r>
    </w:p>
    <w:p>
      <w:pPr>
        <w:autoSpaceDE w:val="0"/>
        <w:autoSpaceDN w:val="0"/>
        <w:spacing w:line="240" w:lineRule="auto"/>
        <w:ind w:firstLine="562" w:firstLineChars="200"/>
        <w:rPr>
          <w:rFonts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rPr>
        <w:t>及暂列金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1.5标段划分：</w:t>
      </w:r>
      <w:r>
        <w:rPr>
          <w:rFonts w:hint="eastAsia" w:ascii="仿宋_GB2312" w:eastAsia="仿宋_GB2312"/>
          <w:color w:val="auto"/>
          <w:sz w:val="28"/>
          <w:szCs w:val="28"/>
          <w:highlight w:val="none"/>
          <w:u w:val="single"/>
        </w:rPr>
        <w:t xml:space="preserve">          /          </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hAnsi="宋体" w:eastAsia="仿宋_GB2312" w:cs="Times New Roman"/>
          <w:color w:val="auto"/>
          <w:kern w:val="0"/>
          <w:sz w:val="28"/>
          <w:szCs w:val="28"/>
          <w:highlight w:val="none"/>
        </w:rPr>
      </w:pPr>
      <w:r>
        <w:rPr>
          <w:rFonts w:hint="eastAsia" w:ascii="仿宋_GB2312" w:hAnsi="宋体" w:eastAsia="仿宋_GB2312" w:cs="Times New Roman"/>
          <w:color w:val="auto"/>
          <w:kern w:val="0"/>
          <w:sz w:val="28"/>
          <w:szCs w:val="28"/>
          <w:highlight w:val="none"/>
        </w:rPr>
        <w:t>2.1采购内容和范围：</w:t>
      </w:r>
    </w:p>
    <w:p>
      <w:pPr>
        <w:pStyle w:val="2"/>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猎德分公司对使用时间较长北面值班室，开展改造工作，拟建模块化箱式房屋标准间17间及厕所间2间，配套改造相应地面广场736m</w:t>
      </w:r>
      <w:r>
        <w:rPr>
          <w:rFonts w:hint="eastAsia" w:ascii="仿宋_GB2312" w:eastAsia="仿宋_GB2312"/>
          <w:color w:val="auto"/>
          <w:sz w:val="28"/>
          <w:szCs w:val="28"/>
          <w:highlight w:val="none"/>
          <w:vertAlign w:val="superscript"/>
        </w:rPr>
        <w:t>2</w:t>
      </w:r>
      <w:r>
        <w:rPr>
          <w:rFonts w:hint="eastAsia" w:ascii="仿宋_GB2312" w:eastAsia="仿宋_GB2312"/>
          <w:color w:val="auto"/>
          <w:sz w:val="28"/>
          <w:szCs w:val="28"/>
          <w:highlight w:val="none"/>
        </w:rPr>
        <w:t>、加盖型材屋面393.68m</w:t>
      </w:r>
      <w:r>
        <w:rPr>
          <w:rFonts w:hint="eastAsia" w:ascii="仿宋_GB2312" w:eastAsia="仿宋_GB2312"/>
          <w:color w:val="auto"/>
          <w:sz w:val="28"/>
          <w:szCs w:val="28"/>
          <w:highlight w:val="none"/>
          <w:vertAlign w:val="superscript"/>
        </w:rPr>
        <w:t>2</w:t>
      </w:r>
      <w:r>
        <w:rPr>
          <w:rFonts w:hint="eastAsia" w:ascii="仿宋_GB2312" w:eastAsia="仿宋_GB2312"/>
          <w:color w:val="auto"/>
          <w:sz w:val="28"/>
          <w:szCs w:val="28"/>
          <w:highlight w:val="none"/>
        </w:rPr>
        <w:t>、配套完善相应的供水、供电、空调等生活配套设施（按实际工程量结算）；相应的建设过程如下：</w:t>
      </w:r>
    </w:p>
    <w:p>
      <w:pPr>
        <w:pStyle w:val="2"/>
        <w:numPr>
          <w:ilvl w:val="0"/>
          <w:numId w:val="2"/>
        </w:num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考虑到旧有地面基础已出现破损的实际情况，需对相应原有地面加铺10cm混凝土，再行实施上部结构施工。</w:t>
      </w:r>
    </w:p>
    <w:p>
      <w:pPr>
        <w:pStyle w:val="2"/>
        <w:numPr>
          <w:ilvl w:val="0"/>
          <w:numId w:val="2"/>
        </w:num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拆除拟箱式房屋位置处原有已破损混凝土地面进行拆除，平整相应的场地，视情况采取整体加铺适当厚度的混凝土结构层以满足地基承载力要求。</w:t>
      </w:r>
    </w:p>
    <w:p>
      <w:pPr>
        <w:pStyle w:val="2"/>
        <w:numPr>
          <w:ilvl w:val="0"/>
          <w:numId w:val="2"/>
        </w:numPr>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bidi="ar"/>
        </w:rPr>
        <w:t>开展模块化箱式房屋建设，同时配套建设相应的上盖男女卫生、淋浴间等生活配套设施，建设期间确保足够的安全性和稳固性。</w:t>
      </w:r>
    </w:p>
    <w:p>
      <w:pPr>
        <w:pStyle w:val="2"/>
        <w:numPr>
          <w:ilvl w:val="0"/>
          <w:numId w:val="2"/>
        </w:numPr>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bidi="ar"/>
        </w:rPr>
        <w:t>结合广州本地气候特点在箱式房屋上部加盖斜面屋顶预防漏水并确保与周边环境协调、美观。</w:t>
      </w:r>
    </w:p>
    <w:p>
      <w:pPr>
        <w:pStyle w:val="53"/>
        <w:numPr>
          <w:ilvl w:val="0"/>
          <w:numId w:val="2"/>
        </w:numPr>
        <w:spacing w:line="360" w:lineRule="auto"/>
        <w:ind w:firstLineChars="0"/>
        <w:rPr>
          <w:rFonts w:ascii="仿宋_GB2312" w:eastAsia="仿宋_GB2312"/>
          <w:color w:val="auto"/>
          <w:sz w:val="28"/>
          <w:szCs w:val="28"/>
          <w:highlight w:val="none"/>
          <w:lang w:bidi="ar"/>
        </w:rPr>
      </w:pPr>
      <w:r>
        <w:rPr>
          <w:rFonts w:hint="eastAsia" w:ascii="仿宋_GB2312" w:eastAsia="仿宋_GB2312"/>
          <w:color w:val="auto"/>
          <w:sz w:val="28"/>
          <w:szCs w:val="28"/>
          <w:highlight w:val="none"/>
          <w:lang w:bidi="ar"/>
        </w:rPr>
        <w:t>完善相应的排水系统、宿舍日常供电系统、空调电气安装等辅助性设施安装，满足日后生活需要。</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2.2项目工期：☑计划工期   □交货期  □服务期为</w:t>
      </w:r>
      <w:r>
        <w:rPr>
          <w:rFonts w:hint="eastAsia" w:ascii="仿宋_GB2312" w:eastAsia="仿宋_GB2312"/>
          <w:color w:val="auto"/>
          <w:sz w:val="28"/>
          <w:szCs w:val="28"/>
          <w:highlight w:val="none"/>
          <w:u w:val="single"/>
        </w:rPr>
        <w:t xml:space="preserve">  自合同签订之日起30天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2.3地点：☑建设地点  □交货地点  □服务地点位于</w:t>
      </w:r>
      <w:r>
        <w:rPr>
          <w:rFonts w:hint="eastAsia" w:ascii="仿宋_GB2312" w:eastAsia="仿宋_GB2312"/>
          <w:color w:val="auto"/>
          <w:sz w:val="28"/>
          <w:szCs w:val="28"/>
          <w:highlight w:val="none"/>
          <w:u w:val="single"/>
        </w:rPr>
        <w:t xml:space="preserve"> 猎德分公司（广州市天河区临江大道501号）。</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按合同条款和有关技术标准规范进行验收。使用的各种材料必须符合设计和有关技术标准规范要求。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3.供应商资格要求（须提供复印件并加盖单位公章）</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☑（2）供应商应当具有建筑工程施工总承包三级（或以上）资质，同时具有建设主管部门颁发且在有效期内的《安全生产许可证》资质。</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年1月1日至今，供应商最少具有一项</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项目的业绩。（提供合同复印件证明，包括但不限于项目名称、金额及实施内容、合同签字盖章、签订日期，加盖单位公章）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☑（4）项目负责人应当具备</w:t>
      </w:r>
      <w:r>
        <w:rPr>
          <w:rFonts w:hint="eastAsia" w:ascii="仿宋_GB2312" w:eastAsia="仿宋_GB2312"/>
          <w:color w:val="auto"/>
          <w:sz w:val="28"/>
          <w:szCs w:val="28"/>
          <w:highlight w:val="none"/>
          <w:u w:val="single"/>
        </w:rPr>
        <w:t>建</w:t>
      </w:r>
      <w:r>
        <w:rPr>
          <w:rFonts w:hint="eastAsia" w:ascii="仿宋_GB2312" w:eastAsia="仿宋_GB2312"/>
          <w:color w:val="auto"/>
          <w:sz w:val="28"/>
          <w:szCs w:val="28"/>
          <w:highlight w:val="none"/>
        </w:rPr>
        <w:t>筑工程专业二级（或以上级别）的注册建造师，同时持有项目负责人安全生产考核合格证（B类）（或能够提供广东省建筑施工企业管理人员安全生产考核信息系统安全生产管理人员证书信息的网页截图）；  （注：根据广东省建设信息中心关于启用新版“广东省建设执业资格注册管理信息系统”的通知，注册建造师电子证书须由本人在个人签名处手写签名，未手写签名或与签名图像笔迹不一致的，电子证书无效）。</w:t>
      </w:r>
    </w:p>
    <w:p>
      <w:pPr>
        <w:pStyle w:val="2"/>
        <w:spacing w:line="600" w:lineRule="exact"/>
        <w:ind w:firstLine="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其他要求：1、专职安全人员要求：须具有安全生产考核合格证（C类）（或能够提供广东省建筑施工企业管理人员安全生产考核信息系统安全生产管理人员证书信息的网页截图）；项目负责人不得同时兼任本项目专职安全人员。</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3.2供应商在响应文件提交截止日期止不得存在下列情形之一（须出具承诺函）：</w:t>
      </w:r>
    </w:p>
    <w:p>
      <w:pPr>
        <w:adjustRightInd w:val="0"/>
        <w:snapToGrid w:val="0"/>
        <w:spacing w:line="600" w:lineRule="exact"/>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（7）在“信用中国”网站（www.creditchina.gov.cn）中被列入失信被执行人、安全生产领域严重失信惩戒名单、拖欠农民工工资失信联合惩戒对象名单。</w:t>
      </w:r>
    </w:p>
    <w:p>
      <w:pPr>
        <w:adjustRightInd w:val="0"/>
        <w:snapToGrid w:val="0"/>
        <w:spacing w:line="600" w:lineRule="exact"/>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（8）在“信用中国”网站（www.creditchina.gov.cn）中被列入严重失信主体名单。</w:t>
      </w:r>
    </w:p>
    <w:p>
      <w:pPr>
        <w:adjustRightInd w:val="0"/>
        <w:snapToGrid w:val="0"/>
        <w:spacing w:line="600" w:lineRule="exact"/>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（9）其他违法违纪行为，经审查认为不宜被邀请参加采购活动的。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（10）其他禁止情形：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2</w:t>
      </w:r>
      <w:r>
        <w:rPr>
          <w:rFonts w:hint="eastAsia" w:ascii="仿宋_GB2312" w:eastAsia="仿宋_GB2312"/>
          <w:color w:val="auto"/>
          <w:sz w:val="28"/>
          <w:szCs w:val="28"/>
          <w:highlight w:val="none"/>
          <w:u w:val="single"/>
          <w:lang w:val="en-US" w:eastAsia="zh-CN"/>
        </w:rPr>
        <w:t>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rPr>
        <w:t>广州市净水有限公司门户网站</w:t>
      </w:r>
      <w:r>
        <w:rPr>
          <w:rFonts w:hint="eastAsia" w:ascii="仿宋_GB2312" w:eastAsia="仿宋_GB2312"/>
          <w:color w:val="auto"/>
          <w:sz w:val="28"/>
          <w:szCs w:val="28"/>
          <w:highlight w:val="none"/>
        </w:rPr>
        <w:t xml:space="preserve">下载采购文件，无需报名。 </w:t>
      </w:r>
    </w:p>
    <w:p>
      <w:pPr>
        <w:numPr>
          <w:ilvl w:val="0"/>
          <w:numId w:val="3"/>
        </w:numPr>
        <w:adjustRightInd w:val="0"/>
        <w:snapToGrid w:val="0"/>
        <w:spacing w:line="60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踏勘现场</w:t>
      </w:r>
    </w:p>
    <w:p>
      <w:pPr>
        <w:adjustRightInd w:val="0"/>
        <w:snapToGrid w:val="0"/>
        <w:spacing w:line="600" w:lineRule="exact"/>
        <w:rPr>
          <w:rFonts w:hint="eastAsia" w:asciiTheme="minorEastAsia" w:hAnsiTheme="minorEastAsia"/>
          <w:b/>
          <w:color w:val="auto"/>
          <w:sz w:val="32"/>
          <w:szCs w:val="32"/>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不组织              </w:t>
      </w:r>
    </w:p>
    <w:p>
      <w:pPr>
        <w:numPr>
          <w:ilvl w:val="0"/>
          <w:numId w:val="3"/>
        </w:numPr>
        <w:adjustRightInd w:val="0"/>
        <w:snapToGrid w:val="0"/>
        <w:spacing w:line="60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6.1递交响应文件集合时间：</w:t>
      </w:r>
      <w:r>
        <w:rPr>
          <w:rFonts w:hint="eastAsia" w:ascii="仿宋_GB2312" w:eastAsia="仿宋_GB2312"/>
          <w:color w:val="auto"/>
          <w:sz w:val="28"/>
          <w:szCs w:val="28"/>
          <w:highlight w:val="none"/>
          <w:u w:val="single"/>
          <w:lang w:eastAsia="zh-CN"/>
        </w:rPr>
        <w:t>2</w:t>
      </w:r>
      <w:r>
        <w:rPr>
          <w:rFonts w:hint="eastAsia" w:ascii="仿宋_GB2312" w:eastAsia="仿宋_GB2312"/>
          <w:color w:val="auto"/>
          <w:sz w:val="28"/>
          <w:szCs w:val="28"/>
          <w:highlight w:val="none"/>
          <w:u w:val="single"/>
          <w:lang w:val="en-US" w:eastAsia="zh-CN"/>
        </w:rPr>
        <w:t>024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lang w:eastAsia="zh-CN"/>
        </w:rPr>
        <w:t>2</w:t>
      </w:r>
      <w:r>
        <w:rPr>
          <w:rFonts w:hint="eastAsia" w:ascii="仿宋_GB2312" w:eastAsia="仿宋_GB2312"/>
          <w:color w:val="auto"/>
          <w:sz w:val="28"/>
          <w:szCs w:val="28"/>
          <w:highlight w:val="none"/>
          <w:u w:val="single"/>
          <w:lang w:val="en-US" w:eastAsia="zh-CN"/>
        </w:rPr>
        <w:t>024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eastAsia="zh-CN"/>
        </w:rPr>
        <w:t>1</w:t>
      </w:r>
      <w:r>
        <w:rPr>
          <w:rFonts w:hint="eastAsia" w:ascii="仿宋_GB2312" w:eastAsia="仿宋_GB2312"/>
          <w:color w:val="auto"/>
          <w:sz w:val="28"/>
          <w:szCs w:val="28"/>
          <w:highlight w:val="none"/>
          <w:u w:val="single"/>
          <w:lang w:val="en-US" w:eastAsia="zh-CN"/>
        </w:rPr>
        <w:t>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eastAsia="zh-CN"/>
        </w:rPr>
        <w:t>4</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eastAsia="zh-CN"/>
        </w:rPr>
        <w:t>1</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6.2递交响应文件截止时间：</w:t>
      </w:r>
      <w:r>
        <w:rPr>
          <w:rFonts w:hint="eastAsia" w:ascii="仿宋_GB2312" w:eastAsia="仿宋_GB2312"/>
          <w:color w:val="auto"/>
          <w:sz w:val="28"/>
          <w:szCs w:val="28"/>
          <w:highlight w:val="none"/>
          <w:u w:val="single"/>
          <w:lang w:eastAsia="zh-CN"/>
        </w:rPr>
        <w:t>2</w:t>
      </w:r>
      <w:r>
        <w:rPr>
          <w:rFonts w:hint="eastAsia" w:ascii="仿宋_GB2312" w:eastAsia="仿宋_GB2312"/>
          <w:color w:val="auto"/>
          <w:sz w:val="28"/>
          <w:szCs w:val="28"/>
          <w:highlight w:val="none"/>
          <w:u w:val="single"/>
          <w:lang w:val="en-US" w:eastAsia="zh-CN"/>
        </w:rPr>
        <w:t>024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eastAsia="zh-CN"/>
        </w:rPr>
        <w:t>1</w:t>
      </w:r>
      <w:r>
        <w:rPr>
          <w:rFonts w:hint="eastAsia" w:ascii="仿宋_GB2312" w:eastAsia="仿宋_GB2312"/>
          <w:color w:val="auto"/>
          <w:sz w:val="28"/>
          <w:szCs w:val="28"/>
          <w:highlight w:val="none"/>
          <w:u w:val="single"/>
          <w:lang w:val="en-US" w:eastAsia="zh-CN"/>
        </w:rPr>
        <w:t>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eastAsia="zh-CN"/>
        </w:rPr>
        <w:t>4</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6.3递交地址：广州市天河区临江大道501号</w:t>
      </w:r>
      <w:r>
        <w:rPr>
          <w:rFonts w:hint="eastAsia" w:ascii="仿宋_GB2312" w:eastAsia="仿宋_GB2312"/>
          <w:color w:val="auto"/>
          <w:sz w:val="28"/>
          <w:szCs w:val="28"/>
          <w:highlight w:val="none"/>
          <w:u w:val="single"/>
        </w:rPr>
        <w:t>广州市净水有限公司6楼招标部</w:t>
      </w:r>
      <w:r>
        <w:rPr>
          <w:rFonts w:hint="eastAsia" w:ascii="仿宋_GB2312" w:eastAsia="仿宋_GB2312"/>
          <w:color w:val="auto"/>
          <w:sz w:val="28"/>
          <w:szCs w:val="28"/>
          <w:highlight w:val="none"/>
        </w:rPr>
        <w:t>。</w:t>
      </w:r>
    </w:p>
    <w:p>
      <w:pPr>
        <w:pStyle w:val="14"/>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14"/>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响应文件递交预约信息填写：</w:t>
      </w:r>
    </w:p>
    <w:p>
      <w:pPr>
        <w:pStyle w:val="14"/>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（1）通过“广州净水公司”微信公众号或来访时扫码进行访客预约登记。</w:t>
      </w:r>
    </w:p>
    <w:p>
      <w:pPr>
        <w:pStyle w:val="14"/>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（2）“组织”选择“公司本部”，“部门”选择“招投标合同管理部”。</w:t>
      </w:r>
    </w:p>
    <w:p>
      <w:pPr>
        <w:pStyle w:val="14"/>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（3）“被访人员”选择“招标部”，“手机号”：“62315524”。</w:t>
      </w:r>
    </w:p>
    <w:p>
      <w:pPr>
        <w:pStyle w:val="14"/>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（4）“详细描述”：找XX，递交XX项目响应文件。</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7.其他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本项目采购公告（采购邀请书）、公告补充及修改同步在广州净水公司门户网站及阳光平台上发布。</w:t>
      </w:r>
      <w:r>
        <w:rPr>
          <w:rFonts w:hint="eastAsia" w:ascii="仿宋_GB2312" w:hAnsi="Calibri" w:eastAsia="仿宋_GB2312" w:cs="Times New Roman"/>
          <w:color w:val="auto"/>
          <w:sz w:val="28"/>
          <w:szCs w:val="28"/>
          <w:highlight w:val="none"/>
        </w:rPr>
        <w:t>本公告在各媒体发布的文本如有不同之处，以广州净水公司门户网站为准。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hint="eastAsia"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w:t>
      </w:r>
      <w:r>
        <w:rPr>
          <w:rFonts w:hint="eastAsia" w:ascii="仿宋_GB2312" w:hAnsi="仿宋" w:eastAsia="仿宋_GB2312"/>
          <w:color w:val="auto"/>
          <w:sz w:val="28"/>
          <w:szCs w:val="28"/>
          <w:highlight w:val="none"/>
        </w:rPr>
        <w:t>，并由授权人亲自递交至净水公司</w:t>
      </w:r>
      <w:r>
        <w:rPr>
          <w:rFonts w:ascii="仿宋_GB2312" w:hAnsi="仿宋" w:eastAsia="仿宋_GB2312"/>
          <w:color w:val="auto"/>
          <w:sz w:val="28"/>
          <w:szCs w:val="28"/>
          <w:highlight w:val="none"/>
        </w:rPr>
        <w:t>。如潜在响应人或其他利害关系人对采购人答复仍持有异议的，可按相关规定进行投诉。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hint="eastAsia"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rPr>
        <w:t>广州市净水有限公司招标部</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hint="eastAsia"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156" w:beforeLines="50" w:after="156" w:afterLines="50" w:line="60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9.联系方式</w: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eastAsia="zh-CN"/>
              </w:rPr>
              <w:t>2</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rPr>
              <w:t>日</w:t>
            </w:r>
          </w:p>
        </w:tc>
      </w:tr>
    </w:tbl>
    <w:p>
      <w:pPr>
        <w:pStyle w:val="2"/>
        <w:ind w:firstLine="0"/>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adjustRightInd w:val="0"/>
        <w:snapToGrid w:val="0"/>
        <w:spacing w:before="156" w:beforeLines="50" w:after="156" w:afterLines="50" w:line="600" w:lineRule="exact"/>
        <w:jc w:val="left"/>
        <w:rPr>
          <w:rFonts w:hint="eastAsia"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5"/>
        <w:rPr>
          <w:color w:val="auto"/>
          <w:highlight w:val="none"/>
        </w:rPr>
      </w:pPr>
      <w:bookmarkStart w:id="25" w:name="_Toc10891"/>
    </w:p>
    <w:p>
      <w:pPr>
        <w:pStyle w:val="5"/>
        <w:rPr>
          <w:color w:val="auto"/>
          <w:highlight w:val="none"/>
        </w:rPr>
      </w:pPr>
      <w:bookmarkStart w:id="26" w:name="_Toc32588"/>
      <w:bookmarkStart w:id="27" w:name="_Toc7340"/>
      <w:bookmarkStart w:id="28" w:name="_Toc2331"/>
      <w:bookmarkStart w:id="29" w:name="_Toc19295"/>
      <w:bookmarkStart w:id="30" w:name="_Toc25603"/>
      <w:bookmarkStart w:id="31" w:name="_Toc16705"/>
      <w:bookmarkStart w:id="32" w:name="_Toc23749"/>
      <w:bookmarkStart w:id="33" w:name="_Toc9448"/>
      <w:bookmarkStart w:id="34" w:name="_Toc16557"/>
      <w:bookmarkStart w:id="35" w:name="_Toc2324"/>
    </w:p>
    <w:p>
      <w:pPr>
        <w:rPr>
          <w:color w:val="auto"/>
          <w:highlight w:val="none"/>
        </w:rPr>
      </w:pPr>
    </w:p>
    <w:p>
      <w:pPr>
        <w:pStyle w:val="2"/>
        <w:rPr>
          <w:rFonts w:hint="eastAsia"/>
          <w:color w:val="auto"/>
          <w:highlight w:val="none"/>
        </w:rPr>
      </w:pPr>
    </w:p>
    <w:p>
      <w:pPr>
        <w:pStyle w:val="2"/>
        <w:rPr>
          <w:rFonts w:hint="eastAsia"/>
          <w:color w:val="auto"/>
          <w:highlight w:val="none"/>
        </w:rPr>
      </w:pPr>
    </w:p>
    <w:p>
      <w:pPr>
        <w:pStyle w:val="5"/>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2348230</wp:posOffset>
                </wp:positionH>
                <wp:positionV relativeFrom="paragraph">
                  <wp:posOffset>219075</wp:posOffset>
                </wp:positionV>
                <wp:extent cx="958850" cy="0"/>
                <wp:effectExtent l="0" t="4445" r="0" b="5080"/>
                <wp:wrapNone/>
                <wp:docPr id="22" name="直接箭头连接符 22"/>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4.9pt;margin-top:17.25pt;height:0pt;width:75.5pt;z-index:251675648;mso-width-relative:page;mso-height-relative:page;" filled="f" stroked="t" coordsize="21600,21600" o:gfxdata="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KIk041wAAAAkBAAAPAAAAAAAAAAEAIAAAACIAAABkcnMvZG93bnJldi54&#10;bWxQSwECFAAUAAAACACHTuJA5d6TIPsBAADtAwAADgAAAAAAAAABACAAAAAmAQAAZHJzL2Uyb0Rv&#10;Yy54bWxQSwUGAAAAAAYABgBZAQAAkw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2340610</wp:posOffset>
                </wp:positionH>
                <wp:positionV relativeFrom="paragraph">
                  <wp:posOffset>745490</wp:posOffset>
                </wp:positionV>
                <wp:extent cx="958850" cy="0"/>
                <wp:effectExtent l="0" t="4445" r="0" b="5080"/>
                <wp:wrapNone/>
                <wp:docPr id="23" name="直接箭头连接符 2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4.3pt;margin-top:58.7pt;height:0pt;width:75.5pt;z-index:251676672;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M2AsR1wAAAAsBAAAPAAAAAAAAAAEAIAAAACIAAABkcnMvZG93bnJldi54&#10;bWxQSwECFAAUAAAACACHTuJAvJT3vPsBAADtAwAADgAAAAAAAAABACAAAAAmAQAAZHJzL2Uyb0Rv&#10;Yy54bWxQSwUGAAAAAAYABgBZAQAAkwUAAAAA&#10;">
                <v:fill on="f" focussize="0,0"/>
                <v:stroke color="#000000" joinstyle="round"/>
                <v:imagedata o:title=""/>
                <o:lock v:ext="edit" aspectratio="f"/>
              </v:shape>
            </w:pict>
          </mc:Fallback>
        </mc:AlternateContent>
      </w:r>
      <w:r>
        <w:rPr>
          <w:rFonts w:hint="eastAsia"/>
          <w:color w:val="auto"/>
          <w:highlight w:val="none"/>
        </w:rPr>
        <w:t>第二章</w:t>
      </w:r>
      <w:bookmarkEnd w:id="25"/>
      <w:bookmarkEnd w:id="26"/>
      <w:bookmarkEnd w:id="27"/>
      <w:bookmarkEnd w:id="28"/>
      <w:bookmarkEnd w:id="29"/>
      <w:bookmarkEnd w:id="30"/>
      <w:bookmarkEnd w:id="31"/>
      <w:bookmarkEnd w:id="32"/>
      <w:bookmarkEnd w:id="33"/>
      <w:bookmarkEnd w:id="34"/>
      <w:bookmarkEnd w:id="35"/>
    </w:p>
    <w:p>
      <w:pPr>
        <w:pStyle w:val="6"/>
        <w:rPr>
          <w:color w:val="auto"/>
          <w:highlight w:val="none"/>
        </w:rPr>
      </w:pPr>
    </w:p>
    <w:p>
      <w:pPr>
        <w:pStyle w:val="6"/>
        <w:rPr>
          <w:rFonts w:hint="eastAsia"/>
          <w:color w:val="auto"/>
          <w:highlight w:val="none"/>
        </w:rPr>
      </w:pPr>
      <w:bookmarkStart w:id="36" w:name="_Toc3416"/>
      <w:bookmarkStart w:id="37" w:name="_Toc2339"/>
      <w:r>
        <w:rPr>
          <w:rFonts w:hint="eastAsia"/>
          <w:color w:val="auto"/>
          <w:highlight w:val="none"/>
        </w:rPr>
        <w:t>供应商须知</w:t>
      </w:r>
      <w:bookmarkEnd w:id="36"/>
      <w:bookmarkEnd w:id="37"/>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numPr>
          <w:ilvl w:val="0"/>
          <w:numId w:val="4"/>
        </w:numPr>
        <w:adjustRightInd w:val="0"/>
        <w:snapToGrid w:val="0"/>
        <w:spacing w:before="156" w:beforeLines="50" w:after="156"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p>
    <w:p>
      <w:pPr>
        <w:pStyle w:val="2"/>
        <w:numPr>
          <w:ilvl w:val="255"/>
          <w:numId w:val="0"/>
        </w:numPr>
        <w:rPr>
          <w:rFonts w:hint="eastAsia"/>
          <w:color w:val="auto"/>
          <w:highlight w:val="none"/>
        </w:rPr>
      </w:pPr>
      <w:r>
        <w:rPr>
          <w:rFonts w:hint="eastAsia"/>
          <w:color w:val="auto"/>
          <w:highlight w:val="none"/>
        </w:rPr>
        <w:t>详见第一章采购公告（采购邀请书）3.供应商资格要求</w:t>
      </w:r>
    </w:p>
    <w:p>
      <w:pPr>
        <w:adjustRightInd w:val="0"/>
        <w:snapToGrid w:val="0"/>
        <w:spacing w:line="600" w:lineRule="exact"/>
        <w:jc w:val="left"/>
        <w:rPr>
          <w:rFonts w:ascii="仿宋_GB2312" w:eastAsia="仿宋_GB2312"/>
          <w:color w:val="auto"/>
          <w:sz w:val="28"/>
          <w:szCs w:val="28"/>
          <w:highlight w:val="none"/>
        </w:rPr>
      </w:pPr>
      <w:r>
        <w:rPr>
          <w:rFonts w:hint="eastAsia" w:asciiTheme="minorEastAsia" w:hAnsiTheme="minorEastAsia"/>
          <w:b/>
          <w:color w:val="auto"/>
          <w:sz w:val="32"/>
          <w:szCs w:val="32"/>
          <w:highlight w:val="none"/>
        </w:rPr>
        <w:t>2.  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rPr>
        <w:t>1.1</w:t>
      </w:r>
    </w:p>
    <w:tbl>
      <w:tblPr>
        <w:tblStyle w:val="3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（8）在采购过程中由采购单位发出的修正和补充文件等（如有）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1.2.1供应商对采购文件有疑问的，应当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本项目</w:t>
            </w:r>
            <w:r>
              <w:rPr>
                <w:rFonts w:hint="eastAsia" w:ascii="仿宋_GB2312" w:eastAsia="仿宋_GB2312"/>
                <w:color w:val="auto"/>
                <w:sz w:val="24"/>
                <w:szCs w:val="24"/>
                <w:highlight w:val="none"/>
              </w:rPr>
              <w:t>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最高限价及低价说明</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2.7</w:t>
            </w:r>
          </w:p>
          <w:p>
            <w:pPr>
              <w:adjustRightInd w:val="0"/>
              <w:snapToGrid w:val="0"/>
              <w:jc w:val="center"/>
              <w:rPr>
                <w:rFonts w:ascii="仿宋_GB2312" w:eastAsia="仿宋_GB2312"/>
                <w:color w:val="auto"/>
                <w:sz w:val="24"/>
                <w:szCs w:val="24"/>
                <w:highlight w:val="none"/>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hint="eastAsia"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项目名称、供应商名称、供应商地址、联系人及其联系方式。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会议地点：采购公告（采购邀请书）中指定地点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rPr>
              <w:t>3</w:t>
            </w:r>
            <w:r>
              <w:rPr>
                <w:rFonts w:hint="eastAsia" w:ascii="仿宋_GB2312" w:eastAsia="仿宋_GB2312" w:hAnsiTheme="minorEastAsia"/>
                <w:color w:val="auto"/>
                <w:sz w:val="24"/>
                <w:szCs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见第四章评审办法有关条款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Merge w:val="restart"/>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2.17</w:t>
            </w:r>
          </w:p>
        </w:tc>
        <w:tc>
          <w:tcPr>
            <w:tcW w:w="1263" w:type="dxa"/>
            <w:vMerge w:val="restart"/>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_GB2312" w:cs="仿宋_GB2312"/>
                <w:color w:val="auto"/>
                <w:sz w:val="24"/>
                <w:szCs w:val="24"/>
                <w:highlight w:val="none"/>
              </w:rPr>
              <w:t>推荐</w:t>
            </w:r>
            <w:r>
              <w:rPr>
                <w:rFonts w:hint="eastAsia" w:ascii="仿宋_GB2312" w:hAnsi="仿宋_GB2312" w:eastAsia="仿宋_GB2312" w:cs="仿宋_GB2312"/>
                <w:color w:val="auto"/>
                <w:sz w:val="24"/>
                <w:szCs w:val="24"/>
                <w:highlight w:val="none"/>
                <w:u w:val="single"/>
              </w:rPr>
              <w:t>二</w:t>
            </w:r>
            <w:r>
              <w:rPr>
                <w:rFonts w:hint="eastAsia" w:ascii="仿宋_GB2312" w:hAnsi="仿宋_GB2312" w:eastAsia="仿宋_GB2312" w:cs="仿宋_GB2312"/>
                <w:color w:val="auto"/>
                <w:sz w:val="24"/>
                <w:szCs w:val="24"/>
                <w:highlight w:val="none"/>
              </w:rPr>
              <w:t>名成交候选人。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925" w:type="dxa"/>
            <w:vMerge w:val="continue"/>
            <w:tcBorders>
              <w:left w:val="nil"/>
            </w:tcBorders>
            <w:vAlign w:val="center"/>
          </w:tcPr>
          <w:p>
            <w:pPr>
              <w:adjustRightInd w:val="0"/>
              <w:snapToGrid w:val="0"/>
              <w:rPr>
                <w:color w:val="auto"/>
                <w:highlight w:val="none"/>
              </w:rPr>
            </w:pPr>
          </w:p>
        </w:tc>
        <w:tc>
          <w:tcPr>
            <w:tcW w:w="936" w:type="dxa"/>
            <w:vMerge w:val="continue"/>
            <w:vAlign w:val="center"/>
          </w:tcPr>
          <w:p>
            <w:pPr>
              <w:adjustRightInd w:val="0"/>
              <w:snapToGrid w:val="0"/>
              <w:rPr>
                <w:color w:val="auto"/>
                <w:highlight w:val="none"/>
              </w:rPr>
            </w:pPr>
          </w:p>
        </w:tc>
        <w:tc>
          <w:tcPr>
            <w:tcW w:w="1263" w:type="dxa"/>
            <w:vMerge w:val="continue"/>
            <w:vAlign w:val="center"/>
          </w:tcPr>
          <w:p>
            <w:pPr>
              <w:adjustRightInd w:val="0"/>
              <w:snapToGrid w:val="0"/>
              <w:rPr>
                <w:color w:val="auto"/>
                <w:highlight w:val="none"/>
              </w:rPr>
            </w:pPr>
          </w:p>
        </w:tc>
        <w:tc>
          <w:tcPr>
            <w:tcW w:w="5979" w:type="dxa"/>
            <w:tcBorders>
              <w:right w:val="nil"/>
            </w:tcBorders>
            <w:vAlign w:val="center"/>
          </w:tcPr>
          <w:p>
            <w:pPr>
              <w:spacing w:line="240" w:lineRule="auto"/>
              <w:jc w:val="left"/>
              <w:rPr>
                <w:rFonts w:hint="eastAsia"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采购人</w:t>
            </w:r>
            <w:r>
              <w:rPr>
                <w:rFonts w:hint="eastAsia" w:ascii="仿宋_GB2312" w:hAnsi="仿宋_GB2312" w:eastAsia="仿宋_GB2312" w:cs="仿宋_GB2312"/>
                <w:color w:val="auto"/>
                <w:sz w:val="24"/>
                <w:szCs w:val="24"/>
                <w:highlight w:val="none"/>
              </w:rPr>
              <w:t>和成交供应商应当在成交-通知书发出之日起</w:t>
            </w:r>
            <w:r>
              <w:rPr>
                <w:rFonts w:hint="eastAsia" w:ascii="仿宋_GB2312" w:hAnsi="仿宋_GB2312" w:eastAsia="仿宋_GB2312" w:cs="仿宋_GB2312"/>
                <w:color w:val="auto"/>
                <w:sz w:val="24"/>
                <w:szCs w:val="24"/>
                <w:highlight w:val="none"/>
                <w:u w:val="single"/>
              </w:rPr>
              <w:t>30</w:t>
            </w:r>
            <w:r>
              <w:rPr>
                <w:rFonts w:hint="eastAsia" w:ascii="仿宋_GB2312" w:hAnsi="仿宋_GB2312" w:eastAsia="仿宋_GB2312" w:cs="仿宋_GB2312"/>
                <w:color w:val="auto"/>
                <w:sz w:val="24"/>
                <w:szCs w:val="24"/>
                <w:highlight w:val="none"/>
              </w:rPr>
              <w:t>日内，根据采购文件和成交供应商的响应文件订立书面合同。</w:t>
            </w:r>
          </w:p>
          <w:p>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_GB2312" w:cs="仿宋_GB2312"/>
                <w:color w:val="auto"/>
                <w:sz w:val="24"/>
                <w:szCs w:val="24"/>
                <w:highlight w:val="none"/>
              </w:rPr>
              <w:t>合同自采购人成交通知书到达成交供应商时成立。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925" w:type="dxa"/>
            <w:vMerge w:val="continue"/>
            <w:tcBorders>
              <w:left w:val="nil"/>
            </w:tcBorders>
            <w:vAlign w:val="center"/>
          </w:tcPr>
          <w:p>
            <w:pPr>
              <w:adjustRightInd w:val="0"/>
              <w:snapToGrid w:val="0"/>
              <w:rPr>
                <w:rFonts w:hint="eastAsia" w:ascii="仿宋_GB2312" w:eastAsia="仿宋_GB2312" w:hAnsiTheme="minorEastAsia"/>
                <w:color w:val="auto"/>
                <w:sz w:val="24"/>
                <w:szCs w:val="24"/>
                <w:highlight w:val="none"/>
              </w:rPr>
            </w:pPr>
          </w:p>
        </w:tc>
        <w:tc>
          <w:tcPr>
            <w:tcW w:w="936" w:type="dxa"/>
            <w:vMerge w:val="continue"/>
            <w:vAlign w:val="center"/>
          </w:tcPr>
          <w:p>
            <w:pPr>
              <w:adjustRightInd w:val="0"/>
              <w:snapToGrid w:val="0"/>
              <w:rPr>
                <w:rFonts w:hint="eastAsia" w:ascii="仿宋_GB2312" w:eastAsia="仿宋_GB2312" w:hAnsiTheme="minorEastAsia"/>
                <w:color w:val="auto"/>
                <w:sz w:val="24"/>
                <w:szCs w:val="24"/>
                <w:highlight w:val="none"/>
              </w:rPr>
            </w:pPr>
          </w:p>
        </w:tc>
        <w:tc>
          <w:tcPr>
            <w:tcW w:w="1263" w:type="dxa"/>
            <w:vMerge w:val="continue"/>
            <w:vAlign w:val="center"/>
          </w:tcPr>
          <w:p>
            <w:pPr>
              <w:adjustRightInd w:val="0"/>
              <w:snapToGrid w:val="0"/>
              <w:rPr>
                <w:rFonts w:hint="eastAsia" w:ascii="仿宋_GB2312" w:eastAsia="仿宋_GB2312" w:hAnsiTheme="minorEastAsia"/>
                <w:color w:val="auto"/>
                <w:sz w:val="24"/>
                <w:szCs w:val="24"/>
                <w:highlight w:val="none"/>
              </w:rPr>
            </w:pPr>
          </w:p>
        </w:tc>
        <w:tc>
          <w:tcPr>
            <w:tcW w:w="5979" w:type="dxa"/>
            <w:tcBorders>
              <w:right w:val="nil"/>
            </w:tcBorders>
            <w:vAlign w:val="center"/>
          </w:tcPr>
          <w:p>
            <w:pPr>
              <w:spacing w:line="24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成交供应商无正当理由拒签合同，或者在签订合同时向采购人提出附加条件的，采购人有权依据采购文件、成交供应商响应文件和成交通知书等确定合同内容，采购人也有权即刻单方解除合同，追究成交供应商的违约责任，响应保证金不予退还（若有），违约金和响应保证金（若有）不能覆盖采购人实际损失的，对不能覆盖部分的损失，成交供应商应当另行予以赔偿，且采购人有权重新采购。</w:t>
            </w:r>
          </w:p>
          <w:p>
            <w:pPr>
              <w:spacing w:line="24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成交供应商被查实供应商资格无效或存在其它不符合中标条件情形的，采购人尚未发出成交通知书的，则成交无效，响应保证金（若有）不予退还，采购人可以按评审小组提出的成交候选人名单排序依次确定其他成交候选供应商为成交供应商，采购人也可以重新采购；采购人已发出成交通知书合同成立的，采购人有权解除合同，响应保证金不予退还（若有）并归采购人所有，且采购人有权重新采购。</w:t>
            </w:r>
          </w:p>
          <w:p>
            <w:pPr>
              <w:jc w:val="left"/>
              <w:rPr>
                <w:rFonts w:hint="eastAsia" w:ascii="仿宋_GB2312" w:eastAsia="仿宋_GB2312" w:hAnsiTheme="minorEastAsia"/>
                <w:color w:val="auto"/>
                <w:sz w:val="24"/>
                <w:szCs w:val="24"/>
                <w:highlight w:val="none"/>
              </w:rPr>
            </w:pPr>
            <w:r>
              <w:rPr>
                <w:rFonts w:hint="eastAsia" w:ascii="仿宋_GB2312" w:hAnsi="仿宋_GB2312" w:eastAsia="仿宋_GB2312" w:cs="仿宋_GB2312"/>
                <w:color w:val="auto"/>
                <w:sz w:val="24"/>
                <w:szCs w:val="24"/>
                <w:highlight w:val="none"/>
              </w:rPr>
              <w:t>3.凡是成交人存在上述情形的，均按照上述规定处理。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不一致情形</w:t>
            </w:r>
          </w:p>
        </w:tc>
        <w:tc>
          <w:tcPr>
            <w:tcW w:w="5979" w:type="dxa"/>
            <w:tcBorders>
              <w:right w:val="nil"/>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合同签订阶段，如采购文件需求内容与采购文件响应文件格式工程量清单存在不一致情形，则以采购文件响应文件格式工程量清单为准。如采购文件条款与合同存在不一致情形，则以合同为准。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2.20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响应性</w:t>
            </w:r>
          </w:p>
        </w:tc>
        <w:tc>
          <w:tcPr>
            <w:tcW w:w="5979" w:type="dxa"/>
            <w:tcBorders>
              <w:right w:val="nil"/>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bl>
    <w:p>
      <w:pPr>
        <w:adjustRightInd w:val="0"/>
        <w:snapToGrid w:val="0"/>
        <w:spacing w:before="156" w:beforeLines="50" w:after="156" w:afterLines="50" w:line="56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2.若出现以下情况之一的，采购人将拒绝接收响应文件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156" w:beforeLines="50" w:after="156" w:afterLines="50" w:line="56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3.发生下列情况之一者，视为无效响应行为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（9）其他不符合采购文件要求的情形。</w:t>
      </w:r>
    </w:p>
    <w:p>
      <w:pPr>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（10）非法定代表人或授权委托代理人递交响应文件。</w:t>
      </w:r>
    </w:p>
    <w:p>
      <w:pPr>
        <w:adjustRightInd w:val="0"/>
        <w:snapToGrid w:val="0"/>
        <w:spacing w:before="156" w:beforeLines="50" w:after="156" w:afterLines="50" w:line="56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4.响应保证金</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本项目无须递交响应保证金。</w:t>
      </w:r>
    </w:p>
    <w:p>
      <w:pPr>
        <w:adjustRightInd w:val="0"/>
        <w:snapToGrid w:val="0"/>
        <w:spacing w:before="156" w:beforeLines="50" w:after="156" w:afterLines="50" w:line="56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5.响应文件要求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5.1响应文件包括下列内容</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156" w:beforeLines="50" w:after="156" w:afterLines="50" w:line="56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6.异议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6.1 供应商或其他利害关系人可以对采购公告（采购邀请书）、采购文件、成交候选人等提出异议。异议应在采购公告或文件规定的时间内、成交候选人公示期间通过规定的异议渠道提出，并递交异议函和必要的证明材料。须按附件5表格提出异议，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6.3 异议人与采购人对异议事项无法达成一致的，异议人可向采购人的监管部门进行反映。</w:t>
      </w:r>
    </w:p>
    <w:p>
      <w:pPr>
        <w:adjustRightInd w:val="0"/>
        <w:snapToGrid w:val="0"/>
        <w:spacing w:before="156" w:beforeLines="50" w:after="156" w:afterLines="50" w:line="56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7.本章附件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eastAsia"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  </w:t>
      </w:r>
      <w:r>
        <w:rPr>
          <w:rFonts w:hint="eastAsia" w:ascii="仿宋_GB2312" w:eastAsia="仿宋_GB2312"/>
          <w:color w:val="auto"/>
          <w:sz w:val="28"/>
          <w:szCs w:val="28"/>
          <w:highlight w:val="none"/>
        </w:rPr>
        <w:t xml:space="preserve">   附件5：关于**项目异议书</w:t>
      </w: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pStyle w:val="2"/>
        <w:rPr>
          <w:rFonts w:hint="eastAsia" w:asciiTheme="majorEastAsia" w:hAnsiTheme="majorEastAsia" w:eastAsiaTheme="majorEastAsia"/>
          <w:b/>
          <w:color w:val="auto"/>
          <w:sz w:val="28"/>
          <w:szCs w:val="28"/>
          <w:highlight w:val="none"/>
        </w:rPr>
      </w:pPr>
    </w:p>
    <w:p>
      <w:pPr>
        <w:pStyle w:val="2"/>
        <w:rPr>
          <w:rFonts w:hint="eastAsia" w:asciiTheme="majorEastAsia" w:hAnsiTheme="majorEastAsia" w:eastAsiaTheme="majorEastAsia"/>
          <w:b/>
          <w:color w:val="auto"/>
          <w:sz w:val="28"/>
          <w:szCs w:val="28"/>
          <w:highlight w:val="none"/>
        </w:rPr>
      </w:pPr>
    </w:p>
    <w:p>
      <w:pPr>
        <w:pStyle w:val="2"/>
        <w:rPr>
          <w:rFonts w:hint="eastAsia" w:asciiTheme="majorEastAsia" w:hAnsiTheme="majorEastAsia" w:eastAsiaTheme="majorEastAsia"/>
          <w:b/>
          <w:color w:val="auto"/>
          <w:sz w:val="28"/>
          <w:szCs w:val="28"/>
          <w:highlight w:val="none"/>
        </w:rPr>
      </w:pPr>
    </w:p>
    <w:p>
      <w:pPr>
        <w:pStyle w:val="2"/>
        <w:rPr>
          <w:rFonts w:hint="eastAsia"/>
          <w:color w:val="auto"/>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hint="eastAsia" w:ascii="方正小标宋简体" w:eastAsia="方正小标宋简体" w:hAnsiTheme="majorEastAsia"/>
          <w:color w:val="auto"/>
          <w:sz w:val="32"/>
          <w:szCs w:val="32"/>
          <w:highlight w:val="none"/>
        </w:rPr>
      </w:pPr>
    </w:p>
    <w:p>
      <w:pPr>
        <w:adjustRightInd w:val="0"/>
        <w:snapToGrid w:val="0"/>
        <w:spacing w:line="600" w:lineRule="exact"/>
        <w:jc w:val="center"/>
        <w:rPr>
          <w:rFonts w:hint="eastAsia"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56"/>
        <w:rPr>
          <w:color w:val="auto"/>
          <w:highlight w:val="none"/>
        </w:rPr>
      </w:pPr>
    </w:p>
    <w:p>
      <w:pPr>
        <w:adjustRightInd w:val="0"/>
        <w:snapToGrid w:val="0"/>
        <w:spacing w:line="600" w:lineRule="exact"/>
        <w:ind w:firstLine="555"/>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3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hint="eastAsia"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hint="eastAsia" w:ascii="仿宋_GB2312" w:eastAsia="仿宋_GB2312" w:hAnsiTheme="majorEastAsia"/>
          <w:color w:val="auto"/>
          <w:sz w:val="28"/>
          <w:szCs w:val="28"/>
          <w:highlight w:val="none"/>
        </w:rPr>
      </w:pPr>
    </w:p>
    <w:p>
      <w:pPr>
        <w:pStyle w:val="17"/>
        <w:rPr>
          <w:color w:val="auto"/>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hint="eastAsia" w:ascii="方正小标宋简体" w:eastAsia="方正小标宋简体" w:hAnsiTheme="majorEastAsia"/>
          <w:color w:val="auto"/>
          <w:sz w:val="32"/>
          <w:szCs w:val="32"/>
          <w:highlight w:val="none"/>
        </w:rPr>
      </w:pPr>
    </w:p>
    <w:p>
      <w:pPr>
        <w:adjustRightInd w:val="0"/>
        <w:snapToGrid w:val="0"/>
        <w:spacing w:line="600" w:lineRule="exact"/>
        <w:jc w:val="center"/>
        <w:rPr>
          <w:rFonts w:hint="eastAsia"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56"/>
        <w:rPr>
          <w:color w:val="auto"/>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hint="eastAsia" w:ascii="方正小标宋简体" w:eastAsia="方正小标宋简体" w:hAnsiTheme="majorEastAsia"/>
          <w:color w:val="auto"/>
          <w:sz w:val="32"/>
          <w:szCs w:val="32"/>
          <w:highlight w:val="none"/>
        </w:rPr>
      </w:pPr>
    </w:p>
    <w:p>
      <w:pPr>
        <w:adjustRightInd w:val="0"/>
        <w:snapToGrid w:val="0"/>
        <w:spacing w:line="600" w:lineRule="exact"/>
        <w:jc w:val="center"/>
        <w:rPr>
          <w:rFonts w:hint="eastAsia"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56"/>
        <w:rPr>
          <w:color w:val="auto"/>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hint="eastAsia"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hint="eastAsia"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hint="eastAsia"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hint="eastAsia"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hint="eastAsia" w:ascii="方正小标宋简体" w:eastAsia="方正小标宋简体" w:hAnsiTheme="majorEastAsia"/>
          <w:color w:val="auto"/>
          <w:sz w:val="32"/>
          <w:szCs w:val="32"/>
          <w:highlight w:val="none"/>
        </w:rPr>
      </w:pPr>
    </w:p>
    <w:p>
      <w:pPr>
        <w:adjustRightInd w:val="0"/>
        <w:snapToGrid w:val="0"/>
        <w:spacing w:line="600" w:lineRule="exact"/>
        <w:jc w:val="center"/>
        <w:rPr>
          <w:rFonts w:hint="eastAsia"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56"/>
        <w:rPr>
          <w:color w:val="auto"/>
          <w:highlight w:val="none"/>
        </w:rPr>
      </w:pPr>
    </w:p>
    <w:p>
      <w:pPr>
        <w:pStyle w:val="56"/>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rPr>
        <w:t xml:space="preserve">      项目</w:t>
      </w:r>
      <w:r>
        <w:rPr>
          <w:rFonts w:hint="eastAsia" w:ascii="仿宋_GB2312" w:eastAsia="仿宋_GB2312" w:hAnsiTheme="majorEastAsia"/>
          <w:color w:val="auto"/>
          <w:sz w:val="28"/>
          <w:szCs w:val="28"/>
          <w:highlight w:val="none"/>
        </w:rPr>
        <w:t>的成交供应商。</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rPr>
        <w:t>30</w:t>
      </w:r>
      <w:r>
        <w:rPr>
          <w:rFonts w:hint="eastAsia" w:ascii="仿宋_GB2312" w:eastAsia="仿宋_GB2312" w:hAnsiTheme="majorEastAsia"/>
          <w:color w:val="auto"/>
          <w:sz w:val="28"/>
          <w:szCs w:val="28"/>
          <w:highlight w:val="none"/>
        </w:rPr>
        <w:t>日内与我方签订采购合同，逾期视为自动放弃成交资格。</w:t>
      </w: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附件5 </w:t>
      </w:r>
    </w:p>
    <w:p>
      <w:pPr>
        <w:rPr>
          <w:rFonts w:hint="eastAsia" w:ascii="宋体" w:hAnsi="宋体" w:cs="宋体"/>
          <w:b/>
          <w:bCs/>
          <w:color w:val="auto"/>
          <w:sz w:val="44"/>
          <w:szCs w:val="44"/>
          <w:highlight w:val="none"/>
        </w:rPr>
      </w:pPr>
    </w:p>
    <w:p>
      <w:pPr>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关于**</w:t>
      </w:r>
      <w:r>
        <w:rPr>
          <w:rFonts w:ascii="宋体" w:hAnsi="宋体" w:cs="宋体"/>
          <w:b/>
          <w:bCs/>
          <w:color w:val="auto"/>
          <w:sz w:val="44"/>
          <w:szCs w:val="44"/>
          <w:highlight w:val="none"/>
        </w:rPr>
        <w:t>项目异议书</w:t>
      </w:r>
    </w:p>
    <w:p>
      <w:pPr>
        <w:widowControl/>
        <w:spacing w:line="408" w:lineRule="auto"/>
        <w:jc w:val="center"/>
        <w:rPr>
          <w:rFonts w:hint="eastAsia" w:hAnsi="宋体" w:cs="仿宋_GB2312"/>
          <w:color w:val="auto"/>
          <w:kern w:val="0"/>
          <w:sz w:val="24"/>
          <w:highlight w:val="none"/>
        </w:rPr>
      </w:pPr>
      <w:r>
        <w:rPr>
          <w:rFonts w:hAnsi="宋体" w:cs="仿宋_GB2312"/>
          <w:color w:val="auto"/>
          <w:kern w:val="0"/>
          <w:sz w:val="24"/>
          <w:highlight w:val="none"/>
        </w:rPr>
        <w:t>(参考格式)</w:t>
      </w:r>
    </w:p>
    <w:p>
      <w:pPr>
        <w:rPr>
          <w:color w:val="auto"/>
          <w:kern w:val="0"/>
          <w:sz w:val="28"/>
          <w:szCs w:val="28"/>
          <w:highlight w:val="none"/>
        </w:rPr>
      </w:pPr>
      <w:r>
        <w:rPr>
          <w:rFonts w:hint="eastAsia"/>
          <w:color w:val="auto"/>
          <w:kern w:val="0"/>
          <w:sz w:val="28"/>
          <w:szCs w:val="28"/>
          <w:highlight w:val="none"/>
        </w:rPr>
        <w:t>项目名称：</w:t>
      </w:r>
    </w:p>
    <w:p>
      <w:pPr>
        <w:widowControl/>
        <w:jc w:val="left"/>
        <w:rPr>
          <w:rFonts w:hint="eastAsia" w:hAnsi="宋体" w:cs="宋体"/>
          <w:color w:val="auto"/>
          <w:kern w:val="0"/>
          <w:sz w:val="28"/>
          <w:szCs w:val="28"/>
          <w:highlight w:val="none"/>
        </w:rPr>
      </w:pPr>
      <w:r>
        <w:rPr>
          <w:rFonts w:hint="eastAsia" w:hAnsi="宋体" w:cs="仿宋_GB2312"/>
          <w:bCs/>
          <w:color w:val="auto"/>
          <w:kern w:val="0"/>
          <w:sz w:val="28"/>
          <w:szCs w:val="28"/>
          <w:highlight w:val="none"/>
        </w:rPr>
        <w:t>异议人：</w:t>
      </w:r>
    </w:p>
    <w:p>
      <w:pPr>
        <w:widowControl/>
        <w:jc w:val="left"/>
        <w:rPr>
          <w:rFonts w:hint="eastAsia" w:hAnsi="宋体" w:cs="宋体"/>
          <w:color w:val="auto"/>
          <w:kern w:val="0"/>
          <w:sz w:val="28"/>
          <w:szCs w:val="28"/>
          <w:highlight w:val="none"/>
        </w:rPr>
      </w:pPr>
      <w:r>
        <w:rPr>
          <w:rFonts w:hint="eastAsia" w:hAnsi="宋体" w:cs="仿宋_GB2312"/>
          <w:color w:val="auto"/>
          <w:kern w:val="0"/>
          <w:sz w:val="28"/>
          <w:szCs w:val="28"/>
          <w:highlight w:val="none"/>
        </w:rPr>
        <w:t xml:space="preserve">住所地：   </w:t>
      </w:r>
      <w:r>
        <w:rPr>
          <w:rFonts w:hAnsi="宋体" w:cs="仿宋_GB2312"/>
          <w:color w:val="auto"/>
          <w:kern w:val="0"/>
          <w:sz w:val="28"/>
          <w:szCs w:val="28"/>
          <w:highlight w:val="none"/>
        </w:rPr>
        <w:t xml:space="preserve"> 邮编：</w:t>
      </w:r>
    </w:p>
    <w:p>
      <w:pPr>
        <w:widowControl/>
        <w:jc w:val="left"/>
        <w:rPr>
          <w:rFonts w:hint="eastAsia" w:hAnsi="宋体" w:eastAsia="宋体" w:cs="宋体"/>
          <w:color w:val="auto"/>
          <w:kern w:val="0"/>
          <w:sz w:val="28"/>
          <w:szCs w:val="28"/>
          <w:highlight w:val="none"/>
        </w:rPr>
      </w:pPr>
      <w:r>
        <w:rPr>
          <w:rFonts w:hint="eastAsia" w:hAnsi="宋体" w:cs="仿宋_GB2312"/>
          <w:color w:val="auto"/>
          <w:kern w:val="0"/>
          <w:sz w:val="28"/>
          <w:szCs w:val="28"/>
          <w:highlight w:val="none"/>
        </w:rPr>
        <w:t>法定代表人：      联系电话：</w:t>
      </w:r>
    </w:p>
    <w:p>
      <w:pPr>
        <w:widowControl/>
        <w:jc w:val="left"/>
        <w:rPr>
          <w:rFonts w:hint="eastAsia" w:hAnsi="宋体" w:cs="宋体"/>
          <w:color w:val="auto"/>
          <w:kern w:val="0"/>
          <w:sz w:val="28"/>
          <w:szCs w:val="28"/>
          <w:highlight w:val="none"/>
        </w:rPr>
      </w:pPr>
      <w:r>
        <w:rPr>
          <w:rFonts w:hint="eastAsia" w:hAnsi="宋体" w:cs="仿宋_GB2312"/>
          <w:color w:val="auto"/>
          <w:kern w:val="0"/>
          <w:sz w:val="28"/>
          <w:szCs w:val="28"/>
          <w:highlight w:val="none"/>
        </w:rPr>
        <w:t xml:space="preserve">异议人授权代表：   </w:t>
      </w:r>
      <w:r>
        <w:rPr>
          <w:rFonts w:hAnsi="宋体" w:cs="仿宋_GB2312"/>
          <w:color w:val="auto"/>
          <w:kern w:val="0"/>
          <w:sz w:val="28"/>
          <w:szCs w:val="28"/>
          <w:highlight w:val="none"/>
        </w:rPr>
        <w:t xml:space="preserve"> 性别：</w:t>
      </w:r>
    </w:p>
    <w:p>
      <w:pPr>
        <w:widowControl/>
        <w:jc w:val="left"/>
        <w:rPr>
          <w:rFonts w:hint="eastAsia" w:hAnsi="宋体" w:cs="宋体"/>
          <w:color w:val="auto"/>
          <w:kern w:val="0"/>
          <w:sz w:val="28"/>
          <w:szCs w:val="28"/>
          <w:highlight w:val="none"/>
        </w:rPr>
      </w:pPr>
      <w:r>
        <w:rPr>
          <w:rFonts w:hint="eastAsia" w:hAnsi="宋体" w:cs="仿宋_GB2312"/>
          <w:color w:val="auto"/>
          <w:kern w:val="0"/>
          <w:sz w:val="28"/>
          <w:szCs w:val="28"/>
          <w:highlight w:val="none"/>
        </w:rPr>
        <w:t>住址：             联系电话：</w:t>
      </w:r>
    </w:p>
    <w:p>
      <w:pPr>
        <w:widowControl/>
        <w:jc w:val="left"/>
        <w:rPr>
          <w:rFonts w:hint="eastAsia" w:hAnsi="宋体" w:cs="宋体"/>
          <w:color w:val="auto"/>
          <w:kern w:val="0"/>
          <w:sz w:val="28"/>
          <w:szCs w:val="28"/>
          <w:highlight w:val="none"/>
        </w:rPr>
      </w:pPr>
      <w:r>
        <w:rPr>
          <w:rFonts w:hint="eastAsia" w:hAnsi="宋体" w:cs="仿宋_GB2312"/>
          <w:bCs/>
          <w:color w:val="auto"/>
          <w:kern w:val="0"/>
          <w:sz w:val="28"/>
          <w:szCs w:val="28"/>
          <w:highlight w:val="none"/>
        </w:rPr>
        <w:t>提起异议事项的基本事实：</w:t>
      </w:r>
    </w:p>
    <w:p>
      <w:pPr>
        <w:widowControl/>
        <w:jc w:val="left"/>
        <w:rPr>
          <w:rFonts w:hint="eastAsia" w:hAnsi="宋体" w:cs="宋体"/>
          <w:color w:val="auto"/>
          <w:kern w:val="0"/>
          <w:sz w:val="28"/>
          <w:szCs w:val="28"/>
          <w:highlight w:val="none"/>
        </w:rPr>
      </w:pPr>
    </w:p>
    <w:p>
      <w:pPr>
        <w:widowControl/>
        <w:jc w:val="left"/>
        <w:rPr>
          <w:rFonts w:hint="eastAsia" w:hAnsi="宋体" w:cs="宋体"/>
          <w:color w:val="auto"/>
          <w:kern w:val="0"/>
          <w:sz w:val="28"/>
          <w:szCs w:val="28"/>
          <w:highlight w:val="none"/>
        </w:rPr>
      </w:pPr>
      <w:r>
        <w:rPr>
          <w:rFonts w:hint="eastAsia" w:hAnsi="宋体" w:cs="仿宋_GB2312"/>
          <w:bCs/>
          <w:color w:val="auto"/>
          <w:kern w:val="0"/>
          <w:sz w:val="28"/>
          <w:szCs w:val="28"/>
          <w:highlight w:val="none"/>
        </w:rPr>
        <w:t>相关请求及主张：</w:t>
      </w:r>
    </w:p>
    <w:p>
      <w:pPr>
        <w:widowControl/>
        <w:jc w:val="left"/>
        <w:rPr>
          <w:rFonts w:hint="eastAsia" w:hAnsi="宋体" w:cs="仿宋_GB2312"/>
          <w:color w:val="auto"/>
          <w:kern w:val="0"/>
          <w:sz w:val="28"/>
          <w:szCs w:val="28"/>
          <w:highlight w:val="none"/>
          <w:u w:val="single"/>
        </w:rPr>
      </w:pPr>
    </w:p>
    <w:p>
      <w:pPr>
        <w:widowControl/>
        <w:jc w:val="left"/>
        <w:rPr>
          <w:rFonts w:hint="eastAsia" w:hAnsi="宋体" w:cs="宋体"/>
          <w:color w:val="auto"/>
          <w:kern w:val="0"/>
          <w:sz w:val="28"/>
          <w:szCs w:val="28"/>
          <w:highlight w:val="none"/>
        </w:rPr>
      </w:pPr>
      <w:r>
        <w:rPr>
          <w:rFonts w:hint="eastAsia" w:hAnsi="宋体" w:cs="仿宋_GB2312"/>
          <w:bCs/>
          <w:color w:val="auto"/>
          <w:kern w:val="0"/>
          <w:sz w:val="28"/>
          <w:szCs w:val="28"/>
          <w:highlight w:val="none"/>
        </w:rPr>
        <w:t>有效线索和相关证明材料：</w:t>
      </w:r>
    </w:p>
    <w:p>
      <w:pPr>
        <w:widowControl/>
        <w:jc w:val="left"/>
        <w:rPr>
          <w:rFonts w:hint="eastAsia" w:hAnsi="宋体" w:cs="仿宋_GB2312"/>
          <w:color w:val="auto"/>
          <w:kern w:val="0"/>
          <w:sz w:val="28"/>
          <w:szCs w:val="28"/>
          <w:highlight w:val="none"/>
          <w:u w:val="single"/>
        </w:rPr>
      </w:pPr>
    </w:p>
    <w:p>
      <w:pPr>
        <w:widowControl/>
        <w:jc w:val="left"/>
        <w:rPr>
          <w:rFonts w:hint="eastAsia" w:hAnsi="宋体" w:cs="宋体"/>
          <w:color w:val="auto"/>
          <w:kern w:val="0"/>
          <w:sz w:val="28"/>
          <w:szCs w:val="28"/>
          <w:highlight w:val="none"/>
        </w:rPr>
      </w:pPr>
      <w:r>
        <w:rPr>
          <w:rFonts w:hint="eastAsia" w:hAnsi="宋体" w:cs="仿宋_GB2312"/>
          <w:bCs/>
          <w:color w:val="auto"/>
          <w:kern w:val="0"/>
          <w:sz w:val="28"/>
          <w:szCs w:val="28"/>
          <w:highlight w:val="none"/>
        </w:rPr>
        <w:t>异议提起人与项目有利害关系的证明材料（见说明）：</w:t>
      </w:r>
    </w:p>
    <w:p>
      <w:pPr>
        <w:widowControl/>
        <w:jc w:val="left"/>
        <w:rPr>
          <w:rFonts w:hint="eastAsia"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jc w:val="left"/>
        <w:rPr>
          <w:rFonts w:hint="eastAsia"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ind w:left="99" w:leftChars="47" w:firstLine="2800" w:firstLineChars="1000"/>
        <w:jc w:val="left"/>
        <w:rPr>
          <w:rFonts w:hint="eastAsia" w:hAnsi="宋体" w:cs="仿宋_GB2312"/>
          <w:color w:val="auto"/>
          <w:kern w:val="0"/>
          <w:sz w:val="28"/>
          <w:szCs w:val="28"/>
          <w:highlight w:val="none"/>
        </w:rPr>
      </w:pPr>
    </w:p>
    <w:p>
      <w:pPr>
        <w:widowControl/>
        <w:ind w:left="99" w:leftChars="47" w:firstLine="2800" w:firstLineChars="1000"/>
        <w:jc w:val="left"/>
        <w:rPr>
          <w:rFonts w:hint="eastAsia" w:hAnsi="宋体" w:cs="仿宋_GB2312"/>
          <w:color w:val="auto"/>
          <w:kern w:val="0"/>
          <w:sz w:val="28"/>
          <w:szCs w:val="28"/>
          <w:highlight w:val="none"/>
        </w:rPr>
      </w:pPr>
    </w:p>
    <w:p>
      <w:pPr>
        <w:widowControl/>
        <w:ind w:left="99" w:leftChars="47" w:firstLine="2800" w:firstLineChars="1000"/>
        <w:jc w:val="left"/>
        <w:rPr>
          <w:rFonts w:hint="eastAsia"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ind w:left="99" w:leftChars="47" w:firstLine="1960" w:firstLineChars="700"/>
        <w:jc w:val="left"/>
        <w:rPr>
          <w:rFonts w:hint="eastAsia" w:hAnsi="宋体" w:cs="仿宋_GB2312"/>
          <w:color w:val="auto"/>
          <w:kern w:val="0"/>
          <w:sz w:val="28"/>
          <w:szCs w:val="28"/>
          <w:highlight w:val="none"/>
        </w:rPr>
      </w:pPr>
    </w:p>
    <w:p>
      <w:pPr>
        <w:widowControl/>
        <w:ind w:left="99" w:leftChars="47" w:firstLine="1960" w:firstLineChars="700"/>
        <w:jc w:val="left"/>
        <w:rPr>
          <w:rFonts w:hint="eastAsia"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pPr>
        <w:widowControl/>
        <w:ind w:left="99" w:leftChars="47" w:firstLine="1960" w:firstLineChars="700"/>
        <w:jc w:val="left"/>
        <w:rPr>
          <w:rFonts w:hint="eastAsia" w:hAnsi="宋体" w:cs="仿宋_GB2312"/>
          <w:color w:val="auto"/>
          <w:kern w:val="0"/>
          <w:sz w:val="28"/>
          <w:szCs w:val="28"/>
          <w:highlight w:val="none"/>
          <w:u w:val="single"/>
        </w:rPr>
      </w:pPr>
    </w:p>
    <w:p>
      <w:pPr>
        <w:widowControl/>
        <w:ind w:firstLine="560" w:firstLineChars="200"/>
        <w:jc w:val="center"/>
        <w:rPr>
          <w:rFonts w:hint="eastAsia"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jc w:val="left"/>
        <w:rPr>
          <w:rFonts w:hint="eastAsia" w:hAnsi="宋体" w:cs="仿宋_GB2312"/>
          <w:bCs/>
          <w:color w:val="auto"/>
          <w:kern w:val="0"/>
          <w:sz w:val="24"/>
          <w:highlight w:val="none"/>
        </w:rPr>
      </w:pPr>
    </w:p>
    <w:p>
      <w:pPr>
        <w:rPr>
          <w:rFonts w:hint="eastAsia" w:hAnsi="仿宋"/>
          <w:color w:val="auto"/>
          <w:sz w:val="24"/>
          <w:highlight w:val="none"/>
        </w:rPr>
      </w:pPr>
      <w:r>
        <w:rPr>
          <w:rFonts w:hint="eastAsia" w:hAnsi="仿宋"/>
          <w:color w:val="auto"/>
          <w:sz w:val="24"/>
          <w:highlight w:val="none"/>
        </w:rPr>
        <w:t>说明：</w:t>
      </w:r>
    </w:p>
    <w:p>
      <w:pPr>
        <w:rPr>
          <w:rFonts w:hint="eastAsia" w:hAnsi="仿宋"/>
          <w:color w:val="auto"/>
          <w:sz w:val="24"/>
          <w:highlight w:val="none"/>
        </w:rPr>
      </w:pPr>
    </w:p>
    <w:p>
      <w:pPr>
        <w:rPr>
          <w:rFonts w:hint="eastAsia" w:hAnsi="仿宋"/>
          <w:color w:val="auto"/>
          <w:sz w:val="24"/>
          <w:highlight w:val="none"/>
        </w:rPr>
      </w:pPr>
      <w:r>
        <w:rPr>
          <w:rFonts w:hAnsi="仿宋"/>
          <w:color w:val="auto"/>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int="eastAsia" w:hAnsi="仿宋"/>
          <w:color w:val="auto"/>
          <w:sz w:val="24"/>
          <w:highlight w:val="none"/>
        </w:rPr>
      </w:pPr>
      <w:r>
        <w:rPr>
          <w:rFonts w:hAnsi="仿宋"/>
          <w:color w:val="auto"/>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int="eastAsia" w:hAnsi="仿宋"/>
          <w:color w:val="auto"/>
          <w:sz w:val="24"/>
          <w:highlight w:val="none"/>
        </w:rPr>
      </w:pPr>
      <w:r>
        <w:rPr>
          <w:rFonts w:hAnsi="仿宋"/>
          <w:color w:val="auto"/>
          <w:sz w:val="24"/>
          <w:highlight w:val="none"/>
        </w:rPr>
        <w:t>3.为证明与异议项目有利害关系，投标人以外的其他异议提起人应当提供相应证明材料：</w:t>
      </w:r>
    </w:p>
    <w:p>
      <w:pPr>
        <w:rPr>
          <w:rFonts w:hint="eastAsia" w:hAnsi="仿宋"/>
          <w:color w:val="auto"/>
          <w:sz w:val="24"/>
          <w:highlight w:val="none"/>
        </w:rPr>
      </w:pPr>
      <w:r>
        <w:rPr>
          <w:rFonts w:hint="eastAsia" w:hAnsi="仿宋"/>
          <w:color w:val="auto"/>
          <w:sz w:val="24"/>
          <w:highlight w:val="none"/>
        </w:rPr>
        <w:t>（</w:t>
      </w:r>
      <w:r>
        <w:rPr>
          <w:rFonts w:hAnsi="仿宋"/>
          <w:color w:val="auto"/>
          <w:sz w:val="24"/>
          <w:highlight w:val="none"/>
        </w:rPr>
        <w:t>1）属潜在投标人的，提交符合法定有关资格要求的证明文件；</w:t>
      </w:r>
    </w:p>
    <w:p>
      <w:pPr>
        <w:rPr>
          <w:rFonts w:hint="eastAsia" w:hAnsi="仿宋"/>
          <w:color w:val="auto"/>
          <w:sz w:val="24"/>
          <w:highlight w:val="none"/>
        </w:rPr>
      </w:pPr>
      <w:r>
        <w:rPr>
          <w:rFonts w:hint="eastAsia" w:hAnsi="仿宋"/>
          <w:color w:val="auto"/>
          <w:sz w:val="24"/>
          <w:highlight w:val="none"/>
        </w:rPr>
        <w:t>（</w:t>
      </w:r>
      <w:r>
        <w:rPr>
          <w:rFonts w:hAnsi="仿宋"/>
          <w:color w:val="auto"/>
          <w:sz w:val="24"/>
          <w:highlight w:val="none"/>
        </w:rPr>
        <w:t>2）属特定分包人或者供应商的，提交证明其与该项目投标人绑定投标的附条件生效协议以及能证明其能履行该协议项下的合同义务的能力的证明文件。</w:t>
      </w:r>
      <w:r>
        <w:rPr>
          <w:rFonts w:hAnsi="仿宋"/>
          <w:color w:val="auto"/>
          <w:sz w:val="24"/>
          <w:highlight w:val="none"/>
        </w:rPr>
        <w:tab/>
      </w:r>
    </w:p>
    <w:p>
      <w:pPr>
        <w:rPr>
          <w:rFonts w:hint="eastAsia" w:hAnsi="仿宋"/>
          <w:color w:val="auto"/>
          <w:sz w:val="24"/>
          <w:highlight w:val="none"/>
        </w:rPr>
      </w:pPr>
      <w:r>
        <w:rPr>
          <w:rFonts w:hint="eastAsia" w:hAnsi="仿宋"/>
          <w:color w:val="auto"/>
          <w:sz w:val="24"/>
          <w:highlight w:val="none"/>
        </w:rPr>
        <w:t>（</w:t>
      </w:r>
      <w:r>
        <w:rPr>
          <w:rFonts w:hAnsi="仿宋"/>
          <w:color w:val="auto"/>
          <w:sz w:val="24"/>
          <w:highlight w:val="none"/>
        </w:rPr>
        <w:t>3）可证明与异议项目有利害关系的其他证明文件。</w:t>
      </w:r>
    </w:p>
    <w:p>
      <w:pPr>
        <w:rPr>
          <w:color w:val="auto"/>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6"/>
        <w:rPr>
          <w:rFonts w:hint="eastAsia" w:asciiTheme="minorHAnsi" w:hAnsiTheme="minorHAnsi" w:cstheme="minorBidi"/>
          <w:color w:val="auto"/>
          <w:kern w:val="44"/>
          <w:sz w:val="44"/>
          <w:szCs w:val="44"/>
          <w:highlight w:val="none"/>
        </w:rPr>
      </w:pPr>
      <w:bookmarkStart w:id="38" w:name="_Toc21455"/>
      <w:bookmarkStart w:id="39" w:name="_Toc2867"/>
    </w:p>
    <w:p>
      <w:pPr>
        <w:pStyle w:val="6"/>
        <w:rPr>
          <w:rFonts w:hint="eastAsia" w:asciiTheme="minorHAnsi" w:hAnsiTheme="minorHAnsi" w:cstheme="minorBidi"/>
          <w:color w:val="auto"/>
          <w:kern w:val="44"/>
          <w:sz w:val="44"/>
          <w:szCs w:val="44"/>
          <w:highlight w:val="none"/>
        </w:rPr>
      </w:pPr>
    </w:p>
    <w:p>
      <w:pPr>
        <w:pStyle w:val="6"/>
        <w:rPr>
          <w:rFonts w:hint="eastAsia"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2325370</wp:posOffset>
                </wp:positionH>
                <wp:positionV relativeFrom="paragraph">
                  <wp:posOffset>548005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43.15pt;height:0pt;width:75.5pt;z-index:251659264;mso-width-relative:page;mso-height-relative:page;" filled="f" stroked="t" coordsize="21600,21600" o:gfxdata="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nDmwdOF3&#10;n7//+vTl9uvP2x/f2POsUB+wpsCV28TTDsMmZrqHNtr8JyLsUFQ9nlVVh8QEHb6czecz0lvcu6qH&#10;vBAxvVbesmw0HFMEvevSyjtHV+fjpIgK+zeYqDIl3ifkosaxPsNPZwQONIotjQCZNhAddLuSi95o&#10;ea2NyRkYd9uViWwPeRzKl/kR7l9hucgasBviimsYlE6BfOUkS8dAQjl6Hzy3YJXkzCh6TtkiQKgT&#10;aHNJJJU2jjrIEg+iZmvr5bFoXc7p6kuPpzHNs/XnvmQ/PM3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G4dnjXAAAACQEAAA8AAAAAAAAAAQAgAAAAIgAAAGRycy9kb3ducmV2LnhtbFBLAQIUABQA&#10;AAAIAIdO4kAXIMW58QEAAOIDAAAOAAAAAAAAAAEAIAAAACYBAABkcnMvZTJvRG9jLnhtbFBLBQYA&#10;AAAABgAGAFkBAACJBQAAAAA=&#10;">
                <v:fill on="f" focussize="0,0"/>
                <v:stroke color="#000000" joinstyle="round"/>
                <v:imagedata o:title=""/>
                <o:lock v:ext="edit" aspectratio="f"/>
              </v:shape>
            </w:pict>
          </mc:Fallback>
        </mc:AlternateContent>
      </w:r>
    </w:p>
    <w:p>
      <w:pPr>
        <w:pStyle w:val="6"/>
        <w:rPr>
          <w:rFonts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0288;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第三章</w:t>
      </w:r>
      <w:bookmarkEnd w:id="38"/>
      <w:bookmarkEnd w:id="39"/>
    </w:p>
    <w:p>
      <w:pPr>
        <w:pStyle w:val="56"/>
        <w:rPr>
          <w:color w:val="auto"/>
          <w:highlight w:val="none"/>
        </w:rPr>
      </w:pPr>
    </w:p>
    <w:p>
      <w:pPr>
        <w:pStyle w:val="6"/>
        <w:rPr>
          <w:color w:val="auto"/>
          <w:highlight w:val="none"/>
        </w:rPr>
      </w:pPr>
      <w:bookmarkStart w:id="40" w:name="_Toc87616371"/>
      <w:bookmarkStart w:id="41" w:name="_Toc88209934"/>
      <w:bookmarkStart w:id="42" w:name="_Toc7303"/>
      <w:bookmarkStart w:id="43" w:name="_Toc7040"/>
      <w:r>
        <w:rPr>
          <w:rFonts w:hint="eastAsia"/>
          <w:color w:val="auto"/>
          <w:highlight w:val="none"/>
        </w:rPr>
        <w:t>采购方法</w:t>
      </w:r>
      <w:bookmarkEnd w:id="40"/>
      <w:bookmarkEnd w:id="41"/>
      <w:bookmarkEnd w:id="42"/>
      <w:bookmarkEnd w:id="43"/>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ind w:firstLine="0"/>
        <w:rPr>
          <w:rFonts w:hint="eastAsia" w:ascii="方正小标宋简体" w:eastAsia="方正小标宋简体"/>
          <w:color w:val="auto"/>
          <w:sz w:val="44"/>
          <w:szCs w:val="44"/>
          <w:highlight w:val="none"/>
        </w:rPr>
      </w:pPr>
    </w:p>
    <w:p>
      <w:pPr>
        <w:pStyle w:val="6"/>
        <w:rPr>
          <w:color w:val="auto"/>
          <w:highlight w:val="none"/>
        </w:rPr>
      </w:pPr>
      <w:bookmarkStart w:id="44" w:name="_Toc24895"/>
      <w:bookmarkStart w:id="45" w:name="_Toc3789"/>
      <w:r>
        <w:rPr>
          <w:rFonts w:hint="eastAsia"/>
          <w:color w:val="auto"/>
          <w:highlight w:val="none"/>
        </w:rPr>
        <w:t>询比采购</w:t>
      </w:r>
      <w:bookmarkEnd w:id="44"/>
      <w:bookmarkEnd w:id="45"/>
    </w:p>
    <w:p>
      <w:pPr>
        <w:adjustRightInd w:val="0"/>
        <w:snapToGrid w:val="0"/>
        <w:spacing w:line="600" w:lineRule="exact"/>
        <w:jc w:val="left"/>
        <w:rPr>
          <w:rFonts w:hint="eastAsia"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3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rPr>
              <w:t xml:space="preserve"> </w:t>
            </w:r>
            <w:r>
              <w:rPr>
                <w:rFonts w:hint="eastAsia" w:ascii="仿宋_GB2312" w:eastAsia="仿宋_GB2312" w:hAnsiTheme="minorEastAsia"/>
                <w:color w:val="auto"/>
                <w:sz w:val="24"/>
                <w:szCs w:val="24"/>
                <w:highlight w:val="none"/>
              </w:rPr>
              <w:t>1.1 在采购文件约定的时间、地点，供应商应向采购人提交响应文件；响应文件按照采购文件第二章供应商须知2.9的要求密封，按照2.10的规定提交</w:t>
            </w:r>
          </w:p>
          <w:p>
            <w:pPr>
              <w:adjustRightInd w:val="0"/>
              <w:snapToGrid w:val="0"/>
              <w:ind w:left="480" w:hanging="480" w:hangingChars="20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1.2 资格审查执行第二章供应商须知1.对供应商的资格要求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1.3 响应文件提交截止后，递交响应文件供应商不足3家的或有效响应文件供应商不足两家，应分析原因并重新发出采购公告（邀请书）或采取其他采购方式。</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rPr>
              <w:t>广州市天河区临江大道501号广州市净水有限公司</w:t>
            </w:r>
          </w:p>
          <w:p>
            <w:pPr>
              <w:adjustRightInd w:val="0"/>
              <w:snapToGrid w:val="0"/>
              <w:rPr>
                <w:rFonts w:hint="eastAsia"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采购人确定满足采购文件资格性、响应性要求，并且经评审的报价最低的为成交供应商</w:t>
            </w:r>
          </w:p>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 xml:space="preserve">评审小组按照采购文件确定的标准排序，采购人确定排名第一的供应商为成交供应商。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eastAsia" w:ascii="仿宋_GB2312" w:eastAsia="仿宋_GB2312" w:hAnsiTheme="minorEastAsia"/>
                <w:color w:val="auto"/>
                <w:sz w:val="24"/>
                <w:szCs w:val="24"/>
                <w:highlight w:val="none"/>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采购人在发出成交通知书后30日内同成交供应商签订书面采购合同.</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ascii="仿宋_GB2312" w:eastAsia="仿宋_GB2312"/>
          <w:color w:val="auto"/>
          <w:sz w:val="28"/>
          <w:szCs w:val="28"/>
          <w:highlight w:val="none"/>
        </w:rPr>
      </w:pPr>
    </w:p>
    <w:p>
      <w:pPr>
        <w:pStyle w:val="5"/>
        <w:rPr>
          <w:rFonts w:eastAsiaTheme="minorEastAsia"/>
          <w:bCs w:val="0"/>
          <w:color w:val="auto"/>
          <w:kern w:val="2"/>
          <w:sz w:val="21"/>
          <w:szCs w:val="22"/>
          <w:highlight w:val="none"/>
        </w:rPr>
      </w:pPr>
    </w:p>
    <w:p>
      <w:pPr>
        <w:rPr>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5"/>
        <w:rPr>
          <w:rFonts w:hint="eastAsia"/>
          <w:color w:val="auto"/>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2326005</wp:posOffset>
                </wp:positionH>
                <wp:positionV relativeFrom="paragraph">
                  <wp:posOffset>191770</wp:posOffset>
                </wp:positionV>
                <wp:extent cx="958850" cy="0"/>
                <wp:effectExtent l="0" t="0" r="0" b="0"/>
                <wp:wrapNone/>
                <wp:docPr id="1746575676"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3.15pt;margin-top:15.1pt;height:0pt;width:75.5pt;z-index:251663360;mso-width-relative:page;mso-height-relative:page;" filled="f" stroked="t" coordsize="21600,21600" o:gfxdata="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OXcTq1wAAAAkBAAAPAAAAAAAAAAEAIAAAACIAAABkcnMvZG93bnJldi54&#10;bWxQSwECFAAUAAAACACHTuJArKhuAfsBAADsAwAADgAAAAAAAAABACAAAAAmAQAAZHJzL2Uyb0Rv&#10;Yy54bWxQSwUGAAAAAAYABgBZAQAAkw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2322195</wp:posOffset>
                </wp:positionH>
                <wp:positionV relativeFrom="paragraph">
                  <wp:posOffset>774700</wp:posOffset>
                </wp:positionV>
                <wp:extent cx="958850" cy="0"/>
                <wp:effectExtent l="0" t="0" r="0" b="0"/>
                <wp:wrapNone/>
                <wp:docPr id="1199941055"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2.85pt;margin-top:61pt;height:0pt;width:75.5pt;z-index:251664384;mso-width-relative:page;mso-height-relative:page;" filled="f" stroked="t" coordsize="21600,21600" o:gfxdata="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0EAcL1wAAAAsBAAAPAAAAAAAAAAEAIAAAACIAAABkcnMvZG93bnJldi54&#10;bWxQSwECFAAUAAAACACHTuJAfy65RvsBAADsAwAADgAAAAAAAAABACAAAAAmAQAAZHJzL2Uyb0Rv&#10;Yy54bWxQSwUGAAAAAAYABgBZAQAAkwUAAAAA&#10;">
                <v:fill on="f" focussize="0,0"/>
                <v:stroke color="#000000" joinstyle="round"/>
                <v:imagedata o:title=""/>
                <o:lock v:ext="edit" aspectratio="f"/>
              </v:shape>
            </w:pict>
          </mc:Fallback>
        </mc:AlternateContent>
      </w:r>
      <w:r>
        <w:rPr>
          <w:rFonts w:hint="eastAsia"/>
          <w:color w:val="auto"/>
          <w:highlight w:val="none"/>
        </w:rPr>
        <w:t>第四章</w:t>
      </w:r>
    </w:p>
    <w:p>
      <w:pPr>
        <w:pStyle w:val="56"/>
        <w:rPr>
          <w:color w:val="auto"/>
          <w:highlight w:val="none"/>
        </w:rPr>
      </w:pPr>
    </w:p>
    <w:p>
      <w:pPr>
        <w:pStyle w:val="5"/>
        <w:rPr>
          <w:color w:val="auto"/>
          <w:highlight w:val="none"/>
        </w:rPr>
      </w:pPr>
      <w:bookmarkStart w:id="46" w:name="_Toc22212"/>
      <w:bookmarkStart w:id="47" w:name="_Toc6308"/>
      <w:bookmarkStart w:id="48" w:name="_Toc7831"/>
      <w:bookmarkStart w:id="49" w:name="_Toc12177"/>
      <w:bookmarkStart w:id="50" w:name="_Toc21840"/>
      <w:bookmarkStart w:id="51" w:name="_Toc29345"/>
      <w:bookmarkStart w:id="52" w:name="_Toc30530"/>
      <w:bookmarkStart w:id="53" w:name="_Toc32607"/>
      <w:bookmarkStart w:id="54" w:name="_Toc87616378"/>
      <w:bookmarkStart w:id="55" w:name="_Toc13898"/>
      <w:bookmarkStart w:id="56" w:name="_Toc21079"/>
      <w:bookmarkStart w:id="57" w:name="_Toc29484"/>
      <w:bookmarkStart w:id="58" w:name="_Toc88209941"/>
      <w:r>
        <w:rPr>
          <w:rFonts w:hint="eastAsia"/>
          <w:color w:val="auto"/>
          <w:highlight w:val="none"/>
        </w:rPr>
        <w:t>评审办法</w:t>
      </w:r>
      <w:bookmarkEnd w:id="46"/>
      <w:bookmarkEnd w:id="47"/>
      <w:bookmarkEnd w:id="48"/>
      <w:bookmarkEnd w:id="49"/>
      <w:bookmarkEnd w:id="50"/>
      <w:bookmarkEnd w:id="51"/>
      <w:bookmarkEnd w:id="52"/>
      <w:bookmarkEnd w:id="53"/>
      <w:bookmarkEnd w:id="54"/>
      <w:bookmarkEnd w:id="55"/>
      <w:bookmarkEnd w:id="56"/>
      <w:bookmarkEnd w:id="57"/>
      <w:bookmarkEnd w:id="58"/>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hint="eastAsia" w:ascii="方正小标宋简体" w:eastAsia="方正小标宋简体"/>
          <w:color w:val="auto"/>
          <w:sz w:val="44"/>
          <w:szCs w:val="44"/>
          <w:highlight w:val="none"/>
        </w:rPr>
      </w:pPr>
    </w:p>
    <w:p>
      <w:pPr>
        <w:pStyle w:val="2"/>
        <w:ind w:firstLine="0"/>
        <w:rPr>
          <w:rFonts w:hint="eastAsia" w:ascii="方正小标宋简体" w:eastAsia="方正小标宋简体"/>
          <w:color w:val="auto"/>
          <w:sz w:val="44"/>
          <w:szCs w:val="44"/>
          <w:highlight w:val="none"/>
        </w:rPr>
      </w:pPr>
    </w:p>
    <w:p>
      <w:pPr>
        <w:pStyle w:val="6"/>
        <w:rPr>
          <w:rFonts w:hint="eastAsia"/>
          <w:color w:val="auto"/>
          <w:highlight w:val="none"/>
        </w:rPr>
      </w:pPr>
      <w:bookmarkStart w:id="59" w:name="_Toc23033"/>
      <w:bookmarkStart w:id="60" w:name="_Toc26826"/>
    </w:p>
    <w:p>
      <w:pPr>
        <w:pStyle w:val="6"/>
        <w:rPr>
          <w:color w:val="auto"/>
          <w:highlight w:val="none"/>
        </w:rPr>
      </w:pPr>
      <w:r>
        <w:rPr>
          <w:rFonts w:hint="eastAsia"/>
          <w:color w:val="auto"/>
          <w:highlight w:val="none"/>
        </w:rPr>
        <w:t>经评审的最低价法</w:t>
      </w:r>
      <w:bookmarkEnd w:id="59"/>
      <w:bookmarkEnd w:id="60"/>
    </w:p>
    <w:p>
      <w:pPr>
        <w:adjustRightInd w:val="0"/>
        <w:snapToGrid w:val="0"/>
        <w:spacing w:line="600" w:lineRule="exact"/>
        <w:jc w:val="left"/>
        <w:rPr>
          <w:rFonts w:hint="eastAsia"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（1）运输费用及保险费。（如有）</w:t>
      </w:r>
    </w:p>
    <w:p>
      <w:pPr>
        <w:adjustRightInd w:val="0"/>
        <w:snapToGrid w:val="0"/>
        <w:spacing w:line="600" w:lineRule="exact"/>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hint="eastAsia"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 xml:space="preserve">4-1                   </w:t>
      </w:r>
    </w:p>
    <w:p>
      <w:pPr>
        <w:adjustRightInd w:val="0"/>
        <w:snapToGrid w:val="0"/>
        <w:spacing w:line="600" w:lineRule="exact"/>
        <w:jc w:val="left"/>
        <w:rPr>
          <w:rFonts w:hint="eastAsia" w:ascii="仿宋_GB2312" w:eastAsia="仿宋_GB2312" w:hAnsiTheme="minorEastAsia"/>
          <w:color w:val="auto"/>
          <w:sz w:val="28"/>
          <w:szCs w:val="28"/>
          <w:highlight w:val="none"/>
        </w:rPr>
      </w:pPr>
      <w:r>
        <w:rPr>
          <w:rFonts w:hint="eastAsia" w:ascii="仿宋_GB2312" w:eastAsia="仿宋_GB2312"/>
          <w:color w:val="auto"/>
          <w:sz w:val="28"/>
          <w:szCs w:val="28"/>
          <w:highlight w:val="none"/>
        </w:rPr>
        <w:t xml:space="preserve">   初步评审标准</w:t>
      </w:r>
    </w:p>
    <w:tbl>
      <w:tblPr>
        <w:tblStyle w:val="3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hint="eastAsia" w:ascii="仿宋_GB2312" w:eastAsia="仿宋_GB2312" w:hAnsiTheme="minorEastAsia"/>
          <w:color w:val="auto"/>
          <w:szCs w:val="21"/>
          <w:highlight w:val="none"/>
        </w:rPr>
      </w:pPr>
    </w:p>
    <w:p>
      <w:pPr>
        <w:adjustRightInd w:val="0"/>
        <w:snapToGrid w:val="0"/>
        <w:spacing w:line="600" w:lineRule="exact"/>
        <w:jc w:val="left"/>
        <w:rPr>
          <w:rFonts w:hint="eastAsia" w:ascii="仿宋_GB2312" w:eastAsia="仿宋_GB2312" w:hAnsiTheme="minorEastAsia"/>
          <w:color w:val="auto"/>
          <w:szCs w:val="21"/>
          <w:highlight w:val="none"/>
        </w:rPr>
      </w:pPr>
    </w:p>
    <w:p>
      <w:pPr>
        <w:pStyle w:val="2"/>
        <w:ind w:firstLine="0"/>
        <w:rPr>
          <w:rFonts w:hint="eastAsia" w:ascii="仿宋_GB2312" w:eastAsia="仿宋_GB2312" w:hAnsiTheme="minorEastAsia"/>
          <w:color w:val="auto"/>
          <w:szCs w:val="21"/>
          <w:highlight w:val="none"/>
        </w:rPr>
      </w:pPr>
    </w:p>
    <w:p>
      <w:pPr>
        <w:pStyle w:val="5"/>
        <w:jc w:val="both"/>
        <w:rPr>
          <w:color w:val="auto"/>
          <w:highlight w:val="none"/>
        </w:rPr>
      </w:pPr>
      <w:bookmarkStart w:id="61" w:name="_Toc88209947"/>
    </w:p>
    <w:p>
      <w:pPr>
        <w:pStyle w:val="5"/>
        <w:rPr>
          <w:color w:val="auto"/>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2348230</wp:posOffset>
                </wp:positionH>
                <wp:positionV relativeFrom="paragraph">
                  <wp:posOffset>689610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54.3pt;height:0pt;width:75.5pt;z-index:251661312;mso-width-relative:page;mso-height-relative:page;" filled="f" stroked="t" coordsize="21600,21600" o:gfxdata="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UqHI1wAAAAs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p>
    <w:p>
      <w:pPr>
        <w:pStyle w:val="5"/>
        <w:rPr>
          <w:color w:val="auto"/>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2343785</wp:posOffset>
                </wp:positionH>
                <wp:positionV relativeFrom="paragraph">
                  <wp:posOffset>567055</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55pt;margin-top:44.65pt;height:0pt;width:75.5pt;z-index:251662336;mso-width-relative:page;mso-height-relative:page;" filled="f" stroked="t" coordsize="21600,21600" o:gfxdata="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nV2QNcAAAAJ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第五章</w:t>
      </w:r>
    </w:p>
    <w:p>
      <w:pPr>
        <w:pStyle w:val="6"/>
        <w:rPr>
          <w:color w:val="auto"/>
          <w:highlight w:val="none"/>
        </w:rPr>
      </w:pPr>
    </w:p>
    <w:p>
      <w:pPr>
        <w:pStyle w:val="6"/>
        <w:rPr>
          <w:color w:val="auto"/>
          <w:szCs w:val="44"/>
          <w:highlight w:val="none"/>
        </w:rPr>
      </w:pPr>
      <w:r>
        <w:rPr>
          <w:rFonts w:hint="eastAsia"/>
          <w:color w:val="auto"/>
          <w:szCs w:val="44"/>
          <w:highlight w:val="none"/>
        </w:rPr>
        <w:t>采购需求</w:t>
      </w:r>
    </w:p>
    <w:p>
      <w:pPr>
        <w:pStyle w:val="6"/>
        <w:rPr>
          <w:color w:val="auto"/>
          <w:szCs w:val="44"/>
          <w:highlight w:val="none"/>
        </w:rPr>
      </w:pPr>
    </w:p>
    <w:p>
      <w:pPr>
        <w:rPr>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bookmarkEnd w:id="61"/>
    <w:p>
      <w:pPr>
        <w:pStyle w:val="20"/>
        <w:adjustRightInd w:val="0"/>
        <w:snapToGrid w:val="0"/>
        <w:spacing w:line="300" w:lineRule="auto"/>
        <w:rPr>
          <w:rFonts w:hint="eastAsia"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一、项目情况介绍</w:t>
      </w:r>
    </w:p>
    <w:p>
      <w:pPr>
        <w:spacing w:line="360" w:lineRule="auto"/>
        <w:ind w:firstLine="560" w:firstLineChars="200"/>
        <w:rPr>
          <w:rFonts w:ascii="仿宋_GB2312" w:eastAsia="仿宋_GB2312"/>
          <w:color w:val="auto"/>
          <w:sz w:val="32"/>
          <w:szCs w:val="32"/>
          <w:highlight w:val="none"/>
          <w:lang w:bidi="ar"/>
        </w:rPr>
      </w:pPr>
      <w:r>
        <w:rPr>
          <w:rFonts w:hint="eastAsia" w:ascii="仿宋_GB2312" w:eastAsia="仿宋_GB2312"/>
          <w:color w:val="auto"/>
          <w:sz w:val="28"/>
          <w:szCs w:val="28"/>
          <w:highlight w:val="none"/>
          <w:lang w:bidi="ar"/>
        </w:rPr>
        <w:t>原北面值班室属于简易板房，经核查相关资料该批板房为2012-2013年间建设，经过长时间使用后，原板房无论其结构稳定性及房屋防水性能有所下降，同时按《施工现场临时建筑物技术规范》（JGJ/T</w:t>
      </w:r>
      <w:r>
        <w:rPr>
          <w:rFonts w:ascii="仿宋_GB2312" w:eastAsia="仿宋_GB2312"/>
          <w:color w:val="auto"/>
          <w:sz w:val="28"/>
          <w:szCs w:val="28"/>
          <w:highlight w:val="none"/>
          <w:lang w:bidi="ar"/>
        </w:rPr>
        <w:t xml:space="preserve"> </w:t>
      </w:r>
      <w:r>
        <w:rPr>
          <w:rFonts w:hint="eastAsia" w:ascii="仿宋_GB2312" w:eastAsia="仿宋_GB2312"/>
          <w:color w:val="auto"/>
          <w:sz w:val="28"/>
          <w:szCs w:val="28"/>
          <w:highlight w:val="none"/>
          <w:lang w:bidi="ar"/>
        </w:rPr>
        <w:t>188-2009）条款“3.0.5</w:t>
      </w:r>
      <w:r>
        <w:rPr>
          <w:rFonts w:ascii="仿宋_GB2312" w:eastAsia="仿宋_GB2312"/>
          <w:color w:val="auto"/>
          <w:sz w:val="28"/>
          <w:szCs w:val="28"/>
          <w:highlight w:val="none"/>
          <w:lang w:bidi="ar"/>
        </w:rPr>
        <w:t xml:space="preserve"> </w:t>
      </w:r>
      <w:r>
        <w:rPr>
          <w:rFonts w:hint="eastAsia" w:ascii="仿宋_GB2312" w:eastAsia="仿宋_GB2312"/>
          <w:color w:val="auto"/>
          <w:sz w:val="28"/>
          <w:szCs w:val="28"/>
          <w:highlight w:val="none"/>
          <w:lang w:bidi="ar"/>
        </w:rPr>
        <w:t>临时建筑设计使用年限应为5年”的规定，现北面值班室现状板房需进行相应的改造，</w:t>
      </w:r>
      <w:r>
        <w:rPr>
          <w:rFonts w:hint="eastAsia" w:ascii="仿宋_GB2312" w:eastAsia="仿宋_GB2312"/>
          <w:color w:val="auto"/>
          <w:sz w:val="28"/>
          <w:szCs w:val="28"/>
          <w:highlight w:val="none"/>
        </w:rPr>
        <w:t>拟建模块化箱式房屋标准间17间及厕所间2间，配套改造相应地面广场736m</w:t>
      </w:r>
      <w:r>
        <w:rPr>
          <w:rFonts w:hint="eastAsia" w:ascii="仿宋_GB2312" w:eastAsia="仿宋_GB2312"/>
          <w:color w:val="auto"/>
          <w:sz w:val="28"/>
          <w:szCs w:val="28"/>
          <w:highlight w:val="none"/>
          <w:vertAlign w:val="superscript"/>
        </w:rPr>
        <w:t>2</w:t>
      </w:r>
      <w:r>
        <w:rPr>
          <w:rFonts w:hint="eastAsia" w:ascii="仿宋_GB2312" w:eastAsia="仿宋_GB2312"/>
          <w:color w:val="auto"/>
          <w:sz w:val="28"/>
          <w:szCs w:val="28"/>
          <w:highlight w:val="none"/>
        </w:rPr>
        <w:t>、加盖型材屋面393.68m</w:t>
      </w:r>
      <w:r>
        <w:rPr>
          <w:rFonts w:hint="eastAsia" w:ascii="仿宋_GB2312" w:eastAsia="仿宋_GB2312"/>
          <w:color w:val="auto"/>
          <w:sz w:val="28"/>
          <w:szCs w:val="28"/>
          <w:highlight w:val="none"/>
          <w:vertAlign w:val="superscript"/>
        </w:rPr>
        <w:t>2</w:t>
      </w:r>
      <w:r>
        <w:rPr>
          <w:rFonts w:hint="eastAsia" w:ascii="仿宋_GB2312" w:eastAsia="仿宋_GB2312"/>
          <w:color w:val="auto"/>
          <w:sz w:val="28"/>
          <w:szCs w:val="28"/>
          <w:highlight w:val="none"/>
        </w:rPr>
        <w:t>、配套完善相应的供水、供电、空调等生活配套设施</w:t>
      </w:r>
      <w:r>
        <w:rPr>
          <w:rFonts w:hint="eastAsia" w:ascii="仿宋_GB2312" w:eastAsia="仿宋_GB2312"/>
          <w:color w:val="auto"/>
          <w:sz w:val="32"/>
          <w:szCs w:val="32"/>
          <w:highlight w:val="none"/>
          <w:lang w:bidi="ar"/>
        </w:rPr>
        <w:t>。</w:t>
      </w:r>
    </w:p>
    <w:p>
      <w:pPr>
        <w:pStyle w:val="20"/>
        <w:adjustRightInd w:val="0"/>
        <w:snapToGrid w:val="0"/>
        <w:spacing w:line="300" w:lineRule="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二、项目技术要求</w:t>
      </w:r>
      <w:r>
        <w:rPr>
          <w:rFonts w:hint="eastAsia" w:ascii="仿宋_GB2312" w:hAnsi="仿宋_GB2312" w:eastAsia="仿宋_GB2312" w:cs="仿宋_GB2312"/>
          <w:color w:val="auto"/>
          <w:sz w:val="28"/>
          <w:szCs w:val="28"/>
          <w:highlight w:val="none"/>
          <w:lang w:val="zh-CN"/>
        </w:rPr>
        <w:t xml:space="preserve"> </w:t>
      </w:r>
    </w:p>
    <w:p>
      <w:pPr>
        <w:autoSpaceDE w:val="0"/>
        <w:autoSpaceDN w:val="0"/>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zh-CN"/>
        </w:rPr>
        <w:t>1.工程</w:t>
      </w:r>
      <w:r>
        <w:rPr>
          <w:rFonts w:hint="eastAsia" w:ascii="仿宋_GB2312" w:hAnsi="仿宋_GB2312" w:eastAsia="仿宋_GB2312" w:cs="仿宋_GB2312"/>
          <w:color w:val="auto"/>
          <w:sz w:val="28"/>
          <w:szCs w:val="28"/>
          <w:highlight w:val="none"/>
        </w:rPr>
        <w:t>内容</w:t>
      </w:r>
    </w:p>
    <w:p>
      <w:pPr>
        <w:pStyle w:val="2"/>
        <w:rPr>
          <w:rFonts w:hint="eastAsia"/>
          <w:color w:val="auto"/>
          <w:highlight w:val="none"/>
        </w:rPr>
      </w:pPr>
    </w:p>
    <w:tbl>
      <w:tblPr>
        <w:tblStyle w:val="33"/>
        <w:tblW w:w="6002" w:type="pct"/>
        <w:tblInd w:w="250" w:type="dxa"/>
        <w:tblLayout w:type="autofit"/>
        <w:tblCellMar>
          <w:top w:w="0" w:type="dxa"/>
          <w:left w:w="108" w:type="dxa"/>
          <w:bottom w:w="0" w:type="dxa"/>
          <w:right w:w="108" w:type="dxa"/>
        </w:tblCellMar>
      </w:tblPr>
      <w:tblGrid>
        <w:gridCol w:w="616"/>
        <w:gridCol w:w="1606"/>
        <w:gridCol w:w="5016"/>
        <w:gridCol w:w="700"/>
        <w:gridCol w:w="916"/>
        <w:gridCol w:w="674"/>
        <w:gridCol w:w="674"/>
        <w:gridCol w:w="674"/>
      </w:tblGrid>
      <w:tr>
        <w:tblPrEx>
          <w:tblCellMar>
            <w:top w:w="0" w:type="dxa"/>
            <w:left w:w="108" w:type="dxa"/>
            <w:bottom w:w="0" w:type="dxa"/>
            <w:right w:w="108" w:type="dxa"/>
          </w:tblCellMar>
        </w:tblPrEx>
        <w:trPr>
          <w:gridAfter w:val="3"/>
          <w:wAfter w:w="2022" w:type="dxa"/>
          <w:trHeight w:val="587"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lang w:bidi="ar"/>
              </w:rPr>
              <w:t>序号</w:t>
            </w:r>
          </w:p>
        </w:tc>
        <w:tc>
          <w:tcPr>
            <w:tcW w:w="160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lang w:bidi="ar"/>
              </w:rPr>
              <w:t>项目名称</w:t>
            </w:r>
          </w:p>
        </w:tc>
        <w:tc>
          <w:tcPr>
            <w:tcW w:w="5016" w:type="dxa"/>
            <w:tcBorders>
              <w:top w:val="single" w:color="000000" w:sz="4" w:space="0"/>
              <w:left w:val="single" w:color="000000" w:sz="4" w:space="0"/>
              <w:bottom w:val="single" w:color="000000" w:sz="4" w:space="0"/>
              <w:right w:val="single" w:color="000000" w:sz="4" w:space="0"/>
            </w:tcBorders>
            <w:vAlign w:val="center"/>
          </w:tcPr>
          <w:p>
            <w:pPr>
              <w:ind w:firstLine="1680" w:firstLineChars="800"/>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lang w:bidi="ar"/>
              </w:rPr>
              <w:t>项目特征描述</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lang w:bidi="ar"/>
              </w:rPr>
              <w:t>单位</w:t>
            </w:r>
          </w:p>
        </w:tc>
        <w:tc>
          <w:tcPr>
            <w:tcW w:w="91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lang w:bidi="ar"/>
              </w:rPr>
              <w:t>数量</w:t>
            </w:r>
          </w:p>
        </w:tc>
      </w:tr>
      <w:tr>
        <w:tblPrEx>
          <w:tblCellMar>
            <w:top w:w="0" w:type="dxa"/>
            <w:left w:w="108" w:type="dxa"/>
            <w:bottom w:w="0" w:type="dxa"/>
            <w:right w:w="108" w:type="dxa"/>
          </w:tblCellMar>
        </w:tblPrEx>
        <w:trPr>
          <w:trHeight w:val="538"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szCs w:val="21"/>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rPr>
              <w:t>建筑工程</w:t>
            </w:r>
          </w:p>
        </w:tc>
        <w:tc>
          <w:tcPr>
            <w:tcW w:w="501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szCs w:val="21"/>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szCs w:val="21"/>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szCs w:val="21"/>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329"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szCs w:val="21"/>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拆除部分</w:t>
            </w:r>
          </w:p>
        </w:tc>
        <w:tc>
          <w:tcPr>
            <w:tcW w:w="5016" w:type="dxa"/>
            <w:tcBorders>
              <w:top w:val="single" w:color="000000" w:sz="4" w:space="0"/>
              <w:left w:val="single" w:color="000000" w:sz="4" w:space="0"/>
              <w:bottom w:val="single" w:color="000000" w:sz="4" w:space="0"/>
              <w:right w:val="single" w:color="000000" w:sz="4" w:space="0"/>
            </w:tcBorders>
            <w:vAlign w:val="center"/>
          </w:tcPr>
          <w:p>
            <w:pPr>
              <w:numPr>
                <w:ilvl w:val="255"/>
                <w:numId w:val="0"/>
              </w:numPr>
              <w:jc w:val="left"/>
              <w:textAlignment w:val="center"/>
              <w:rPr>
                <w:rFonts w:hint="eastAsia" w:ascii="仿宋_GB2312" w:hAnsi="仿宋_GB2312" w:eastAsia="仿宋_GB2312" w:cs="仿宋_GB2312"/>
                <w:color w:val="auto"/>
                <w:highlight w:val="none"/>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szCs w:val="21"/>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szCs w:val="21"/>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162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szCs w:val="21"/>
                <w:highlight w:val="none"/>
                <w:lang w:bidi="ar"/>
              </w:rPr>
              <w:t>1</w:t>
            </w:r>
          </w:p>
        </w:tc>
        <w:tc>
          <w:tcPr>
            <w:tcW w:w="160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活动板房拆除</w:t>
            </w:r>
          </w:p>
        </w:tc>
        <w:tc>
          <w:tcPr>
            <w:tcW w:w="5016" w:type="dxa"/>
            <w:tcBorders>
              <w:top w:val="single" w:color="000000" w:sz="4" w:space="0"/>
              <w:left w:val="single" w:color="000000" w:sz="4" w:space="0"/>
              <w:bottom w:val="single" w:color="000000" w:sz="4" w:space="0"/>
              <w:right w:val="single" w:color="000000" w:sz="4" w:space="0"/>
            </w:tcBorders>
            <w:vAlign w:val="center"/>
          </w:tcPr>
          <w:p>
            <w:pPr>
              <w:numPr>
                <w:ilvl w:val="0"/>
                <w:numId w:val="5"/>
              </w:numPr>
              <w:jc w:val="left"/>
              <w:textAlignment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0"/>
                <w:szCs w:val="20"/>
                <w:highlight w:val="none"/>
                <w:lang w:bidi="ar"/>
              </w:rPr>
              <w:t>拆除的基层类型:活动板房拆除，墙体厚度为50mm厚玻璃棉夹芯板.</w:t>
            </w:r>
          </w:p>
          <w:p>
            <w:pP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rPr>
              <w:t>2.尺寸：6055mm*2990mm*2730mm</w:t>
            </w:r>
            <w:r>
              <w:rPr>
                <w:rFonts w:hint="eastAsia" w:ascii="仿宋_GB2312" w:hAnsi="仿宋_GB2312" w:eastAsia="仿宋_GB2312" w:cs="仿宋_GB2312"/>
                <w:color w:val="auto"/>
                <w:kern w:val="0"/>
                <w:sz w:val="20"/>
                <w:szCs w:val="20"/>
                <w:highlight w:val="none"/>
                <w:lang w:bidi="ar"/>
              </w:rPr>
              <w:br w:type="textWrapping"/>
            </w:r>
            <w:r>
              <w:rPr>
                <w:rFonts w:hint="eastAsia" w:ascii="仿宋_GB2312" w:hAnsi="仿宋_GB2312" w:eastAsia="仿宋_GB2312" w:cs="仿宋_GB2312"/>
                <w:color w:val="auto"/>
                <w:kern w:val="0"/>
                <w:sz w:val="20"/>
                <w:szCs w:val="20"/>
                <w:highlight w:val="none"/>
                <w:lang w:bidi="ar"/>
              </w:rPr>
              <w:t>3.拆除废料外运 运距综合考虑</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m2</w:t>
            </w:r>
          </w:p>
        </w:tc>
        <w:tc>
          <w:tcPr>
            <w:tcW w:w="91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1173.42</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558"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szCs w:val="21"/>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箱体部分</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szCs w:val="21"/>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szCs w:val="21"/>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szCs w:val="21"/>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396"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rPr>
              <w:t>2</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标准箱</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rPr>
              <w:t>1.类型：标准箱</w:t>
            </w:r>
            <w:r>
              <w:rPr>
                <w:rFonts w:hint="eastAsia" w:ascii="仿宋_GB2312" w:hAnsi="仿宋_GB2312" w:eastAsia="仿宋_GB2312" w:cs="仿宋_GB2312"/>
                <w:color w:val="auto"/>
                <w:kern w:val="0"/>
                <w:sz w:val="20"/>
                <w:szCs w:val="20"/>
                <w:highlight w:val="none"/>
                <w:lang w:bidi="ar"/>
              </w:rPr>
              <w:br w:type="textWrapping"/>
            </w:r>
            <w:r>
              <w:rPr>
                <w:rFonts w:hint="eastAsia" w:ascii="仿宋_GB2312" w:hAnsi="仿宋_GB2312" w:eastAsia="仿宋_GB2312" w:cs="仿宋_GB2312"/>
                <w:color w:val="auto"/>
                <w:kern w:val="0"/>
                <w:sz w:val="20"/>
                <w:szCs w:val="20"/>
                <w:highlight w:val="none"/>
                <w:lang w:bidi="ar"/>
              </w:rPr>
              <w:t>2.尺寸：大于或等于6055*2990*2730</w:t>
            </w:r>
            <w:r>
              <w:rPr>
                <w:rFonts w:hint="eastAsia" w:ascii="仿宋_GB2312" w:hAnsi="仿宋_GB2312" w:eastAsia="仿宋_GB2312" w:cs="仿宋_GB2312"/>
                <w:color w:val="auto"/>
                <w:kern w:val="0"/>
                <w:sz w:val="20"/>
                <w:szCs w:val="20"/>
                <w:highlight w:val="none"/>
                <w:lang w:bidi="ar"/>
              </w:rPr>
              <w:br w:type="textWrapping"/>
            </w:r>
            <w:r>
              <w:rPr>
                <w:rFonts w:hint="eastAsia" w:ascii="仿宋_GB2312" w:hAnsi="仿宋_GB2312" w:eastAsia="仿宋_GB2312" w:cs="仿宋_GB2312"/>
                <w:color w:val="auto"/>
                <w:kern w:val="0"/>
                <w:sz w:val="20"/>
                <w:szCs w:val="20"/>
                <w:highlight w:val="none"/>
                <w:lang w:bidi="ar"/>
              </w:rPr>
              <w:t>3.材料：镀锌钢立体结构、50mm厚玻璃棉夹芯板墙体，燃烧性能为A级不燃。含接地防雷装置。</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套</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17</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152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rPr>
              <w:t>3</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卫生间标准箱</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b/>
                <w:bCs/>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1.类型：卫生间标准箱</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2.箱体规格尺寸：大于或等于6055mm*2990mm*2730mm镀锌钢立体结构，50mm厚玻璃棉夹芯板、每个厕所标准箱分成4个隔间或更多。</w:t>
            </w:r>
            <w:r>
              <w:rPr>
                <w:rFonts w:hint="eastAsia" w:ascii="仿宋_GB2312" w:hAnsi="仿宋_GB2312" w:eastAsia="仿宋_GB2312" w:cs="仿宋_GB2312"/>
                <w:color w:val="auto"/>
                <w:kern w:val="0"/>
                <w:sz w:val="20"/>
                <w:szCs w:val="20"/>
                <w:highlight w:val="none"/>
                <w:lang w:bidi="ar"/>
              </w:rPr>
              <w:t>含接地防雷装置，含化粪池。</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套</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2</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54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4</w:t>
            </w:r>
          </w:p>
        </w:tc>
        <w:tc>
          <w:tcPr>
            <w:tcW w:w="160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16"/>
                <w:szCs w:val="16"/>
                <w:highlight w:val="none"/>
                <w:lang w:bidi="ar"/>
                <w14:ligatures w14:val="standardContextual"/>
              </w:rPr>
              <w:t>箱体吊装、安装费</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安装费 包括运输等按要求完成安装一切工作。</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套</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19</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366"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箱体地面</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220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5</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块料楼地面</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1.找平层厚度、砂浆配合比:20mm抹灰水泥砂浆(配合比) 中砂 1:2.5</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2.结合层厚度、砂浆配合比:20mm抹灰水泥砂浆(配合比) 中砂 1:2.5</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3.面层材料品种、规格、颜色:600*600抛光砖</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4.位置：17个标准箱</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m2</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307.78</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2263"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6</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块料楼地面</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1.找平层厚度、砂浆配合比:20mm抹灰水泥砂浆(配合比) 中砂 1:2.5</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2.结合层厚度、砂浆配合比:20mm抹灰水泥砂浆(配合比) 中砂 1:2.5</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3.面层材料品种、规格、颜色:600*600防滑砖</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4.位置：2个卫生间标准箱</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m2</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36.21</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397"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7</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水泥混凝土</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1.混凝土强度等级:C30混泥土路面</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2.厚度:10CM</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m2</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736</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1044"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8</w:t>
            </w:r>
          </w:p>
        </w:tc>
        <w:tc>
          <w:tcPr>
            <w:tcW w:w="160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排水沟盖升高10cm,换铸铁沟盖</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1.排水沟盖升高10cm,换铸铁沟盖</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2.成品铸铁沟盖600*300</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56</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367"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2"/>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雨棚、吊顶部分</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1134"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9</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2"/>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型材屋面</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1.型材品种、规格:镀锌扁管40mm*20mm*2mm</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2.面层材料品种、规格:50mm厚玻璃棉夹芯板</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3.钢结构重量：4.29KG/m2</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m2</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457.77</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63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10</w:t>
            </w:r>
          </w:p>
        </w:tc>
        <w:tc>
          <w:tcPr>
            <w:tcW w:w="160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吊顶天棚</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 xml:space="preserve">1.吊顶形式:不上人型U型轻钢龙骨吊顶，平面  </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 xml:space="preserve">2.龙骨材料种类、规格、中距:Φ6．5钢筋吊杆、双向吊点、中距900mm；U型轻钢主龙骨38mm×12mm×l.0mm，中距1000mm；次龙骨50mm×19mm×0.5mm，中距450mm；覆面横撑龙骨50mm×19mm×0．5mm，中距600mm  </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3.面层材料品种、规格、晶牌、颜色:方型铝扣板面层 600×600*1mm</w:t>
            </w:r>
          </w:p>
        </w:tc>
        <w:tc>
          <w:tcPr>
            <w:tcW w:w="700"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m2</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109.76</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381"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措施项目</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63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11</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活动脚手架</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1.天棚活动脚手架</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m2</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109.76</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44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12</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垫层模板</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1.混凝土基础垫层 木模</w:t>
            </w:r>
          </w:p>
        </w:tc>
        <w:tc>
          <w:tcPr>
            <w:tcW w:w="700"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m2</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28.04</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336"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安装工程</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351"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空调部分</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1074"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13</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空调器</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 xml:space="preserve">1.名称:壁挂空调 </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2.型号:1.5P</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3.规格:二级能效以上、变频空调，相关技术参数等同或不低于格力、美的品牌。</w:t>
            </w:r>
          </w:p>
        </w:tc>
        <w:tc>
          <w:tcPr>
            <w:tcW w:w="700"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台</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17</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616"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14</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设备支架</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1.材质:不锈钢空调支架</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套</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17</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351"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强电部分</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80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15</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配电箱</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1.名称:集装箱配电箱</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2.位数：6位</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台</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19</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74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16</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线槽</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1.名称:塑料线槽</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2.规格:12*24</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442.7</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1134"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17</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配线</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1.名称:铜线电线</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2.配线形式:BV-2.5mm2</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3.配线部位:线槽配线</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923.4</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90"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18</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配线</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1.名称:铜线电线</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2.配线形式:BV-4mm2</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3.配线部位:线槽配线</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706.8</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969"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19</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空调插座</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1.名称:空调插座、热水器插座（新国标）</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2.材质:220V16A</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3.安装方式:明装</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个</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21</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1360"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20</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LED灯管</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1.名称:LED灯管</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2.型号:1.2m 24W</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3.安装形式:吸顶式，技术参数需等同或不低于飞利浦、欧普、佛山照明品牌</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套</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38</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67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21</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排气扇</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1.名称:排气扇</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2.型号:300*300</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台</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19</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969"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22</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二三插座</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1.名称:二三插座（每个房间配6个、新国标）</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2.材质:220V10A</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3.安装方式:明装</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个</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76</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999"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23</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照明开关</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1.名称:三位开关</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2.材质:220V10A</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3.安装方式:明装</w:t>
            </w:r>
          </w:p>
        </w:tc>
        <w:tc>
          <w:tcPr>
            <w:tcW w:w="700"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个</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19</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651"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24</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接线盒</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1.接线盒安装 普通接线盒 明装（具备防水功能）</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个</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116</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321"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给排水部分</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864"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25</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PVC天沟屋檐沟管雨水槽</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1.排水管品种、规格:成品PVC天沟屋檐沟管雨水槽</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2.品种、规格:160mm*110mm*2.2mm</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59.45</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175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26</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塑料管</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 xml:space="preserve">1.安装部位:室外  </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2.输送介质:雨水管</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 xml:space="preserve">3.材质:UPVC  </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 xml:space="preserve">4.型号、规格:DN1OOmm  </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5.连接方式:粘接连接</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29.7</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733"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27</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塑料管</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1.安装部位:卫生间标准箱</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2.用途:给水管</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3.材质、规格:PPRDN25</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4.连接形式:热熔连接</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100</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891"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28</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塑料管</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1.安装部位:卫生间标准箱</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2.用途:排水管</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3.材质、规格:PVC、DN75</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4.连接形式:粘接连接</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65</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140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29</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塑料管</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1.安装部位:卫生间标准箱</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2.用途:排污管</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3.材质、规格:PVC、DN110</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4.连接形式:粘接连接</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65</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79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30</w:t>
            </w:r>
          </w:p>
        </w:tc>
        <w:tc>
          <w:tcPr>
            <w:tcW w:w="160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给、排水附(配)件</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1.安装部位:卫生间标准箱</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2.型号、规格:不锈钢水龙头DN20</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个</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6</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81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31</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给、排水附(配)件</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1.安装部位:卫生间标准箱</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2.型号、规格:不锈钢地漏DN80</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个</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6</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50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监控部分</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221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32</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硬盘录像机</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名称：硬盘录像机</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1. 操作系统：嵌入式Linux操作系统；</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 操作界面：Web，本地GUI；</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 接入路数：≥16路；</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4. 存储硬盘：≥9个SATA，单盘最大16TB。；</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5. 其他具体按照方案实施</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台</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2173"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33</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3.5寸8TBAI硬盘</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1.名称:3.5寸8TBAI硬盘</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2.规格:8TB</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3.存储容量、格式:1. 单盘容量：≥8TB；</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 硬盘接口：SATA；</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 转速：≥7200RPM；</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4. 缓存：≥256MB</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台</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1420"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34</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400万7寸球机</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名称：400万7寸球机</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1. 内置≥2个GPU芯片，由全景摄像机和细节摄像机组成</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 细节相机支持不小于24倍光学变倍</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 ▲全景摄像机具有具备4个白光灯，细节摄像机具备4颗红外灯和2颗白光灯。</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4. 全景摄像机与细节摄像机互为180°夹角监控</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5.其他具体按照方案实施</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台</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2519"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35</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200万红外筒型网络摄像机</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 xml:space="preserve">1.名称:200万红外筒型网络摄像机 </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2.类别:1.传感器类型：1/2.8英寸CMOS；</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2.像素：200万；</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3.最大分辨率：1920×1080；</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4.最低照度：0.002lux（彩色模式）；0.0002lux（黑白模式）；0lux（补光灯开启）；</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5.其他具体按照方案实施</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台</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541"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网络部分</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635"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36</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8口poe交换机</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1.名称:8口poe交换机</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2.功能:二层网管交换机，交换容量336Gbps，包转发率56Mpps，8口10/100/1000Mbps自适应电口交换机，固化2个SFP千兆光口，支持VLAN、ACL、端口镜像、端口聚合等功能，支持APP和云平台统一管理。</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套</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441"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37</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六类网线</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1.名称:六类网线</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100</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727"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38</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室外光纤</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1.名称:光纤</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2.规格:4芯</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m</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100</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536"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39</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收发器</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1.名称:千兆光纤收发器</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台</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421"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洁具部分</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1104"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40</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大便器</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1.材质:陶瓷</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2.规格、类型:蹲式</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3.安装部位:厕所</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组</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4</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74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41</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淋浴器</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1.材质、规格:不锈钢，手动开关，冷热水</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2.安装部位:卫生间标准箱</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套</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14:ligatures w14:val="standardContextual"/>
              </w:rPr>
              <w:t>4</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831"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42</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14:ligatures w14:val="standardContextual"/>
              </w:rPr>
            </w:pPr>
            <w:r>
              <w:rPr>
                <w:rFonts w:hint="eastAsia" w:ascii="仿宋_GB2312" w:hAnsi="仿宋_GB2312" w:eastAsia="仿宋_GB2312" w:cs="仿宋_GB2312"/>
                <w:color w:val="auto"/>
                <w:kern w:val="0"/>
                <w:sz w:val="20"/>
                <w:szCs w:val="20"/>
                <w:highlight w:val="none"/>
                <w:lang w:bidi="ar"/>
                <w14:ligatures w14:val="standardContextual"/>
              </w:rPr>
              <w:t>洗漱台柜</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14:ligatures w14:val="standardContextual"/>
              </w:rPr>
            </w:pPr>
            <w:r>
              <w:rPr>
                <w:rFonts w:hint="eastAsia" w:ascii="仿宋_GB2312" w:hAnsi="仿宋_GB2312" w:eastAsia="仿宋_GB2312" w:cs="仿宋_GB2312"/>
                <w:color w:val="auto"/>
                <w:kern w:val="0"/>
                <w:sz w:val="20"/>
                <w:szCs w:val="20"/>
                <w:highlight w:val="none"/>
                <w:lang w:bidi="ar"/>
                <w14:ligatures w14:val="standardContextual"/>
              </w:rPr>
              <w:t>1.类型:成套铝合金洗手台（带洁具、镜子）</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2.规格：1200mm*600*600</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14:ligatures w14:val="standardContextual"/>
              </w:rPr>
            </w:pPr>
            <w:r>
              <w:rPr>
                <w:rFonts w:hint="eastAsia" w:ascii="仿宋_GB2312" w:hAnsi="仿宋_GB2312" w:eastAsia="仿宋_GB2312" w:cs="仿宋_GB2312"/>
                <w:color w:val="auto"/>
                <w:kern w:val="0"/>
                <w:sz w:val="20"/>
                <w:szCs w:val="20"/>
                <w:highlight w:val="none"/>
                <w:lang w:bidi="ar"/>
                <w14:ligatures w14:val="standardContextual"/>
              </w:rPr>
              <w:t>组</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14:ligatures w14:val="standardContextual"/>
              </w:rPr>
            </w:pPr>
            <w:r>
              <w:rPr>
                <w:rFonts w:hint="eastAsia" w:ascii="仿宋_GB2312" w:hAnsi="仿宋_GB2312" w:eastAsia="仿宋_GB2312" w:cs="仿宋_GB2312"/>
                <w:color w:val="auto"/>
                <w:kern w:val="0"/>
                <w:sz w:val="20"/>
                <w:szCs w:val="20"/>
                <w:highlight w:val="none"/>
                <w:lang w:bidi="ar"/>
                <w14:ligatures w14:val="standardContextual"/>
              </w:rPr>
              <w:t>2</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554"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14:ligatures w14:val="standardContextual"/>
              </w:rPr>
            </w:pPr>
            <w:r>
              <w:rPr>
                <w:rFonts w:hint="eastAsia" w:ascii="仿宋_GB2312" w:hAnsi="仿宋_GB2312" w:eastAsia="仿宋_GB2312" w:cs="仿宋_GB2312"/>
                <w:color w:val="auto"/>
                <w:kern w:val="0"/>
                <w:sz w:val="20"/>
                <w:szCs w:val="20"/>
                <w:highlight w:val="none"/>
                <w:lang w:bidi="ar"/>
                <w14:ligatures w14:val="standardContextual"/>
              </w:rPr>
              <w:t>消防部分</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14:ligatures w14:val="standardContextual"/>
              </w:rPr>
            </w:pP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14:ligatures w14:val="standardContextual"/>
              </w:rPr>
            </w:pP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14:ligatures w14:val="standardContextual"/>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r>
        <w:tblPrEx>
          <w:tblCellMar>
            <w:top w:w="0" w:type="dxa"/>
            <w:left w:w="108" w:type="dxa"/>
            <w:bottom w:w="0" w:type="dxa"/>
            <w:right w:w="108" w:type="dxa"/>
          </w:tblCellMar>
        </w:tblPrEx>
        <w:trPr>
          <w:trHeight w:val="911"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kern w:val="0"/>
                <w:sz w:val="20"/>
                <w:szCs w:val="20"/>
                <w:highlight w:val="none"/>
                <w:lang w:bidi="ar"/>
              </w:rPr>
              <w:t>43</w:t>
            </w:r>
          </w:p>
        </w:tc>
        <w:tc>
          <w:tcPr>
            <w:tcW w:w="160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14:ligatures w14:val="standardContextual"/>
              </w:rPr>
            </w:pPr>
            <w:r>
              <w:rPr>
                <w:rFonts w:hint="eastAsia" w:ascii="仿宋_GB2312" w:hAnsi="仿宋_GB2312" w:eastAsia="仿宋_GB2312" w:cs="仿宋_GB2312"/>
                <w:color w:val="auto"/>
                <w:kern w:val="0"/>
                <w:sz w:val="20"/>
                <w:szCs w:val="20"/>
                <w:highlight w:val="none"/>
                <w:lang w:bidi="ar"/>
                <w14:ligatures w14:val="standardContextual"/>
              </w:rPr>
              <w:t>灭火器</w:t>
            </w:r>
          </w:p>
        </w:tc>
        <w:tc>
          <w:tcPr>
            <w:tcW w:w="5016" w:type="dxa"/>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hint="eastAsia" w:ascii="仿宋_GB2312" w:hAnsi="仿宋_GB2312" w:eastAsia="仿宋_GB2312" w:cs="仿宋_GB2312"/>
                <w:color w:val="auto"/>
                <w:kern w:val="0"/>
                <w:sz w:val="20"/>
                <w:szCs w:val="20"/>
                <w:highlight w:val="none"/>
                <w:lang w:bidi="ar"/>
                <w14:ligatures w14:val="standardContextual"/>
              </w:rPr>
            </w:pPr>
            <w:r>
              <w:rPr>
                <w:rFonts w:hint="eastAsia" w:ascii="仿宋_GB2312" w:hAnsi="仿宋_GB2312" w:eastAsia="仿宋_GB2312" w:cs="仿宋_GB2312"/>
                <w:color w:val="auto"/>
                <w:kern w:val="0"/>
                <w:sz w:val="20"/>
                <w:szCs w:val="20"/>
                <w:highlight w:val="none"/>
                <w:lang w:bidi="ar"/>
                <w14:ligatures w14:val="standardContextual"/>
              </w:rPr>
              <w:t>1.形式:灭火器具放置箱</w:t>
            </w:r>
            <w:r>
              <w:rPr>
                <w:rFonts w:hint="eastAsia" w:ascii="仿宋_GB2312" w:hAnsi="仿宋_GB2312" w:eastAsia="仿宋_GB2312" w:cs="仿宋_GB2312"/>
                <w:color w:val="auto"/>
                <w:kern w:val="0"/>
                <w:sz w:val="20"/>
                <w:szCs w:val="20"/>
                <w:highlight w:val="none"/>
                <w:lang w:bidi="ar"/>
                <w14:ligatures w14:val="standardContextual"/>
              </w:rPr>
              <w:br w:type="textWrapping"/>
            </w:r>
            <w:r>
              <w:rPr>
                <w:rFonts w:hint="eastAsia" w:ascii="仿宋_GB2312" w:hAnsi="仿宋_GB2312" w:eastAsia="仿宋_GB2312" w:cs="仿宋_GB2312"/>
                <w:color w:val="auto"/>
                <w:kern w:val="0"/>
                <w:sz w:val="20"/>
                <w:szCs w:val="20"/>
                <w:highlight w:val="none"/>
                <w:lang w:bidi="ar"/>
                <w14:ligatures w14:val="standardContextual"/>
              </w:rPr>
              <w:t>2.规格、型号:含两个干粉灭火器4KG</w:t>
            </w:r>
          </w:p>
        </w:tc>
        <w:tc>
          <w:tcPr>
            <w:tcW w:w="70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hint="eastAsia" w:ascii="仿宋_GB2312" w:hAnsi="仿宋_GB2312" w:eastAsia="仿宋_GB2312" w:cs="仿宋_GB2312"/>
                <w:color w:val="auto"/>
                <w:kern w:val="0"/>
                <w:sz w:val="20"/>
                <w:szCs w:val="20"/>
                <w:highlight w:val="none"/>
                <w:lang w:bidi="ar"/>
                <w14:ligatures w14:val="standardContextual"/>
              </w:rPr>
            </w:pPr>
            <w:r>
              <w:rPr>
                <w:rFonts w:hint="eastAsia" w:ascii="仿宋_GB2312" w:hAnsi="仿宋_GB2312" w:eastAsia="仿宋_GB2312" w:cs="仿宋_GB2312"/>
                <w:color w:val="auto"/>
                <w:kern w:val="0"/>
                <w:sz w:val="20"/>
                <w:szCs w:val="20"/>
                <w:highlight w:val="none"/>
                <w:lang w:bidi="ar"/>
                <w14:ligatures w14:val="standardContextual"/>
              </w:rPr>
              <w:t>组</w:t>
            </w:r>
          </w:p>
        </w:tc>
        <w:tc>
          <w:tcPr>
            <w:tcW w:w="91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仿宋_GB2312" w:hAnsi="仿宋_GB2312" w:eastAsia="仿宋_GB2312" w:cs="仿宋_GB2312"/>
                <w:color w:val="auto"/>
                <w:kern w:val="0"/>
                <w:sz w:val="20"/>
                <w:szCs w:val="20"/>
                <w:highlight w:val="none"/>
                <w:lang w:bidi="ar"/>
                <w14:ligatures w14:val="standardContextual"/>
              </w:rPr>
            </w:pPr>
            <w:r>
              <w:rPr>
                <w:rFonts w:hint="eastAsia" w:ascii="仿宋_GB2312" w:hAnsi="仿宋_GB2312" w:eastAsia="仿宋_GB2312" w:cs="仿宋_GB2312"/>
                <w:color w:val="auto"/>
                <w:kern w:val="0"/>
                <w:sz w:val="20"/>
                <w:szCs w:val="20"/>
                <w:highlight w:val="none"/>
                <w:lang w:bidi="ar"/>
                <w14:ligatures w14:val="standardContextual"/>
              </w:rPr>
              <w:t>38</w:t>
            </w: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c>
          <w:tcPr>
            <w:tcW w:w="674" w:type="dxa"/>
            <w:vAlign w:val="center"/>
          </w:tcPr>
          <w:p>
            <w:pPr>
              <w:widowControl/>
              <w:spacing w:after="0" w:line="240" w:lineRule="auto"/>
              <w:jc w:val="left"/>
              <w:rPr>
                <w:rFonts w:hint="eastAsia" w:ascii="仿宋_GB2312" w:hAnsi="仿宋_GB2312" w:eastAsia="仿宋_GB2312" w:cs="仿宋_GB2312"/>
                <w:color w:val="auto"/>
                <w:highlight w:val="none"/>
              </w:rPr>
            </w:pPr>
          </w:p>
        </w:tc>
      </w:tr>
    </w:tbl>
    <w:p>
      <w:pPr>
        <w:pStyle w:val="20"/>
        <w:rPr>
          <w:rFonts w:hint="eastAsia" w:ascii="仿宋_GB2312" w:hAnsi="仿宋_GB2312" w:eastAsia="仿宋_GB2312" w:cs="仿宋_GB2312"/>
          <w:color w:val="auto"/>
          <w:highlight w:val="none"/>
          <w:lang w:val="zh-CN"/>
        </w:rPr>
      </w:pPr>
      <w:r>
        <w:rPr>
          <w:rFonts w:hint="eastAsia" w:ascii="仿宋_GB2312" w:hAnsi="仿宋_GB2312" w:eastAsia="仿宋_GB2312" w:cs="仿宋_GB2312"/>
          <w:color w:val="auto"/>
          <w:highlight w:val="none"/>
          <w:lang w:val="zh-CN"/>
        </w:rPr>
        <w:t>本项目清单仅供参考，在建设过程中除非建设单位提出变更外，施工单位</w:t>
      </w:r>
      <w:r>
        <w:rPr>
          <w:rFonts w:hint="eastAsia" w:ascii="仿宋_GB2312" w:hAnsi="仿宋_GB2312" w:eastAsia="仿宋_GB2312" w:cs="仿宋_GB2312"/>
          <w:color w:val="auto"/>
          <w:highlight w:val="none"/>
        </w:rPr>
        <w:t>需按要求</w:t>
      </w:r>
      <w:r>
        <w:rPr>
          <w:rFonts w:hint="eastAsia" w:ascii="仿宋_GB2312" w:hAnsi="仿宋_GB2312" w:eastAsia="仿宋_GB2312" w:cs="仿宋_GB2312"/>
          <w:color w:val="auto"/>
          <w:highlight w:val="none"/>
          <w:lang w:val="zh-CN"/>
        </w:rPr>
        <w:t>完成项目</w:t>
      </w:r>
      <w:r>
        <w:rPr>
          <w:rFonts w:hint="eastAsia" w:ascii="仿宋_GB2312" w:hAnsi="仿宋_GB2312" w:eastAsia="仿宋_GB2312" w:cs="仿宋_GB2312"/>
          <w:color w:val="auto"/>
          <w:highlight w:val="none"/>
        </w:rPr>
        <w:t>清单工程量和技术要求及</w:t>
      </w:r>
      <w:r>
        <w:rPr>
          <w:rFonts w:hint="eastAsia" w:ascii="仿宋_GB2312" w:hAnsi="仿宋_GB2312" w:eastAsia="仿宋_GB2312" w:cs="仿宋_GB2312"/>
          <w:color w:val="auto"/>
          <w:highlight w:val="none"/>
          <w:lang w:val="zh-CN"/>
        </w:rPr>
        <w:t>本询价文件</w:t>
      </w:r>
      <w:r>
        <w:rPr>
          <w:rFonts w:hint="eastAsia" w:ascii="仿宋_GB2312" w:hAnsi="仿宋_GB2312" w:eastAsia="仿宋_GB2312" w:cs="仿宋_GB2312"/>
          <w:color w:val="auto"/>
          <w:highlight w:val="none"/>
        </w:rPr>
        <w:t>其他</w:t>
      </w:r>
      <w:r>
        <w:rPr>
          <w:rFonts w:hint="eastAsia" w:ascii="仿宋_GB2312" w:hAnsi="仿宋_GB2312" w:eastAsia="仿宋_GB2312" w:cs="仿宋_GB2312"/>
          <w:color w:val="auto"/>
          <w:highlight w:val="none"/>
          <w:lang w:val="zh-CN"/>
        </w:rPr>
        <w:t>相关</w:t>
      </w:r>
      <w:r>
        <w:rPr>
          <w:rFonts w:hint="eastAsia" w:ascii="仿宋_GB2312" w:hAnsi="仿宋_GB2312" w:eastAsia="仿宋_GB2312" w:cs="仿宋_GB2312"/>
          <w:color w:val="auto"/>
          <w:highlight w:val="none"/>
        </w:rPr>
        <w:t>文件</w:t>
      </w:r>
      <w:r>
        <w:rPr>
          <w:rFonts w:hint="eastAsia" w:ascii="仿宋_GB2312" w:hAnsi="仿宋_GB2312" w:eastAsia="仿宋_GB2312" w:cs="仿宋_GB2312"/>
          <w:color w:val="auto"/>
          <w:highlight w:val="none"/>
          <w:lang w:val="zh-CN"/>
        </w:rPr>
        <w:t>要求提出的</w:t>
      </w:r>
      <w:r>
        <w:rPr>
          <w:rFonts w:hint="eastAsia" w:ascii="仿宋_GB2312" w:hAnsi="仿宋_GB2312" w:eastAsia="仿宋_GB2312" w:cs="仿宋_GB2312"/>
          <w:color w:val="auto"/>
          <w:highlight w:val="none"/>
        </w:rPr>
        <w:t>工程量及技术要求</w:t>
      </w:r>
      <w:r>
        <w:rPr>
          <w:rFonts w:hint="eastAsia" w:ascii="仿宋_GB2312" w:hAnsi="仿宋_GB2312" w:eastAsia="仿宋_GB2312" w:cs="仿宋_GB2312"/>
          <w:color w:val="auto"/>
          <w:highlight w:val="none"/>
          <w:lang w:val="zh-CN"/>
        </w:rPr>
        <w:t>，包括但不止于涉及的设备、土建设施、电气装备、视频监控等项目。</w:t>
      </w:r>
    </w:p>
    <w:p>
      <w:pPr>
        <w:autoSpaceDE w:val="0"/>
        <w:autoSpaceDN w:val="0"/>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w:t>
      </w:r>
      <w:r>
        <w:rPr>
          <w:rFonts w:hint="eastAsia" w:ascii="仿宋_GB2312" w:hAnsi="仿宋_GB2312" w:eastAsia="仿宋_GB2312" w:cs="仿宋_GB2312"/>
          <w:color w:val="auto"/>
          <w:sz w:val="28"/>
          <w:szCs w:val="28"/>
          <w:highlight w:val="none"/>
          <w:lang w:val="zh-CN"/>
        </w:rPr>
        <w:t>.项目特殊要求</w:t>
      </w:r>
    </w:p>
    <w:p>
      <w:pPr>
        <w:autoSpaceDE w:val="0"/>
        <w:autoSpaceDN w:val="0"/>
        <w:ind w:firstLine="560" w:firstLineChars="200"/>
        <w:rPr>
          <w:rFonts w:hint="eastAsia" w:ascii="仿宋" w:hAnsi="仿宋" w:eastAsia="仿宋"/>
          <w:color w:val="auto"/>
          <w:sz w:val="28"/>
          <w:szCs w:val="28"/>
          <w:highlight w:val="none"/>
        </w:rPr>
      </w:pPr>
      <w:r>
        <w:rPr>
          <w:rFonts w:hint="eastAsia" w:ascii="仿宋_GB2312" w:hAnsi="仿宋_GB2312" w:eastAsia="仿宋_GB2312" w:cs="仿宋_GB2312"/>
          <w:color w:val="auto"/>
          <w:sz w:val="28"/>
          <w:szCs w:val="28"/>
          <w:highlight w:val="none"/>
        </w:rPr>
        <w:t>1、因施工地点位于高压线下，施工过程需考虑相应的施工条件，制定相应的安全管理措施，相应的费用不考虑增加</w:t>
      </w:r>
      <w:r>
        <w:rPr>
          <w:rFonts w:hint="eastAsia" w:ascii="仿宋" w:hAnsi="仿宋" w:eastAsia="仿宋"/>
          <w:color w:val="auto"/>
          <w:sz w:val="28"/>
          <w:szCs w:val="28"/>
          <w:highlight w:val="none"/>
        </w:rPr>
        <w:t>。</w:t>
      </w:r>
    </w:p>
    <w:p>
      <w:pPr>
        <w:autoSpaceDE w:val="0"/>
        <w:autoSpaceDN w:val="0"/>
        <w:ind w:firstLine="560" w:firstLineChars="200"/>
        <w:rPr>
          <w:rFonts w:eastAsia="仿宋"/>
          <w:color w:val="auto"/>
          <w:highlight w:val="none"/>
        </w:rPr>
      </w:pPr>
      <w:r>
        <w:rPr>
          <w:rFonts w:hint="eastAsia" w:ascii="仿宋" w:hAnsi="仿宋" w:eastAsia="仿宋"/>
          <w:color w:val="auto"/>
          <w:sz w:val="28"/>
          <w:szCs w:val="28"/>
          <w:highlight w:val="none"/>
        </w:rPr>
        <w:t>2.</w:t>
      </w:r>
      <w:r>
        <w:rPr>
          <w:rFonts w:hint="eastAsia" w:ascii="仿宋_GB2312" w:eastAsia="仿宋_GB2312"/>
          <w:color w:val="auto"/>
          <w:sz w:val="28"/>
          <w:szCs w:val="28"/>
          <w:highlight w:val="none"/>
        </w:rPr>
        <w:t xml:space="preserve">供应商需在响应文件中提供混凝土绿色建材产品认证证书复印件或提供在全国认证认可信息公开服务平台（http：//cx.cnca.cn）查询的截图。  </w:t>
      </w:r>
    </w:p>
    <w:p>
      <w:pPr>
        <w:spacing w:line="360" w:lineRule="auto"/>
        <w:ind w:firstLine="562" w:firstLineChars="200"/>
        <w:rPr>
          <w:rFonts w:hint="eastAsia"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二、项目技术要求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（1）模块化箱式板房房屋应严格执行相关标准，且需配备相应的资质证书及检验报告，除满足项目清单内容外还需满足下表表格要求（详见下列表格及结构部位示意图）。</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6"/>
        <w:gridCol w:w="6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060" w:type="dxa"/>
            <w:gridSpan w:val="2"/>
          </w:tcPr>
          <w:p>
            <w:pPr>
              <w:numPr>
                <w:ilvl w:val="255"/>
                <w:numId w:val="0"/>
              </w:numPr>
              <w:spacing w:line="360" w:lineRule="auto"/>
              <w:jc w:val="center"/>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模块化箱式板房（整体使用年限≥15年）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426" w:type="dxa"/>
          </w:tcPr>
          <w:p>
            <w:pPr>
              <w:numPr>
                <w:ilvl w:val="255"/>
                <w:numId w:val="0"/>
              </w:num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部位</w:t>
            </w:r>
          </w:p>
        </w:tc>
        <w:tc>
          <w:tcPr>
            <w:tcW w:w="6634" w:type="dxa"/>
          </w:tcPr>
          <w:p>
            <w:pPr>
              <w:numPr>
                <w:ilvl w:val="255"/>
                <w:numId w:val="0"/>
              </w:num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60" w:type="dxa"/>
            <w:gridSpan w:val="2"/>
          </w:tcPr>
          <w:p>
            <w:pPr>
              <w:spacing w:line="360" w:lineRule="auto"/>
              <w:jc w:val="center"/>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角柱</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热镀锌型钢，T≥3.0mm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顶框主梁</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热镀锌型钢，T≥2.5mm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顶框次梁</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热镀锌冷弯C型钢，T≥1.5mm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底框主梁</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热镀锌型钢，T≥3.0mm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底框次梁</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热镀锌冷弯C型钢，T≥2.0mm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涂装</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水性漆30-60</w:t>
            </w:r>
            <w:r>
              <w:rPr>
                <w:rFonts w:hint="eastAsia" w:ascii="仿宋_GB2312" w:hAnsi="Calibri" w:eastAsia="仿宋_GB2312" w:cs="Calibri"/>
                <w:color w:val="auto"/>
                <w:sz w:val="24"/>
                <w:szCs w:val="24"/>
                <w:highlight w:val="none"/>
              </w:rPr>
              <w:t>µ</w:t>
            </w:r>
            <w:r>
              <w:rPr>
                <w:rFonts w:hint="eastAsia" w:ascii="仿宋_GB2312" w:hAnsi="仿宋" w:eastAsia="仿宋_GB2312" w:cs="仿宋"/>
                <w:color w:val="auto"/>
                <w:sz w:val="24"/>
                <w:szCs w:val="24"/>
                <w:highlight w:val="none"/>
              </w:rPr>
              <w:t>mmm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tcPr>
          <w:p>
            <w:pPr>
              <w:spacing w:line="360" w:lineRule="auto"/>
              <w:jc w:val="center"/>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屋面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屋面顶板</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0.4mm厚镀锌彩钢板，颜色白灰色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屋面保温</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50mm厚单面铝箔玻璃丝棉，容重12g/m</w:t>
            </w:r>
            <w:r>
              <w:rPr>
                <w:rFonts w:hint="eastAsia" w:ascii="Calibri" w:hAnsi="Calibri" w:eastAsia="仿宋_GB2312" w:cs="Calibri"/>
                <w:color w:val="auto"/>
                <w:sz w:val="24"/>
                <w:szCs w:val="24"/>
                <w:highlight w:val="none"/>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屋面吊顶</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压型彩钢板条型吊顶，0.35mm厚镀锌彩钢板，颜色白灰色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tcPr>
          <w:p>
            <w:pPr>
              <w:spacing w:line="360" w:lineRule="auto"/>
              <w:jc w:val="center"/>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装饰面层</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1.6mm厚PVC卷材地板，白灰色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水泥纤维板</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18mm厚水泥纤维板，密度≥1.3g/cm</w:t>
            </w:r>
            <w:r>
              <w:rPr>
                <w:rFonts w:hint="eastAsia" w:ascii="Calibri" w:hAnsi="Calibri" w:eastAsia="仿宋_GB2312" w:cs="Calibri"/>
                <w:color w:val="auto"/>
                <w:sz w:val="24"/>
                <w:szCs w:val="24"/>
                <w:highlight w:val="none"/>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保温层</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50mm厚单面铝箔玻璃丝棉，容重12g/m</w:t>
            </w:r>
            <w:r>
              <w:rPr>
                <w:rFonts w:hint="eastAsia" w:ascii="Calibri" w:hAnsi="Calibri" w:eastAsia="仿宋_GB2312" w:cs="Calibri"/>
                <w:color w:val="auto"/>
                <w:sz w:val="24"/>
                <w:szCs w:val="24"/>
                <w:highlight w:val="none"/>
              </w:rPr>
              <w:t>³</w:t>
            </w:r>
            <w:r>
              <w:rPr>
                <w:rFonts w:hint="eastAsia" w:ascii="仿宋_GB2312" w:hAnsi="仿宋" w:eastAsia="仿宋_GB2312" w:cs="仿宋"/>
                <w:color w:val="auto"/>
                <w:sz w:val="24"/>
                <w:szCs w:val="24"/>
                <w:highlight w:val="none"/>
              </w:rPr>
              <w:t>,燃烧性能为A级不燃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底封板</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0.3mm厚镀锌彩钢板，颜色白灰色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tcPr>
          <w:p>
            <w:pPr>
              <w:spacing w:line="360" w:lineRule="auto"/>
              <w:jc w:val="center"/>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墙面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墙板</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75mm厚橘皮纹彩钢玻璃彩钢岩棉夹芯板，彩色涂层钢板0.35mm厚，外橘皮纹内平板，白灰色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保温层</w:t>
            </w:r>
          </w:p>
        </w:tc>
        <w:tc>
          <w:tcPr>
            <w:tcW w:w="6634" w:type="dxa"/>
          </w:tcPr>
          <w:p>
            <w:pPr>
              <w:spacing w:line="360" w:lineRule="auto"/>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50mm厚单面铝箔玻璃丝棉，容重70kg/m</w:t>
            </w:r>
            <w:r>
              <w:rPr>
                <w:rFonts w:hint="eastAsia" w:ascii="Calibri" w:hAnsi="Calibri" w:eastAsia="仿宋_GB2312" w:cs="Calibri"/>
                <w:color w:val="auto"/>
                <w:sz w:val="24"/>
                <w:szCs w:val="24"/>
                <w:highlight w:val="none"/>
              </w:rPr>
              <w:t>³</w:t>
            </w:r>
            <w:r>
              <w:rPr>
                <w:rFonts w:hint="eastAsia" w:ascii="仿宋_GB2312" w:hAnsi="仿宋" w:eastAsia="仿宋_GB2312" w:cs="仿宋"/>
                <w:color w:val="auto"/>
                <w:sz w:val="24"/>
                <w:szCs w:val="24"/>
                <w:highlight w:val="none"/>
              </w:rPr>
              <w:t>,燃烧性能为A级不燃</w:t>
            </w:r>
          </w:p>
        </w:tc>
      </w:tr>
    </w:tbl>
    <w:p>
      <w:pPr>
        <w:adjustRightInd w:val="0"/>
        <w:snapToGrid w:val="0"/>
        <w:spacing w:line="360" w:lineRule="auto"/>
        <w:ind w:firstLine="480"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drawing>
          <wp:inline distT="0" distB="0" distL="0" distR="0">
            <wp:extent cx="5615940" cy="5292090"/>
            <wp:effectExtent l="0" t="0" r="3810" b="3810"/>
            <wp:docPr id="897817464" name="图片 20" descr="图表, 图示,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17464" name="图片 20" descr="图表, 图示, 雷达图&#10;&#10;描述已自动生成"/>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15940" cy="5292090"/>
                    </a:xfrm>
                    <a:prstGeom prst="rect">
                      <a:avLst/>
                    </a:prstGeom>
                  </pic:spPr>
                </pic:pic>
              </a:graphicData>
            </a:graphic>
          </wp:inline>
        </w:drawing>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（2）本项目视频监控系统需在现场设置监控电箱，并负责就近接入视频监控光纤，猎德分公司视频设备均为海康威视，供应商在设备采购方面需考虑兼任型，不接受以接口不统一等理由办理变更。</w:t>
      </w:r>
    </w:p>
    <w:p>
      <w:pPr>
        <w:widowControl/>
        <w:spacing w:after="0" w:line="24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（3）本项目产生的雨、污水排水接入工作需我公司做好对接接入相应的排水系统，可能产生的超出投标清单工程量将不予增加。</w:t>
      </w:r>
    </w:p>
    <w:p>
      <w:pPr>
        <w:widowControl/>
        <w:spacing w:after="0" w:line="24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br w:type="page"/>
      </w:r>
    </w:p>
    <w:p>
      <w:pPr>
        <w:widowControl/>
        <w:spacing w:after="0" w:line="24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drawing>
          <wp:anchor distT="0" distB="0" distL="114300" distR="114300" simplePos="0" relativeHeight="251665408" behindDoc="1" locked="0" layoutInCell="1" allowOverlap="1">
            <wp:simplePos x="0" y="0"/>
            <wp:positionH relativeFrom="column">
              <wp:posOffset>0</wp:posOffset>
            </wp:positionH>
            <wp:positionV relativeFrom="paragraph">
              <wp:posOffset>369570</wp:posOffset>
            </wp:positionV>
            <wp:extent cx="5608320" cy="7929880"/>
            <wp:effectExtent l="0" t="0" r="11430" b="13970"/>
            <wp:wrapNone/>
            <wp:docPr id="4" name="图片 4" descr="23134 方案图  WPSH20240924_纯图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134 方案图  WPSH20240924_纯图版_00"/>
                    <pic:cNvPicPr>
                      <a:picLocks noChangeAspect="1"/>
                    </pic:cNvPicPr>
                  </pic:nvPicPr>
                  <pic:blipFill>
                    <a:blip r:embed="rId14"/>
                    <a:stretch>
                      <a:fillRect/>
                    </a:stretch>
                  </pic:blipFill>
                  <pic:spPr>
                    <a:xfrm>
                      <a:off x="0" y="0"/>
                      <a:ext cx="5608320" cy="7929880"/>
                    </a:xfrm>
                    <a:prstGeom prst="rect">
                      <a:avLst/>
                    </a:prstGeom>
                  </pic:spPr>
                </pic:pic>
              </a:graphicData>
            </a:graphic>
          </wp:anchor>
        </w:drawing>
      </w:r>
    </w:p>
    <w:p>
      <w:pPr>
        <w:widowControl/>
        <w:spacing w:after="0" w:line="24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（4）施工相关示意图如下。</w:t>
      </w:r>
    </w:p>
    <w:p>
      <w:pPr>
        <w:pStyle w:val="2"/>
        <w:numPr>
          <w:ilvl w:val="255"/>
          <w:numId w:val="0"/>
        </w:numPr>
        <w:rPr>
          <w:rFonts w:hint="eastAsia" w:ascii="仿宋" w:hAnsi="仿宋" w:eastAsia="仿宋" w:cs="仿宋"/>
          <w:color w:val="auto"/>
          <w:sz w:val="28"/>
          <w:szCs w:val="28"/>
          <w:highlight w:val="none"/>
        </w:rPr>
      </w:pPr>
    </w:p>
    <w:p>
      <w:pPr>
        <w:pStyle w:val="2"/>
        <w:numPr>
          <w:ilvl w:val="255"/>
          <w:numId w:val="0"/>
        </w:num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widowControl/>
        <w:spacing w:after="0" w:line="24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drawing>
          <wp:anchor distT="0" distB="0" distL="114300" distR="114300" simplePos="0" relativeHeight="251672576" behindDoc="1" locked="0" layoutInCell="1" allowOverlap="1">
            <wp:simplePos x="0" y="0"/>
            <wp:positionH relativeFrom="column">
              <wp:posOffset>-1309370</wp:posOffset>
            </wp:positionH>
            <wp:positionV relativeFrom="paragraph">
              <wp:posOffset>1931035</wp:posOffset>
            </wp:positionV>
            <wp:extent cx="7919720" cy="4766310"/>
            <wp:effectExtent l="338455" t="233045" r="419735" b="229235"/>
            <wp:wrapSquare wrapText="bothSides"/>
            <wp:docPr id="13" name="图片 13" descr="屋坡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屋坡面示意图"/>
                    <pic:cNvPicPr>
                      <a:picLocks noChangeAspect="1"/>
                    </pic:cNvPicPr>
                  </pic:nvPicPr>
                  <pic:blipFill>
                    <a:blip r:embed="rId15"/>
                    <a:srcRect l="-283" t="1998" r="-542" b="-1998"/>
                    <a:stretch>
                      <a:fillRect/>
                    </a:stretch>
                  </pic:blipFill>
                  <pic:spPr>
                    <a:xfrm rot="5400000">
                      <a:off x="0" y="0"/>
                      <a:ext cx="7919720" cy="4766310"/>
                    </a:xfrm>
                    <a:prstGeom prst="rect">
                      <a:avLst/>
                    </a:prstGeom>
                  </pic:spPr>
                </pic:pic>
              </a:graphicData>
            </a:graphic>
          </wp:anchor>
        </w:drawing>
      </w:r>
    </w:p>
    <w:p>
      <w:pPr>
        <w:rPr>
          <w:rFonts w:hint="eastAsia"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rPr>
        <w:t>三</w:t>
      </w:r>
      <w:r>
        <w:rPr>
          <w:rFonts w:hint="eastAsia" w:ascii="仿宋_GB2312" w:hAnsi="仿宋_GB2312" w:eastAsia="仿宋_GB2312" w:cs="仿宋_GB2312"/>
          <w:b/>
          <w:color w:val="auto"/>
          <w:sz w:val="28"/>
          <w:szCs w:val="28"/>
          <w:highlight w:val="none"/>
          <w:lang w:val="zh-CN"/>
        </w:rPr>
        <w:t>、项目商务要求</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1.工期：完成开工报告后30天。</w:t>
      </w:r>
    </w:p>
    <w:p>
      <w:pPr>
        <w:autoSpaceDE w:val="0"/>
        <w:autoSpaceDN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spacing w:line="360" w:lineRule="auto"/>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w:t>
      </w:r>
    </w:p>
    <w:p>
      <w:pPr>
        <w:pStyle w:val="2"/>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2"/>
          <w:sz w:val="28"/>
          <w:szCs w:val="28"/>
          <w:highlight w:val="none"/>
        </w:rPr>
        <w:t>（3）项目施工所有位置地砖墙砖</w:t>
      </w:r>
      <w:r>
        <w:rPr>
          <w:rFonts w:hint="eastAsia" w:ascii="仿宋_GB2312" w:hAnsi="仿宋_GB2312" w:eastAsia="仿宋_GB2312" w:cs="仿宋_GB2312"/>
          <w:color w:val="auto"/>
          <w:sz w:val="28"/>
          <w:szCs w:val="28"/>
          <w:highlight w:val="none"/>
        </w:rPr>
        <w:t>必须按设计和规范要求做到平整、完整。</w:t>
      </w:r>
    </w:p>
    <w:p>
      <w:pPr>
        <w:pStyle w:val="2"/>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（4）施工产生所以杂物、垃圾等清理干净。</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autoSpaceDE w:val="0"/>
        <w:autoSpaceDN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在工程进行中，承包单位要注意保护场内的各种管线和设施。若有任何损坏，须立即通知有关部门和发包人，并由损坏单位承担损失和修复费用。</w:t>
      </w:r>
    </w:p>
    <w:p>
      <w:pPr>
        <w:autoSpaceDE w:val="0"/>
        <w:autoSpaceDN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360" w:lineRule="auto"/>
        <w:ind w:firstLine="56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宋体" w:hAnsi="宋体"/>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5.保养期（保养期）：质保期为验收合格之日起一年（可协商延长为三年）。</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6.询价人将自承包人履行完合同义务之日起10天内组织验收，验收要求、验收标准及方法如下：</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（1）验收依据：询价文件、询价响应文件、相关绿化园林有关的质量标准规定，均为验收依据。</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（2）验收时承包单位必须派代表参加。</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（3）验收过程所发生的一切费用由承包单位承担。</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7.付款方式：银行转账形式。</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8.承包方式：</w:t>
      </w:r>
    </w:p>
    <w:p>
      <w:pPr>
        <w:spacing w:line="360" w:lineRule="auto"/>
        <w:ind w:firstLine="560" w:firstLineChars="200"/>
        <w:rPr>
          <w:color w:val="auto"/>
          <w:highlight w:val="none"/>
        </w:rPr>
      </w:pPr>
      <w:r>
        <w:rPr>
          <w:rFonts w:hint="eastAsia" w:ascii="仿宋_GB2312" w:hAnsi="仿宋_GB2312" w:eastAsia="仿宋_GB2312" w:cs="仿宋_GB2312"/>
          <w:color w:val="auto"/>
          <w:sz w:val="28"/>
          <w:szCs w:val="28"/>
          <w:highlight w:val="none"/>
          <w:lang w:val="zh-CN"/>
        </w:rPr>
        <w:t>单价</w:t>
      </w:r>
      <w:r>
        <w:rPr>
          <w:rFonts w:hint="eastAsia" w:ascii="仿宋_GB2312" w:hAnsi="仿宋_GB2312" w:eastAsia="仿宋_GB2312" w:cs="仿宋_GB2312"/>
          <w:color w:val="auto"/>
          <w:sz w:val="28"/>
          <w:szCs w:val="28"/>
          <w:highlight w:val="none"/>
        </w:rPr>
        <w:t>包干</w:t>
      </w:r>
      <w:r>
        <w:rPr>
          <w:rFonts w:hint="eastAsia" w:ascii="仿宋_GB2312" w:hAnsi="仿宋_GB2312" w:eastAsia="仿宋_GB2312" w:cs="仿宋_GB2312"/>
          <w:color w:val="auto"/>
          <w:sz w:val="28"/>
          <w:szCs w:val="28"/>
          <w:highlight w:val="none"/>
          <w:lang w:val="zh-CN"/>
        </w:rPr>
        <w:t>：询价响应文件包含总价及综合单价时，综合单价为合同单价。合同单价在询价文件及施工合同约定的风险范围之内不可调整。</w:t>
      </w:r>
    </w:p>
    <w:p>
      <w:pPr>
        <w:pStyle w:val="5"/>
        <w:jc w:val="both"/>
        <w:rPr>
          <w:color w:val="auto"/>
          <w:highlight w:val="none"/>
        </w:rPr>
      </w:pPr>
      <w:bookmarkStart w:id="62" w:name="_Toc23353"/>
      <w:bookmarkStart w:id="63" w:name="_Toc537"/>
      <w:bookmarkStart w:id="64" w:name="_Toc23330"/>
      <w:bookmarkStart w:id="65" w:name="_Toc4680"/>
      <w:bookmarkStart w:id="66" w:name="_Toc1284"/>
      <w:bookmarkStart w:id="67" w:name="_Toc29835"/>
      <w:bookmarkStart w:id="68" w:name="_Toc1496"/>
      <w:bookmarkStart w:id="69" w:name="_Toc12135"/>
      <w:bookmarkStart w:id="70" w:name="_Toc15570"/>
      <w:bookmarkStart w:id="71" w:name="_Toc25925"/>
      <w:bookmarkStart w:id="72" w:name="_Toc18538"/>
    </w:p>
    <w:p>
      <w:pPr>
        <w:pStyle w:val="5"/>
        <w:rPr>
          <w:color w:val="auto"/>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2326640</wp:posOffset>
                </wp:positionH>
                <wp:positionV relativeFrom="paragraph">
                  <wp:posOffset>553085</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3.2pt;margin-top:43.55pt;height:0pt;width:75.5pt;z-index:251670528;mso-width-relative:page;mso-height-relative:page;" filled="f" stroked="t" coordsize="21600,21600" o:gfxdata="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Z8WxY1wAAAAk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2329180</wp:posOffset>
                </wp:positionH>
                <wp:positionV relativeFrom="paragraph">
                  <wp:posOffset>48260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4pt;margin-top:3.8pt;height:0pt;width:75.5pt;z-index:251668480;mso-width-relative:page;mso-height-relative:page;" filled="f" stroked="t" coordsize="21600,21600" o:gfxdata="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SbVJjUAAAABwEAAA8AAAAAAAAAAQAgAAAAIgAAAGRycy9kb3ducmV2LnhtbFBLAQIUABQAAAAI&#10;AIdO4kBjZm8c8QEAAOIDAAAOAAAAAAAAAAEAIAAAACMBAABkcnMvZTJvRG9jLnhtbFBLBQYAAAAA&#10;BgAGAFkBAACGBQAAAAA=&#10;">
                <v:fill on="f" focussize="0,0"/>
                <v:stroke color="#000000" joinstyle="round"/>
                <v:imagedata o:title=""/>
                <o:lock v:ext="edit" aspectratio="f"/>
              </v:shape>
            </w:pict>
          </mc:Fallback>
        </mc:AlternateContent>
      </w:r>
      <w:r>
        <w:rPr>
          <w:rFonts w:hint="eastAsia"/>
          <w:color w:val="auto"/>
          <w:highlight w:val="none"/>
        </w:rPr>
        <w:t>第六章</w:t>
      </w:r>
      <w:bookmarkEnd w:id="62"/>
      <w:bookmarkEnd w:id="63"/>
      <w:bookmarkEnd w:id="64"/>
      <w:bookmarkEnd w:id="65"/>
      <w:bookmarkEnd w:id="66"/>
      <w:bookmarkEnd w:id="67"/>
      <w:bookmarkEnd w:id="68"/>
      <w:bookmarkEnd w:id="69"/>
      <w:bookmarkEnd w:id="70"/>
      <w:bookmarkEnd w:id="71"/>
      <w:bookmarkEnd w:id="72"/>
    </w:p>
    <w:p>
      <w:pPr>
        <w:pStyle w:val="56"/>
        <w:rPr>
          <w:color w:val="auto"/>
          <w:highlight w:val="none"/>
        </w:rPr>
      </w:pPr>
    </w:p>
    <w:p>
      <w:pPr>
        <w:pStyle w:val="56"/>
        <w:rPr>
          <w:color w:val="auto"/>
          <w:highlight w:val="none"/>
        </w:rPr>
      </w:pPr>
    </w:p>
    <w:p>
      <w:pPr>
        <w:pStyle w:val="56"/>
        <w:rPr>
          <w:color w:val="auto"/>
          <w:highlight w:val="none"/>
        </w:rPr>
      </w:pPr>
    </w:p>
    <w:p>
      <w:pPr>
        <w:pStyle w:val="5"/>
        <w:rPr>
          <w:color w:val="auto"/>
          <w:highlight w:val="none"/>
        </w:rPr>
      </w:pPr>
      <w:bookmarkStart w:id="73" w:name="_Toc22501"/>
      <w:bookmarkStart w:id="74" w:name="_Toc88209949"/>
      <w:bookmarkStart w:id="75" w:name="_Toc19686"/>
      <w:bookmarkStart w:id="76" w:name="_Toc8183"/>
      <w:bookmarkStart w:id="77" w:name="_Toc12968"/>
      <w:bookmarkStart w:id="78" w:name="_Toc19088"/>
      <w:bookmarkStart w:id="79" w:name="_Toc87616386"/>
      <w:bookmarkStart w:id="80" w:name="_Toc323"/>
      <w:bookmarkStart w:id="81" w:name="_Toc1375"/>
      <w:bookmarkStart w:id="82" w:name="_Toc12721"/>
      <w:bookmarkStart w:id="83" w:name="_Toc13309"/>
      <w:bookmarkStart w:id="84" w:name="_Toc12980"/>
      <w:bookmarkStart w:id="85" w:name="_Toc22797"/>
      <w:r>
        <w:rPr>
          <w:rFonts w:hint="eastAsia"/>
          <w:color w:val="auto"/>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pStyle w:val="56"/>
        <w:rPr>
          <w:color w:val="auto"/>
          <w:highlight w:val="none"/>
        </w:rPr>
      </w:pPr>
    </w:p>
    <w:p>
      <w:pPr>
        <w:pStyle w:val="56"/>
        <w:rPr>
          <w:color w:val="auto"/>
          <w:highlight w:val="none"/>
        </w:rPr>
      </w:pPr>
    </w:p>
    <w:p>
      <w:pPr>
        <w:pStyle w:val="56"/>
        <w:rPr>
          <w:color w:val="auto"/>
          <w:highlight w:val="none"/>
        </w:rPr>
      </w:pPr>
    </w:p>
    <w:p>
      <w:pPr>
        <w:pStyle w:val="56"/>
        <w:rPr>
          <w:color w:val="auto"/>
          <w:highlight w:val="none"/>
        </w:rPr>
      </w:pPr>
    </w:p>
    <w:p>
      <w:pPr>
        <w:pStyle w:val="56"/>
        <w:rPr>
          <w:color w:val="auto"/>
          <w:highlight w:val="none"/>
        </w:rPr>
      </w:pPr>
    </w:p>
    <w:p>
      <w:pPr>
        <w:pStyle w:val="56"/>
        <w:rPr>
          <w:color w:val="auto"/>
          <w:highlight w:val="none"/>
        </w:rPr>
      </w:pPr>
    </w:p>
    <w:p>
      <w:pPr>
        <w:pStyle w:val="56"/>
        <w:rPr>
          <w:color w:val="auto"/>
          <w:highlight w:val="none"/>
        </w:rPr>
      </w:pPr>
    </w:p>
    <w:p>
      <w:pPr>
        <w:pStyle w:val="56"/>
        <w:rPr>
          <w:color w:val="auto"/>
          <w:highlight w:val="none"/>
        </w:rPr>
      </w:pPr>
    </w:p>
    <w:p>
      <w:pPr>
        <w:pStyle w:val="56"/>
        <w:rPr>
          <w:color w:val="auto"/>
          <w:highlight w:val="none"/>
        </w:rPr>
      </w:pPr>
    </w:p>
    <w:p>
      <w:pPr>
        <w:pStyle w:val="56"/>
        <w:rPr>
          <w:color w:val="auto"/>
          <w:highlight w:val="none"/>
        </w:rPr>
      </w:pPr>
    </w:p>
    <w:p>
      <w:pPr>
        <w:pStyle w:val="56"/>
        <w:rPr>
          <w:color w:val="auto"/>
          <w:highlight w:val="none"/>
        </w:rPr>
      </w:pPr>
    </w:p>
    <w:p>
      <w:pPr>
        <w:pStyle w:val="56"/>
        <w:rPr>
          <w:color w:val="auto"/>
          <w:highlight w:val="none"/>
        </w:rPr>
      </w:pPr>
    </w:p>
    <w:p>
      <w:pPr>
        <w:pStyle w:val="56"/>
        <w:rPr>
          <w:color w:val="auto"/>
          <w:highlight w:val="none"/>
        </w:rPr>
      </w:pPr>
    </w:p>
    <w:p>
      <w:pPr>
        <w:pStyle w:val="56"/>
        <w:rPr>
          <w:color w:val="auto"/>
          <w:highlight w:val="none"/>
        </w:rPr>
      </w:pPr>
    </w:p>
    <w:p>
      <w:pPr>
        <w:jc w:val="center"/>
        <w:rPr>
          <w:rFonts w:hint="eastAsia" w:ascii="宋体" w:hAnsi="宋体" w:eastAsia="宋体" w:cs="宋体"/>
          <w:b/>
          <w:bCs/>
          <w:color w:val="auto"/>
          <w:sz w:val="48"/>
          <w:szCs w:val="48"/>
          <w:highlight w:val="none"/>
          <w:lang w:val="en-GB"/>
        </w:rPr>
      </w:pPr>
      <w:bookmarkStart w:id="86" w:name="_Toc21847"/>
      <w:bookmarkStart w:id="87" w:name="_Toc28358"/>
      <w:bookmarkStart w:id="88" w:name="_Toc3723"/>
      <w:bookmarkStart w:id="89" w:name="_Toc12169"/>
      <w:bookmarkStart w:id="90" w:name="_Toc23515"/>
      <w:bookmarkStart w:id="91" w:name="_Toc16552"/>
      <w:bookmarkStart w:id="92" w:name="_Toc6230"/>
      <w:bookmarkStart w:id="93" w:name="_Toc8147"/>
      <w:bookmarkStart w:id="94" w:name="_Toc1563"/>
      <w:bookmarkStart w:id="95" w:name="_Toc30824"/>
      <w:bookmarkStart w:id="96" w:name="_Toc5129"/>
      <w:r>
        <w:rPr>
          <w:rFonts w:hint="eastAsia" w:ascii="宋体" w:hAnsi="宋体" w:eastAsia="宋体" w:cs="宋体"/>
          <w:b/>
          <w:bCs/>
          <w:color w:val="auto"/>
          <w:sz w:val="48"/>
          <w:szCs w:val="48"/>
          <w:highlight w:val="none"/>
          <w:lang w:val="en-GB"/>
        </w:rPr>
        <w:t>广州市净水有限公司</w:t>
      </w:r>
    </w:p>
    <w:p>
      <w:pPr>
        <w:spacing w:line="400" w:lineRule="atLeast"/>
        <w:jc w:val="center"/>
        <w:rPr>
          <w:rFonts w:hint="eastAsia" w:ascii="宋体" w:hAnsi="宋体"/>
          <w:b/>
          <w:color w:val="auto"/>
          <w:sz w:val="28"/>
          <w:highlight w:val="none"/>
        </w:rPr>
      </w:pPr>
      <w:r>
        <w:rPr>
          <w:rFonts w:hint="eastAsia" w:ascii="宋体" w:hAnsi="宋体" w:eastAsia="宋体" w:cs="宋体"/>
          <w:b/>
          <w:bCs/>
          <w:color w:val="auto"/>
          <w:sz w:val="48"/>
          <w:szCs w:val="48"/>
          <w:highlight w:val="none"/>
          <w:lang w:val="en-GB"/>
        </w:rPr>
        <w:t>小型建设工程修缮合同</w:t>
      </w:r>
    </w:p>
    <w:p>
      <w:pPr>
        <w:spacing w:line="0" w:lineRule="atLeast"/>
        <w:rPr>
          <w:rFonts w:hint="eastAsia" w:ascii="宋体" w:hAnsi="宋体"/>
          <w:b/>
          <w:color w:val="auto"/>
          <w:sz w:val="30"/>
          <w:highlight w:val="none"/>
        </w:rPr>
      </w:pPr>
    </w:p>
    <w:p>
      <w:pPr>
        <w:spacing w:line="0" w:lineRule="atLeast"/>
        <w:rPr>
          <w:rFonts w:hint="eastAsia" w:ascii="仿宋_GB2312" w:hAnsi="宋体" w:eastAsia="仿宋_GB2312"/>
          <w:b/>
          <w:color w:val="auto"/>
          <w:sz w:val="30"/>
          <w:szCs w:val="30"/>
          <w:highlight w:val="none"/>
        </w:rPr>
      </w:pPr>
    </w:p>
    <w:p>
      <w:pPr>
        <w:spacing w:line="0" w:lineRule="atLeast"/>
        <w:ind w:left="1506" w:hanging="1506" w:hangingChars="500"/>
        <w:rPr>
          <w:rFonts w:hint="eastAsia" w:ascii="宋体" w:hAnsi="宋体" w:cs="宋体"/>
          <w:b/>
          <w:color w:val="auto"/>
          <w:sz w:val="30"/>
          <w:szCs w:val="30"/>
          <w:highlight w:val="none"/>
        </w:rPr>
      </w:pPr>
      <w:r>
        <w:rPr>
          <w:rFonts w:hint="eastAsia" w:ascii="宋体" w:hAnsi="宋体" w:cs="宋体"/>
          <w:b/>
          <w:color w:val="auto"/>
          <w:sz w:val="30"/>
          <w:szCs w:val="30"/>
          <w:highlight w:val="none"/>
        </w:rPr>
        <w:t>项目名称: 广州市净水有限公司猎德分公司北面应急值班室修缮项目</w:t>
      </w:r>
    </w:p>
    <w:p>
      <w:pPr>
        <w:pStyle w:val="66"/>
        <w:rPr>
          <w:rFonts w:hint="eastAsia" w:hAnsi="宋体" w:eastAsia="宋体"/>
          <w:b/>
          <w:color w:val="auto"/>
          <w:sz w:val="30"/>
          <w:szCs w:val="30"/>
          <w:highlight w:val="none"/>
        </w:rPr>
      </w:pPr>
    </w:p>
    <w:p>
      <w:pPr>
        <w:pStyle w:val="66"/>
        <w:spacing w:line="400" w:lineRule="atLeast"/>
        <w:rPr>
          <w:rFonts w:hint="eastAsia" w:hAnsi="宋体"/>
          <w:b/>
          <w:color w:val="auto"/>
          <w:sz w:val="30"/>
          <w:szCs w:val="30"/>
          <w:highlight w:val="none"/>
        </w:rPr>
      </w:pPr>
      <w:r>
        <w:rPr>
          <w:rFonts w:hint="eastAsia" w:hAnsi="宋体" w:eastAsia="宋体"/>
          <w:b/>
          <w:color w:val="auto"/>
          <w:sz w:val="30"/>
          <w:szCs w:val="30"/>
          <w:highlight w:val="none"/>
        </w:rPr>
        <w:t>项目编号：</w:t>
      </w:r>
    </w:p>
    <w:p>
      <w:pPr>
        <w:spacing w:line="480" w:lineRule="auto"/>
        <w:rPr>
          <w:rFonts w:hint="eastAsia"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hint="eastAsia" w:ascii="宋体" w:hAnsi="宋体" w:cs="宋体"/>
          <w:b/>
          <w:color w:val="auto"/>
          <w:sz w:val="30"/>
          <w:szCs w:val="30"/>
          <w:highlight w:val="none"/>
        </w:rPr>
      </w:pPr>
    </w:p>
    <w:p>
      <w:pPr>
        <w:spacing w:line="400" w:lineRule="atLeast"/>
        <w:rPr>
          <w:rFonts w:hint="eastAsia" w:ascii="宋体" w:hAnsi="宋体" w:cs="宋体"/>
          <w:b/>
          <w:color w:val="auto"/>
          <w:sz w:val="30"/>
          <w:szCs w:val="30"/>
          <w:highlight w:val="none"/>
        </w:rPr>
      </w:pPr>
      <w:r>
        <w:rPr>
          <w:rFonts w:hint="eastAsia" w:ascii="宋体" w:hAnsi="宋体" w:cs="宋体"/>
          <w:b/>
          <w:color w:val="auto"/>
          <w:sz w:val="30"/>
          <w:szCs w:val="30"/>
          <w:highlight w:val="none"/>
        </w:rPr>
        <w:t>甲方： 广州市净水有限公司</w:t>
      </w:r>
    </w:p>
    <w:p>
      <w:pPr>
        <w:spacing w:line="400" w:lineRule="atLeast"/>
        <w:rPr>
          <w:rFonts w:hint="eastAsia" w:ascii="宋体" w:hAnsi="宋体" w:cs="宋体"/>
          <w:b/>
          <w:color w:val="auto"/>
          <w:sz w:val="30"/>
          <w:szCs w:val="30"/>
          <w:highlight w:val="none"/>
        </w:rPr>
      </w:pPr>
    </w:p>
    <w:p>
      <w:pPr>
        <w:spacing w:line="400" w:lineRule="atLeast"/>
        <w:rPr>
          <w:rFonts w:hint="eastAsia" w:ascii="宋体" w:hAnsi="宋体" w:cs="宋体"/>
          <w:b/>
          <w:color w:val="auto"/>
          <w:sz w:val="30"/>
          <w:szCs w:val="30"/>
          <w:highlight w:val="none"/>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hint="eastAsia" w:ascii="宋体" w:hAnsi="宋体" w:cs="宋体"/>
          <w:b/>
          <w:color w:val="auto"/>
          <w:sz w:val="30"/>
          <w:szCs w:val="30"/>
          <w:highlight w:val="none"/>
        </w:rPr>
      </w:pPr>
    </w:p>
    <w:p>
      <w:pPr>
        <w:spacing w:line="400" w:lineRule="atLeast"/>
        <w:rPr>
          <w:rFonts w:hint="eastAsia"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szCs w:val="30"/>
          <w:highlight w:val="none"/>
        </w:rPr>
      </w:pP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pStyle w:val="2"/>
        <w:rPr>
          <w:rFonts w:hint="eastAsia"/>
          <w:color w:val="auto"/>
          <w:highlight w:val="none"/>
        </w:rPr>
      </w:pPr>
    </w:p>
    <w:p>
      <w:pPr>
        <w:spacing w:line="384" w:lineRule="auto"/>
        <w:ind w:firstLine="420" w:firstLineChars="200"/>
        <w:jc w:val="left"/>
        <w:rPr>
          <w:rFonts w:eastAsia="宋体" w:cs="宋体"/>
          <w:color w:val="auto"/>
          <w:highlight w:val="none"/>
          <w:u w:val="single"/>
        </w:rPr>
      </w:pPr>
    </w:p>
    <w:p>
      <w:pPr>
        <w:spacing w:line="384" w:lineRule="auto"/>
        <w:ind w:firstLine="420" w:firstLineChars="200"/>
        <w:jc w:val="left"/>
        <w:rPr>
          <w:rFonts w:eastAsia="宋体" w:cs="宋体"/>
          <w:color w:val="auto"/>
          <w:highlight w:val="none"/>
          <w:u w:val="single"/>
        </w:rPr>
      </w:pPr>
    </w:p>
    <w:p>
      <w:pPr>
        <w:spacing w:line="384" w:lineRule="auto"/>
        <w:ind w:firstLine="420" w:firstLineChars="200"/>
        <w:jc w:val="left"/>
        <w:rPr>
          <w:rFonts w:eastAsia="宋体" w:cs="宋体"/>
          <w:color w:val="auto"/>
          <w:highlight w:val="none"/>
        </w:rPr>
      </w:pPr>
      <w:r>
        <w:rPr>
          <w:rFonts w:hint="eastAsia" w:eastAsia="宋体" w:cs="宋体"/>
          <w:color w:val="auto"/>
          <w:highlight w:val="none"/>
          <w:u w:val="single"/>
        </w:rPr>
        <w:t>广州市净水有限公司</w:t>
      </w:r>
      <w:r>
        <w:rPr>
          <w:rFonts w:hint="eastAsia" w:eastAsia="宋体" w:cs="宋体"/>
          <w:color w:val="auto"/>
          <w:highlight w:val="none"/>
        </w:rPr>
        <w:t>（以下简称“甲方”）与</w:t>
      </w:r>
      <w:r>
        <w:rPr>
          <w:rFonts w:hint="eastAsia" w:eastAsia="宋体" w:cs="宋体"/>
          <w:color w:val="auto"/>
          <w:highlight w:val="none"/>
          <w:u w:val="single"/>
        </w:rPr>
        <w:t xml:space="preserve">                </w:t>
      </w:r>
      <w:r>
        <w:rPr>
          <w:rFonts w:hint="eastAsia" w:eastAsia="宋体" w:cs="宋体"/>
          <w:color w:val="auto"/>
          <w:highlight w:val="none"/>
        </w:rPr>
        <w:t>（以下简称“乙方”）依照《中华人民共和国建筑法》及其它有关法律、行政法规，就</w:t>
      </w:r>
      <w:r>
        <w:rPr>
          <w:rFonts w:hint="eastAsia" w:eastAsia="宋体" w:cs="宋体"/>
          <w:bCs w:val="0"/>
          <w:color w:val="auto"/>
          <w:sz w:val="21"/>
          <w:szCs w:val="22"/>
          <w:highlight w:val="none"/>
        </w:rPr>
        <w:t>广</w:t>
      </w:r>
      <w:r>
        <w:rPr>
          <w:rFonts w:hint="eastAsia" w:eastAsia="宋体" w:cs="宋体"/>
          <w:color w:val="auto"/>
          <w:highlight w:val="none"/>
        </w:rPr>
        <w:t>州市净水有限公司猎德分公司北面应急值班室修缮项目遵循平等、自愿、公平和诚实信用的原则，经双方协商一致，特订立本合同。</w:t>
      </w:r>
    </w:p>
    <w:p>
      <w:pPr>
        <w:spacing w:before="93" w:beforeLines="30" w:line="384"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384" w:lineRule="auto"/>
        <w:ind w:firstLine="482"/>
        <w:rPr>
          <w:rFonts w:hint="eastAsia" w:ascii="宋体" w:hAnsi="宋体" w:cs="宋体"/>
          <w:bCs/>
          <w:color w:val="auto"/>
          <w:sz w:val="24"/>
          <w:highlight w:val="none"/>
        </w:rPr>
      </w:pP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384" w:lineRule="auto"/>
        <w:ind w:firstLine="482"/>
        <w:rPr>
          <w:rFonts w:hint="eastAsia"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384" w:lineRule="auto"/>
        <w:ind w:firstLine="482"/>
        <w:rPr>
          <w:rFonts w:hint="eastAsia" w:ascii="宋体" w:hAnsi="宋体" w:cs="宋体"/>
          <w:bCs/>
          <w:color w:val="auto"/>
          <w:sz w:val="24"/>
          <w:highlight w:val="none"/>
        </w:rPr>
      </w:pPr>
      <w:r>
        <w:rPr>
          <w:rFonts w:hint="eastAsia" w:ascii="宋体" w:hAnsi="宋体" w:cs="宋体"/>
          <w:bCs/>
          <w:color w:val="auto"/>
          <w:sz w:val="24"/>
          <w:highlight w:val="none"/>
        </w:rPr>
        <w:t>⑵ 本合同书；</w:t>
      </w:r>
    </w:p>
    <w:p>
      <w:pPr>
        <w:spacing w:line="384" w:lineRule="auto"/>
        <w:ind w:firstLine="482"/>
        <w:rPr>
          <w:rFonts w:hint="eastAsia" w:ascii="宋体" w:hAnsi="宋体" w:cs="宋体"/>
          <w:bCs/>
          <w:color w:val="auto"/>
          <w:sz w:val="24"/>
          <w:highlight w:val="none"/>
        </w:rPr>
      </w:pPr>
      <w:r>
        <w:rPr>
          <w:rFonts w:hint="eastAsia" w:ascii="宋体" w:hAnsi="宋体" w:cs="宋体"/>
          <w:bCs/>
          <w:color w:val="auto"/>
          <w:sz w:val="24"/>
          <w:highlight w:val="none"/>
        </w:rPr>
        <w:t>⑶ 中标通知书/发包通知书/成交通知书/委托函；</w:t>
      </w:r>
    </w:p>
    <w:p>
      <w:pPr>
        <w:spacing w:line="384" w:lineRule="auto"/>
        <w:ind w:firstLine="482"/>
        <w:rPr>
          <w:rFonts w:hint="eastAsia" w:ascii="宋体" w:hAnsi="宋体" w:cs="宋体"/>
          <w:bCs/>
          <w:color w:val="auto"/>
          <w:sz w:val="24"/>
          <w:highlight w:val="none"/>
        </w:rPr>
      </w:pPr>
      <w:r>
        <w:rPr>
          <w:rFonts w:hint="eastAsia" w:ascii="宋体" w:hAnsi="宋体" w:cs="宋体"/>
          <w:bCs/>
          <w:color w:val="auto"/>
          <w:sz w:val="24"/>
          <w:highlight w:val="none"/>
        </w:rPr>
        <w:t>⑷ 招标文件/询价文件；</w:t>
      </w:r>
    </w:p>
    <w:p>
      <w:pPr>
        <w:spacing w:line="384" w:lineRule="auto"/>
        <w:ind w:firstLine="482"/>
        <w:rPr>
          <w:rFonts w:hint="eastAsia" w:ascii="宋体" w:hAnsi="宋体" w:cs="宋体"/>
          <w:bCs/>
          <w:color w:val="auto"/>
          <w:sz w:val="24"/>
          <w:highlight w:val="none"/>
        </w:rPr>
      </w:pPr>
      <w:r>
        <w:rPr>
          <w:rFonts w:hint="eastAsia" w:ascii="宋体" w:hAnsi="宋体" w:cs="宋体"/>
          <w:bCs/>
          <w:color w:val="auto"/>
          <w:sz w:val="24"/>
          <w:highlight w:val="none"/>
        </w:rPr>
        <w:t>⑸ 投标文件/响应文件；</w:t>
      </w:r>
    </w:p>
    <w:p>
      <w:pPr>
        <w:spacing w:line="384" w:lineRule="auto"/>
        <w:ind w:firstLine="482"/>
        <w:rPr>
          <w:rFonts w:hint="eastAsia"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384" w:lineRule="auto"/>
        <w:ind w:firstLine="482"/>
        <w:rPr>
          <w:rFonts w:hint="eastAsia" w:ascii="宋体" w:hAnsi="宋体" w:cs="宋体"/>
          <w:bCs/>
          <w:color w:val="auto"/>
          <w:sz w:val="24"/>
          <w:highlight w:val="none"/>
        </w:rPr>
      </w:pPr>
      <w:r>
        <w:rPr>
          <w:rFonts w:hint="eastAsia" w:ascii="宋体" w:hAnsi="宋体" w:cs="宋体"/>
          <w:bCs/>
          <w:color w:val="auto"/>
          <w:sz w:val="24"/>
          <w:highlight w:val="none"/>
        </w:rPr>
        <w:t>⑺ 图纸；</w:t>
      </w:r>
    </w:p>
    <w:p>
      <w:pPr>
        <w:spacing w:line="384" w:lineRule="auto"/>
        <w:ind w:firstLine="482"/>
        <w:rPr>
          <w:rFonts w:hint="eastAsia"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384" w:lineRule="auto"/>
        <w:ind w:firstLine="482"/>
        <w:rPr>
          <w:rFonts w:hint="eastAsia" w:ascii="宋体" w:hAnsi="宋体" w:cs="宋体"/>
          <w:b/>
          <w:bCs/>
          <w:color w:val="auto"/>
          <w:sz w:val="24"/>
          <w:highlight w:val="none"/>
        </w:rPr>
      </w:pPr>
      <w:r>
        <w:rPr>
          <w:rFonts w:hint="eastAsia" w:ascii="宋体" w:hAnsi="宋体" w:cs="宋体"/>
          <w:b/>
          <w:bCs/>
          <w:color w:val="auto"/>
          <w:sz w:val="24"/>
          <w:highlight w:val="none"/>
        </w:rPr>
        <w:t>第二条 项目概况</w:t>
      </w:r>
    </w:p>
    <w:p>
      <w:pPr>
        <w:spacing w:line="384" w:lineRule="auto"/>
        <w:ind w:firstLine="480" w:firstLineChars="200"/>
        <w:rPr>
          <w:color w:val="auto"/>
          <w:highlight w:val="none"/>
        </w:rPr>
      </w:pPr>
      <w:r>
        <w:rPr>
          <w:rFonts w:hint="eastAsia" w:ascii="宋体" w:hAnsi="宋体" w:cs="宋体"/>
          <w:color w:val="auto"/>
          <w:sz w:val="24"/>
          <w:highlight w:val="none"/>
        </w:rPr>
        <w:t>2.1项目名称：</w:t>
      </w:r>
      <w:r>
        <w:rPr>
          <w:color w:val="auto"/>
          <w:highlight w:val="none"/>
        </w:rPr>
        <w:t>广州市净水有限公司猎德分公司北面应急值班室修缮项目</w:t>
      </w:r>
    </w:p>
    <w:p>
      <w:pPr>
        <w:spacing w:line="384" w:lineRule="auto"/>
        <w:ind w:firstLine="480" w:firstLineChars="200"/>
        <w:rPr>
          <w:color w:val="auto"/>
          <w:highlight w:val="none"/>
          <w:u w:val="single"/>
        </w:rPr>
      </w:pPr>
      <w:r>
        <w:rPr>
          <w:rFonts w:hint="eastAsia" w:ascii="宋体" w:hAnsi="宋体" w:cs="宋体"/>
          <w:color w:val="auto"/>
          <w:sz w:val="24"/>
          <w:highlight w:val="none"/>
        </w:rPr>
        <w:t>2.2项目地点：</w:t>
      </w:r>
      <w:r>
        <w:rPr>
          <w:rFonts w:hint="eastAsia"/>
          <w:color w:val="auto"/>
          <w:highlight w:val="none"/>
          <w:u w:val="single"/>
        </w:rPr>
        <w:t>广州市净水有限公司猎德分公司</w:t>
      </w:r>
    </w:p>
    <w:p>
      <w:pPr>
        <w:spacing w:line="500" w:lineRule="exact"/>
        <w:ind w:firstLine="420" w:firstLineChars="200"/>
        <w:rPr>
          <w:rFonts w:ascii="宋体" w:eastAsia="宋体" w:cs="宋体"/>
          <w:color w:val="auto"/>
          <w:sz w:val="24"/>
          <w:szCs w:val="24"/>
          <w:highlight w:val="none"/>
        </w:rPr>
      </w:pPr>
      <w:r>
        <w:rPr>
          <w:rFonts w:hint="eastAsia" w:cs="宋体"/>
          <w:color w:val="auto"/>
          <w:highlight w:val="none"/>
        </w:rPr>
        <w:t>2.</w:t>
      </w:r>
      <w:r>
        <w:rPr>
          <w:rFonts w:hint="eastAsia" w:ascii="宋体" w:hAnsi="宋体" w:eastAsia="宋体" w:cs="宋体"/>
          <w:color w:val="auto"/>
          <w:sz w:val="24"/>
          <w:szCs w:val="24"/>
          <w:highlight w:val="none"/>
        </w:rPr>
        <w:t>3项目内容：猎德分公司对使用时间较长北面值班室，开展改造工作，拟建模块化箱式房屋标准间17间及厕所间2间，配套改造相应地面广场736m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、加盖型材屋面393.68m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、配套完善相应的供水、供电、空调等生活配套设施（按实际工程量结算）</w:t>
      </w:r>
    </w:p>
    <w:p>
      <w:pPr>
        <w:widowControl/>
        <w:spacing w:line="38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2.4承包方式：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☑按施工图、施工方案内容，以综合单价包干形式，包人工、包材料、包安装、包质量、包工期、包安全、包文明施工，</w:t>
      </w:r>
      <w:r>
        <w:rPr>
          <w:rFonts w:hint="eastAsia" w:ascii="宋体" w:hAnsi="宋体" w:eastAsia="宋体" w:cs="宋体"/>
          <w:color w:val="auto"/>
          <w:sz w:val="24"/>
          <w:szCs w:val="24"/>
          <w:highlight w:val="none"/>
          <w:u w:val="single"/>
        </w:rPr>
        <w:t>项目措施费按实计量</w:t>
      </w:r>
      <w:r>
        <w:rPr>
          <w:rFonts w:hint="eastAsia" w:ascii="宋体" w:hAnsi="宋体" w:eastAsia="宋体" w:cs="宋体"/>
          <w:color w:val="auto"/>
          <w:sz w:val="24"/>
          <w:szCs w:val="24"/>
          <w:highlight w:val="none"/>
        </w:rPr>
        <w:t>。（单价包干要求附工程量报价/工程预算书）</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□按施工图、施工方案内容，以固定总价包干形式，包人工、包材料、包安装、包质量、包工期、包安全、包文明施工，</w:t>
      </w:r>
      <w:r>
        <w:rPr>
          <w:rFonts w:hint="eastAsia" w:ascii="宋体" w:hAnsi="宋体" w:eastAsia="宋体" w:cs="宋体"/>
          <w:color w:val="auto"/>
          <w:sz w:val="24"/>
          <w:szCs w:val="24"/>
          <w:highlight w:val="none"/>
          <w:u w:val="single"/>
        </w:rPr>
        <w:t>项目措施费按实计量</w:t>
      </w:r>
      <w:r>
        <w:rPr>
          <w:rFonts w:hint="eastAsia" w:ascii="宋体" w:hAnsi="宋体" w:eastAsia="宋体" w:cs="宋体"/>
          <w:color w:val="auto"/>
          <w:sz w:val="24"/>
          <w:szCs w:val="24"/>
          <w:highlight w:val="none"/>
        </w:rPr>
        <w:t>。（附工程量清单）</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2.5质量标准：</w:t>
      </w:r>
      <w:r>
        <w:rPr>
          <w:rFonts w:hint="eastAsia" w:ascii="宋体" w:hAnsi="宋体" w:eastAsia="宋体" w:cs="宋体"/>
          <w:color w:val="auto"/>
          <w:sz w:val="24"/>
          <w:szCs w:val="24"/>
          <w:highlight w:val="none"/>
          <w:u w:val="single"/>
        </w:rPr>
        <w:t>合格</w:t>
      </w:r>
      <w:r>
        <w:rPr>
          <w:rFonts w:hint="eastAsia" w:ascii="宋体" w:hAnsi="宋体" w:eastAsia="宋体" w:cs="宋体"/>
          <w:color w:val="auto"/>
          <w:sz w:val="24"/>
          <w:szCs w:val="24"/>
          <w:highlight w:val="none"/>
        </w:rPr>
        <w:t>。</w:t>
      </w:r>
    </w:p>
    <w:p>
      <w:pPr>
        <w:tabs>
          <w:tab w:val="left" w:pos="851"/>
        </w:tabs>
        <w:adjustRightInd w:val="0"/>
        <w:snapToGrid w:val="0"/>
        <w:spacing w:line="50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第三条  工期</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计划开工日期：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日（具体以甲方开工报告中载明的开工日期为准）。</w:t>
      </w:r>
    </w:p>
    <w:p>
      <w:pPr>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合同工期日历天数为</w:t>
      </w:r>
      <w:r>
        <w:rPr>
          <w:rFonts w:hint="eastAsia" w:ascii="宋体" w:hAnsi="宋体" w:eastAsia="宋体" w:cs="宋体"/>
          <w:color w:val="auto"/>
          <w:sz w:val="24"/>
          <w:szCs w:val="24"/>
          <w:highlight w:val="none"/>
          <w:u w:val="single"/>
        </w:rPr>
        <w:t xml:space="preserve">  20  </w:t>
      </w:r>
      <w:r>
        <w:rPr>
          <w:rFonts w:hint="eastAsia" w:ascii="宋体" w:hAnsi="宋体" w:eastAsia="宋体" w:cs="宋体"/>
          <w:color w:val="auto"/>
          <w:sz w:val="24"/>
          <w:szCs w:val="24"/>
          <w:highlight w:val="none"/>
        </w:rPr>
        <w:t>天。</w:t>
      </w:r>
    </w:p>
    <w:p>
      <w:pPr>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（工期以总日历天数为准）</w:t>
      </w:r>
    </w:p>
    <w:p>
      <w:pPr>
        <w:tabs>
          <w:tab w:val="left" w:pos="851"/>
        </w:tabs>
        <w:adjustRightInd w:val="0"/>
        <w:snapToGrid w:val="0"/>
        <w:spacing w:line="50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第四条  工期延误与工期奖罚</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4.1延期开工</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乙方不能按时开工，应在约定的开工日期提前</w:t>
      </w:r>
      <w:r>
        <w:rPr>
          <w:rFonts w:hint="eastAsia" w:ascii="宋体" w:hAnsi="宋体" w:eastAsia="宋体" w:cs="宋体"/>
          <w:color w:val="auto"/>
          <w:sz w:val="24"/>
          <w:szCs w:val="24"/>
          <w:highlight w:val="none"/>
          <w:u w:val="single"/>
        </w:rPr>
        <w:t xml:space="preserve"> 5</w:t>
      </w:r>
      <w:r>
        <w:rPr>
          <w:rFonts w:hint="eastAsia" w:ascii="宋体" w:hAnsi="宋体" w:eastAsia="宋体" w:cs="宋体"/>
          <w:color w:val="auto"/>
          <w:sz w:val="24"/>
          <w:szCs w:val="24"/>
          <w:highlight w:val="none"/>
        </w:rPr>
        <w:t>日，向甲方书面申请延期开工并说明延期理由。甲方代表应在收到后</w:t>
      </w:r>
      <w:r>
        <w:rPr>
          <w:rFonts w:hint="eastAsia" w:ascii="宋体" w:hAnsi="宋体" w:eastAsia="宋体" w:cs="宋体"/>
          <w:color w:val="auto"/>
          <w:sz w:val="24"/>
          <w:szCs w:val="24"/>
          <w:highlight w:val="none"/>
          <w:u w:val="single"/>
        </w:rPr>
        <w:t xml:space="preserve"> 3</w:t>
      </w:r>
      <w:r>
        <w:rPr>
          <w:rFonts w:hint="eastAsia" w:ascii="宋体" w:hAnsi="宋体" w:eastAsia="宋体" w:cs="宋体"/>
          <w:color w:val="auto"/>
          <w:sz w:val="24"/>
          <w:szCs w:val="24"/>
          <w:highlight w:val="none"/>
        </w:rPr>
        <w:t>日内书面答复乙方。甲方同意延期要求或</w:t>
      </w:r>
      <w:r>
        <w:rPr>
          <w:rFonts w:hint="eastAsia" w:ascii="宋体" w:hAnsi="宋体" w:eastAsia="宋体" w:cs="宋体"/>
          <w:color w:val="auto"/>
          <w:sz w:val="24"/>
          <w:szCs w:val="24"/>
          <w:highlight w:val="none"/>
          <w:u w:val="single"/>
        </w:rPr>
        <w:t xml:space="preserve"> 3</w:t>
      </w:r>
      <w:r>
        <w:rPr>
          <w:rFonts w:hint="eastAsia" w:ascii="宋体" w:hAnsi="宋体" w:eastAsia="宋体" w:cs="宋体"/>
          <w:color w:val="auto"/>
          <w:sz w:val="24"/>
          <w:szCs w:val="24"/>
          <w:highlight w:val="none"/>
        </w:rPr>
        <w:t>日内不予答复，工期相应顺延。甲方不同意延期或乙方未在规定时间内提出延期开工要求，工期不予顺延。</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4.2工期顺延</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下列情况造成竣工日期推迟的，经甲方代表书面确认，工期相应顺延。</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 工程量变化和设计变更增加超过原工程量的</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以上。</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4.2.2 甲方未能按第七条的约定提供图纸。</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4.2.3 甲方未能按约定日期支付工程预付款、进度款，致使施工不能正常进行。</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4.2.4 施工中遇到不可预见障碍物或古墓、文物、流沙等需处理时。</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4.2.5 乙方应在不可抗力发生后</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日内向甲方申请顺延工期并提交有关证明，逾期未申请，视为不影响工期；甲方在收到申请后</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日内予以书面回复，逾期不回复，视为同意延期要求。</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 暂停施工</w:t>
      </w:r>
    </w:p>
    <w:p>
      <w:pPr>
        <w:tabs>
          <w:tab w:val="left" w:pos="851"/>
        </w:tabs>
        <w:adjustRightInd w:val="0"/>
        <w:snapToGrid w:val="0"/>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甲方代表认为必要时，有权要求暂停施工并在停工后</w:t>
      </w:r>
      <w:r>
        <w:rPr>
          <w:rFonts w:hint="eastAsia" w:ascii="宋体" w:hAnsi="宋体" w:eastAsia="宋体" w:cs="宋体"/>
          <w:color w:val="auto"/>
          <w:sz w:val="24"/>
          <w:szCs w:val="24"/>
          <w:highlight w:val="none"/>
          <w:u w:val="single"/>
        </w:rPr>
        <w:t xml:space="preserve"> 48</w:t>
      </w:r>
      <w:r>
        <w:rPr>
          <w:rFonts w:hint="eastAsia" w:ascii="宋体" w:hAnsi="宋体" w:eastAsia="宋体" w:cs="宋体"/>
          <w:color w:val="auto"/>
          <w:sz w:val="24"/>
          <w:szCs w:val="24"/>
          <w:highlight w:val="none"/>
        </w:rPr>
        <w:t>小时内提出处理意见。乙方在实施甲方代表处理意见后，应在</w:t>
      </w:r>
      <w:r>
        <w:rPr>
          <w:rFonts w:hint="eastAsia" w:ascii="宋体" w:hAnsi="宋体" w:eastAsia="宋体" w:cs="宋体"/>
          <w:color w:val="auto"/>
          <w:sz w:val="24"/>
          <w:szCs w:val="24"/>
          <w:highlight w:val="none"/>
          <w:u w:val="single"/>
        </w:rPr>
        <w:t xml:space="preserve"> 48 </w:t>
      </w:r>
      <w:r>
        <w:rPr>
          <w:rFonts w:hint="eastAsia" w:ascii="宋体" w:hAnsi="宋体" w:eastAsia="宋体" w:cs="宋体"/>
          <w:color w:val="auto"/>
          <w:sz w:val="24"/>
          <w:szCs w:val="24"/>
          <w:highlight w:val="none"/>
        </w:rPr>
        <w:t xml:space="preserve">小时内提出复工要求，甲方代表在 </w:t>
      </w:r>
      <w:r>
        <w:rPr>
          <w:rFonts w:hint="eastAsia" w:ascii="宋体" w:hAnsi="宋体" w:eastAsia="宋体" w:cs="宋体"/>
          <w:color w:val="auto"/>
          <w:sz w:val="24"/>
          <w:szCs w:val="24"/>
          <w:highlight w:val="none"/>
          <w:u w:val="single"/>
        </w:rPr>
        <w:t>24</w:t>
      </w:r>
      <w:r>
        <w:rPr>
          <w:rFonts w:hint="eastAsia" w:ascii="宋体" w:hAnsi="宋体" w:eastAsia="宋体" w:cs="宋体"/>
          <w:color w:val="auto"/>
          <w:sz w:val="24"/>
          <w:szCs w:val="24"/>
          <w:highlight w:val="none"/>
        </w:rPr>
        <w:t>小时内予以答复。甲方未能在规定时间提出处理意见，或收到乙方复工要求未在规定时限内予答复，乙方可自行复工。</w:t>
      </w:r>
    </w:p>
    <w:p>
      <w:pPr>
        <w:tabs>
          <w:tab w:val="left" w:pos="851"/>
        </w:tabs>
        <w:adjustRightInd w:val="0"/>
        <w:snapToGrid w:val="0"/>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 工期奖罚</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4.4.1 因甲方原因延误工期，造成经济损失，由甲方承担，工期相应顺延。</w:t>
      </w:r>
    </w:p>
    <w:p>
      <w:pPr>
        <w:widowControl/>
        <w:tabs>
          <w:tab w:val="left" w:pos="851"/>
        </w:tabs>
        <w:adjustRightInd w:val="0"/>
        <w:snapToGrid w:val="0"/>
        <w:spacing w:line="384" w:lineRule="auto"/>
        <w:ind w:firstLine="480" w:firstLineChars="200"/>
        <w:jc w:val="left"/>
        <w:rPr>
          <w:rFonts w:hint="eastAsia" w:ascii="宋体" w:hAnsi="宋体" w:cs="宋体"/>
          <w:b/>
          <w:bCs/>
          <w:color w:val="auto"/>
          <w:sz w:val="24"/>
          <w:highlight w:val="none"/>
        </w:rPr>
      </w:pPr>
      <w:r>
        <w:rPr>
          <w:rFonts w:hint="eastAsia" w:ascii="宋体" w:hAnsi="宋体" w:eastAsia="宋体" w:cs="宋体"/>
          <w:color w:val="auto"/>
          <w:sz w:val="24"/>
          <w:szCs w:val="24"/>
          <w:highlight w:val="none"/>
        </w:rPr>
        <w:t xml:space="preserve">4.4.2 因乙方原因延误工期，造成经济损失，由乙方承担，工期不予顺延。   </w:t>
      </w:r>
    </w:p>
    <w:p>
      <w:pPr>
        <w:tabs>
          <w:tab w:val="left" w:pos="851"/>
        </w:tabs>
        <w:adjustRightInd w:val="0"/>
        <w:snapToGrid w:val="0"/>
        <w:spacing w:line="50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第五条  合同价款及支付</w:t>
      </w:r>
    </w:p>
    <w:p>
      <w:pPr>
        <w:spacing w:line="500" w:lineRule="exact"/>
        <w:ind w:firstLine="480" w:firstLineChars="200"/>
        <w:rPr>
          <w:rFonts w:hint="eastAsia" w:ascii="宋体" w:hAnsi="宋体" w:eastAsia="宋体" w:cs="宋体"/>
          <w:bCs/>
          <w:color w:val="auto"/>
          <w:sz w:val="24"/>
          <w:szCs w:val="24"/>
          <w:highlight w:val="none"/>
          <w:bdr w:val="single" w:color="auto" w:sz="4" w:space="0"/>
        </w:rPr>
      </w:pPr>
      <w:r>
        <w:rPr>
          <w:rFonts w:hint="eastAsia" w:ascii="宋体" w:hAnsi="宋体" w:eastAsia="宋体" w:cs="宋体"/>
          <w:color w:val="auto"/>
          <w:sz w:val="24"/>
          <w:szCs w:val="24"/>
          <w:highlight w:val="none"/>
        </w:rPr>
        <w:t>5.1合同价款按以下</w:t>
      </w:r>
      <w:r>
        <w:rPr>
          <w:rFonts w:hint="eastAsia" w:ascii="宋体" w:hAnsi="宋体" w:eastAsia="宋体" w:cs="宋体"/>
          <w:color w:val="auto"/>
          <w:sz w:val="24"/>
          <w:szCs w:val="24"/>
          <w:highlight w:val="none"/>
          <w:u w:val="single"/>
        </w:rPr>
        <w:t xml:space="preserve"> （1） </w:t>
      </w:r>
      <w:r>
        <w:rPr>
          <w:rFonts w:hint="eastAsia" w:ascii="宋体" w:hAnsi="宋体" w:eastAsia="宋体" w:cs="宋体"/>
          <w:color w:val="auto"/>
          <w:sz w:val="24"/>
          <w:szCs w:val="24"/>
          <w:highlight w:val="none"/>
        </w:rPr>
        <w:t>执行。</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color w:val="auto"/>
          <w:sz w:val="24"/>
          <w:szCs w:val="24"/>
          <w:highlight w:val="none"/>
        </w:rPr>
        <w:t>合同暂定总价为：</w:t>
      </w:r>
      <w:r>
        <w:rPr>
          <w:rFonts w:hint="eastAsia" w:ascii="宋体" w:hAnsi="宋体" w:eastAsia="宋体" w:cs="宋体"/>
          <w:b/>
          <w:color w:val="auto"/>
          <w:sz w:val="24"/>
          <w:szCs w:val="24"/>
          <w:highlight w:val="none"/>
          <w:u w:val="single"/>
        </w:rPr>
        <w:t xml:space="preserve">人民币 </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u w:val="single"/>
        </w:rPr>
        <w:t xml:space="preserve">  元</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），其中：</w:t>
      </w:r>
      <w:r>
        <w:rPr>
          <w:rFonts w:hint="eastAsia" w:ascii="宋体" w:hAnsi="宋体" w:eastAsia="宋体" w:cs="宋体"/>
          <w:color w:val="auto"/>
          <w:sz w:val="24"/>
          <w:szCs w:val="24"/>
          <w:highlight w:val="none"/>
          <w:u w:val="single"/>
        </w:rPr>
        <w:t>绿色施工安全防护措施费为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元</w:t>
      </w: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，暂列金额为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元 </w:t>
      </w: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）。经甲方或甲方委托有资质第三方机构审核后，结算审核价作为合同结算价。若结算审核价超合同暂定总价，双方另行签订补充协议。</w:t>
      </w:r>
    </w:p>
    <w:p>
      <w:pPr>
        <w:autoSpaceDE w:val="0"/>
        <w:autoSpaceDN w:val="0"/>
        <w:adjustRightIn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综合单价：详见附件7工程量报价单。</w:t>
      </w:r>
    </w:p>
    <w:p>
      <w:pPr>
        <w:autoSpaceDE w:val="0"/>
        <w:autoSpaceDN w:val="0"/>
        <w:adjustRightIn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numPr>
          <w:ilvl w:val="0"/>
          <w:numId w:val="6"/>
        </w:num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合同以固定总价包干形式，合同暂定总价为：</w:t>
      </w:r>
      <w:r>
        <w:rPr>
          <w:rFonts w:hint="eastAsia" w:ascii="宋体" w:hAnsi="宋体" w:eastAsia="宋体" w:cs="宋体"/>
          <w:b/>
          <w:color w:val="auto"/>
          <w:sz w:val="24"/>
          <w:szCs w:val="24"/>
          <w:highlight w:val="none"/>
          <w:u w:val="single"/>
        </w:rPr>
        <w:t xml:space="preserve">人民币 </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u w:val="single"/>
        </w:rPr>
        <w:t xml:space="preserve">   元</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），其中：项目措施费暂定为￥</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元（大写：人民币</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）。经甲方或甲方委托有资质第三方机构审核后，若结算审核价比合同暂定总价低，则以结算审核价作为合同结算价，否则以合同暂定总价为合同结算价。</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此费用在项目实施期间费用均不得调整（如项目实施内容变更，需调整合同暂定价，双方另行协商签订补充协议）。</w:t>
      </w:r>
    </w:p>
    <w:p>
      <w:pPr>
        <w:tabs>
          <w:tab w:val="left" w:pos="851"/>
        </w:tabs>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5.2</w:t>
      </w:r>
      <w:r>
        <w:rPr>
          <w:rFonts w:hint="eastAsia" w:ascii="宋体" w:hAnsi="宋体" w:eastAsia="宋体" w:cs="宋体"/>
          <w:color w:val="auto"/>
          <w:kern w:val="0"/>
          <w:sz w:val="24"/>
          <w:szCs w:val="24"/>
          <w:highlight w:val="none"/>
        </w:rPr>
        <w:t>本合同约定的价格为含税价价格</w:t>
      </w:r>
      <w:r>
        <w:rPr>
          <w:rFonts w:hint="eastAsia" w:ascii="宋体" w:hAnsi="宋体" w:eastAsia="宋体" w:cs="宋体"/>
          <w:color w:val="auto"/>
          <w:sz w:val="24"/>
          <w:szCs w:val="24"/>
          <w:highlight w:val="none"/>
        </w:rPr>
        <w:t>（税率</w:t>
      </w:r>
      <w:r>
        <w:rPr>
          <w:rFonts w:hint="eastAsia" w:ascii="宋体" w:hAnsi="宋体" w:eastAsia="宋体" w:cs="宋体"/>
          <w:color w:val="auto"/>
          <w:sz w:val="24"/>
          <w:szCs w:val="24"/>
          <w:highlight w:val="none"/>
          <w:u w:val="single"/>
        </w:rPr>
        <w:t xml:space="preserve"> </w:t>
      </w:r>
      <w:bookmarkStart w:id="132" w:name="_GoBack"/>
      <w:bookmarkEnd w:id="132"/>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），合同履行期间国家税率调整或乙方开票的实际税率与前述税率不一致的，不含税价不变，价税合计按实际税率相应调整，以开具发票时间为准。</w:t>
      </w:r>
    </w:p>
    <w:p>
      <w:pPr>
        <w:spacing w:line="500" w:lineRule="exact"/>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rPr>
        <w:t>5.3 预付款：</w:t>
      </w:r>
      <w:r>
        <w:rPr>
          <w:rFonts w:hint="eastAsia" w:ascii="宋体" w:hAnsi="宋体" w:eastAsia="宋体" w:cs="宋体"/>
          <w:bCs/>
          <w:color w:val="auto"/>
          <w:sz w:val="24"/>
          <w:szCs w:val="24"/>
          <w:highlight w:val="none"/>
        </w:rPr>
        <w:sym w:font="Wingdings" w:char="00FE"/>
      </w:r>
      <w:r>
        <w:rPr>
          <w:rFonts w:hint="eastAsia" w:ascii="宋体" w:hAnsi="宋体" w:eastAsia="宋体" w:cs="宋体"/>
          <w:bCs/>
          <w:color w:val="auto"/>
          <w:sz w:val="24"/>
          <w:szCs w:val="24"/>
          <w:highlight w:val="none"/>
        </w:rPr>
        <w:t xml:space="preserve">无     </w:t>
      </w:r>
      <w:r>
        <w:rPr>
          <w:rFonts w:hint="eastAsia" w:ascii="宋体" w:hAnsi="宋体" w:eastAsia="宋体" w:cs="宋体"/>
          <w:bCs/>
          <w:color w:val="auto"/>
          <w:sz w:val="24"/>
          <w:szCs w:val="24"/>
          <w:highlight w:val="none"/>
        </w:rPr>
        <w:sym w:font="Wingdings" w:char="F0A8"/>
      </w:r>
      <w:r>
        <w:rPr>
          <w:rFonts w:hint="eastAsia" w:ascii="宋体" w:hAnsi="宋体" w:eastAsia="宋体" w:cs="宋体"/>
          <w:bCs/>
          <w:color w:val="auto"/>
          <w:sz w:val="24"/>
          <w:szCs w:val="24"/>
          <w:highlight w:val="none"/>
        </w:rPr>
        <w:t>有，合同签订后，乙方开具等额的</w:t>
      </w:r>
      <w:r>
        <w:rPr>
          <w:rFonts w:hint="eastAsia" w:ascii="宋体" w:hAnsi="宋体" w:eastAsia="宋体" w:cs="宋体"/>
          <w:bCs/>
          <w:color w:val="auto"/>
          <w:sz w:val="24"/>
          <w:szCs w:val="24"/>
          <w:highlight w:val="none"/>
          <w:u w:val="single"/>
        </w:rPr>
        <w:t>增值税专用发票/普通发票</w:t>
      </w:r>
      <w:r>
        <w:rPr>
          <w:rFonts w:hint="eastAsia" w:ascii="宋体" w:hAnsi="宋体" w:eastAsia="宋体" w:cs="宋体"/>
          <w:bCs/>
          <w:color w:val="auto"/>
          <w:sz w:val="24"/>
          <w:szCs w:val="24"/>
          <w:highlight w:val="none"/>
        </w:rPr>
        <w:t>及提交履约担保（如有）后10个工作日内，甲方支付合同暂定总价的</w:t>
      </w:r>
      <w:r>
        <w:rPr>
          <w:rFonts w:hint="eastAsia" w:ascii="宋体" w:hAnsi="宋体" w:eastAsia="宋体" w:cs="宋体"/>
          <w:bCs/>
          <w:color w:val="auto"/>
          <w:sz w:val="24"/>
          <w:szCs w:val="24"/>
          <w:highlight w:val="none"/>
          <w:u w:val="single"/>
        </w:rPr>
        <w:t>（不得超过</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作为预付款。若合同解除或终止，乙方在</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个工作日内返还预付款（无息）。</w:t>
      </w:r>
      <w:r>
        <w:rPr>
          <w:rFonts w:hint="eastAsia" w:ascii="宋体" w:hAnsi="宋体" w:eastAsia="宋体" w:cs="宋体"/>
          <w:bCs/>
          <w:color w:val="auto"/>
          <w:kern w:val="0"/>
          <w:sz w:val="24"/>
          <w:szCs w:val="24"/>
          <w:highlight w:val="none"/>
        </w:rPr>
        <w:t>逾期未返还，每逾期一日，乙方应按合同暂定总价的</w:t>
      </w:r>
      <w:r>
        <w:rPr>
          <w:rFonts w:hint="eastAsia" w:ascii="宋体" w:hAnsi="宋体" w:eastAsia="宋体" w:cs="宋体"/>
          <w:bCs/>
          <w:color w:val="auto"/>
          <w:kern w:val="0"/>
          <w:sz w:val="24"/>
          <w:szCs w:val="24"/>
          <w:highlight w:val="none"/>
          <w:u w:val="single"/>
        </w:rPr>
        <w:t>万分之五/日</w:t>
      </w:r>
      <w:r>
        <w:rPr>
          <w:rFonts w:hint="eastAsia" w:ascii="宋体" w:hAnsi="宋体" w:eastAsia="宋体" w:cs="宋体"/>
          <w:bCs/>
          <w:color w:val="auto"/>
          <w:kern w:val="0"/>
          <w:sz w:val="24"/>
          <w:szCs w:val="24"/>
          <w:highlight w:val="none"/>
        </w:rPr>
        <w:t>支付违约金</w:t>
      </w:r>
      <w:r>
        <w:rPr>
          <w:rFonts w:hint="eastAsia" w:ascii="宋体" w:hAnsi="宋体" w:eastAsia="宋体" w:cs="宋体"/>
          <w:color w:val="auto"/>
          <w:sz w:val="24"/>
          <w:szCs w:val="24"/>
          <w:highlight w:val="none"/>
        </w:rPr>
        <w:t>。</w:t>
      </w:r>
    </w:p>
    <w:p>
      <w:pPr>
        <w:tabs>
          <w:tab w:val="left" w:pos="851"/>
        </w:tabs>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5.4项目完工验收合格后，由乙方提交申请支付资料及等额</w:t>
      </w:r>
      <w:r>
        <w:rPr>
          <w:rFonts w:hint="eastAsia" w:ascii="宋体" w:hAnsi="宋体" w:eastAsia="宋体" w:cs="宋体"/>
          <w:bCs/>
          <w:color w:val="auto"/>
          <w:sz w:val="24"/>
          <w:szCs w:val="24"/>
          <w:highlight w:val="none"/>
          <w:u w:val="single"/>
        </w:rPr>
        <w:t>增值税专用发票</w:t>
      </w:r>
      <w:r>
        <w:rPr>
          <w:rFonts w:hint="eastAsia" w:ascii="宋体" w:hAnsi="宋体" w:eastAsia="宋体" w:cs="宋体"/>
          <w:bCs/>
          <w:color w:val="auto"/>
          <w:sz w:val="24"/>
          <w:szCs w:val="24"/>
          <w:highlight w:val="none"/>
        </w:rPr>
        <w:t>后</w:t>
      </w:r>
      <w:r>
        <w:rPr>
          <w:rFonts w:hint="eastAsia" w:ascii="宋体" w:hAnsi="宋体" w:eastAsia="宋体" w:cs="宋体"/>
          <w:bCs/>
          <w:color w:val="auto"/>
          <w:sz w:val="24"/>
          <w:szCs w:val="24"/>
          <w:highlight w:val="none"/>
          <w:u w:val="single"/>
        </w:rPr>
        <w:t xml:space="preserve"> 15 </w:t>
      </w:r>
      <w:r>
        <w:rPr>
          <w:rFonts w:hint="eastAsia" w:ascii="宋体" w:hAnsi="宋体" w:eastAsia="宋体" w:cs="宋体"/>
          <w:bCs/>
          <w:color w:val="auto"/>
          <w:sz w:val="24"/>
          <w:szCs w:val="24"/>
          <w:highlight w:val="none"/>
        </w:rPr>
        <w:t>个工作日内，甲方支付至合同暂定总价的80%即</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万元给乙方；</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5.5工程竣工验收合格后，经甲方或甲方委托的第三方造价咨询单位结算审核且乙方提交请款资料及等额</w:t>
      </w:r>
      <w:r>
        <w:rPr>
          <w:rFonts w:hint="eastAsia" w:ascii="宋体" w:hAnsi="宋体" w:eastAsia="宋体" w:cs="宋体"/>
          <w:bCs/>
          <w:color w:val="auto"/>
          <w:sz w:val="24"/>
          <w:szCs w:val="24"/>
          <w:highlight w:val="none"/>
          <w:u w:val="single"/>
        </w:rPr>
        <w:t>增值税专用发票</w:t>
      </w:r>
      <w:r>
        <w:rPr>
          <w:rFonts w:hint="eastAsia" w:ascii="宋体" w:hAnsi="宋体" w:eastAsia="宋体" w:cs="宋体"/>
          <w:bCs/>
          <w:color w:val="auto"/>
          <w:sz w:val="24"/>
          <w:szCs w:val="24"/>
          <w:highlight w:val="none"/>
        </w:rPr>
        <w:t>后，甲方支付至合同结算价的97</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(含因乙方未按规定履行合同约定而产生的各种违约金、扣罚金、赔偿金以及应由乙方交纳的各种费用等)。</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5.6质保期按合同第十四条约定执行，质保期满后且乙方不存在违约情形，由乙方提交申请质保金退还资料</w:t>
      </w:r>
      <w:r>
        <w:rPr>
          <w:rFonts w:hint="eastAsia" w:ascii="宋体" w:hAnsi="宋体" w:eastAsia="宋体" w:cs="宋体"/>
          <w:color w:val="auto"/>
          <w:sz w:val="24"/>
          <w:szCs w:val="24"/>
          <w:highlight w:val="none"/>
          <w:u w:val="single"/>
        </w:rPr>
        <w:t>15</w:t>
      </w:r>
      <w:r>
        <w:rPr>
          <w:rFonts w:hint="eastAsia" w:ascii="宋体" w:hAnsi="宋体" w:eastAsia="宋体" w:cs="宋体"/>
          <w:color w:val="auto"/>
          <w:sz w:val="24"/>
          <w:szCs w:val="24"/>
          <w:highlight w:val="none"/>
        </w:rPr>
        <w:t>个工作日内，甲方支付合同结算价的3%（质保金）给乙方（无息）。</w:t>
      </w:r>
    </w:p>
    <w:p>
      <w:pPr>
        <w:pStyle w:val="20"/>
        <w:spacing w:line="500" w:lineRule="exact"/>
        <w:ind w:firstLine="480" w:firstLineChars="200"/>
        <w:outlineLvl w:val="1"/>
        <w:rPr>
          <w:rFonts w:hint="eastAsia" w:hAnsi="宋体" w:eastAsia="宋体" w:cs="宋体"/>
          <w:color w:val="auto"/>
          <w:sz w:val="24"/>
          <w:highlight w:val="none"/>
        </w:rPr>
      </w:pPr>
      <w:r>
        <w:rPr>
          <w:rFonts w:hint="eastAsia" w:hAnsi="宋体" w:eastAsia="宋体" w:cs="宋体"/>
          <w:color w:val="auto"/>
          <w:sz w:val="24"/>
          <w:highlight w:val="none"/>
        </w:rPr>
        <w:t>5.7 乙方收款账户：</w:t>
      </w:r>
      <w:r>
        <w:rPr>
          <w:rFonts w:hint="eastAsia" w:hAnsi="宋体" w:eastAsia="宋体" w:cs="宋体"/>
          <w:color w:val="auto"/>
          <w:sz w:val="24"/>
          <w:highlight w:val="none"/>
          <w:u w:val="single"/>
        </w:rPr>
        <w:t xml:space="preserve">                </w:t>
      </w:r>
      <w:r>
        <w:rPr>
          <w:rFonts w:hint="eastAsia" w:hAnsi="宋体" w:eastAsia="宋体" w:cs="宋体"/>
          <w:color w:val="auto"/>
          <w:sz w:val="24"/>
          <w:highlight w:val="none"/>
        </w:rPr>
        <w:t>；</w:t>
      </w:r>
    </w:p>
    <w:p>
      <w:pPr>
        <w:spacing w:line="500" w:lineRule="exact"/>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收款账号：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500" w:lineRule="exact"/>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乙方在收款前需提交相应金额</w:t>
      </w:r>
      <w:r>
        <w:rPr>
          <w:rFonts w:hint="eastAsia" w:ascii="宋体" w:hAnsi="宋体" w:eastAsia="宋体" w:cs="宋体"/>
          <w:color w:val="auto"/>
          <w:sz w:val="24"/>
          <w:szCs w:val="24"/>
          <w:highlight w:val="none"/>
          <w:u w:val="single"/>
        </w:rPr>
        <w:t>增值税专用发票</w:t>
      </w:r>
      <w:r>
        <w:rPr>
          <w:rFonts w:hint="eastAsia" w:ascii="宋体" w:hAnsi="宋体" w:eastAsia="宋体" w:cs="宋体"/>
          <w:color w:val="auto"/>
          <w:sz w:val="24"/>
          <w:szCs w:val="24"/>
          <w:highlight w:val="none"/>
        </w:rPr>
        <w:t>给甲方。（具体按甲方财务要求提供）</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发票信息：</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名称：广州市净水有限公司</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开户行：民生银行广州分行</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账号：0301 0141 4000 6932</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szCs w:val="24"/>
          <w:highlight w:val="none"/>
        </w:rPr>
        <w:t>税号：</w:t>
      </w:r>
      <w:r>
        <w:rPr>
          <w:rFonts w:hint="eastAsia" w:ascii="宋体" w:hAnsi="宋体" w:eastAsia="宋体" w:cs="宋体"/>
          <w:color w:val="auto"/>
          <w:sz w:val="24"/>
          <w:highlight w:val="none"/>
          <w:u w:val="single"/>
        </w:rPr>
        <w:t>91440101755584729Q</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联系电话：020-38890283</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highlight w:val="none"/>
          <w:u w:val="single"/>
        </w:rPr>
        <w:t>广州市天河区临江大道501号</w:t>
      </w:r>
      <w:r>
        <w:rPr>
          <w:rFonts w:hint="eastAsia" w:ascii="宋体" w:hAnsi="宋体" w:eastAsia="宋体" w:cs="宋体"/>
          <w:color w:val="auto"/>
          <w:sz w:val="24"/>
          <w:szCs w:val="24"/>
          <w:highlight w:val="none"/>
          <w:u w:val="single"/>
        </w:rPr>
        <w:t xml:space="preserve"> </w:t>
      </w:r>
    </w:p>
    <w:p>
      <w:pPr>
        <w:tabs>
          <w:tab w:val="left" w:pos="851"/>
        </w:tabs>
        <w:adjustRightInd w:val="0"/>
        <w:snapToGrid w:val="0"/>
        <w:spacing w:line="500" w:lineRule="exact"/>
        <w:ind w:firstLine="480" w:firstLineChars="200"/>
        <w:jc w:val="left"/>
        <w:outlineLvl w:val="1"/>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 xml:space="preserve">5.8付款方式：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网银支付；  </w:t>
      </w:r>
      <w:r>
        <w:rPr>
          <w:rFonts w:hint="eastAsia" w:ascii="宋体" w:hAnsi="宋体" w:eastAsia="宋体" w:cs="宋体"/>
          <w:color w:val="auto"/>
          <w:sz w:val="24"/>
          <w:szCs w:val="24"/>
          <w:highlight w:val="none"/>
        </w:rPr>
        <w:sym w:font="Wingdings" w:char="F0A8"/>
      </w:r>
      <w:r>
        <w:rPr>
          <w:rFonts w:hint="eastAsia" w:ascii="宋体" w:hAnsi="宋体" w:eastAsia="宋体" w:cs="宋体"/>
          <w:color w:val="auto"/>
          <w:sz w:val="24"/>
          <w:szCs w:val="24"/>
          <w:highlight w:val="none"/>
        </w:rPr>
        <w:t xml:space="preserve">支票；   </w:t>
      </w:r>
      <w:r>
        <w:rPr>
          <w:rFonts w:hint="eastAsia" w:ascii="宋体" w:hAnsi="宋体" w:eastAsia="宋体" w:cs="宋体"/>
          <w:color w:val="auto"/>
          <w:sz w:val="24"/>
          <w:szCs w:val="24"/>
          <w:highlight w:val="none"/>
        </w:rPr>
        <w:sym w:font="Wingdings" w:char="F0A8"/>
      </w:r>
      <w:r>
        <w:rPr>
          <w:rFonts w:hint="eastAsia" w:ascii="宋体" w:hAnsi="宋体" w:eastAsia="宋体" w:cs="宋体"/>
          <w:color w:val="auto"/>
          <w:sz w:val="24"/>
          <w:szCs w:val="24"/>
          <w:highlight w:val="none"/>
        </w:rPr>
        <w:t>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spacing w:line="500" w:lineRule="exact"/>
        <w:ind w:firstLine="46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5.9如出现合同费用超付，乙方应在获知超付之日起7个工作日内返还超付款项（无息）。</w:t>
      </w:r>
      <w:r>
        <w:rPr>
          <w:rFonts w:hint="eastAsia" w:ascii="宋体" w:hAnsi="宋体" w:eastAsia="宋体" w:cs="宋体"/>
          <w:color w:val="auto"/>
          <w:sz w:val="24"/>
          <w:szCs w:val="24"/>
          <w:highlight w:val="none"/>
        </w:rPr>
        <w:t>每逾期一周乙方承担超付款项的</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的逾期违约金，且支付超付款项相应存款利息。</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5.10结算审定价超过合同暂定总价时，暂停合同的工程款支付程序，签订补充协议后支付。</w:t>
      </w:r>
    </w:p>
    <w:p>
      <w:pPr>
        <w:tabs>
          <w:tab w:val="left" w:pos="851"/>
        </w:tabs>
        <w:adjustRightInd w:val="0"/>
        <w:snapToGrid w:val="0"/>
        <w:spacing w:line="500" w:lineRule="exact"/>
        <w:ind w:firstLine="480" w:firstLineChars="200"/>
        <w:jc w:val="left"/>
        <w:rPr>
          <w:color w:val="auto"/>
          <w:highlight w:val="none"/>
        </w:rPr>
      </w:pPr>
      <w:r>
        <w:rPr>
          <w:rFonts w:hint="eastAsia" w:ascii="宋体" w:hAnsi="宋体" w:eastAsia="宋体" w:cs="宋体"/>
          <w:color w:val="auto"/>
          <w:sz w:val="24"/>
          <w:szCs w:val="24"/>
          <w:highlight w:val="none"/>
        </w:rPr>
        <w:t>5.11本项目工程款的支付单位为：</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highlight w:val="none"/>
          <w:u w:val="single"/>
        </w:rPr>
        <w:t>广州市净水有限公司猎德分公司</w:t>
      </w:r>
      <w:r>
        <w:rPr>
          <w:rFonts w:hint="eastAsia" w:ascii="宋体" w:hAnsi="宋体" w:eastAsia="宋体" w:cs="宋体"/>
          <w:color w:val="auto"/>
          <w:sz w:val="24"/>
          <w:szCs w:val="24"/>
          <w:highlight w:val="none"/>
          <w:u w:val="single"/>
        </w:rPr>
        <w:t xml:space="preserve"> 。</w:t>
      </w:r>
    </w:p>
    <w:p>
      <w:pPr>
        <w:tabs>
          <w:tab w:val="left" w:pos="851"/>
        </w:tabs>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第六条  履约担保</w:t>
      </w:r>
    </w:p>
    <w:p>
      <w:pPr>
        <w:spacing w:line="500" w:lineRule="exact"/>
        <w:ind w:firstLine="480" w:firstLineChars="200"/>
        <w:outlineLvl w:val="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履约担保：</w:t>
      </w:r>
      <w:r>
        <w:rPr>
          <w:rFonts w:hint="eastAsia" w:ascii="宋体" w:hAnsi="宋体" w:eastAsia="宋体" w:cs="宋体"/>
          <w:color w:val="auto"/>
          <w:sz w:val="24"/>
          <w:szCs w:val="24"/>
          <w:highlight w:val="none"/>
        </w:rPr>
        <w:sym w:font="Times New Roman" w:char="0000"/>
      </w:r>
      <w:r>
        <w:rPr>
          <w:rFonts w:hint="eastAsia" w:ascii="宋体" w:hAnsi="宋体" w:eastAsia="宋体" w:cs="宋体"/>
          <w:color w:val="auto"/>
          <w:sz w:val="24"/>
          <w:szCs w:val="24"/>
          <w:highlight w:val="none"/>
        </w:rPr>
        <w:sym w:font="Times New Roman" w:char="0000"/>
      </w:r>
      <w:r>
        <w:rPr>
          <w:rFonts w:hint="eastAsia" w:ascii="宋体" w:hAnsi="宋体" w:eastAsia="宋体" w:cs="宋体"/>
          <w:color w:val="auto"/>
          <w:sz w:val="24"/>
          <w:szCs w:val="24"/>
          <w:highlight w:val="none"/>
        </w:rPr>
        <w:sym w:font="Wingdings" w:char="00FE"/>
      </w:r>
      <w:r>
        <w:rPr>
          <w:rFonts w:hint="eastAsia" w:ascii="宋体" w:hAnsi="宋体" w:eastAsia="宋体" w:cs="宋体"/>
          <w:bCs/>
          <w:color w:val="auto"/>
          <w:sz w:val="24"/>
          <w:szCs w:val="24"/>
          <w:highlight w:val="none"/>
        </w:rPr>
        <w:t xml:space="preserve">无；    </w:t>
      </w:r>
      <w:r>
        <w:rPr>
          <w:rFonts w:hint="eastAsia" w:ascii="宋体" w:hAnsi="宋体" w:eastAsia="宋体" w:cs="宋体"/>
          <w:bCs/>
          <w:color w:val="auto"/>
          <w:sz w:val="24"/>
          <w:szCs w:val="24"/>
          <w:highlight w:val="none"/>
        </w:rPr>
        <w:sym w:font="Times New Roman" w:char="0000"/>
      </w:r>
      <w:r>
        <w:rPr>
          <w:rFonts w:hint="eastAsia" w:ascii="宋体" w:hAnsi="宋体" w:eastAsia="宋体" w:cs="宋体"/>
          <w:bCs/>
          <w:color w:val="auto"/>
          <w:sz w:val="24"/>
          <w:szCs w:val="24"/>
          <w:highlight w:val="none"/>
        </w:rPr>
        <w:sym w:font="Times New Roman" w:char="0000"/>
      </w:r>
      <w:r>
        <w:rPr>
          <w:rFonts w:hint="eastAsia" w:ascii="宋体" w:hAnsi="宋体" w:eastAsia="宋体" w:cs="宋体"/>
          <w:bCs/>
          <w:color w:val="auto"/>
          <w:sz w:val="24"/>
          <w:szCs w:val="24"/>
          <w:highlight w:val="none"/>
        </w:rPr>
        <w:sym w:font="Wingdings" w:char="F0A8"/>
      </w:r>
      <w:r>
        <w:rPr>
          <w:rFonts w:hint="eastAsia" w:ascii="宋体" w:hAnsi="宋体" w:eastAsia="宋体" w:cs="宋体"/>
          <w:bCs/>
          <w:color w:val="auto"/>
          <w:sz w:val="24"/>
          <w:szCs w:val="24"/>
          <w:highlight w:val="none"/>
        </w:rPr>
        <w:t>有，乙方于</w:t>
      </w:r>
      <w:r>
        <w:rPr>
          <w:rFonts w:hint="eastAsia" w:ascii="宋体" w:hAnsi="宋体" w:eastAsia="宋体" w:cs="宋体"/>
          <w:color w:val="auto"/>
          <w:sz w:val="24"/>
          <w:szCs w:val="24"/>
          <w:highlight w:val="none"/>
        </w:rPr>
        <w:t>本合同签订后</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日内</w:t>
      </w:r>
      <w:r>
        <w:rPr>
          <w:rFonts w:hint="eastAsia" w:ascii="宋体" w:hAnsi="宋体" w:eastAsia="宋体" w:cs="宋体"/>
          <w:color w:val="auto"/>
          <w:sz w:val="24"/>
          <w:szCs w:val="24"/>
          <w:highlight w:val="none"/>
          <w:u w:val="single"/>
        </w:rPr>
        <w:t>按照合同暂定价的10%提交履约保证金，</w:t>
      </w:r>
      <w:r>
        <w:rPr>
          <w:rFonts w:hint="eastAsia" w:ascii="宋体" w:hAnsi="宋体" w:eastAsia="宋体" w:cs="宋体"/>
          <w:color w:val="auto"/>
          <w:sz w:val="24"/>
          <w:szCs w:val="24"/>
          <w:highlight w:val="none"/>
        </w:rPr>
        <w:t xml:space="preserve">金额为： </w:t>
      </w:r>
      <w:r>
        <w:rPr>
          <w:rFonts w:hint="eastAsia" w:ascii="宋体" w:hAnsi="宋体" w:eastAsia="宋体" w:cs="宋体"/>
          <w:color w:val="auto"/>
          <w:sz w:val="24"/>
          <w:szCs w:val="24"/>
          <w:highlight w:val="none"/>
          <w:u w:val="single"/>
        </w:rPr>
        <w:t xml:space="preserve">   （大写人民币：            ）</w:t>
      </w:r>
      <w:r>
        <w:rPr>
          <w:rFonts w:hint="eastAsia" w:ascii="宋体" w:hAnsi="宋体" w:eastAsia="宋体" w:cs="宋体"/>
          <w:color w:val="auto"/>
          <w:sz w:val="24"/>
          <w:szCs w:val="24"/>
          <w:highlight w:val="none"/>
        </w:rPr>
        <w:t>未按时提供履约担保的，甲方有权解除合同并要求乙方支付</w:t>
      </w:r>
      <w:r>
        <w:rPr>
          <w:rFonts w:hint="eastAsia" w:ascii="宋体" w:hAnsi="宋体" w:eastAsia="宋体" w:cs="宋体"/>
          <w:color w:val="auto"/>
          <w:sz w:val="24"/>
          <w:szCs w:val="24"/>
          <w:highlight w:val="none"/>
          <w:u w:val="single"/>
        </w:rPr>
        <w:t>合同暂定总价20%</w:t>
      </w:r>
      <w:r>
        <w:rPr>
          <w:rFonts w:hint="eastAsia" w:ascii="宋体" w:hAnsi="宋体" w:eastAsia="宋体" w:cs="宋体"/>
          <w:color w:val="auto"/>
          <w:sz w:val="24"/>
          <w:szCs w:val="24"/>
          <w:highlight w:val="none"/>
        </w:rPr>
        <w:t>作为违约金。</w:t>
      </w:r>
    </w:p>
    <w:p>
      <w:pPr>
        <w:pStyle w:val="30"/>
        <w:widowControl w:val="0"/>
        <w:spacing w:before="0" w:beforeAutospacing="0" w:after="0" w:afterAutospacing="0" w:line="500" w:lineRule="exact"/>
        <w:ind w:firstLine="480" w:firstLineChars="200"/>
        <w:rPr>
          <w:rFonts w:hint="eastAsia" w:eastAsia="宋体" w:cs="宋体"/>
          <w:color w:val="auto"/>
          <w:highlight w:val="none"/>
        </w:rPr>
      </w:pPr>
      <w:r>
        <w:rPr>
          <w:rFonts w:hint="eastAsia" w:eastAsia="宋体" w:cs="宋体"/>
          <w:color w:val="auto"/>
          <w:highlight w:val="none"/>
        </w:rPr>
        <w:t>6.1履约担保按以下任一种形式提供：</w:t>
      </w:r>
    </w:p>
    <w:p>
      <w:pPr>
        <w:pStyle w:val="30"/>
        <w:widowControl w:val="0"/>
        <w:spacing w:before="0" w:beforeAutospacing="0" w:after="0" w:afterAutospacing="0" w:line="500" w:lineRule="exact"/>
        <w:ind w:firstLine="480"/>
        <w:rPr>
          <w:rFonts w:hint="eastAsia" w:eastAsia="宋体" w:cs="宋体"/>
          <w:color w:val="auto"/>
          <w:highlight w:val="none"/>
        </w:rPr>
      </w:pPr>
      <w:r>
        <w:rPr>
          <w:rFonts w:hint="eastAsia" w:eastAsia="宋体" w:cs="宋体"/>
          <w:color w:val="auto"/>
          <w:highlight w:val="none"/>
        </w:rPr>
        <w:t>（1）符合甲方要求（详见附件8保函格式）的银行独立保函，</w:t>
      </w:r>
    </w:p>
    <w:p>
      <w:pPr>
        <w:pStyle w:val="30"/>
        <w:widowControl w:val="0"/>
        <w:spacing w:before="0" w:beforeAutospacing="0" w:after="0" w:afterAutospacing="0" w:line="500" w:lineRule="exact"/>
        <w:ind w:firstLine="480"/>
        <w:rPr>
          <w:rFonts w:hint="eastAsia" w:eastAsia="宋体" w:cs="宋体"/>
          <w:color w:val="auto"/>
          <w:highlight w:val="none"/>
        </w:rPr>
      </w:pPr>
      <w:r>
        <w:rPr>
          <w:rFonts w:hint="eastAsia" w:eastAsia="宋体" w:cs="宋体"/>
          <w:color w:val="auto"/>
          <w:highlight w:val="none"/>
        </w:rPr>
        <w:t>（2）现金转账至甲方以下指定账户：</w:t>
      </w:r>
    </w:p>
    <w:p>
      <w:pPr>
        <w:tabs>
          <w:tab w:val="left" w:pos="1995"/>
        </w:tabs>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户名：广州市净水有限公司</w:t>
      </w:r>
    </w:p>
    <w:p>
      <w:pPr>
        <w:tabs>
          <w:tab w:val="left" w:pos="1995"/>
        </w:tabs>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账号：82010154900000342</w:t>
      </w:r>
    </w:p>
    <w:p>
      <w:pPr>
        <w:tabs>
          <w:tab w:val="left" w:pos="1995"/>
        </w:tabs>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开户行：浦发银行广州分行</w:t>
      </w:r>
    </w:p>
    <w:p>
      <w:pPr>
        <w:spacing w:line="500" w:lineRule="exact"/>
        <w:ind w:firstLine="480" w:firstLineChars="2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6.2履约担保的担保期限和返还</w:t>
      </w:r>
    </w:p>
    <w:p>
      <w:pPr>
        <w:spacing w:line="500" w:lineRule="exact"/>
        <w:ind w:firstLine="48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⑴履约银行保函（或现金履约保证金）的担保期限：从提供履约担保（或转账成功）之日起至合同履行完成。</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⑵履约银行保函在合同履行完成后，由乙方提出申请，甲方在28日内返还，不支付利息：</w:t>
      </w:r>
    </w:p>
    <w:p>
      <w:pPr>
        <w:spacing w:line="500" w:lineRule="exact"/>
        <w:ind w:firstLine="480" w:firstLineChars="2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⑶延长担保期限。乙方以履约银行保函形式提交履约保证金的，在银行保函到期前，乙方应提前</w:t>
      </w: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日向甲方提交新的保函以替换即将到期的保函。如乙方未及时提交的，甲方有权直接要求担保银行支付其担保的全部金额并解除合同。</w:t>
      </w:r>
    </w:p>
    <w:p>
      <w:pPr>
        <w:pStyle w:val="30"/>
        <w:widowControl w:val="0"/>
        <w:spacing w:before="0" w:beforeAutospacing="0" w:after="0" w:afterAutospacing="0" w:line="500" w:lineRule="exact"/>
        <w:ind w:firstLine="480" w:firstLineChars="200"/>
        <w:rPr>
          <w:rFonts w:hint="eastAsia" w:eastAsia="宋体" w:cs="宋体"/>
          <w:color w:val="auto"/>
          <w:highlight w:val="none"/>
          <w:u w:val="single"/>
        </w:rPr>
      </w:pPr>
      <w:r>
        <w:rPr>
          <w:rFonts w:hint="eastAsia" w:eastAsia="宋体" w:cs="宋体"/>
          <w:color w:val="auto"/>
          <w:highlight w:val="none"/>
        </w:rPr>
        <w:t>⑷现金履约保证金的退还：合同履行完成后，由乙方提出申请，甲方在</w:t>
      </w:r>
      <w:r>
        <w:rPr>
          <w:rFonts w:hint="eastAsia" w:eastAsia="宋体" w:cs="宋体"/>
          <w:color w:val="auto"/>
          <w:highlight w:val="none"/>
          <w:u w:val="single"/>
        </w:rPr>
        <w:t>28日</w:t>
      </w:r>
      <w:r>
        <w:rPr>
          <w:rFonts w:hint="eastAsia" w:eastAsia="宋体" w:cs="宋体"/>
          <w:color w:val="auto"/>
          <w:highlight w:val="none"/>
        </w:rPr>
        <w:t>内将剩余保证金（无息）返还。</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6.3甲方按本合同规定提取履约担保金额后，乙方应在收到甲方通知后</w:t>
      </w: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日内补足数额，逾期未补足的，则甲方有权提取履约担保的全部余额并解除合同。</w:t>
      </w:r>
    </w:p>
    <w:p>
      <w:pPr>
        <w:pStyle w:val="30"/>
        <w:widowControl w:val="0"/>
        <w:spacing w:before="0" w:beforeAutospacing="0" w:after="0" w:afterAutospacing="0" w:line="500" w:lineRule="exact"/>
        <w:ind w:firstLine="482" w:firstLineChars="200"/>
        <w:rPr>
          <w:rFonts w:hint="eastAsia" w:eastAsia="宋体" w:cs="宋体"/>
          <w:b/>
          <w:color w:val="auto"/>
          <w:highlight w:val="none"/>
        </w:rPr>
      </w:pPr>
      <w:r>
        <w:rPr>
          <w:rFonts w:hint="eastAsia" w:eastAsia="宋体" w:cs="宋体"/>
          <w:b/>
          <w:color w:val="auto"/>
          <w:highlight w:val="none"/>
        </w:rPr>
        <w:t>第七条  图纸</w:t>
      </w:r>
    </w:p>
    <w:p>
      <w:pPr>
        <w:tabs>
          <w:tab w:val="left" w:pos="1276"/>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7.1甲方于开工前向乙方提供技术要求或施工图纸及相关资料。（不包括竣工图纸）</w:t>
      </w:r>
    </w:p>
    <w:p>
      <w:pPr>
        <w:tabs>
          <w:tab w:val="left" w:pos="0"/>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7.2乙方未经甲方书面同意，不得将本工程图纸</w:t>
      </w:r>
      <w:r>
        <w:rPr>
          <w:rStyle w:val="44"/>
          <w:rFonts w:hint="eastAsia" w:ascii="宋体" w:hAnsi="宋体" w:cs="宋体"/>
          <w:color w:val="auto"/>
          <w:sz w:val="24"/>
          <w:szCs w:val="24"/>
          <w:highlight w:val="none"/>
        </w:rPr>
        <w:t>出示、</w:t>
      </w:r>
      <w:r>
        <w:rPr>
          <w:rFonts w:hint="eastAsia" w:ascii="宋体" w:hAnsi="宋体" w:eastAsia="宋体" w:cs="宋体"/>
          <w:color w:val="auto"/>
          <w:sz w:val="24"/>
          <w:szCs w:val="24"/>
          <w:highlight w:val="none"/>
        </w:rPr>
        <w:t>泄露或以任何其他方式提供给第三人或使第三人知悉。除乙方存档需要的图纸外，乙方应在工程质量保修期满后</w:t>
      </w:r>
      <w:r>
        <w:rPr>
          <w:rFonts w:hint="eastAsia" w:ascii="宋体" w:hAnsi="宋体" w:eastAsia="宋体" w:cs="宋体"/>
          <w:color w:val="auto"/>
          <w:sz w:val="24"/>
          <w:szCs w:val="24"/>
          <w:highlight w:val="none"/>
          <w:u w:val="single"/>
        </w:rPr>
        <w:t xml:space="preserve"> 10 </w:t>
      </w:r>
      <w:r>
        <w:rPr>
          <w:rFonts w:hint="eastAsia" w:ascii="宋体" w:hAnsi="宋体" w:eastAsia="宋体" w:cs="宋体"/>
          <w:color w:val="auto"/>
          <w:sz w:val="24"/>
          <w:szCs w:val="24"/>
          <w:highlight w:val="none"/>
        </w:rPr>
        <w:t>日内将全部图纸退还给甲方。</w:t>
      </w:r>
    </w:p>
    <w:p>
      <w:pPr>
        <w:tabs>
          <w:tab w:val="left" w:pos="360"/>
        </w:tabs>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第八条  甲方代表、乙方驻场代表</w:t>
      </w:r>
    </w:p>
    <w:p>
      <w:pPr>
        <w:tabs>
          <w:tab w:val="left" w:pos="1276"/>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甲方代表：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68"/>
        <w:tabs>
          <w:tab w:val="left" w:pos="1276"/>
        </w:tabs>
        <w:snapToGrid w:val="0"/>
        <w:spacing w:before="0" w:after="0" w:line="500" w:lineRule="exact"/>
        <w:ind w:left="0" w:right="0" w:firstLine="480" w:firstLineChars="200"/>
        <w:rPr>
          <w:rFonts w:hint="eastAsia" w:ascii="宋体" w:hAnsi="宋体" w:cs="宋体"/>
          <w:color w:val="auto"/>
          <w:kern w:val="2"/>
          <w:szCs w:val="24"/>
          <w:highlight w:val="none"/>
        </w:rPr>
      </w:pPr>
      <w:r>
        <w:rPr>
          <w:rFonts w:hint="eastAsia" w:ascii="宋体" w:hAnsi="宋体" w:cs="宋体"/>
          <w:color w:val="auto"/>
          <w:kern w:val="2"/>
          <w:szCs w:val="24"/>
          <w:highlight w:val="none"/>
        </w:rPr>
        <w:t>乙方驻场代表（项目经理）：_______________ 。</w:t>
      </w:r>
    </w:p>
    <w:p>
      <w:pPr>
        <w:tabs>
          <w:tab w:val="left" w:pos="1276"/>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项目经理任职条件须符合《广东省住房和城乡建设厅关于加强我省小型工程项目施工管理及明确小型工程项目负责人任职条件的通知》（粤建市[2010]26号）中的相关规定(如有新文件从其新规定）。</w:t>
      </w:r>
    </w:p>
    <w:p>
      <w:pPr>
        <w:tabs>
          <w:tab w:val="left" w:pos="851"/>
        </w:tabs>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第九条  甲方责任</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 开工前办理土地征用，青苗、树木赔偿，坟地迁移，房屋、构筑物拆迁（如有），地上及架空、地下障碍物清除，保证施工期间的用地需要。</w:t>
      </w:r>
    </w:p>
    <w:p>
      <w:pPr>
        <w:tabs>
          <w:tab w:val="left" w:pos="-180"/>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办理施工许可证和临时用地、停水、停电、中断道路交通、爆破作业等的申请批准手续（证明乙方自身资质的证件及应由乙方办理的手续除外）。</w:t>
      </w:r>
    </w:p>
    <w:p>
      <w:pPr>
        <w:tabs>
          <w:tab w:val="left" w:pos="0"/>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协调、处理施工现场周围建筑物、构筑物(含文物保护建筑)、古树名木和地下管线的保护，并承担有关费用。</w:t>
      </w:r>
    </w:p>
    <w:p>
      <w:pPr>
        <w:tabs>
          <w:tab w:val="left" w:pos="0"/>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 按照合同条款第七条约定及时将施工图纸及有关技术资料提供给乙方，并组织设计单位、乙方会审图纸和设计交底，在收到乙方提供的施工组织设计(或施工方案)和进度计划后</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日内予以确认。</w:t>
      </w:r>
    </w:p>
    <w:p>
      <w:pPr>
        <w:tabs>
          <w:tab w:val="left" w:pos="851"/>
        </w:tabs>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第十条  乙方责任</w:t>
      </w:r>
    </w:p>
    <w:p>
      <w:pPr>
        <w:spacing w:line="50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10.1施工用水用电采用以下</w:t>
      </w:r>
      <w:r>
        <w:rPr>
          <w:rFonts w:hint="eastAsia" w:ascii="宋体" w:hAnsi="宋体" w:eastAsia="宋体" w:cs="宋体"/>
          <w:color w:val="auto"/>
          <w:sz w:val="24"/>
          <w:szCs w:val="24"/>
          <w:highlight w:val="none"/>
          <w:u w:val="single"/>
        </w:rPr>
        <w:t xml:space="preserve"> （1） </w:t>
      </w:r>
      <w:r>
        <w:rPr>
          <w:rFonts w:hint="eastAsia" w:ascii="宋体" w:hAnsi="宋体" w:eastAsia="宋体" w:cs="宋体"/>
          <w:color w:val="auto"/>
          <w:sz w:val="24"/>
          <w:szCs w:val="24"/>
          <w:highlight w:val="none"/>
        </w:rPr>
        <w:t>方式执行。</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（1）由甲方提供施工用水用电接口，水电费按合同综合单价水电含量计算，从甲方支付的工程款中直接扣回。</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（2）由甲方提供施工用水用电接口，费用按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月/项目）结算，由乙方向</w:t>
      </w:r>
      <w:r>
        <w:rPr>
          <w:rFonts w:hint="eastAsia" w:ascii="宋体" w:hAnsi="宋体" w:eastAsia="宋体" w:cs="宋体"/>
          <w:color w:val="auto"/>
          <w:sz w:val="24"/>
          <w:szCs w:val="24"/>
          <w:highlight w:val="none"/>
          <w:u w:val="single"/>
        </w:rPr>
        <w:t>甲方或甲方XX分公司</w:t>
      </w:r>
      <w:r>
        <w:rPr>
          <w:rFonts w:hint="eastAsia" w:ascii="宋体" w:hAnsi="宋体" w:eastAsia="宋体" w:cs="宋体"/>
          <w:color w:val="auto"/>
          <w:sz w:val="24"/>
          <w:szCs w:val="24"/>
          <w:highlight w:val="none"/>
        </w:rPr>
        <w:t>支付。水电费用按所属供电局、自来水公司收费标准，按实计算。</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（3）由乙方自行负责。</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 根据甲方要求提交施工计划、已完工进度统计报表和工程事故报告。</w:t>
      </w:r>
    </w:p>
    <w:p>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 遵守国家及本市有关部门对施工现场环境保护，做好施工噪声、废气、废水、安全、防火、保卫、并按照国家及广州市相关规定做好建筑垃圾的处理等各项工作。</w:t>
      </w:r>
    </w:p>
    <w:p>
      <w:pPr>
        <w:tabs>
          <w:tab w:val="left" w:pos="851"/>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 建立健全安全防护措施和文明施工的制度，完善安全防护和文明施工条件，严格按照安全防护和文明施工的规定组织施工，采取必要的安全防护措施，消除事故隐患，自觉接受和配合行政主管部门依法实施的监督检查。乙方在施工过程中必须按照相关规定进行围蔽。</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10.5 做好施工现场周围建筑物、构筑物(含文物保护建筑)、古树名木和地下管线的保护。发现地下障碍和文物时，及时报告甲方及有关部门并采取有效保护措施，按有关具体规定处置，甲方承担由此发生的费用，延误的工期相应顺延。                                                          </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需在施工组织设计(或施工方案)中列明管线保护的详细措施，经甲方确认后才能进行施工，在施工过程中严格按照管线保护措施保护好管线，相关费用按实计量。由于措施不当或没有做好保护措施便开工导致挖断管线的，乙方承担所有责任及相应费用。当现场施工发生管线损坏事故时，乙方必须立即报告甲方、管线产权单位及建设行政主管部门。</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10.6 在图纸会审和设计交底后</w:t>
      </w: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日内向甲方提交施工组织设计(或施工方案)和进度计划，经甲方批准后依照计划组织施工，接受甲方对进度的检查监督。</w:t>
      </w:r>
    </w:p>
    <w:p>
      <w:pPr>
        <w:pStyle w:val="68"/>
        <w:tabs>
          <w:tab w:val="left" w:pos="851"/>
        </w:tabs>
        <w:snapToGrid w:val="0"/>
        <w:spacing w:before="0" w:after="0" w:line="500" w:lineRule="exact"/>
        <w:ind w:left="0" w:right="0" w:firstLine="480" w:firstLineChars="200"/>
        <w:rPr>
          <w:rFonts w:hint="eastAsia" w:ascii="宋体" w:hAnsi="宋体" w:cs="宋体"/>
          <w:color w:val="auto"/>
          <w:kern w:val="2"/>
          <w:szCs w:val="24"/>
          <w:highlight w:val="none"/>
        </w:rPr>
      </w:pPr>
      <w:r>
        <w:rPr>
          <w:rFonts w:hint="eastAsia" w:ascii="宋体" w:hAnsi="宋体" w:cs="宋体"/>
          <w:color w:val="auto"/>
          <w:kern w:val="2"/>
          <w:szCs w:val="24"/>
          <w:highlight w:val="none"/>
        </w:rPr>
        <w:t>10.7 乙方严格遵守建设工程余泥渣土运输与排放管理制度，选择合法的余泥渣土运输单位及排放点，确保余泥渣土合法处置。</w:t>
      </w:r>
    </w:p>
    <w:p>
      <w:pPr>
        <w:pStyle w:val="68"/>
        <w:tabs>
          <w:tab w:val="left" w:pos="851"/>
        </w:tabs>
        <w:snapToGrid w:val="0"/>
        <w:spacing w:before="0" w:after="0" w:line="500" w:lineRule="exact"/>
        <w:ind w:left="0" w:right="0" w:firstLine="480" w:firstLineChars="200"/>
        <w:rPr>
          <w:rFonts w:hint="eastAsia" w:ascii="宋体" w:hAnsi="宋体" w:cs="宋体"/>
          <w:color w:val="auto"/>
          <w:kern w:val="2"/>
          <w:szCs w:val="24"/>
          <w:highlight w:val="none"/>
        </w:rPr>
      </w:pPr>
      <w:r>
        <w:rPr>
          <w:rFonts w:hint="eastAsia" w:ascii="宋体" w:hAnsi="宋体" w:cs="宋体"/>
          <w:color w:val="auto"/>
          <w:kern w:val="2"/>
          <w:szCs w:val="24"/>
          <w:highlight w:val="none"/>
        </w:rPr>
        <w:t>10.8 乙方应按时参加甲方召开的施工调度会议，严格执行会议纪要的决定</w:t>
      </w:r>
    </w:p>
    <w:p>
      <w:pPr>
        <w:pStyle w:val="68"/>
        <w:tabs>
          <w:tab w:val="left" w:pos="851"/>
        </w:tabs>
        <w:snapToGrid w:val="0"/>
        <w:spacing w:before="0" w:after="0" w:line="500" w:lineRule="exact"/>
        <w:ind w:left="0" w:right="0"/>
        <w:rPr>
          <w:rFonts w:hint="eastAsia" w:ascii="宋体" w:hAnsi="宋体" w:cs="宋体"/>
          <w:color w:val="auto"/>
          <w:kern w:val="2"/>
          <w:szCs w:val="24"/>
          <w:highlight w:val="none"/>
        </w:rPr>
      </w:pPr>
      <w:r>
        <w:rPr>
          <w:rFonts w:hint="eastAsia" w:ascii="宋体" w:hAnsi="宋体" w:cs="宋体"/>
          <w:color w:val="auto"/>
          <w:kern w:val="2"/>
          <w:szCs w:val="24"/>
          <w:highlight w:val="none"/>
        </w:rPr>
        <w:t>每缺席一次，甲方有权要求乙方支付</w:t>
      </w:r>
      <w:r>
        <w:rPr>
          <w:rFonts w:hint="eastAsia" w:ascii="宋体" w:hAnsi="宋体" w:cs="宋体"/>
          <w:color w:val="auto"/>
          <w:kern w:val="2"/>
          <w:szCs w:val="24"/>
          <w:highlight w:val="none"/>
          <w:u w:val="single"/>
        </w:rPr>
        <w:t xml:space="preserve"> </w:t>
      </w:r>
      <w:r>
        <w:rPr>
          <w:rFonts w:hint="eastAsia" w:ascii="宋体" w:hAnsi="宋体" w:cs="宋体"/>
          <w:color w:val="auto"/>
          <w:szCs w:val="24"/>
          <w:highlight w:val="none"/>
          <w:u w:val="single"/>
        </w:rPr>
        <w:t>1000</w:t>
      </w:r>
      <w:r>
        <w:rPr>
          <w:rFonts w:hint="eastAsia" w:ascii="宋体" w:hAnsi="宋体" w:cs="宋体"/>
          <w:color w:val="auto"/>
          <w:kern w:val="2"/>
          <w:szCs w:val="24"/>
          <w:highlight w:val="none"/>
          <w:u w:val="single"/>
        </w:rPr>
        <w:t>元</w:t>
      </w:r>
      <w:r>
        <w:rPr>
          <w:rFonts w:hint="eastAsia" w:ascii="宋体" w:hAnsi="宋体" w:cs="宋体"/>
          <w:color w:val="auto"/>
          <w:kern w:val="2"/>
          <w:szCs w:val="24"/>
          <w:highlight w:val="none"/>
        </w:rPr>
        <w:t>作为违约金。</w:t>
      </w:r>
    </w:p>
    <w:p>
      <w:pPr>
        <w:pStyle w:val="68"/>
        <w:tabs>
          <w:tab w:val="left" w:pos="851"/>
        </w:tabs>
        <w:snapToGrid w:val="0"/>
        <w:spacing w:before="0" w:after="0" w:line="500" w:lineRule="exact"/>
        <w:ind w:left="0" w:right="0" w:firstLine="480" w:firstLineChars="200"/>
        <w:rPr>
          <w:rFonts w:hint="eastAsia" w:ascii="宋体" w:hAnsi="宋体" w:cs="宋体"/>
          <w:color w:val="auto"/>
          <w:kern w:val="2"/>
          <w:szCs w:val="24"/>
          <w:highlight w:val="none"/>
        </w:rPr>
      </w:pPr>
      <w:r>
        <w:rPr>
          <w:rFonts w:hint="eastAsia" w:ascii="宋体" w:hAnsi="宋体" w:cs="宋体"/>
          <w:color w:val="auto"/>
          <w:szCs w:val="24"/>
          <w:highlight w:val="none"/>
        </w:rPr>
        <w:t>10.9 乙方应在施工现场保留施工相关资料（如施工图、技术需求书等）、安全审批过程材料，供甲方进行工程检查时使用。</w:t>
      </w:r>
    </w:p>
    <w:p>
      <w:pPr>
        <w:pStyle w:val="68"/>
        <w:tabs>
          <w:tab w:val="left" w:pos="851"/>
        </w:tabs>
        <w:snapToGrid w:val="0"/>
        <w:spacing w:before="0" w:after="0" w:line="50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10.10 乙方应严格按《广州市建设工程文明施工管理规定》、</w:t>
      </w:r>
      <w:r>
        <w:rPr>
          <w:rFonts w:hint="eastAsia" w:hAnsi="宋体"/>
          <w:color w:val="auto"/>
          <w:highlight w:val="none"/>
        </w:rPr>
        <w:t>《广州市建设工程扬尘防治“6个100%”管理标准图集（V2.0版）》</w:t>
      </w:r>
      <w:r>
        <w:rPr>
          <w:rFonts w:hint="eastAsia" w:ascii="宋体" w:hAnsi="宋体" w:cs="宋体"/>
          <w:color w:val="auto"/>
          <w:szCs w:val="24"/>
          <w:highlight w:val="none"/>
        </w:rPr>
        <w:t>要求实施。（如有出台新文件，按新文件执行）</w:t>
      </w:r>
    </w:p>
    <w:p>
      <w:pPr>
        <w:pStyle w:val="68"/>
        <w:tabs>
          <w:tab w:val="left" w:pos="851"/>
        </w:tabs>
        <w:snapToGrid w:val="0"/>
        <w:spacing w:before="0" w:after="0" w:line="500" w:lineRule="exact"/>
        <w:ind w:left="0" w:righ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10.11 乙方应做好施工现场100%围蔽、工地砂土100%覆盖、工地路面100%硬地化、拆除工程100%洒水压尘、出工地车辆100%冲净车轮车身、暂不开发的场地100%绿化等工作。</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10.12 如厂区内施工，施工人员必须严格遵守</w:t>
      </w:r>
      <w:r>
        <w:rPr>
          <w:rFonts w:hint="eastAsia" w:ascii="宋体" w:hAnsi="宋体" w:eastAsia="宋体" w:cs="宋体"/>
          <w:color w:val="auto"/>
          <w:kern w:val="10"/>
          <w:sz w:val="24"/>
          <w:szCs w:val="24"/>
          <w:highlight w:val="none"/>
        </w:rPr>
        <w:t>污水处理厂</w:t>
      </w:r>
      <w:r>
        <w:rPr>
          <w:rFonts w:hint="eastAsia" w:ascii="宋体" w:hAnsi="宋体" w:eastAsia="宋体" w:cs="宋体"/>
          <w:color w:val="auto"/>
          <w:sz w:val="24"/>
          <w:szCs w:val="24"/>
          <w:highlight w:val="none"/>
        </w:rPr>
        <w:t>一切规章制度。进入施工现场人员必须佩戴出入证，并自觉接受门岗检查。</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10.13 乙方做好施工人员的安全防护措施，施工人员安全责任由乙方承担。</w:t>
      </w:r>
    </w:p>
    <w:p>
      <w:pPr>
        <w:adjustRightInd w:val="0"/>
        <w:snapToGrid w:val="0"/>
        <w:spacing w:line="50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10.14 乙方特种作业人员必须持证上岗。</w:t>
      </w:r>
    </w:p>
    <w:p>
      <w:pPr>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10.15 乙方应注意安全施工，在施工过程中出现的伤亡事故及工作过程以外出现的一切事故由乙方承担责任，并负责处理善后工作，负责伤亡者一切费用。  </w:t>
      </w:r>
    </w:p>
    <w:p>
      <w:pPr>
        <w:pStyle w:val="66"/>
        <w:spacing w:line="360" w:lineRule="auto"/>
        <w:ind w:firstLine="480" w:firstLineChars="200"/>
        <w:rPr>
          <w:rFonts w:hint="eastAsia" w:asciiTheme="minorEastAsia" w:hAnsiTheme="minorEastAsia" w:eastAsiaTheme="minorEastAsia" w:cstheme="minorEastAsia"/>
          <w:color w:val="auto"/>
          <w:highlight w:val="none"/>
          <w:u w:val="single"/>
        </w:rPr>
      </w:pPr>
      <w:r>
        <w:rPr>
          <w:rFonts w:hint="eastAsia" w:hAnsi="宋体" w:eastAsia="宋体"/>
          <w:color w:val="auto"/>
          <w:highlight w:val="none"/>
          <w:u w:val="single"/>
        </w:rPr>
        <w:t>10.16施工过程中，乙方应负责配备现场的应急物资。</w:t>
      </w:r>
    </w:p>
    <w:p>
      <w:pPr>
        <w:tabs>
          <w:tab w:val="left" w:pos="851"/>
        </w:tabs>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第十一条 工程质量检查及验收</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11.1乙方应认真按照国家颁布的施工验收规范及工程设计图纸要求进行施工，且接受甲方监督，质量验收必须达到合格。</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 隐蔽工程验收</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当工程具备覆盖、掩盖条件或达到中间验收部位后，乙方自检，并提前</w:t>
      </w:r>
      <w:r>
        <w:rPr>
          <w:rFonts w:hint="eastAsia" w:ascii="宋体" w:hAnsi="宋体" w:eastAsia="宋体" w:cs="宋体"/>
          <w:color w:val="auto"/>
          <w:sz w:val="24"/>
          <w:szCs w:val="24"/>
          <w:highlight w:val="none"/>
          <w:u w:val="single"/>
        </w:rPr>
        <w:t>48</w:t>
      </w:r>
      <w:r>
        <w:rPr>
          <w:rFonts w:hint="eastAsia" w:ascii="宋体" w:hAnsi="宋体" w:eastAsia="宋体" w:cs="宋体"/>
          <w:color w:val="auto"/>
          <w:sz w:val="24"/>
          <w:szCs w:val="24"/>
          <w:highlight w:val="none"/>
        </w:rPr>
        <w:t xml:space="preserve">小时以书面形式通知甲方参加验收，经甲方验收合格并在验收记录上签字后，方可进行隐蔽和继续施工。    </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 乙方应在工程完工后</w:t>
      </w:r>
      <w:r>
        <w:rPr>
          <w:rFonts w:hint="eastAsia" w:ascii="宋体" w:hAnsi="宋体" w:eastAsia="宋体" w:cs="宋体"/>
          <w:color w:val="auto"/>
          <w:sz w:val="24"/>
          <w:szCs w:val="24"/>
          <w:highlight w:val="none"/>
          <w:u w:val="single"/>
        </w:rPr>
        <w:t>28</w:t>
      </w:r>
      <w:r>
        <w:rPr>
          <w:rFonts w:hint="eastAsia" w:ascii="宋体" w:hAnsi="宋体" w:eastAsia="宋体" w:cs="宋体"/>
          <w:color w:val="auto"/>
          <w:sz w:val="24"/>
          <w:szCs w:val="24"/>
          <w:highlight w:val="none"/>
        </w:rPr>
        <w:t>日内，按甲方要求将竣工资料和竣工验收报告各一式</w:t>
      </w:r>
      <w:r>
        <w:rPr>
          <w:rFonts w:hint="eastAsia" w:ascii="宋体" w:hAnsi="宋体" w:eastAsia="宋体" w:cs="宋体"/>
          <w:color w:val="auto"/>
          <w:sz w:val="24"/>
          <w:szCs w:val="24"/>
          <w:highlight w:val="none"/>
          <w:u w:val="single"/>
        </w:rPr>
        <w:t xml:space="preserve"> 两 </w:t>
      </w:r>
      <w:r>
        <w:rPr>
          <w:rFonts w:hint="eastAsia" w:ascii="宋体" w:hAnsi="宋体" w:eastAsia="宋体" w:cs="宋体"/>
          <w:color w:val="auto"/>
          <w:sz w:val="24"/>
          <w:szCs w:val="24"/>
          <w:highlight w:val="none"/>
        </w:rPr>
        <w:t>份提交甲方进行资料预验收,每逾期一日，乙方需支付</w:t>
      </w:r>
      <w:r>
        <w:rPr>
          <w:rFonts w:hint="eastAsia" w:ascii="宋体" w:hAnsi="宋体" w:eastAsia="宋体" w:cs="宋体"/>
          <w:color w:val="auto"/>
          <w:sz w:val="24"/>
          <w:szCs w:val="24"/>
          <w:highlight w:val="none"/>
          <w:u w:val="single"/>
        </w:rPr>
        <w:t xml:space="preserve"> 1000  </w:t>
      </w:r>
      <w:r>
        <w:rPr>
          <w:rFonts w:hint="eastAsia" w:ascii="宋体" w:hAnsi="宋体" w:eastAsia="宋体" w:cs="宋体"/>
          <w:color w:val="auto"/>
          <w:sz w:val="24"/>
          <w:szCs w:val="24"/>
          <w:highlight w:val="none"/>
        </w:rPr>
        <w:t>元作为违约金。</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甲方在收到上述资料后</w:t>
      </w:r>
      <w:r>
        <w:rPr>
          <w:rFonts w:hint="eastAsia" w:ascii="宋体" w:hAnsi="宋体" w:eastAsia="宋体" w:cs="宋体"/>
          <w:color w:val="auto"/>
          <w:sz w:val="24"/>
          <w:szCs w:val="24"/>
          <w:highlight w:val="none"/>
          <w:u w:val="single"/>
        </w:rPr>
        <w:t>28</w:t>
      </w:r>
      <w:r>
        <w:rPr>
          <w:rFonts w:hint="eastAsia" w:ascii="宋体" w:hAnsi="宋体" w:eastAsia="宋体" w:cs="宋体"/>
          <w:color w:val="auto"/>
          <w:sz w:val="24"/>
          <w:szCs w:val="24"/>
          <w:highlight w:val="none"/>
        </w:rPr>
        <w:t>日内组织有关单位进行验收，并在验收后10日内给予认可或提出修改意见。乙方按要求修改，并承担修改的费用。</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11.4工程竣工验收通过，乙方送交竣工资料和竣工验收报告的日期为实际竣工日期。工程按甲方要求修改后通过竣工验收的，实际竣工日期为乙方修改后提请甲方验收的日期。</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 竣工资料</w:t>
      </w:r>
    </w:p>
    <w:p>
      <w:pPr>
        <w:spacing w:line="500" w:lineRule="exact"/>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乙方应按甲方的要求，在工程施工期间及时收集、汇总、整理、编制竣工档案，并于工程竣工验收后按下款约定向甲方完整移交如下竣工资料（包括且不限于）：</w:t>
      </w:r>
    </w:p>
    <w:p>
      <w:pPr>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（a）竣工文件资料、竣工图资料（原件）各一式</w:t>
      </w:r>
      <w:r>
        <w:rPr>
          <w:rFonts w:hint="eastAsia" w:ascii="宋体" w:hAnsi="宋体" w:eastAsia="宋体" w:cs="宋体"/>
          <w:color w:val="auto"/>
          <w:sz w:val="24"/>
          <w:szCs w:val="24"/>
          <w:highlight w:val="none"/>
          <w:u w:val="single"/>
        </w:rPr>
        <w:t>四</w:t>
      </w:r>
      <w:r>
        <w:rPr>
          <w:rFonts w:hint="eastAsia" w:ascii="宋体" w:hAnsi="宋体" w:eastAsia="宋体" w:cs="宋体"/>
          <w:color w:val="auto"/>
          <w:sz w:val="24"/>
          <w:szCs w:val="24"/>
          <w:highlight w:val="none"/>
        </w:rPr>
        <w:t>份；</w:t>
      </w:r>
    </w:p>
    <w:p>
      <w:pPr>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（b）与本款（a）项内容相同的电子版资料一式</w:t>
      </w:r>
      <w:r>
        <w:rPr>
          <w:rFonts w:hint="eastAsia" w:ascii="宋体" w:hAnsi="宋体" w:eastAsia="宋体" w:cs="宋体"/>
          <w:color w:val="auto"/>
          <w:sz w:val="24"/>
          <w:szCs w:val="24"/>
          <w:highlight w:val="none"/>
          <w:u w:val="single"/>
        </w:rPr>
        <w:t>二</w:t>
      </w:r>
      <w:r>
        <w:rPr>
          <w:rFonts w:hint="eastAsia" w:ascii="宋体" w:hAnsi="宋体" w:eastAsia="宋体" w:cs="宋体"/>
          <w:color w:val="auto"/>
          <w:sz w:val="24"/>
          <w:szCs w:val="24"/>
          <w:highlight w:val="none"/>
        </w:rPr>
        <w:t>份；</w:t>
      </w:r>
    </w:p>
    <w:p>
      <w:pPr>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（2）乙方移交竣工资料的时限：乙方应于工程竣工验收后</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日内将竣工资料提交甲方签认。乙方应于甲方签认后</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日内将竣工资料移交给甲方归档并同时移交有关的证明文件。甲方经审查合格的，应在收到竣工资料后</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日内签署资料验收意见；不合格的，乙方应按甲方要求限期补正，直至合格为止。乙方超过本条规定的时限，每逾期一日，支付</w:t>
      </w:r>
      <w:r>
        <w:rPr>
          <w:rFonts w:hint="eastAsia" w:ascii="宋体" w:hAnsi="宋体" w:eastAsia="宋体" w:cs="宋体"/>
          <w:color w:val="auto"/>
          <w:sz w:val="24"/>
          <w:szCs w:val="24"/>
          <w:highlight w:val="none"/>
          <w:u w:val="single"/>
        </w:rPr>
        <w:t>合同暂定总价</w:t>
      </w:r>
      <w:r>
        <w:rPr>
          <w:rFonts w:hint="eastAsia" w:ascii="宋体" w:hAnsi="宋体" w:eastAsia="宋体" w:cs="宋体"/>
          <w:bCs/>
          <w:color w:val="auto"/>
          <w:sz w:val="24"/>
          <w:szCs w:val="24"/>
          <w:highlight w:val="none"/>
          <w:u w:val="single"/>
        </w:rPr>
        <w:t>万分之五/日</w:t>
      </w:r>
      <w:r>
        <w:rPr>
          <w:rFonts w:hint="eastAsia" w:ascii="宋体" w:hAnsi="宋体" w:eastAsia="宋体" w:cs="宋体"/>
          <w:color w:val="auto"/>
          <w:sz w:val="24"/>
          <w:szCs w:val="24"/>
          <w:highlight w:val="none"/>
        </w:rPr>
        <w:t>违约金。</w:t>
      </w:r>
    </w:p>
    <w:p>
      <w:pPr>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（3）电子版竣工图的编制，以甲方提供的电子版施工图为基础。乙方在移交竣工资料时，应一并移交甲方提供的电子版施工图。</w:t>
      </w:r>
    </w:p>
    <w:p>
      <w:pPr>
        <w:spacing w:line="5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电子版施工图和电子版竣工图的知识产权归属甲方所有，非经甲方许可，乙方不得以任何方式复制、备份、转让和利用。否则，由此引起的任何纠纷和责任由乙方承担。</w:t>
      </w:r>
    </w:p>
    <w:p>
      <w:pPr>
        <w:spacing w:line="5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11.6本合同竣工</w:t>
      </w:r>
      <w:r>
        <w:rPr>
          <w:rFonts w:hint="eastAsia" w:ascii="宋体" w:hAnsi="宋体" w:eastAsia="宋体" w:cs="宋体"/>
          <w:color w:val="auto"/>
          <w:sz w:val="24"/>
          <w:szCs w:val="24"/>
          <w:highlight w:val="none"/>
          <w:u w:val="single"/>
        </w:rPr>
        <w:t>验收结算</w:t>
      </w:r>
      <w:r>
        <w:rPr>
          <w:rFonts w:hint="eastAsia" w:ascii="宋体" w:hAnsi="宋体" w:eastAsia="宋体" w:cs="宋体"/>
          <w:color w:val="auto"/>
          <w:sz w:val="24"/>
          <w:szCs w:val="24"/>
          <w:highlight w:val="none"/>
        </w:rPr>
        <w:t>单位为：</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rPr>
        <w:t>广州市净水有限公司猎德分公司</w:t>
      </w:r>
      <w:r>
        <w:rPr>
          <w:rFonts w:hint="eastAsia" w:ascii="宋体" w:hAnsi="宋体" w:eastAsia="宋体" w:cs="宋体"/>
          <w:color w:val="auto"/>
          <w:sz w:val="24"/>
          <w:szCs w:val="24"/>
          <w:highlight w:val="none"/>
          <w:u w:val="single"/>
        </w:rPr>
        <w:t xml:space="preserve"> 。</w:t>
      </w:r>
    </w:p>
    <w:p>
      <w:pPr>
        <w:tabs>
          <w:tab w:val="left" w:pos="851"/>
        </w:tabs>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第十二条 工程结算</w:t>
      </w:r>
    </w:p>
    <w:p>
      <w:pPr>
        <w:tabs>
          <w:tab w:val="left" w:pos="0"/>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 乙方在工程竣工验收合格后</w:t>
      </w:r>
      <w:r>
        <w:rPr>
          <w:rFonts w:hint="eastAsia" w:ascii="宋体" w:hAnsi="宋体" w:eastAsia="宋体" w:cs="宋体"/>
          <w:color w:val="auto"/>
          <w:sz w:val="24"/>
          <w:szCs w:val="24"/>
          <w:highlight w:val="none"/>
          <w:u w:val="single"/>
        </w:rPr>
        <w:t xml:space="preserve"> 28 </w:t>
      </w:r>
      <w:r>
        <w:rPr>
          <w:rFonts w:hint="eastAsia" w:ascii="宋体" w:hAnsi="宋体" w:eastAsia="宋体" w:cs="宋体"/>
          <w:color w:val="auto"/>
          <w:sz w:val="24"/>
          <w:szCs w:val="24"/>
          <w:highlight w:val="none"/>
        </w:rPr>
        <w:t>日内，按甲方要求将完整的竣工结算资料（一式两套原件）报送甲方，如乙方未在规定时间内提供完整的工程竣工结算资料，每逾期一日，应支付</w:t>
      </w:r>
      <w:r>
        <w:rPr>
          <w:rFonts w:hint="eastAsia" w:ascii="宋体" w:hAnsi="宋体" w:eastAsia="宋体" w:cs="宋体"/>
          <w:color w:val="auto"/>
          <w:sz w:val="24"/>
          <w:szCs w:val="24"/>
          <w:highlight w:val="none"/>
          <w:u w:val="single"/>
        </w:rPr>
        <w:t xml:space="preserve"> 1000  </w:t>
      </w:r>
      <w:r>
        <w:rPr>
          <w:rFonts w:hint="eastAsia" w:ascii="宋体" w:hAnsi="宋体" w:eastAsia="宋体" w:cs="宋体"/>
          <w:color w:val="auto"/>
          <w:sz w:val="24"/>
          <w:szCs w:val="24"/>
          <w:highlight w:val="none"/>
        </w:rPr>
        <w:t>元/日违约金，并且经甲方书面催促后</w:t>
      </w:r>
      <w:r>
        <w:rPr>
          <w:rFonts w:hint="eastAsia" w:ascii="宋体" w:hAnsi="宋体" w:eastAsia="宋体" w:cs="宋体"/>
          <w:color w:val="auto"/>
          <w:sz w:val="24"/>
          <w:szCs w:val="24"/>
          <w:highlight w:val="none"/>
          <w:u w:val="single"/>
        </w:rPr>
        <w:t xml:space="preserve"> 14 </w:t>
      </w:r>
      <w:r>
        <w:rPr>
          <w:rFonts w:hint="eastAsia" w:ascii="宋体" w:hAnsi="宋体" w:eastAsia="宋体" w:cs="宋体"/>
          <w:color w:val="auto"/>
          <w:sz w:val="24"/>
          <w:szCs w:val="24"/>
          <w:highlight w:val="none"/>
        </w:rPr>
        <w:t>日内仍未提供或没有书面答复，甲方有权根据已有资料单方办理结算，合同结算价以甲方或甲方委托的第三方造价咨询单位出具的审核结果为准。</w:t>
      </w:r>
    </w:p>
    <w:p>
      <w:pPr>
        <w:tabs>
          <w:tab w:val="left" w:pos="0"/>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12.2结算原则</w:t>
      </w:r>
    </w:p>
    <w:p>
      <w:pPr>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12.2.1 </w:t>
      </w:r>
      <w:r>
        <w:rPr>
          <w:rFonts w:ascii="Segoe UI Symbol" w:hAnsi="Segoe UI Symbol" w:eastAsia="宋体" w:cs="Segoe UI Symbol"/>
          <w:color w:val="auto"/>
          <w:sz w:val="24"/>
          <w:szCs w:val="24"/>
          <w:highlight w:val="none"/>
        </w:rPr>
        <w:t>☑</w:t>
      </w:r>
      <w:r>
        <w:rPr>
          <w:rFonts w:hint="eastAsia" w:ascii="宋体" w:hAnsi="宋体" w:eastAsia="宋体" w:cs="宋体"/>
          <w:color w:val="auto"/>
          <w:sz w:val="24"/>
          <w:szCs w:val="24"/>
          <w:highlight w:val="none"/>
        </w:rPr>
        <w:t>综合单价包干</w:t>
      </w:r>
    </w:p>
    <w:p>
      <w:pPr>
        <w:tabs>
          <w:tab w:val="left" w:pos="0"/>
        </w:tabs>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本工程采用分部分项清单项目综合单价包干，项目措施费按实计量。结算时依据经甲方审查的结算资料计算实际工程量，并按综合单价（按合同清单综合单价、综合合价以及按合同约定的变更计价依据计算并将组价按乙方报价的下浮率（%）下浮）进行结算。</w:t>
      </w:r>
      <w:r>
        <w:rPr>
          <w:rFonts w:hint="eastAsia" w:ascii="宋体" w:hAnsi="宋体" w:eastAsia="宋体" w:cs="宋体"/>
          <w:bCs/>
          <w:color w:val="auto"/>
          <w:sz w:val="24"/>
          <w:szCs w:val="24"/>
          <w:highlight w:val="none"/>
        </w:rPr>
        <w:t>最终以甲方或者甲方委托的第三方造价咨询单位审核后的终审价作为结算价。</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12.2.2 </w:t>
      </w:r>
      <w:r>
        <w:rPr>
          <w:rFonts w:hint="eastAsia" w:ascii="宋体" w:hAnsi="宋体" w:eastAsia="宋体" w:cs="宋体"/>
          <w:color w:val="auto"/>
          <w:sz w:val="24"/>
          <w:szCs w:val="24"/>
          <w:highlight w:val="none"/>
        </w:rPr>
        <w:sym w:font="Times New Roman" w:char="0000"/>
      </w:r>
      <w:r>
        <w:rPr>
          <w:rFonts w:hint="eastAsia" w:ascii="宋体" w:hAnsi="宋体" w:eastAsia="宋体" w:cs="宋体"/>
          <w:color w:val="auto"/>
          <w:sz w:val="24"/>
          <w:szCs w:val="24"/>
          <w:highlight w:val="none"/>
        </w:rPr>
        <w:t>固定总价包干</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项目的工程承包总价是由乙方按交易文件（如有）、图纸的承包范围、承包内容规定，采用清单计价办法或定额计价办法，结合工程现场实际情况，考虑风险后按相应下浮率下浮后编制的，除甲方对原承包范围、承包内容进行变更或同意变更外，乙方必须按本承包价对交易文件（如有）、图纸的范围、内容、要求进行包施工、包安装、包料、包质量、包安全、包工期、包文明施工等的总价包干，其中项目措施费按实计量。</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如因甲方对承包范围、承包内容进行变更或同意变更时，变更项目的工程造价采用清单计价方法或定额计价方法按合同约定的变更计价依据进行计价后下浮</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最终以甲方或甲方委托的第三方造价咨询单位审核后的终审价作为结算价。</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 变更计价依据</w:t>
      </w:r>
    </w:p>
    <w:p>
      <w:pPr>
        <w:tabs>
          <w:tab w:val="left" w:pos="0"/>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工程变更按下列规定调整：</w:t>
      </w:r>
    </w:p>
    <w:p>
      <w:pPr>
        <w:tabs>
          <w:tab w:val="left" w:pos="0"/>
        </w:tabs>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12.3.1因非乙方原因引起工程量报价清单中工程量发生增减，且单个子目工程量变化幅度在25%以内（含）时，按工程量报价清单中列明的子目单价结算。否则，按新增单价执行。</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12.3.2 合同中没有适用于变更工程项目的单价的，按新增单价执行。</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12.3.3新增单价计价原则：</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合同中没有适用于变更工程项目的单价的，按新增单价执行。</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2.项目计价材料、设备价格的控制：按以下顺序作为降序优先级依次采用工程开工报告中开工日期当月的下列价格：</w:t>
      </w:r>
    </w:p>
    <w:p>
      <w:pPr>
        <w:spacing w:line="56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（1）《广州地区建设工程常用材料税前综合价格》（下称综合价格）。</w:t>
      </w:r>
    </w:p>
    <w:p>
      <w:pPr>
        <w:spacing w:line="56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（2）《广州地区建设工程材料（设备）厂商价格信息》（下称厂商价格）下浮10-20%。</w:t>
      </w:r>
    </w:p>
    <w:p>
      <w:pPr>
        <w:spacing w:line="56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（3）综合价格、厂商价格中缺项的，采用由北京瑞恒达建筑咨询有限公司提供服务的“慧讯网”中查到的相应材料、设备价格的工程价。</w:t>
      </w:r>
    </w:p>
    <w:p>
      <w:pPr>
        <w:spacing w:line="560" w:lineRule="exact"/>
        <w:ind w:firstLine="240" w:firstLineChars="100"/>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rPr>
        <w:t xml:space="preserve">  </w:t>
      </w:r>
      <w:r>
        <w:rPr>
          <w:rFonts w:ascii="宋体" w:hAnsi="宋体" w:eastAsia="宋体" w:cs="宋体"/>
          <w:color w:val="auto"/>
          <w:sz w:val="24"/>
          <w:szCs w:val="24"/>
          <w:highlight w:val="none"/>
        </w:rPr>
        <w:t>（4）通过市场询价双方协商确定。</w:t>
      </w:r>
    </w:p>
    <w:p>
      <w:pPr>
        <w:spacing w:line="56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3.按1、2组价后下浮5%计取。</w:t>
      </w:r>
    </w:p>
    <w:p>
      <w:pPr>
        <w:tabs>
          <w:tab w:val="left" w:pos="851"/>
        </w:tabs>
        <w:adjustRightInd w:val="0"/>
        <w:snapToGrid w:val="0"/>
        <w:spacing w:line="500" w:lineRule="exact"/>
        <w:ind w:firstLine="48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第十三条 材料设备要求</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13.1乙方应对负责供应的材料设备，提供产品合格证明，保证其质量符合国家、地方及行业有关规范及设计要求，否则，乙方应在</w:t>
      </w:r>
      <w:r>
        <w:rPr>
          <w:rFonts w:hint="eastAsia" w:ascii="宋体" w:hAnsi="宋体" w:eastAsia="宋体" w:cs="宋体"/>
          <w:color w:val="auto"/>
          <w:sz w:val="24"/>
          <w:szCs w:val="24"/>
          <w:highlight w:val="none"/>
          <w:u w:val="single"/>
        </w:rPr>
        <w:t xml:space="preserve"> 15  </w:t>
      </w:r>
      <w:r>
        <w:rPr>
          <w:rFonts w:hint="eastAsia" w:ascii="宋体" w:hAnsi="宋体" w:eastAsia="宋体" w:cs="宋体"/>
          <w:color w:val="auto"/>
          <w:sz w:val="24"/>
          <w:szCs w:val="24"/>
          <w:highlight w:val="none"/>
        </w:rPr>
        <w:t>日内重新供应符合要求的产品，由于乙方提供的伪劣、假冒等所有不合格材料而导致的损失、事故及一切后果，均由乙方负责并赔偿甲方所有损失。</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甲方发现乙方使用与设计和规范要求不符的材料设备时，有权要求乙方停止使用，并在</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日内拆除、修复或重新采购，如果乙方拒不履行，则甲方可自行或指派第三方实施，由此发生的费用由乙方承担。</w:t>
      </w:r>
    </w:p>
    <w:p>
      <w:pPr>
        <w:tabs>
          <w:tab w:val="left" w:pos="840"/>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13.3本项目所承包范围内所需的设备材料、成品、未成品、运输、保管、质量等责任均由乙方承担。</w:t>
      </w:r>
    </w:p>
    <w:p>
      <w:pPr>
        <w:tabs>
          <w:tab w:val="left" w:pos="851"/>
        </w:tabs>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第十四条 工程保修</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质量保证金</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按工程结算审定价的3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预留工程保修费用。乙方未按照法律法规有关规定和合同约定履行质量保修义务的，甲方有权从质量保证金中扣留用于质量保修的各项支出。</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14.2保修期自工程竣工验收合格之日起算，且不得低于法定保修年限。</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具体保修项目及保修期限：</w:t>
      </w:r>
      <w:r>
        <w:rPr>
          <w:rFonts w:hint="eastAsia" w:ascii="宋体" w:hAnsi="宋体" w:eastAsia="宋体" w:cs="宋体"/>
          <w:color w:val="auto"/>
          <w:sz w:val="24"/>
          <w:szCs w:val="24"/>
          <w:highlight w:val="none"/>
          <w:u w:val="single"/>
        </w:rPr>
        <w:t xml:space="preserve"> 详见工程质量保修书（附件2）。</w:t>
      </w:r>
    </w:p>
    <w:p>
      <w:pPr>
        <w:spacing w:line="500" w:lineRule="exact"/>
        <w:ind w:firstLine="420" w:firstLineChars="175"/>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14.3</w:t>
      </w:r>
      <w:r>
        <w:rPr>
          <w:rFonts w:hint="eastAsia" w:ascii="宋体" w:hAnsi="宋体" w:eastAsia="宋体" w:cs="宋体"/>
          <w:bCs/>
          <w:color w:val="auto"/>
          <w:sz w:val="24"/>
          <w:szCs w:val="24"/>
          <w:highlight w:val="none"/>
        </w:rPr>
        <w:t>质量保修期期间，本项目的质量问题由乙方免费提供保修服务，乙方应在收到甲方通知后</w:t>
      </w:r>
      <w:r>
        <w:rPr>
          <w:rFonts w:hint="eastAsia" w:ascii="宋体" w:hAnsi="宋体" w:eastAsia="宋体" w:cs="宋体"/>
          <w:bCs/>
          <w:color w:val="auto"/>
          <w:sz w:val="24"/>
          <w:szCs w:val="24"/>
          <w:highlight w:val="none"/>
          <w:u w:val="single"/>
        </w:rPr>
        <w:t xml:space="preserve">   3</w:t>
      </w:r>
      <w:r>
        <w:rPr>
          <w:rFonts w:hint="eastAsia" w:ascii="宋体" w:hAnsi="宋体" w:eastAsia="宋体" w:cs="宋体"/>
          <w:bCs/>
          <w:color w:val="auto"/>
          <w:sz w:val="24"/>
          <w:szCs w:val="24"/>
          <w:highlight w:val="none"/>
        </w:rPr>
        <w:t>日内派人员到场负责解决及维修，如果乙方不按时到场维修或到场后不能修复的，甲方有权委托他人予以维修，乙方承担由此发生的费用并支付</w:t>
      </w:r>
      <w:r>
        <w:rPr>
          <w:rFonts w:hint="eastAsia" w:ascii="宋体" w:hAnsi="宋体" w:eastAsia="宋体" w:cs="宋体"/>
          <w:bCs/>
          <w:color w:val="auto"/>
          <w:sz w:val="24"/>
          <w:szCs w:val="24"/>
          <w:highlight w:val="none"/>
          <w:u w:val="single"/>
        </w:rPr>
        <w:t>合同暂定总价的10%/次</w:t>
      </w:r>
      <w:r>
        <w:rPr>
          <w:rFonts w:hint="eastAsia" w:ascii="宋体" w:hAnsi="宋体" w:eastAsia="宋体" w:cs="宋体"/>
          <w:bCs/>
          <w:color w:val="auto"/>
          <w:sz w:val="24"/>
          <w:szCs w:val="24"/>
          <w:highlight w:val="none"/>
        </w:rPr>
        <w:t>作为违约金。</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14.4约定的保修期限终止后，由乙方提出支付申请，甲方审核后</w:t>
      </w:r>
      <w:r>
        <w:rPr>
          <w:rFonts w:hint="eastAsia" w:ascii="宋体" w:hAnsi="宋体" w:eastAsia="宋体" w:cs="宋体"/>
          <w:color w:val="auto"/>
          <w:sz w:val="24"/>
          <w:szCs w:val="24"/>
          <w:highlight w:val="none"/>
          <w:u w:val="single"/>
        </w:rPr>
        <w:t>15日</w:t>
      </w:r>
      <w:r>
        <w:rPr>
          <w:rFonts w:hint="eastAsia" w:ascii="宋体" w:hAnsi="宋体" w:eastAsia="宋体" w:cs="宋体"/>
          <w:color w:val="auto"/>
          <w:sz w:val="24"/>
          <w:szCs w:val="24"/>
          <w:highlight w:val="none"/>
        </w:rPr>
        <w:t>内将剩余的质量保证金（无息）返还。</w:t>
      </w:r>
    </w:p>
    <w:p>
      <w:pPr>
        <w:tabs>
          <w:tab w:val="left" w:pos="851"/>
        </w:tabs>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第十五条 违约处理</w:t>
      </w:r>
    </w:p>
    <w:p>
      <w:pPr>
        <w:tabs>
          <w:tab w:val="left" w:pos="851"/>
        </w:tabs>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甲方或乙方不能按合同条款约定内容履行自己的各项义务及发生使合同无法履行的行为，应承担相应的违约责任，包括支付违约金，赔偿因其违约给对方造成的全部经济损失。</w:t>
      </w:r>
    </w:p>
    <w:p>
      <w:pPr>
        <w:tabs>
          <w:tab w:val="left" w:pos="851"/>
        </w:tabs>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15.1 </w:t>
      </w:r>
      <w:r>
        <w:rPr>
          <w:rFonts w:hint="eastAsia" w:ascii="宋体" w:hAnsi="宋体" w:eastAsia="宋体" w:cs="宋体"/>
          <w:bCs/>
          <w:color w:val="auto"/>
          <w:sz w:val="24"/>
          <w:szCs w:val="24"/>
          <w:highlight w:val="none"/>
        </w:rPr>
        <w:t>工期延误</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因乙方原因造成工期延误，每逾期一日，应按</w:t>
      </w:r>
      <w:r>
        <w:rPr>
          <w:rFonts w:hint="eastAsia" w:ascii="宋体" w:hAnsi="宋体" w:eastAsia="宋体" w:cs="宋体"/>
          <w:color w:val="auto"/>
          <w:sz w:val="24"/>
          <w:szCs w:val="24"/>
          <w:highlight w:val="none"/>
          <w:u w:val="single"/>
        </w:rPr>
        <w:t>合同暂定价的1%/日</w:t>
      </w:r>
      <w:r>
        <w:rPr>
          <w:rFonts w:hint="eastAsia" w:ascii="宋体" w:hAnsi="宋体" w:eastAsia="宋体" w:cs="宋体"/>
          <w:color w:val="auto"/>
          <w:sz w:val="24"/>
          <w:szCs w:val="24"/>
          <w:highlight w:val="none"/>
        </w:rPr>
        <w:t>支付逾期违约金，逾期达到</w:t>
      </w: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 xml:space="preserve">日及以上的，甲方有权解除合同。乙方支付逾期违约金后，不免除乙方继续完成工程及修补缺陷的义务以及赔偿因此给甲方造成损失的责任。       </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  工程质量不合格</w:t>
      </w:r>
    </w:p>
    <w:p>
      <w:pPr>
        <w:tabs>
          <w:tab w:val="left" w:pos="851"/>
        </w:tabs>
        <w:adjustRightInd w:val="0"/>
        <w:snapToGrid w:val="0"/>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15.2.1工程存在质量问题的，乙方应在甲方规定期限内整改直至达到合同要求的质量标准，如果逾期不整改或者整改不符合合同约定，甲方有权委托第三方整改，所产生的费用由甲方从应付或将付给乙方的款项中扣除，且甲方有权要求乙方支付</w:t>
      </w:r>
      <w:r>
        <w:rPr>
          <w:rFonts w:hint="eastAsia" w:ascii="宋体" w:hAnsi="宋体" w:eastAsia="宋体" w:cs="宋体"/>
          <w:color w:val="auto"/>
          <w:sz w:val="24"/>
          <w:szCs w:val="24"/>
          <w:highlight w:val="none"/>
          <w:u w:val="single"/>
        </w:rPr>
        <w:t xml:space="preserve">合同暂定总价的 20%  </w:t>
      </w:r>
      <w:r>
        <w:rPr>
          <w:rFonts w:hint="eastAsia" w:ascii="宋体" w:hAnsi="宋体" w:eastAsia="宋体" w:cs="宋体"/>
          <w:color w:val="auto"/>
          <w:sz w:val="24"/>
          <w:szCs w:val="24"/>
          <w:highlight w:val="none"/>
        </w:rPr>
        <w:t xml:space="preserve"> /次的违约金。由此造成的经济和法律责任，均由乙方负责。</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出现上述情形超过</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次（含</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次）的，甲方有权解除合同。</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15.2.2  工程经竣工验收不合格的，乙方完成整改后应重新申请验收，经重新组织验收仍不合格且无法采取措施补救的，则甲方有权解除合同，并要求乙方按</w:t>
      </w:r>
      <w:r>
        <w:rPr>
          <w:rFonts w:hint="eastAsia" w:ascii="宋体" w:hAnsi="宋体" w:eastAsia="宋体" w:cs="宋体"/>
          <w:color w:val="auto"/>
          <w:sz w:val="24"/>
          <w:szCs w:val="24"/>
          <w:highlight w:val="none"/>
          <w:u w:val="single"/>
        </w:rPr>
        <w:t>合同暂定总价的20%</w:t>
      </w:r>
      <w:r>
        <w:rPr>
          <w:rFonts w:hint="eastAsia" w:ascii="宋体" w:hAnsi="宋体" w:eastAsia="宋体" w:cs="宋体"/>
          <w:color w:val="auto"/>
          <w:sz w:val="24"/>
          <w:szCs w:val="24"/>
          <w:highlight w:val="none"/>
        </w:rPr>
        <w:t>支付违约金，乙方承担由此造成的全部损失。</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15.2.3质量事故：因乙方原因发生质量事故，甲方有权根据质量事故的严重程度对乙方处以不低于</w:t>
      </w:r>
      <w:r>
        <w:rPr>
          <w:rFonts w:hint="eastAsia" w:ascii="宋体" w:hAnsi="宋体" w:eastAsia="宋体" w:cs="宋体"/>
          <w:color w:val="auto"/>
          <w:sz w:val="24"/>
          <w:szCs w:val="24"/>
          <w:highlight w:val="none"/>
          <w:u w:val="single"/>
        </w:rPr>
        <w:t>合同暂定总价20%</w:t>
      </w:r>
      <w:r>
        <w:rPr>
          <w:rFonts w:hint="eastAsia" w:ascii="宋体" w:hAnsi="宋体" w:eastAsia="宋体" w:cs="宋体"/>
          <w:color w:val="auto"/>
          <w:sz w:val="24"/>
          <w:szCs w:val="24"/>
          <w:highlight w:val="none"/>
        </w:rPr>
        <w:t>的处罚，该处罚不免除乙方自费返工或修复的责任。</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 安全隐患</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甲方有权要求乙方支付</w:t>
      </w:r>
      <w:r>
        <w:rPr>
          <w:rFonts w:hint="eastAsia" w:ascii="宋体" w:hAnsi="宋体" w:eastAsia="宋体" w:cs="宋体"/>
          <w:color w:val="auto"/>
          <w:sz w:val="24"/>
          <w:szCs w:val="24"/>
          <w:highlight w:val="none"/>
          <w:u w:val="single"/>
        </w:rPr>
        <w:t xml:space="preserve">合同暂定总价的 20%  </w:t>
      </w:r>
      <w:r>
        <w:rPr>
          <w:rFonts w:hint="eastAsia" w:ascii="宋体" w:hAnsi="宋体" w:eastAsia="宋体" w:cs="宋体"/>
          <w:color w:val="auto"/>
          <w:sz w:val="24"/>
          <w:szCs w:val="24"/>
          <w:highlight w:val="none"/>
        </w:rPr>
        <w:t xml:space="preserve"> /次的违约金。</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出现上述情形超过</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次（含</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次）的，甲方有权解除合同。</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15.4安全事故</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15.5项目负责人不符合合同要求</w:t>
      </w:r>
    </w:p>
    <w:p>
      <w:pPr>
        <w:pStyle w:val="20"/>
        <w:spacing w:line="500" w:lineRule="exact"/>
        <w:ind w:firstLine="448" w:firstLineChars="200"/>
        <w:outlineLvl w:val="1"/>
        <w:rPr>
          <w:rFonts w:hint="eastAsia" w:hAnsi="宋体" w:eastAsia="宋体" w:cs="宋体"/>
          <w:color w:val="auto"/>
          <w:spacing w:val="-8"/>
          <w:sz w:val="24"/>
          <w:highlight w:val="none"/>
        </w:rPr>
      </w:pPr>
      <w:r>
        <w:rPr>
          <w:rFonts w:hint="eastAsia" w:hAnsi="宋体" w:eastAsia="宋体" w:cs="宋体"/>
          <w:color w:val="auto"/>
          <w:spacing w:val="-8"/>
          <w:sz w:val="24"/>
          <w:highlight w:val="none"/>
        </w:rPr>
        <w:t>乙方不得随意更换项目负责人及附件6中的相关人员，如确须更换，应事先征得甲方同意。如有违反，甲方有权解除合同并要求乙方支付</w:t>
      </w:r>
      <w:r>
        <w:rPr>
          <w:rFonts w:hint="eastAsia" w:hAnsi="宋体" w:eastAsia="宋体" w:cs="宋体"/>
          <w:color w:val="auto"/>
          <w:spacing w:val="-8"/>
          <w:sz w:val="24"/>
          <w:highlight w:val="none"/>
          <w:u w:val="single"/>
        </w:rPr>
        <w:t xml:space="preserve"> 5000  </w:t>
      </w:r>
      <w:r>
        <w:rPr>
          <w:rFonts w:hint="eastAsia" w:hAnsi="宋体" w:eastAsia="宋体" w:cs="宋体"/>
          <w:color w:val="auto"/>
          <w:spacing w:val="-8"/>
          <w:sz w:val="24"/>
          <w:highlight w:val="none"/>
        </w:rPr>
        <w:t>元/人次作为违约金，以及赔偿由此造成的一切损失(包含质量安全事故、拖延工期、增加投资等损失)。在施工过程中，项目负责人</w:t>
      </w:r>
      <w:r>
        <w:rPr>
          <w:rFonts w:hint="eastAsia" w:hAnsi="宋体" w:eastAsia="宋体" w:cs="宋体"/>
          <w:color w:val="auto"/>
          <w:spacing w:val="-8"/>
          <w:sz w:val="24"/>
          <w:highlight w:val="none"/>
          <w:u w:val="single"/>
        </w:rPr>
        <w:t>驻现场管理，</w:t>
      </w:r>
      <w:r>
        <w:rPr>
          <w:rFonts w:hint="eastAsia" w:hAnsi="宋体" w:eastAsia="宋体" w:cs="宋体"/>
          <w:color w:val="auto"/>
          <w:spacing w:val="-8"/>
          <w:sz w:val="24"/>
          <w:highlight w:val="none"/>
        </w:rPr>
        <w:t>否则甲方有权要求支付违约金</w:t>
      </w:r>
      <w:r>
        <w:rPr>
          <w:rFonts w:hint="eastAsia" w:hAnsi="宋体" w:eastAsia="宋体" w:cs="宋体"/>
          <w:color w:val="auto"/>
          <w:spacing w:val="-8"/>
          <w:sz w:val="24"/>
          <w:highlight w:val="none"/>
          <w:u w:val="single"/>
        </w:rPr>
        <w:t xml:space="preserve">  1000  元</w:t>
      </w:r>
      <w:r>
        <w:rPr>
          <w:rFonts w:hint="eastAsia" w:hAnsi="宋体" w:eastAsia="宋体" w:cs="宋体"/>
          <w:color w:val="auto"/>
          <w:spacing w:val="-8"/>
          <w:sz w:val="24"/>
          <w:highlight w:val="none"/>
        </w:rPr>
        <w:t>/次。因此造成损失的，按实际发生额赔偿。</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 乙方保证其具有符合法律法规要求的完成本工程项目应具有的相应资质，禁止转包和分包，如违反上述约定，甲方有权解除合同，要求乙方支付</w:t>
      </w:r>
      <w:r>
        <w:rPr>
          <w:rFonts w:hint="eastAsia" w:ascii="宋体" w:hAnsi="宋体" w:eastAsia="宋体" w:cs="宋体"/>
          <w:color w:val="auto"/>
          <w:sz w:val="24"/>
          <w:szCs w:val="24"/>
          <w:highlight w:val="none"/>
          <w:u w:val="single"/>
        </w:rPr>
        <w:t xml:space="preserve"> 合同暂定总价的20%</w:t>
      </w:r>
      <w:r>
        <w:rPr>
          <w:rFonts w:hint="eastAsia" w:ascii="宋体" w:hAnsi="宋体" w:eastAsia="宋体" w:cs="宋体"/>
          <w:color w:val="auto"/>
          <w:sz w:val="24"/>
          <w:szCs w:val="24"/>
          <w:highlight w:val="none"/>
        </w:rPr>
        <w:t>作为违约金。</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15.7乙方与甲方按合同履约，任何违反本合同约定的行为均构成违约，违约方应向守约方支付 </w:t>
      </w:r>
      <w:r>
        <w:rPr>
          <w:rFonts w:hint="eastAsia" w:ascii="宋体" w:hAnsi="宋体" w:eastAsia="宋体" w:cs="宋体"/>
          <w:color w:val="auto"/>
          <w:sz w:val="24"/>
          <w:szCs w:val="24"/>
          <w:highlight w:val="none"/>
          <w:u w:val="single"/>
        </w:rPr>
        <w:t xml:space="preserve"> 1 </w:t>
      </w:r>
      <w:r>
        <w:rPr>
          <w:rFonts w:hint="eastAsia" w:ascii="宋体" w:hAnsi="宋体" w:eastAsia="宋体" w:cs="宋体"/>
          <w:color w:val="auto"/>
          <w:sz w:val="24"/>
          <w:szCs w:val="24"/>
          <w:highlight w:val="none"/>
        </w:rPr>
        <w:t>万元/次的违约金（合同另有约定按其条款执行）。</w:t>
      </w:r>
    </w:p>
    <w:p>
      <w:p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15.8除合同解除或终止外，违约方承担上述违约责任后仍应继续履行合同。 </w:t>
      </w:r>
    </w:p>
    <w:p>
      <w:pPr>
        <w:tabs>
          <w:tab w:val="left" w:pos="851"/>
        </w:tabs>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 xml:space="preserve">第十六条  </w:t>
      </w:r>
      <w:r>
        <w:rPr>
          <w:rFonts w:hint="eastAsia" w:ascii="宋体" w:hAnsi="宋体" w:eastAsia="宋体" w:cs="宋体"/>
          <w:b/>
          <w:color w:val="auto"/>
          <w:sz w:val="24"/>
          <w:szCs w:val="24"/>
          <w:highlight w:val="none"/>
        </w:rPr>
        <w:t>不可抗力</w:t>
      </w:r>
    </w:p>
    <w:p>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（1）地震、火山爆发、滑坡、暴雨（橙色预警及以上）、台风（黄色预警及以上）、海啸、龙卷风、大面积流行病(如：非典型性肺炎等)或瘟疫；</w:t>
      </w:r>
    </w:p>
    <w:p>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（2）战争行为、入侵、武装冲突或外敌行为、封锁、暴乱、恐怖行为或军事演习；</w:t>
      </w:r>
    </w:p>
    <w:p>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tabs>
          <w:tab w:val="left" w:pos="851"/>
        </w:tabs>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16.4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tabs>
          <w:tab w:val="left" w:pos="851"/>
        </w:tabs>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第十七条 争议解决</w:t>
      </w:r>
    </w:p>
    <w:p>
      <w:pPr>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 在本合同履行中，如双方发生争议，应尽量通过协商解决，协商不成的，按下列第</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种方式解决：</w:t>
      </w:r>
    </w:p>
    <w:p>
      <w:pPr>
        <w:numPr>
          <w:ilvl w:val="0"/>
          <w:numId w:val="7"/>
        </w:num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向广州仲裁委员会申请仲裁; </w:t>
      </w:r>
    </w:p>
    <w:p>
      <w:pPr>
        <w:numPr>
          <w:ilvl w:val="0"/>
          <w:numId w:val="7"/>
        </w:numPr>
        <w:tabs>
          <w:tab w:val="left" w:pos="851"/>
        </w:tabs>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w:t>
      </w:r>
      <w:r>
        <w:rPr>
          <w:rFonts w:hint="eastAsia" w:ascii="宋体" w:hAnsi="宋体" w:eastAsia="宋体" w:cs="宋体"/>
          <w:color w:val="auto"/>
          <w:sz w:val="24"/>
          <w:szCs w:val="24"/>
          <w:highlight w:val="none"/>
          <w:u w:val="single"/>
        </w:rPr>
        <w:t xml:space="preserve"> 工程所在地  </w:t>
      </w:r>
      <w:r>
        <w:rPr>
          <w:rFonts w:hint="eastAsia" w:ascii="宋体" w:hAnsi="宋体" w:eastAsia="宋体" w:cs="宋体"/>
          <w:color w:val="auto"/>
          <w:sz w:val="24"/>
          <w:szCs w:val="24"/>
          <w:highlight w:val="none"/>
        </w:rPr>
        <w:t>人民法院起诉。</w:t>
      </w:r>
    </w:p>
    <w:p>
      <w:pPr>
        <w:tabs>
          <w:tab w:val="left" w:pos="851"/>
        </w:tabs>
        <w:adjustRightInd w:val="0"/>
        <w:snapToGrid w:val="0"/>
        <w:spacing w:line="500" w:lineRule="exact"/>
        <w:ind w:firstLine="480"/>
        <w:jc w:val="left"/>
        <w:rPr>
          <w:color w:val="auto"/>
          <w:highlight w:val="none"/>
        </w:rPr>
      </w:pPr>
      <w:r>
        <w:rPr>
          <w:rFonts w:hint="eastAsia" w:ascii="宋体" w:hAnsi="宋体" w:eastAsia="宋体" w:cs="宋体"/>
          <w:color w:val="auto"/>
          <w:sz w:val="24"/>
          <w:szCs w:val="24"/>
          <w:highlight w:val="none"/>
        </w:rPr>
        <w:t>17.2 在甲方同意的情况下，除有争端之外的合同的其它部分在争端解决前应继续执行。</w:t>
      </w:r>
    </w:p>
    <w:p>
      <w:pPr>
        <w:spacing w:line="500" w:lineRule="exact"/>
        <w:ind w:firstLine="602" w:firstLineChars="2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第十八条  其他：</w:t>
      </w:r>
    </w:p>
    <w:p>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18.1 本协议未尽事宜，可由甲方、乙方双方另行签订补充协议。补充协议与本协议具有同等法律效力。</w:t>
      </w:r>
    </w:p>
    <w:p>
      <w:pPr>
        <w:adjustRightInd w:val="0"/>
        <w:spacing w:line="50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 本协议自甲乙双方法定代表人或授权代理人签字并加盖公章之日起生效，双方履行完合同规定的义务后自动终止。</w:t>
      </w:r>
    </w:p>
    <w:p>
      <w:pPr>
        <w:spacing w:line="500" w:lineRule="exact"/>
        <w:ind w:left="24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18.3 本合同一式</w:t>
      </w:r>
      <w:r>
        <w:rPr>
          <w:rFonts w:hint="eastAsia" w:ascii="宋体" w:hAnsi="宋体" w:eastAsia="宋体" w:cs="宋体"/>
          <w:color w:val="auto"/>
          <w:sz w:val="24"/>
          <w:szCs w:val="24"/>
          <w:highlight w:val="none"/>
          <w:u w:val="single"/>
        </w:rPr>
        <w:t xml:space="preserve"> 陆 </w:t>
      </w:r>
      <w:r>
        <w:rPr>
          <w:rFonts w:hint="eastAsia" w:ascii="宋体" w:hAnsi="宋体" w:eastAsia="宋体" w:cs="宋体"/>
          <w:color w:val="auto"/>
          <w:sz w:val="24"/>
          <w:szCs w:val="24"/>
          <w:highlight w:val="none"/>
        </w:rPr>
        <w:t>份，甲方执</w:t>
      </w:r>
      <w:r>
        <w:rPr>
          <w:rFonts w:hint="eastAsia" w:ascii="宋体" w:hAnsi="宋体" w:eastAsia="宋体" w:cs="宋体"/>
          <w:color w:val="auto"/>
          <w:sz w:val="24"/>
          <w:szCs w:val="24"/>
          <w:highlight w:val="none"/>
          <w:u w:val="single"/>
        </w:rPr>
        <w:t xml:space="preserve">  肆  </w:t>
      </w:r>
      <w:r>
        <w:rPr>
          <w:rFonts w:hint="eastAsia" w:ascii="宋体" w:hAnsi="宋体" w:eastAsia="宋体" w:cs="宋体"/>
          <w:color w:val="auto"/>
          <w:sz w:val="24"/>
          <w:szCs w:val="24"/>
          <w:highlight w:val="none"/>
        </w:rPr>
        <w:t>份，乙方执</w:t>
      </w:r>
      <w:r>
        <w:rPr>
          <w:rFonts w:hint="eastAsia" w:ascii="宋体" w:hAnsi="宋体" w:eastAsia="宋体" w:cs="宋体"/>
          <w:color w:val="auto"/>
          <w:sz w:val="24"/>
          <w:szCs w:val="24"/>
          <w:highlight w:val="none"/>
          <w:u w:val="single"/>
        </w:rPr>
        <w:t xml:space="preserve">  贰 </w:t>
      </w:r>
      <w:r>
        <w:rPr>
          <w:rFonts w:hint="eastAsia" w:ascii="宋体" w:hAnsi="宋体" w:eastAsia="宋体" w:cs="宋体"/>
          <w:color w:val="auto"/>
          <w:sz w:val="24"/>
          <w:szCs w:val="24"/>
          <w:highlight w:val="none"/>
        </w:rPr>
        <w:t>份。均具有同等法律效力。</w:t>
      </w:r>
    </w:p>
    <w:p>
      <w:pPr>
        <w:adjustRightInd w:val="0"/>
        <w:spacing w:line="500" w:lineRule="exact"/>
        <w:ind w:firstLine="48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18.4</w:t>
      </w:r>
      <w:r>
        <w:rPr>
          <w:rFonts w:hint="eastAsia" w:ascii="宋体" w:hAnsi="宋体" w:eastAsia="宋体" w:cs="宋体"/>
          <w:bCs/>
          <w:color w:val="auto"/>
          <w:sz w:val="24"/>
          <w:szCs w:val="24"/>
          <w:highlight w:val="none"/>
        </w:rPr>
        <w:t>补充条款：</w:t>
      </w:r>
      <w:r>
        <w:rPr>
          <w:rFonts w:hint="eastAsia" w:ascii="宋体" w:hAnsi="宋体" w:eastAsia="宋体" w:cs="宋体"/>
          <w:color w:val="auto"/>
          <w:sz w:val="24"/>
          <w:szCs w:val="24"/>
          <w:highlight w:val="none"/>
          <w:u w:val="single"/>
        </w:rPr>
        <w:t xml:space="preserve">  无   </w:t>
      </w:r>
      <w:r>
        <w:rPr>
          <w:rFonts w:hint="eastAsia" w:ascii="宋体" w:hAnsi="宋体" w:eastAsia="宋体" w:cs="宋体"/>
          <w:b/>
          <w:bCs/>
          <w:color w:val="auto"/>
          <w:sz w:val="24"/>
          <w:szCs w:val="24"/>
          <w:highlight w:val="none"/>
        </w:rPr>
        <w:t xml:space="preserve">。 </w:t>
      </w:r>
    </w:p>
    <w:p>
      <w:pPr>
        <w:spacing w:line="500" w:lineRule="exact"/>
        <w:ind w:firstLine="480" w:firstLineChars="200"/>
        <w:rPr>
          <w:rFonts w:hint="eastAsia" w:ascii="宋体" w:hAnsi="宋体" w:eastAsia="宋体" w:cs="宋体"/>
          <w:color w:val="auto"/>
          <w:sz w:val="24"/>
          <w:szCs w:val="24"/>
          <w:highlight w:val="none"/>
        </w:rPr>
      </w:pP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附件：1.发包通知书/成交通知书</w:t>
      </w:r>
    </w:p>
    <w:p>
      <w:pPr>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2.工程质量保修书</w:t>
      </w:r>
    </w:p>
    <w:p>
      <w:pPr>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3.廉洁协议</w:t>
      </w:r>
    </w:p>
    <w:p>
      <w:pPr>
        <w:spacing w:line="440" w:lineRule="exact"/>
        <w:ind w:firstLine="1200" w:firstLineChars="500"/>
        <w:jc w:val="both"/>
        <w:rPr>
          <w:rFonts w:hint="eastAsia" w:ascii="方正小标宋简体" w:hAnsi="方正小标宋简体" w:eastAsia="方正小标宋简体" w:cs="方正小标宋简体"/>
          <w:color w:val="auto"/>
          <w:highlight w:val="none"/>
        </w:rPr>
      </w:pPr>
      <w:r>
        <w:rPr>
          <w:rFonts w:hint="eastAsia" w:ascii="宋体" w:hAnsi="宋体" w:eastAsia="宋体" w:cs="宋体"/>
          <w:color w:val="auto"/>
          <w:sz w:val="24"/>
          <w:szCs w:val="24"/>
          <w:highlight w:val="none"/>
        </w:rPr>
        <w:t>4.营运场所施工安全及消防安全协议书</w:t>
      </w:r>
    </w:p>
    <w:p>
      <w:pPr>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5.安全生产承诺书</w:t>
      </w:r>
    </w:p>
    <w:p>
      <w:pPr>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6.投入工程人员架构表</w:t>
      </w:r>
    </w:p>
    <w:p>
      <w:pPr>
        <w:spacing w:line="500" w:lineRule="exact"/>
        <w:ind w:firstLine="1200" w:firstLineChars="500"/>
        <w:rPr>
          <w:rFonts w:hint="eastAsia" w:ascii="宋体" w:hAnsi="宋体" w:cs="宋体"/>
          <w:b/>
          <w:bCs/>
          <w:color w:val="auto"/>
          <w:szCs w:val="21"/>
          <w:highlight w:val="none"/>
        </w:rPr>
      </w:pPr>
      <w:r>
        <w:rPr>
          <w:rFonts w:hint="eastAsia" w:ascii="宋体" w:hAnsi="宋体" w:eastAsia="宋体" w:cs="宋体"/>
          <w:color w:val="auto"/>
          <w:sz w:val="24"/>
          <w:szCs w:val="24"/>
          <w:highlight w:val="none"/>
        </w:rPr>
        <w:t>7.工程量报价单</w:t>
      </w:r>
    </w:p>
    <w:p>
      <w:pPr>
        <w:pStyle w:val="2"/>
        <w:ind w:firstLine="0"/>
        <w:rPr>
          <w:rFonts w:hint="eastAsia" w:cs="宋体"/>
          <w:b/>
          <w:bCs/>
          <w:color w:val="auto"/>
          <w:szCs w:val="21"/>
          <w:highlight w:val="none"/>
        </w:rPr>
      </w:pPr>
    </w:p>
    <w:p>
      <w:pPr>
        <w:pStyle w:val="2"/>
        <w:ind w:firstLine="0"/>
        <w:rPr>
          <w:rFonts w:hint="eastAsia" w:cs="宋体"/>
          <w:b/>
          <w:bCs/>
          <w:color w:val="auto"/>
          <w:szCs w:val="21"/>
          <w:highlight w:val="none"/>
        </w:rPr>
      </w:pPr>
    </w:p>
    <w:p>
      <w:pPr>
        <w:pStyle w:val="2"/>
        <w:ind w:firstLine="0"/>
        <w:rPr>
          <w:rFonts w:hint="eastAsia" w:cs="宋体"/>
          <w:b/>
          <w:bCs/>
          <w:color w:val="auto"/>
          <w:szCs w:val="21"/>
          <w:highlight w:val="none"/>
        </w:rPr>
      </w:pPr>
    </w:p>
    <w:p>
      <w:pPr>
        <w:pStyle w:val="2"/>
        <w:ind w:firstLine="0"/>
        <w:rPr>
          <w:rFonts w:hint="eastAsia" w:cs="宋体"/>
          <w:b/>
          <w:bCs/>
          <w:color w:val="auto"/>
          <w:szCs w:val="21"/>
          <w:highlight w:val="none"/>
        </w:rPr>
      </w:pPr>
    </w:p>
    <w:p>
      <w:pPr>
        <w:pStyle w:val="2"/>
        <w:ind w:firstLine="0"/>
        <w:rPr>
          <w:rFonts w:hint="eastAsia" w:cs="宋体"/>
          <w:b/>
          <w:bCs/>
          <w:color w:val="auto"/>
          <w:szCs w:val="21"/>
          <w:highlight w:val="none"/>
        </w:rPr>
      </w:pPr>
    </w:p>
    <w:p>
      <w:pPr>
        <w:pStyle w:val="2"/>
        <w:ind w:firstLine="0"/>
        <w:rPr>
          <w:rFonts w:hint="eastAsia" w:cs="宋体"/>
          <w:b/>
          <w:bCs/>
          <w:color w:val="auto"/>
          <w:szCs w:val="21"/>
          <w:highlight w:val="none"/>
        </w:rPr>
      </w:pPr>
    </w:p>
    <w:p>
      <w:pPr>
        <w:pStyle w:val="2"/>
        <w:ind w:firstLine="0"/>
        <w:rPr>
          <w:rFonts w:hint="eastAsia" w:cs="宋体"/>
          <w:b/>
          <w:bCs/>
          <w:color w:val="auto"/>
          <w:szCs w:val="21"/>
          <w:highlight w:val="none"/>
        </w:rPr>
      </w:pPr>
    </w:p>
    <w:p>
      <w:pPr>
        <w:pStyle w:val="2"/>
        <w:ind w:firstLine="0"/>
        <w:rPr>
          <w:rFonts w:hint="eastAsia" w:cs="宋体"/>
          <w:b/>
          <w:bCs/>
          <w:color w:val="auto"/>
          <w:szCs w:val="21"/>
          <w:highlight w:val="none"/>
        </w:rPr>
      </w:pPr>
    </w:p>
    <w:p>
      <w:pPr>
        <w:pStyle w:val="2"/>
        <w:ind w:firstLine="0"/>
        <w:rPr>
          <w:rFonts w:hint="eastAsia" w:cs="宋体"/>
          <w:b/>
          <w:bCs/>
          <w:color w:val="auto"/>
          <w:szCs w:val="21"/>
          <w:highlight w:val="none"/>
        </w:rPr>
      </w:pPr>
    </w:p>
    <w:p>
      <w:pPr>
        <w:pStyle w:val="2"/>
        <w:ind w:firstLine="0"/>
        <w:rPr>
          <w:rFonts w:hint="eastAsia" w:cs="宋体"/>
          <w:b/>
          <w:bCs/>
          <w:color w:val="auto"/>
          <w:szCs w:val="21"/>
          <w:highlight w:val="none"/>
        </w:rPr>
      </w:pPr>
    </w:p>
    <w:p>
      <w:pPr>
        <w:pStyle w:val="2"/>
        <w:ind w:firstLine="0"/>
        <w:rPr>
          <w:rFonts w:hint="eastAsia" w:cs="宋体"/>
          <w:b/>
          <w:bCs/>
          <w:color w:val="auto"/>
          <w:szCs w:val="21"/>
          <w:highlight w:val="none"/>
        </w:rPr>
      </w:pPr>
    </w:p>
    <w:p>
      <w:pPr>
        <w:pStyle w:val="2"/>
        <w:ind w:firstLine="0"/>
        <w:rPr>
          <w:rFonts w:hint="eastAsia" w:cs="宋体"/>
          <w:b/>
          <w:bCs/>
          <w:color w:val="auto"/>
          <w:szCs w:val="21"/>
          <w:highlight w:val="none"/>
        </w:rPr>
      </w:pPr>
    </w:p>
    <w:p>
      <w:pPr>
        <w:spacing w:line="360" w:lineRule="auto"/>
        <w:rPr>
          <w:color w:val="auto"/>
          <w:highlight w:val="none"/>
        </w:rPr>
      </w:pPr>
      <w:r>
        <w:rPr>
          <w:rFonts w:hint="eastAsia" w:ascii="宋体" w:hAnsi="宋体" w:cs="宋体"/>
          <w:b/>
          <w:bCs/>
          <w:color w:val="auto"/>
          <w:szCs w:val="21"/>
          <w:highlight w:val="none"/>
        </w:rPr>
        <w:t>附件1  中标通知书/发包通知书/委托函（如有）</w:t>
      </w: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附件2：工程质量保修书</w:t>
      </w:r>
    </w:p>
    <w:p>
      <w:pPr>
        <w:pStyle w:val="2"/>
        <w:ind w:firstLine="0"/>
        <w:rPr>
          <w:rFonts w:hint="eastAsia" w:cs="宋体"/>
          <w:b/>
          <w:bCs/>
          <w:color w:val="auto"/>
          <w:szCs w:val="21"/>
          <w:highlight w:val="none"/>
        </w:rPr>
      </w:pPr>
    </w:p>
    <w:p>
      <w:pPr>
        <w:autoSpaceDE w:val="0"/>
        <w:autoSpaceDN w:val="0"/>
        <w:adjustRightInd w:val="0"/>
        <w:spacing w:before="100" w:after="100" w:line="500" w:lineRule="exact"/>
        <w:ind w:left="250" w:right="-26"/>
        <w:jc w:val="center"/>
        <w:rPr>
          <w:rFonts w:hint="eastAsia" w:ascii="宋体" w:hAnsi="宋体" w:eastAsia="宋体" w:cs="宋体"/>
          <w:color w:val="auto"/>
          <w:kern w:val="0"/>
          <w:sz w:val="24"/>
          <w:highlight w:val="none"/>
        </w:rPr>
      </w:pPr>
      <w:r>
        <w:rPr>
          <w:rFonts w:hint="eastAsia" w:ascii="宋体" w:hAnsi="宋体" w:eastAsia="宋体" w:cs="宋体"/>
          <w:b/>
          <w:bCs/>
          <w:color w:val="auto"/>
          <w:kern w:val="0"/>
          <w:sz w:val="24"/>
          <w:highlight w:val="none"/>
        </w:rPr>
        <w:t>工程质量保修书</w:t>
      </w:r>
    </w:p>
    <w:p>
      <w:pPr>
        <w:autoSpaceDE w:val="0"/>
        <w:autoSpaceDN w:val="0"/>
        <w:adjustRightInd w:val="0"/>
        <w:spacing w:before="100" w:after="100" w:line="500" w:lineRule="exact"/>
        <w:ind w:right="-26"/>
        <w:jc w:val="left"/>
        <w:rPr>
          <w:rFonts w:hint="eastAsia" w:ascii="宋体" w:hAnsi="宋体" w:eastAsia="宋体" w:cs="宋体"/>
          <w:color w:val="auto"/>
          <w:kern w:val="0"/>
          <w:sz w:val="24"/>
          <w:highlight w:val="none"/>
        </w:rPr>
      </w:pPr>
    </w:p>
    <w:p>
      <w:pPr>
        <w:autoSpaceDE w:val="0"/>
        <w:autoSpaceDN w:val="0"/>
        <w:adjustRightInd w:val="0"/>
        <w:spacing w:before="100" w:after="100" w:line="500" w:lineRule="exact"/>
        <w:ind w:right="-26"/>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承包人（甲方）：广州市净水有限公司</w:t>
      </w:r>
    </w:p>
    <w:p>
      <w:pPr>
        <w:autoSpaceDE w:val="0"/>
        <w:autoSpaceDN w:val="0"/>
        <w:adjustRightInd w:val="0"/>
        <w:spacing w:before="100" w:after="100" w:line="500" w:lineRule="exact"/>
        <w:ind w:right="-26"/>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发包人（乙方）： </w:t>
      </w:r>
    </w:p>
    <w:p>
      <w:pPr>
        <w:spacing w:line="500" w:lineRule="exact"/>
        <w:rPr>
          <w:rFonts w:hint="eastAsia" w:ascii="宋体" w:hAnsi="宋体" w:eastAsia="宋体" w:cs="宋体"/>
          <w:color w:val="auto"/>
          <w:sz w:val="24"/>
          <w:szCs w:val="24"/>
          <w:highlight w:val="none"/>
        </w:rPr>
      </w:pP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在合理使用期限内正常使用，甲方、乙方协商一致签订工程质量保修书。乙方在质量保修期内按照有关管理规定及双方约定承担工程质量保修责任。</w:t>
      </w:r>
    </w:p>
    <w:p>
      <w:pPr>
        <w:autoSpaceDE w:val="0"/>
        <w:autoSpaceDN w:val="0"/>
        <w:adjustRightInd w:val="0"/>
        <w:spacing w:before="100" w:after="100" w:line="500" w:lineRule="exact"/>
        <w:ind w:left="250" w:right="-26"/>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一、工程质量保修范围和内容</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质量保修范围双方约定如下：</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即乙方施工的工程范围。</w:t>
      </w:r>
    </w:p>
    <w:p>
      <w:pPr>
        <w:autoSpaceDE w:val="0"/>
        <w:autoSpaceDN w:val="0"/>
        <w:adjustRightInd w:val="0"/>
        <w:spacing w:before="100" w:after="100" w:line="500" w:lineRule="exact"/>
        <w:ind w:left="250" w:right="-26"/>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二、质量保修期</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质量保修期从工程实际竣工之日算起。分单项竣工验收的工程，按单项工程分别计算质量保修期。</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双方根据国家有关规定，结合具体工程约定本工程的质量保修期如下：</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1、土建工程为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年，屋面防水工程为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2、电气管线、上下水管线安装工程为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3、供热及供冷为为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个采暖期及供冷期； </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4、室外的上下水和小区道路等市政公用工程为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5、其他约定：</w:t>
      </w:r>
      <w:r>
        <w:rPr>
          <w:rFonts w:hint="eastAsia" w:ascii="宋体" w:hAnsi="宋体" w:eastAsia="宋体" w:cs="宋体"/>
          <w:color w:val="auto"/>
          <w:kern w:val="0"/>
          <w:sz w:val="24"/>
          <w:szCs w:val="24"/>
          <w:highlight w:val="none"/>
          <w:u w:val="single"/>
        </w:rPr>
        <w:t xml:space="preserve">   .</w:t>
      </w:r>
    </w:p>
    <w:p>
      <w:pPr>
        <w:pStyle w:val="2"/>
        <w:rPr>
          <w:rFonts w:hint="eastAsia" w:eastAsia="宋体" w:cs="宋体"/>
          <w:color w:val="auto"/>
          <w:highlight w:val="none"/>
          <w:u w:val="single"/>
        </w:rPr>
      </w:pPr>
    </w:p>
    <w:p>
      <w:pPr>
        <w:autoSpaceDE w:val="0"/>
        <w:autoSpaceDN w:val="0"/>
        <w:adjustRightInd w:val="0"/>
        <w:spacing w:before="100" w:after="100" w:line="500" w:lineRule="exact"/>
        <w:ind w:left="250" w:right="-26"/>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三、质量保修责任</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1、属于保修范围、内容的项目，乙方应当在接到保修通知之日起48小时内派人修理。乙方不在约定期限内派人修理，甲方可以委托其他人员修理，保修费用从质量保修金内扣除。</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2、发生紧急抢修事故的（如上水跑水、暖气漏水漏气、燃气漏气等），乙方在接到事故通知后，应当立即到达事故现场抢修。非乙方施工质量引起的事故，抢修费用由甲方承担。</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3、在国家规定的工程合理使用期限内，乙方确保地基基础工程和主体结构的质量。因乙方原因致使工程在合理使用期限内造成人身和财产损害的，乙方应承担损害赔偿责任。</w:t>
      </w:r>
    </w:p>
    <w:p>
      <w:pPr>
        <w:autoSpaceDE w:val="0"/>
        <w:autoSpaceDN w:val="0"/>
        <w:adjustRightInd w:val="0"/>
        <w:spacing w:before="100" w:after="100" w:line="500" w:lineRule="exact"/>
        <w:ind w:left="250" w:right="-26"/>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四、质量保修金的支付</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工程质量保修金一般不超过施工合同价款的</w:t>
      </w:r>
      <w:r>
        <w:rPr>
          <w:rFonts w:hint="eastAsia" w:ascii="宋体" w:hAnsi="宋体" w:eastAsia="宋体" w:cs="宋体"/>
          <w:color w:val="auto"/>
          <w:kern w:val="0"/>
          <w:sz w:val="24"/>
          <w:szCs w:val="24"/>
          <w:highlight w:val="none"/>
          <w:u w:val="single"/>
        </w:rPr>
        <w:t xml:space="preserve"> / </w:t>
      </w:r>
      <w:r>
        <w:rPr>
          <w:rFonts w:hint="eastAsia" w:ascii="宋体" w:hAnsi="宋体" w:eastAsia="宋体" w:cs="宋体"/>
          <w:color w:val="auto"/>
          <w:kern w:val="0"/>
          <w:sz w:val="24"/>
          <w:szCs w:val="24"/>
          <w:highlight w:val="none"/>
        </w:rPr>
        <w:t>％，本工程约定的工程质量保修金为合同暂定总价/合同结算审定价的</w:t>
      </w:r>
      <w:r>
        <w:rPr>
          <w:rFonts w:hint="eastAsia" w:ascii="宋体" w:hAnsi="宋体" w:eastAsia="宋体" w:cs="宋体"/>
          <w:b/>
          <w:bCs/>
          <w:color w:val="auto"/>
          <w:kern w:val="0"/>
          <w:sz w:val="24"/>
          <w:szCs w:val="24"/>
          <w:highlight w:val="none"/>
          <w:u w:val="single"/>
        </w:rPr>
        <w:t xml:space="preserve">  3%   </w:t>
      </w:r>
      <w:r>
        <w:rPr>
          <w:rFonts w:hint="eastAsia" w:ascii="宋体" w:hAnsi="宋体" w:eastAsia="宋体" w:cs="宋体"/>
          <w:color w:val="auto"/>
          <w:kern w:val="0"/>
          <w:sz w:val="24"/>
          <w:szCs w:val="24"/>
          <w:highlight w:val="none"/>
        </w:rPr>
        <w:t>。</w:t>
      </w:r>
    </w:p>
    <w:p>
      <w:pPr>
        <w:autoSpaceDE w:val="0"/>
        <w:autoSpaceDN w:val="0"/>
        <w:adjustRightInd w:val="0"/>
        <w:spacing w:before="100" w:after="100" w:line="500" w:lineRule="exact"/>
        <w:ind w:left="250" w:right="-26"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本工程双方约定乙方向甲方支付工程质量保修金金额</w:t>
      </w:r>
      <w:r>
        <w:rPr>
          <w:rFonts w:hint="eastAsia" w:ascii="宋体" w:hAnsi="宋体" w:eastAsia="宋体" w:cs="宋体"/>
          <w:color w:val="auto"/>
          <w:kern w:val="0"/>
          <w:sz w:val="24"/>
          <w:szCs w:val="24"/>
          <w:highlight w:val="none"/>
          <w:u w:val="single"/>
        </w:rPr>
        <w:t>详见（合同名称+合同编号）</w:t>
      </w:r>
      <w:r>
        <w:rPr>
          <w:rFonts w:hint="eastAsia" w:ascii="宋体" w:hAnsi="宋体" w:eastAsia="宋体" w:cs="宋体"/>
          <w:color w:val="auto"/>
          <w:kern w:val="0"/>
          <w:sz w:val="24"/>
          <w:szCs w:val="24"/>
          <w:highlight w:val="none"/>
        </w:rPr>
        <w:t>。质量保修金银行利率为</w:t>
      </w:r>
      <w:r>
        <w:rPr>
          <w:rFonts w:hint="eastAsia" w:ascii="宋体" w:hAnsi="宋体" w:eastAsia="宋体" w:cs="宋体"/>
          <w:color w:val="auto"/>
          <w:kern w:val="0"/>
          <w:sz w:val="24"/>
          <w:szCs w:val="24"/>
          <w:highlight w:val="none"/>
          <w:u w:val="single"/>
        </w:rPr>
        <w:t xml:space="preserve"> 零 </w:t>
      </w:r>
      <w:r>
        <w:rPr>
          <w:rFonts w:hint="eastAsia" w:ascii="宋体" w:hAnsi="宋体" w:eastAsia="宋体" w:cs="宋体"/>
          <w:color w:val="auto"/>
          <w:kern w:val="0"/>
          <w:sz w:val="24"/>
          <w:szCs w:val="24"/>
          <w:highlight w:val="none"/>
        </w:rPr>
        <w:t>。</w:t>
      </w:r>
    </w:p>
    <w:p>
      <w:pPr>
        <w:autoSpaceDE w:val="0"/>
        <w:autoSpaceDN w:val="0"/>
        <w:adjustRightInd w:val="0"/>
        <w:spacing w:before="100" w:after="100" w:line="500" w:lineRule="exact"/>
        <w:ind w:left="250" w:right="-26"/>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五、其他</w:t>
      </w:r>
    </w:p>
    <w:p>
      <w:pPr>
        <w:autoSpaceDE w:val="0"/>
        <w:autoSpaceDN w:val="0"/>
        <w:adjustRightInd w:val="0"/>
        <w:spacing w:before="100" w:after="100" w:line="500" w:lineRule="exact"/>
        <w:ind w:left="250" w:right="-26"/>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双方约定的其他质量保修事项：</w:t>
      </w:r>
      <w:r>
        <w:rPr>
          <w:rFonts w:hint="eastAsia" w:ascii="宋体" w:hAnsi="宋体" w:eastAsia="宋体" w:cs="宋体"/>
          <w:color w:val="auto"/>
          <w:kern w:val="0"/>
          <w:sz w:val="24"/>
          <w:szCs w:val="24"/>
          <w:highlight w:val="none"/>
          <w:u w:val="single"/>
        </w:rPr>
        <w:t xml:space="preserve">  / </w:t>
      </w:r>
      <w:r>
        <w:rPr>
          <w:rFonts w:hint="eastAsia" w:ascii="宋体" w:hAnsi="宋体" w:eastAsia="宋体" w:cs="宋体"/>
          <w:color w:val="auto"/>
          <w:kern w:val="0"/>
          <w:sz w:val="24"/>
          <w:szCs w:val="24"/>
          <w:highlight w:val="none"/>
        </w:rPr>
        <w:t>。</w:t>
      </w:r>
    </w:p>
    <w:p>
      <w:pPr>
        <w:autoSpaceDE w:val="0"/>
        <w:autoSpaceDN w:val="0"/>
        <w:adjustRightInd w:val="0"/>
        <w:spacing w:before="100" w:after="100" w:line="500" w:lineRule="exact"/>
        <w:ind w:left="250" w:right="-26"/>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本工程质量保修书作为施工合同附件，由甲方、乙方双方共同签署。</w:t>
      </w:r>
    </w:p>
    <w:p>
      <w:pPr>
        <w:pStyle w:val="2"/>
        <w:ind w:firstLine="0"/>
        <w:rPr>
          <w:rFonts w:hint="eastAsia"/>
          <w:color w:val="auto"/>
          <w:highlight w:val="none"/>
        </w:rPr>
      </w:pPr>
    </w:p>
    <w:p>
      <w:pPr>
        <w:autoSpaceDE w:val="0"/>
        <w:autoSpaceDN w:val="0"/>
        <w:adjustRightInd w:val="0"/>
        <w:spacing w:before="100" w:after="100" w:line="500" w:lineRule="exact"/>
        <w:ind w:right="36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甲方：广州市净水有限公司（盖章）       乙方:（盖章）</w:t>
      </w:r>
    </w:p>
    <w:p>
      <w:pPr>
        <w:autoSpaceDE w:val="0"/>
        <w:autoSpaceDN w:val="0"/>
        <w:adjustRightInd w:val="0"/>
        <w:spacing w:before="100" w:after="100" w:line="500" w:lineRule="exact"/>
        <w:ind w:right="360"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autoSpaceDE w:val="0"/>
        <w:autoSpaceDN w:val="0"/>
        <w:adjustRightInd w:val="0"/>
        <w:spacing w:line="500" w:lineRule="exact"/>
        <w:ind w:left="360" w:right="-17" w:rightChars="-8"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经办人：                             经办人：</w:t>
      </w:r>
    </w:p>
    <w:p>
      <w:pPr>
        <w:autoSpaceDE w:val="0"/>
        <w:autoSpaceDN w:val="0"/>
        <w:adjustRightInd w:val="0"/>
        <w:spacing w:line="500" w:lineRule="exact"/>
        <w:ind w:left="360" w:right="-15" w:rightChars="-7"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  话：                             电   话：</w:t>
      </w:r>
    </w:p>
    <w:p>
      <w:pPr>
        <w:autoSpaceDE w:val="0"/>
        <w:autoSpaceDN w:val="0"/>
        <w:adjustRightInd w:val="0"/>
        <w:spacing w:before="100" w:after="100" w:line="500" w:lineRule="exact"/>
        <w:ind w:right="-26"/>
        <w:jc w:val="left"/>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t xml:space="preserve">    签订日期：      年   月   日         签订日期：      年   月   日</w:t>
      </w:r>
    </w:p>
    <w:p>
      <w:pPr>
        <w:pStyle w:val="2"/>
        <w:ind w:firstLine="0"/>
        <w:rPr>
          <w:rFonts w:hint="eastAsia"/>
          <w:color w:val="auto"/>
          <w:highlight w:val="none"/>
        </w:rPr>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附件3：廉洁协议</w:t>
      </w:r>
    </w:p>
    <w:p>
      <w:pPr>
        <w:spacing w:line="520" w:lineRule="exact"/>
        <w:jc w:val="center"/>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廉洁协议</w:t>
      </w:r>
    </w:p>
    <w:p>
      <w:pPr>
        <w:spacing w:line="520" w:lineRule="exact"/>
        <w:ind w:firstLine="630" w:firstLineChars="225"/>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Cs/>
          <w:color w:val="auto"/>
          <w:sz w:val="28"/>
          <w:szCs w:val="28"/>
          <w:highlight w:val="none"/>
          <w:u w:val="single"/>
        </w:rPr>
        <w:t>广州市净水有限公司</w:t>
      </w:r>
      <w:r>
        <w:rPr>
          <w:rFonts w:hint="eastAsia" w:ascii="仿宋_GB2312" w:hAnsi="仿宋_GB2312" w:eastAsia="仿宋_GB2312" w:cs="仿宋_GB2312"/>
          <w:bCs/>
          <w:color w:val="auto"/>
          <w:sz w:val="28"/>
          <w:szCs w:val="28"/>
          <w:highlight w:val="none"/>
        </w:rPr>
        <w:t>(以下称甲方)与</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(以下称乙方)，特此订立本协议共同遵照执行。</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第一条 甲乙双方的权利和义务</w:t>
      </w:r>
    </w:p>
    <w:p>
      <w:pPr>
        <w:spacing w:line="520" w:lineRule="exact"/>
        <w:ind w:firstLine="420" w:firstLineChars="15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（一）甲乙双方严格遵守国家关于市场准入、项目招标投标、市场经营活动等有关法律、法规相关政策及廉政建设的各项规定。</w:t>
      </w:r>
    </w:p>
    <w:p>
      <w:pPr>
        <w:spacing w:line="520" w:lineRule="exact"/>
        <w:ind w:firstLine="420" w:firstLineChars="15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（二）严格执行</w:t>
      </w:r>
      <w:r>
        <w:rPr>
          <w:rFonts w:hint="eastAsia" w:ascii="仿宋_GB2312" w:hAnsi="仿宋_GB2312" w:eastAsia="仿宋_GB2312" w:cs="仿宋_GB2312"/>
          <w:bCs/>
          <w:color w:val="auto"/>
          <w:sz w:val="28"/>
          <w:szCs w:val="28"/>
          <w:highlight w:val="none"/>
          <w:u w:val="single"/>
        </w:rPr>
        <w:t xml:space="preserve"> 合同名称（穗净水合[      ]    号） </w:t>
      </w:r>
      <w:r>
        <w:rPr>
          <w:rFonts w:hint="eastAsia" w:ascii="仿宋_GB2312" w:hAnsi="仿宋_GB2312" w:eastAsia="仿宋_GB2312" w:cs="仿宋_GB2312"/>
          <w:bCs/>
          <w:color w:val="auto"/>
          <w:sz w:val="28"/>
          <w:szCs w:val="28"/>
          <w:highlight w:val="none"/>
        </w:rPr>
        <w:t>合同（以下简称：主合同），自觉履行合同约定的相关义务。</w:t>
      </w:r>
    </w:p>
    <w:p>
      <w:pPr>
        <w:spacing w:line="520" w:lineRule="exact"/>
        <w:ind w:firstLine="420" w:firstLineChars="15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（三）在业务活动中坚持公开、公正、诚信、透明的原则，不得损害国家、集体利益。</w:t>
      </w:r>
    </w:p>
    <w:p>
      <w:pPr>
        <w:spacing w:line="520" w:lineRule="exact"/>
        <w:ind w:firstLine="420" w:firstLineChars="15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（四）建立健全廉洁从业制度，开展廉洁教育，公布举报电话，监督并认真查处不廉洁及违法违纪行为。</w:t>
      </w:r>
    </w:p>
    <w:p>
      <w:pPr>
        <w:spacing w:line="520" w:lineRule="exact"/>
        <w:ind w:firstLine="420" w:firstLineChars="15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（五）发现对方在业务活动中有不廉洁行为，应及时提醒对方纠正。情节严重的，应向其有关监督部门检举。</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第二条甲方的义务</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（一）甲方及其工作人员不得索要或接受乙方的礼金、有价证券和贵重物品，不得在乙方报销任何应由甲方或个人支付的费用等。</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520" w:lineRule="exact"/>
        <w:ind w:left="15" w:leftChars="7"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（三）甲方及其工作人员不得要求或者接受乙方为其住房装修、婚丧嫁娶活动、配偶子女工作安排以及出国出境、旅游等提供方便等。</w:t>
      </w:r>
    </w:p>
    <w:p>
      <w:pPr>
        <w:spacing w:line="520" w:lineRule="exact"/>
        <w:ind w:left="15" w:leftChars="7"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（四）甲方工作人员不得在乙方或与乙方有股权关联的企业兼职，不得向乙方介绍家属或者亲友从事与甲方业务有关的经济活动。</w:t>
      </w:r>
    </w:p>
    <w:p>
      <w:pPr>
        <w:spacing w:line="520" w:lineRule="exact"/>
        <w:ind w:left="15" w:leftChars="7"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spacing w:line="520" w:lineRule="exact"/>
        <w:ind w:left="15" w:leftChars="7"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（六）甲方工作人员不得利用职务之便收受乙方以回扣、手续费、加班费、咨询费、劳务费、协调费、辛苦费等各种名义给予或赠送的钱物。</w:t>
      </w:r>
    </w:p>
    <w:p>
      <w:pPr>
        <w:spacing w:line="520" w:lineRule="exact"/>
        <w:ind w:left="15" w:leftChars="7"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（七）甲方工作人员不得接受乙方给予或赠送的干股或红利。</w:t>
      </w:r>
    </w:p>
    <w:p>
      <w:pPr>
        <w:spacing w:line="520" w:lineRule="exact"/>
        <w:ind w:left="15" w:leftChars="7"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(八）不得存在其他违反廉洁规定的行为。</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第三条乙方的义务</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（一）乙方不得以任何理由向甲方及其工作人员行贿或馈赠礼金、有价证券、贵重礼品。</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（二)乙方不得以任何名义为甲方及其工作人员报销应由甲方单位或个人支付的任何费用。</w:t>
      </w:r>
    </w:p>
    <w:p>
      <w:pPr>
        <w:spacing w:line="520" w:lineRule="exact"/>
        <w:ind w:left="25" w:leftChars="12"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（三）乙方不得以任何理由安排甲方工作人员参加可能影响相关业务公开、公正、公平性的宴请及娱乐活动。</w:t>
      </w:r>
    </w:p>
    <w:p>
      <w:pPr>
        <w:pStyle w:val="23"/>
        <w:spacing w:line="520" w:lineRule="exact"/>
        <w:rPr>
          <w:rFonts w:hint="eastAsia" w:ascii="仿宋_GB2312" w:hAnsi="仿宋_GB2312" w:eastAsia="仿宋_GB2312" w:cs="仿宋_GB2312"/>
          <w:bCs/>
          <w:color w:val="auto"/>
          <w:szCs w:val="28"/>
          <w:highlight w:val="none"/>
        </w:rPr>
      </w:pPr>
      <w:r>
        <w:rPr>
          <w:rFonts w:hint="eastAsia" w:ascii="仿宋_GB2312" w:hAnsi="仿宋_GB2312" w:eastAsia="仿宋_GB2312" w:cs="仿宋_GB2312"/>
          <w:bCs/>
          <w:color w:val="auto"/>
          <w:szCs w:val="28"/>
          <w:highlight w:val="none"/>
        </w:rPr>
        <w:t>（四）乙方不得为甲方单位和个人购置或提供通讯工具和高档办公用品等物品，也不得为甲方提供与工作无关的房屋、汽车等。</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（五）乙方不得擅自与甲方工作人员就主合同中的质量、数量、价格、工程量、验收等条款进行私下商谈或者达成默契。</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（六）乙方不得以回扣、手续费、加班费、咨询费、劳务费、协调费、辛苦费等各种名义向甲方工作人员给予或赠送钱物。</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（七）乙方不得向甲方工作人员提供干股或红利。</w:t>
      </w:r>
    </w:p>
    <w:p>
      <w:pPr>
        <w:spacing w:line="520" w:lineRule="exact"/>
        <w:ind w:left="15" w:leftChars="7"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(八）不得存在其他违反廉洁规定的行为。</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第四条违约责任</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甲方举报投诉联系部门：广州市净水有限公司</w:t>
      </w:r>
      <w:r>
        <w:rPr>
          <w:rFonts w:hint="eastAsia" w:ascii="仿宋_GB2312" w:hAnsi="仿宋_GB2312" w:eastAsia="仿宋_GB2312" w:cs="仿宋_GB2312"/>
          <w:bCs/>
          <w:color w:val="auto"/>
          <w:sz w:val="28"/>
          <w:szCs w:val="28"/>
          <w:highlight w:val="none"/>
          <w:u w:val="single"/>
        </w:rPr>
        <w:t>纪检室</w:t>
      </w:r>
      <w:r>
        <w:rPr>
          <w:rFonts w:hint="eastAsia" w:ascii="仿宋_GB2312" w:hAnsi="仿宋_GB2312" w:eastAsia="仿宋_GB2312" w:cs="仿宋_GB2312"/>
          <w:bCs/>
          <w:color w:val="auto"/>
          <w:sz w:val="28"/>
          <w:szCs w:val="28"/>
          <w:highlight w:val="none"/>
        </w:rPr>
        <w:t>，联系电话：</w:t>
      </w:r>
      <w:r>
        <w:rPr>
          <w:rFonts w:hint="eastAsia" w:ascii="仿宋_GB2312" w:hAnsi="仿宋_GB2312" w:eastAsia="仿宋_GB2312" w:cs="仿宋_GB2312"/>
          <w:bCs/>
          <w:color w:val="auto"/>
          <w:sz w:val="28"/>
          <w:szCs w:val="28"/>
          <w:highlight w:val="none"/>
          <w:u w:val="single"/>
        </w:rPr>
        <w:t xml:space="preserve"> 020-38890265 </w:t>
      </w:r>
      <w:r>
        <w:rPr>
          <w:rFonts w:hint="eastAsia" w:ascii="仿宋_GB2312" w:hAnsi="仿宋_GB2312" w:eastAsia="仿宋_GB2312" w:cs="仿宋_GB2312"/>
          <w:bCs/>
          <w:color w:val="auto"/>
          <w:sz w:val="28"/>
          <w:szCs w:val="28"/>
          <w:highlight w:val="none"/>
        </w:rPr>
        <w:t>。</w:t>
      </w:r>
    </w:p>
    <w:p>
      <w:pPr>
        <w:pStyle w:val="30"/>
        <w:spacing w:beforeAutospacing="0" w:line="52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pStyle w:val="30"/>
        <w:spacing w:beforeAutospacing="0" w:line="52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1、扣除主合同的全部履约保证金；</w:t>
      </w:r>
    </w:p>
    <w:p>
      <w:pPr>
        <w:pStyle w:val="30"/>
        <w:spacing w:beforeAutospacing="0" w:line="52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2、解除主合同；</w:t>
      </w:r>
    </w:p>
    <w:p>
      <w:pPr>
        <w:pStyle w:val="30"/>
        <w:spacing w:beforeAutospacing="0" w:line="52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3、追究乙方其他违约责任；</w:t>
      </w:r>
    </w:p>
    <w:p>
      <w:pPr>
        <w:pStyle w:val="30"/>
        <w:spacing w:beforeAutospacing="0" w:line="52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4、根据甲方的有关规章制度，在一定时间内暂停乙方参与甲方及下属单位所有项目的交易资格；</w:t>
      </w:r>
    </w:p>
    <w:p>
      <w:pPr>
        <w:pStyle w:val="30"/>
        <w:spacing w:beforeAutospacing="0" w:line="52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5、根据甲方的有关规章制度，将乙方清退出甲方相关企业库；</w:t>
      </w:r>
    </w:p>
    <w:p>
      <w:pPr>
        <w:pStyle w:val="30"/>
        <w:spacing w:beforeAutospacing="0" w:line="52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6、根据甲方上级单位、行政主管部门的意见、决定执行；</w:t>
      </w:r>
    </w:p>
    <w:p>
      <w:pPr>
        <w:pStyle w:val="30"/>
        <w:spacing w:beforeAutospacing="0" w:line="52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7、按规定向有关行政监督部门、乙方业务管理部门进行投诉、报告。</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乙方无条件接受甲方的处理决定并承担给甲方造成的损失，全额返还通过不正当手段获取的非法所得，并承担相应的法律责任。</w:t>
      </w:r>
    </w:p>
    <w:p>
      <w:pPr>
        <w:spacing w:after="0" w:line="520" w:lineRule="exact"/>
        <w:ind w:firstLine="560" w:firstLineChars="200"/>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sz w:val="28"/>
          <w:szCs w:val="28"/>
          <w:highlight w:val="none"/>
        </w:rPr>
        <w:t xml:space="preserve">第五条 </w:t>
      </w:r>
      <w:r>
        <w:rPr>
          <w:rFonts w:hint="eastAsia" w:ascii="仿宋_GB2312" w:hAnsi="仿宋_GB2312" w:eastAsia="仿宋_GB2312" w:cs="仿宋_GB2312"/>
          <w:bCs/>
          <w:color w:val="auto"/>
          <w:kern w:val="0"/>
          <w:sz w:val="28"/>
          <w:szCs w:val="28"/>
          <w:highlight w:val="none"/>
        </w:rPr>
        <w:t xml:space="preserve">本协议执行情况，接受有管辖权的纪检、监察部门的监督，双方应予以配合检查调查。 </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第六条本协议作为</w:t>
      </w:r>
      <w:r>
        <w:rPr>
          <w:rFonts w:hint="eastAsia" w:ascii="仿宋_GB2312" w:hAnsi="仿宋_GB2312" w:eastAsia="仿宋_GB2312" w:cs="仿宋_GB2312"/>
          <w:bCs/>
          <w:color w:val="auto"/>
          <w:sz w:val="28"/>
          <w:szCs w:val="28"/>
          <w:highlight w:val="none"/>
          <w:u w:val="single"/>
        </w:rPr>
        <w:t>（合同名称）+（合同编号）</w:t>
      </w:r>
      <w:r>
        <w:rPr>
          <w:rFonts w:hint="eastAsia" w:ascii="仿宋_GB2312" w:hAnsi="仿宋_GB2312" w:eastAsia="仿宋_GB2312" w:cs="仿宋_GB2312"/>
          <w:bCs/>
          <w:color w:val="auto"/>
          <w:sz w:val="28"/>
          <w:szCs w:val="28"/>
          <w:highlight w:val="none"/>
        </w:rPr>
        <w:t>合同的附件，并具有同等的法律效力，本协议自双方签字盖章之日起生效，与主合同同时终止。</w:t>
      </w:r>
    </w:p>
    <w:p>
      <w:pPr>
        <w:spacing w:line="5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第七条本协议一式</w:t>
      </w:r>
      <w:r>
        <w:rPr>
          <w:rFonts w:hint="eastAsia" w:ascii="仿宋_GB2312" w:hAnsi="仿宋_GB2312" w:eastAsia="仿宋_GB2312" w:cs="仿宋_GB2312"/>
          <w:bCs/>
          <w:color w:val="auto"/>
          <w:sz w:val="28"/>
          <w:szCs w:val="28"/>
          <w:highlight w:val="none"/>
          <w:u w:val="single"/>
        </w:rPr>
        <w:t>陆</w:t>
      </w:r>
      <w:r>
        <w:rPr>
          <w:rFonts w:hint="eastAsia" w:ascii="仿宋_GB2312" w:hAnsi="仿宋_GB2312" w:eastAsia="仿宋_GB2312" w:cs="仿宋_GB2312"/>
          <w:bCs/>
          <w:color w:val="auto"/>
          <w:sz w:val="28"/>
          <w:szCs w:val="28"/>
          <w:highlight w:val="none"/>
        </w:rPr>
        <w:t>份，甲方</w:t>
      </w:r>
      <w:r>
        <w:rPr>
          <w:rFonts w:hint="eastAsia" w:ascii="仿宋_GB2312" w:hAnsi="仿宋_GB2312" w:eastAsia="仿宋_GB2312" w:cs="仿宋_GB2312"/>
          <w:bCs/>
          <w:color w:val="auto"/>
          <w:sz w:val="28"/>
          <w:szCs w:val="28"/>
          <w:highlight w:val="none"/>
          <w:u w:val="single"/>
        </w:rPr>
        <w:t>肆</w:t>
      </w:r>
      <w:r>
        <w:rPr>
          <w:rFonts w:hint="eastAsia" w:ascii="仿宋_GB2312" w:hAnsi="仿宋_GB2312" w:eastAsia="仿宋_GB2312" w:cs="仿宋_GB2312"/>
          <w:bCs/>
          <w:color w:val="auto"/>
          <w:sz w:val="28"/>
          <w:szCs w:val="28"/>
          <w:highlight w:val="none"/>
        </w:rPr>
        <w:t>份，乙方</w:t>
      </w:r>
      <w:r>
        <w:rPr>
          <w:rFonts w:hint="eastAsia" w:ascii="仿宋_GB2312" w:hAnsi="仿宋_GB2312" w:eastAsia="仿宋_GB2312" w:cs="仿宋_GB2312"/>
          <w:bCs/>
          <w:color w:val="auto"/>
          <w:sz w:val="28"/>
          <w:szCs w:val="28"/>
          <w:highlight w:val="none"/>
          <w:u w:val="single"/>
        </w:rPr>
        <w:t>贰</w:t>
      </w:r>
      <w:r>
        <w:rPr>
          <w:rFonts w:hint="eastAsia" w:ascii="仿宋_GB2312" w:hAnsi="仿宋_GB2312" w:eastAsia="仿宋_GB2312" w:cs="仿宋_GB2312"/>
          <w:bCs/>
          <w:color w:val="auto"/>
          <w:sz w:val="28"/>
          <w:szCs w:val="28"/>
          <w:highlight w:val="none"/>
        </w:rPr>
        <w:t>份。</w:t>
      </w:r>
    </w:p>
    <w:p>
      <w:pPr>
        <w:spacing w:line="52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br w:type="textWrapping"/>
      </w:r>
      <w:r>
        <w:rPr>
          <w:rFonts w:hint="eastAsia" w:ascii="仿宋_GB2312" w:hAnsi="仿宋_GB2312" w:eastAsia="仿宋_GB2312" w:cs="仿宋_GB2312"/>
          <w:bCs/>
          <w:color w:val="auto"/>
          <w:sz w:val="28"/>
          <w:szCs w:val="28"/>
          <w:highlight w:val="none"/>
        </w:rPr>
        <w:t>甲方（盖章）：                     乙方（盖章）：</w:t>
      </w:r>
    </w:p>
    <w:p>
      <w:pPr>
        <w:pStyle w:val="53"/>
        <w:tabs>
          <w:tab w:val="left" w:pos="5100"/>
        </w:tabs>
        <w:spacing w:line="520" w:lineRule="exact"/>
        <w:ind w:left="7200" w:firstLine="0" w:firstLineChars="0"/>
        <w:jc w:val="left"/>
        <w:rPr>
          <w:rFonts w:hint="eastAsia" w:ascii="仿宋_GB2312" w:hAnsi="仿宋_GB2312" w:eastAsia="仿宋_GB2312" w:cs="仿宋_GB2312"/>
          <w:bCs/>
          <w:color w:val="auto"/>
          <w:sz w:val="28"/>
          <w:szCs w:val="28"/>
          <w:highlight w:val="none"/>
        </w:rPr>
      </w:pPr>
    </w:p>
    <w:p>
      <w:pPr>
        <w:tabs>
          <w:tab w:val="left" w:pos="5100"/>
        </w:tabs>
        <w:spacing w:line="520" w:lineRule="exact"/>
        <w:ind w:left="8400" w:hanging="8400" w:hangingChars="30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签约代表：                         签约代表：</w:t>
      </w:r>
    </w:p>
    <w:p>
      <w:pPr>
        <w:tabs>
          <w:tab w:val="left" w:pos="4170"/>
        </w:tabs>
        <w:spacing w:line="520" w:lineRule="exact"/>
        <w:rPr>
          <w:rFonts w:eastAsia="宋体" w:cs="宋体"/>
          <w:b/>
          <w:color w:val="auto"/>
          <w:highlight w:val="none"/>
        </w:rPr>
      </w:pPr>
      <w:r>
        <w:rPr>
          <w:rFonts w:hint="eastAsia" w:ascii="仿宋_GB2312" w:hAnsi="仿宋_GB2312" w:eastAsia="仿宋_GB2312" w:cs="仿宋_GB2312"/>
          <w:bCs/>
          <w:color w:val="auto"/>
          <w:sz w:val="28"/>
          <w:szCs w:val="28"/>
          <w:highlight w:val="none"/>
        </w:rPr>
        <w:t>日期:    年  月  日</w:t>
      </w:r>
      <w:r>
        <w:rPr>
          <w:rFonts w:hint="eastAsia" w:ascii="仿宋_GB2312" w:hAnsi="仿宋_GB2312" w:eastAsia="仿宋_GB2312" w:cs="仿宋_GB2312"/>
          <w:bCs/>
          <w:color w:val="auto"/>
          <w:sz w:val="28"/>
          <w:szCs w:val="28"/>
          <w:highlight w:val="none"/>
        </w:rPr>
        <w:tab/>
      </w:r>
      <w:r>
        <w:rPr>
          <w:rFonts w:hint="eastAsia" w:ascii="仿宋_GB2312" w:hAnsi="仿宋_GB2312" w:eastAsia="仿宋_GB2312" w:cs="仿宋_GB2312"/>
          <w:bCs/>
          <w:color w:val="auto"/>
          <w:sz w:val="28"/>
          <w:szCs w:val="28"/>
          <w:highlight w:val="none"/>
        </w:rPr>
        <w:t>日期：  年  月  日</w:t>
      </w: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 xml:space="preserve">附件4：                                                     </w:t>
      </w:r>
    </w:p>
    <w:p>
      <w:pPr>
        <w:spacing w:line="440" w:lineRule="exact"/>
        <w:jc w:val="center"/>
        <w:rPr>
          <w:rFonts w:hint="eastAsia" w:ascii="方正小标宋简体" w:hAnsi="方正小标宋简体" w:eastAsia="方正小标宋简体" w:cs="方正小标宋简体"/>
          <w:color w:val="auto"/>
          <w:highlight w:val="none"/>
        </w:rPr>
      </w:pPr>
      <w:r>
        <w:rPr>
          <w:rFonts w:hint="eastAsia" w:ascii="方正小标宋简体" w:hAnsi="方正小标宋简体" w:eastAsia="方正小标宋简体" w:cs="方正小标宋简体"/>
          <w:color w:val="auto"/>
          <w:highlight w:val="none"/>
        </w:rPr>
        <w:t>营运场所施工安全及消防安全协议书</w:t>
      </w:r>
    </w:p>
    <w:p>
      <w:pPr>
        <w:spacing w:line="440" w:lineRule="exact"/>
        <w:rPr>
          <w:rFonts w:hint="eastAsia" w:ascii="仿宋_GB2312" w:hAnsi="仿宋_GB2312" w:eastAsia="仿宋_GB2312" w:cs="仿宋_GB2312"/>
          <w:color w:val="auto"/>
          <w:kern w:val="0"/>
          <w:sz w:val="24"/>
          <w:highlight w:val="none"/>
        </w:rPr>
      </w:pPr>
    </w:p>
    <w:p>
      <w:pPr>
        <w:spacing w:line="44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甲方：</w:t>
      </w:r>
      <w:r>
        <w:rPr>
          <w:rFonts w:hint="eastAsia" w:ascii="仿宋_GB2312" w:hAnsi="仿宋_GB2312" w:eastAsia="仿宋_GB2312" w:cs="仿宋_GB2312"/>
          <w:color w:val="auto"/>
          <w:sz w:val="24"/>
          <w:szCs w:val="24"/>
          <w:highlight w:val="none"/>
        </w:rPr>
        <w:t>广州市净水有限公司</w:t>
      </w:r>
    </w:p>
    <w:p>
      <w:pPr>
        <w:spacing w:line="44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乙方： </w:t>
      </w:r>
    </w:p>
    <w:p>
      <w:pPr>
        <w:spacing w:line="440" w:lineRule="exact"/>
        <w:rPr>
          <w:rFonts w:hint="eastAsia" w:ascii="仿宋_GB2312" w:hAnsi="仿宋_GB2312" w:eastAsia="仿宋_GB2312" w:cs="仿宋_GB2312"/>
          <w:color w:val="auto"/>
          <w:kern w:val="0"/>
          <w:sz w:val="24"/>
          <w:szCs w:val="24"/>
          <w:highlight w:val="none"/>
        </w:rPr>
      </w:pPr>
    </w:p>
    <w:p>
      <w:pPr>
        <w:spacing w:line="44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根据《中华人民共和国安全生产法》、《中华人民共和国消防法》、《生产安全事故报告和调查处理条例》、《建设工程安全生产管理条例》等国家及地方有关安全生产、消防安全法律法规，甲乙双方就安全及消防安全事宜，</w:t>
      </w:r>
      <w:r>
        <w:rPr>
          <w:rFonts w:hint="eastAsia" w:ascii="仿宋_GB2312" w:hAnsi="仿宋_GB2312" w:eastAsia="仿宋_GB2312" w:cs="仿宋_GB2312"/>
          <w:color w:val="auto"/>
          <w:sz w:val="24"/>
          <w:szCs w:val="24"/>
          <w:highlight w:val="none"/>
        </w:rPr>
        <w:t>经双方友好协商，达成如下协议</w:t>
      </w:r>
      <w:r>
        <w:rPr>
          <w:rFonts w:hint="eastAsia" w:ascii="仿宋_GB2312" w:hAnsi="仿宋_GB2312" w:eastAsia="仿宋_GB2312" w:cs="仿宋_GB2312"/>
          <w:color w:val="auto"/>
          <w:kern w:val="0"/>
          <w:sz w:val="24"/>
          <w:szCs w:val="24"/>
          <w:highlight w:val="none"/>
        </w:rPr>
        <w:t>。</w:t>
      </w:r>
    </w:p>
    <w:p>
      <w:pPr>
        <w:adjustRightInd w:val="0"/>
        <w:snapToGrid w:val="0"/>
        <w:spacing w:line="440" w:lineRule="exact"/>
        <w:ind w:firstLine="480" w:firstLineChars="200"/>
        <w:jc w:val="left"/>
        <w:rPr>
          <w:rFonts w:hint="eastAsia" w:ascii="黑体" w:hAnsi="黑体" w:eastAsia="黑体" w:cs="黑体"/>
          <w:bCs/>
          <w:color w:val="auto"/>
          <w:sz w:val="24"/>
          <w:szCs w:val="24"/>
          <w:highlight w:val="none"/>
        </w:rPr>
      </w:pPr>
      <w:r>
        <w:rPr>
          <w:rFonts w:hint="eastAsia" w:ascii="黑体" w:hAnsi="黑体" w:eastAsia="黑体" w:cs="黑体"/>
          <w:color w:val="auto"/>
          <w:sz w:val="24"/>
          <w:szCs w:val="24"/>
          <w:highlight w:val="none"/>
        </w:rPr>
        <w:t>一、总则</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（一）本协议是合同</w:t>
      </w:r>
      <w:r>
        <w:rPr>
          <w:rFonts w:hint="eastAsia" w:ascii="仿宋_GB2312" w:hAnsi="仿宋_GB2312" w:eastAsia="仿宋_GB2312" w:cs="仿宋_GB2312"/>
          <w:color w:val="auto"/>
          <w:sz w:val="24"/>
          <w:szCs w:val="24"/>
          <w:highlight w:val="none"/>
          <w:u w:val="single"/>
        </w:rPr>
        <w:t xml:space="preserve">                      （穗净水合〔     〕    号） </w:t>
      </w:r>
      <w:r>
        <w:rPr>
          <w:rFonts w:hint="eastAsia" w:ascii="仿宋_GB2312" w:hAnsi="仿宋_GB2312" w:eastAsia="仿宋_GB2312" w:cs="仿宋_GB2312"/>
          <w:color w:val="auto"/>
          <w:sz w:val="24"/>
          <w:szCs w:val="24"/>
          <w:highlight w:val="none"/>
        </w:rPr>
        <w:t>的组成部分。</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（二）甲、乙双方应遵守国家、省、市有关安全生产、消防安全的法律、法规、规章，履行安全生产、消防安全职责，保障人员生命、财产安全。</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（三）甲、乙双方应当逐级落实安全生产、消防安全责任制，明确逐级岗位人员的安全生产、消防安全职责。</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（四）本协议是对在满足法律法规规定的双方安全及消防安全责任的基础上的补充事项。</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（五）当同一个场所、池体内，甲方安排两个或以上的承包单位同时施工的，由甲方组织各承包单位签订《营运场所交叉作业安全及消防安全协议书》。</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（六）乙方的单位及人员资质（</w:t>
      </w:r>
      <w:r>
        <w:rPr>
          <w:rFonts w:hint="eastAsia" w:ascii="仿宋_GB2312" w:hAnsi="仿宋_GB2312" w:eastAsia="仿宋_GB2312" w:cs="仿宋_GB2312"/>
          <w:b/>
          <w:color w:val="auto"/>
          <w:kern w:val="0"/>
          <w:sz w:val="24"/>
          <w:szCs w:val="24"/>
          <w:highlight w:val="none"/>
        </w:rPr>
        <w:t>单项选择并填写</w:t>
      </w:r>
      <w:r>
        <w:rPr>
          <w:rFonts w:hint="eastAsia" w:ascii="仿宋_GB2312" w:hAnsi="仿宋_GB2312" w:eastAsia="仿宋_GB2312" w:cs="仿宋_GB2312"/>
          <w:color w:val="auto"/>
          <w:kern w:val="0"/>
          <w:sz w:val="24"/>
          <w:szCs w:val="24"/>
          <w:highlight w:val="none"/>
        </w:rPr>
        <w:t>）</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A3"/>
      </w:r>
      <w:r>
        <w:rPr>
          <w:rFonts w:hint="eastAsia" w:ascii="仿宋_GB2312" w:hAnsi="仿宋_GB2312" w:eastAsia="仿宋_GB2312" w:cs="仿宋_GB2312"/>
          <w:color w:val="auto"/>
          <w:kern w:val="0"/>
          <w:sz w:val="24"/>
          <w:szCs w:val="24"/>
          <w:highlight w:val="none"/>
        </w:rPr>
        <w:t>1.详见合同第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条。</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A3"/>
      </w:r>
      <w:r>
        <w:rPr>
          <w:rFonts w:hint="eastAsia" w:ascii="仿宋_GB2312" w:hAnsi="仿宋_GB2312" w:eastAsia="仿宋_GB2312" w:cs="仿宋_GB2312"/>
          <w:color w:val="auto"/>
          <w:kern w:val="0"/>
          <w:sz w:val="24"/>
          <w:szCs w:val="24"/>
          <w:highlight w:val="none"/>
        </w:rPr>
        <w:t>2.详见文件《</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adjustRightInd w:val="0"/>
        <w:snapToGrid w:val="0"/>
        <w:spacing w:line="440" w:lineRule="exact"/>
        <w:ind w:firstLine="480" w:firstLineChars="200"/>
        <w:jc w:val="left"/>
        <w:rPr>
          <w:rFonts w:hint="eastAsia" w:ascii="黑体" w:hAnsi="黑体" w:eastAsia="黑体" w:cs="黑体"/>
          <w:bCs/>
          <w:color w:val="auto"/>
          <w:sz w:val="24"/>
          <w:szCs w:val="24"/>
          <w:highlight w:val="none"/>
        </w:rPr>
      </w:pPr>
      <w:r>
        <w:rPr>
          <w:rFonts w:hint="eastAsia" w:ascii="黑体" w:hAnsi="黑体" w:eastAsia="黑体" w:cs="黑体"/>
          <w:color w:val="auto"/>
          <w:sz w:val="24"/>
          <w:szCs w:val="24"/>
          <w:highlight w:val="none"/>
        </w:rPr>
        <w:t>二、甲方的安全及消防安全责任</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（一）交底告知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目实施前，应告知乙方地面、周边、地下已知存在的设施，特别是涉及影响生产、应急的各类地下管线及保护要求，要求乙方在施工方案明确落实相应的具体措施；甲方规定的安全生产及消防安全管理要求，允许进出及行走的路线、禁止触动甲方设备设施等；项目备案的要求。</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2.乙方进场作业前，应对乙方进行交底，再次向乙方强调的上述内容，以及施工期间的其他特殊注意事项，如生产方面的调度协调配合等。</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3.当乙方提出相关规范或乙方内部管理制度，比甲方规定的安全生产及消防安全管理要求更严格的，应当接纳乙方的建议。</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（二）落实配合措施</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1.落实生产营运等相关配合措施，提供必要的施工条件。</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（三）安全及消防安全隐患检查与督促整改</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1.在项目施工期，应每天不少于一次对乙方安全措施、消防安全措施投入、现场安全施工情况等进行安全、消防安全监督检查，并提出整改。</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（四）重大安全风险、生产安全重大事故隐患（重大火灾隐患）等情况报告及举报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1.对乙方上报的重大安全风险、生产安全重大事故隐患（重大火灾隐患），应当如实向水投集团报告。</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2.如发现乙方瞒报重大安全风险、生产安全重大事故隐患（重大火灾隐患），甲方除向水投集团报告外，有权向属地安全应急管理部门、属地行业主管部门举报。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3.甲方发现乙方在项目范围内（含工地范围内的住宿、办公等区域）开展违法、犯罪活动，向公安部门举报。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（五）事故报告及举报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1.对乙方上报的安全事故及消防安全事故，应当按水投集团有关程序，如实向集团报告。</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2.如发现乙方瞒报安全事故及消防安全事故，甲方除向水投集团报告外，有权向属地安全应急管理部门、属地行业主管部门举报。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（六）补充条款</w:t>
      </w:r>
      <w:r>
        <w:rPr>
          <w:rFonts w:hint="eastAsia" w:ascii="仿宋_GB2312" w:hAnsi="仿宋_GB2312" w:eastAsia="仿宋_GB2312" w:cs="仿宋_GB2312"/>
          <w:color w:val="auto"/>
          <w:sz w:val="24"/>
          <w:szCs w:val="24"/>
          <w:highlight w:val="none"/>
          <w:u w:val="single"/>
        </w:rPr>
        <w:t xml:space="preserve">               。</w:t>
      </w:r>
    </w:p>
    <w:p>
      <w:pPr>
        <w:adjustRightInd w:val="0"/>
        <w:snapToGrid w:val="0"/>
        <w:spacing w:line="440" w:lineRule="exact"/>
        <w:ind w:firstLine="480" w:firstLineChars="200"/>
        <w:jc w:val="left"/>
        <w:rPr>
          <w:rFonts w:hint="eastAsia" w:ascii="黑体" w:hAnsi="黑体" w:eastAsia="黑体" w:cs="黑体"/>
          <w:bCs/>
          <w:color w:val="auto"/>
          <w:sz w:val="24"/>
          <w:szCs w:val="24"/>
          <w:highlight w:val="none"/>
        </w:rPr>
      </w:pPr>
      <w:r>
        <w:rPr>
          <w:rFonts w:hint="eastAsia" w:ascii="黑体" w:hAnsi="黑体" w:eastAsia="黑体" w:cs="黑体"/>
          <w:color w:val="auto"/>
          <w:sz w:val="24"/>
          <w:szCs w:val="24"/>
          <w:highlight w:val="none"/>
        </w:rPr>
        <w:t>三、乙方的安全及消防安全责任</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（一）接受交底告知并复核确认安全风险，落实管控措施</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1.乙方接受甲方交底。</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2.编制的方案应响应甲方告知，明确相应的措施。</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3.根据甲方项目备案的要求，提交项目备案材料</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4.当甲方规定的安全生产及消防安全管理要求，比相关规范或乙方内部管理制度严格的，按甲方的执行。</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5.当相关规范或乙方内部管理制度，比甲方规定的安全生产及消防安全管理要求严格的，应明确告知甲方确认，并按相关规范或乙方内部管理制度执行。</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（二）告知甲方需要配合的事项</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1.向甲方告知在施工作业期间，需要甲方配合落实的措施</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（三）落实安全及消防安全隐患排查与整改，并接受检查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乙方应做好的每日安全生产、消防安全巡查及开展人员安全生产、消防安全教育，确保场所、场地、区域、施工、仓储、住宿、办公等，符合国家、行业安全生产、消防安全相关要求，无对甲方、乙方以及周边第三方生产安全、消防安全、人身安全等构成威胁，无开展违法、犯罪活动，无存放易燃易爆危险化学品，无乙方人员擅自进入借用地块范围以外的甲方场所，有按方案落实各项措施以及及时发现并整改安全隐患、消防安全隐患，杜绝安全事故、消防安全事故。</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2.接受甲方“四不两直”的不定期检查。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（三）重大安全风险、生产安全重大事故隐患（重大火灾隐患）报告</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1.乙方识别存在重大安全风险的，应研究并落实管控措施，降低风险等级，并向甲方、属地安全应急管理部门、属地行业主管部门上报。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2.乙方自查或被外单位检查发现生产安全重大事故隐患（重大火灾隐患）的，应当立即向甲方、属地安全应急管理部门、属地行业主管部门上报。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3.如甲方未收到乙方关于重大安全风险、生产安全重大事故隐患（重大火灾隐患）的报告，但由其他途径获知信息的，视为瞒报。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4.不得谎报信息。</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（四）事故报告</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1.项目发生安全事故及消防安全事故的，乙方应当在预案规定时间内立即向甲方上报。否则视为迟报。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2.如甲方未收到乙方关于安全事故及消防安全事故的报告，但由其他途径获知信息的，视为瞒报。</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3.不得谎报信息。</w:t>
      </w:r>
    </w:p>
    <w:p>
      <w:pPr>
        <w:widowControl/>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（五）补充条款</w:t>
      </w:r>
      <w:r>
        <w:rPr>
          <w:rFonts w:hint="eastAsia" w:ascii="仿宋_GB2312" w:hAnsi="仿宋_GB2312" w:eastAsia="仿宋_GB2312" w:cs="仿宋_GB2312"/>
          <w:color w:val="auto"/>
          <w:sz w:val="24"/>
          <w:szCs w:val="24"/>
          <w:highlight w:val="none"/>
          <w:u w:val="single"/>
        </w:rPr>
        <w:t xml:space="preserve">               。</w:t>
      </w:r>
    </w:p>
    <w:p>
      <w:pPr>
        <w:adjustRightInd w:val="0"/>
        <w:snapToGrid w:val="0"/>
        <w:spacing w:line="440" w:lineRule="exact"/>
        <w:ind w:firstLine="480" w:firstLineChars="200"/>
        <w:jc w:val="left"/>
        <w:rPr>
          <w:rFonts w:hint="eastAsia" w:ascii="黑体" w:hAnsi="黑体" w:eastAsia="黑体" w:cs="黑体"/>
          <w:bCs/>
          <w:color w:val="auto"/>
          <w:sz w:val="24"/>
          <w:szCs w:val="24"/>
          <w:highlight w:val="none"/>
        </w:rPr>
      </w:pPr>
      <w:r>
        <w:rPr>
          <w:rFonts w:hint="eastAsia" w:ascii="黑体" w:hAnsi="黑体" w:eastAsia="黑体" w:cs="黑体"/>
          <w:color w:val="auto"/>
          <w:sz w:val="24"/>
          <w:szCs w:val="24"/>
          <w:highlight w:val="none"/>
        </w:rPr>
        <w:t>四、违约责任</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（一）未发生安全事故或消防安全事故的违约责任</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1.乙方未履行安全及消防安全责任的，甲方有权按合同相关条款处理。</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2.因甲方未履行安全及消防安全责任，乙方有权按合同相关条款处理。</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（二）发生安全事故或消防安全事故的违约责任</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widowControl/>
        <w:spacing w:line="44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2.如甲方未能提供甲方履职证明的，根据责任调查报告（意见）承担责任。</w:t>
      </w:r>
    </w:p>
    <w:p>
      <w:pPr>
        <w:adjustRightInd w:val="0"/>
        <w:snapToGrid w:val="0"/>
        <w:spacing w:line="440" w:lineRule="exact"/>
        <w:ind w:firstLine="480" w:firstLineChars="200"/>
        <w:jc w:val="left"/>
        <w:rPr>
          <w:rFonts w:hint="eastAsia" w:ascii="黑体" w:hAnsi="黑体" w:eastAsia="黑体" w:cs="黑体"/>
          <w:bCs/>
          <w:color w:val="auto"/>
          <w:sz w:val="24"/>
          <w:szCs w:val="24"/>
          <w:highlight w:val="none"/>
        </w:rPr>
      </w:pPr>
      <w:r>
        <w:rPr>
          <w:rFonts w:hint="eastAsia" w:ascii="黑体" w:hAnsi="黑体" w:eastAsia="黑体" w:cs="黑体"/>
          <w:color w:val="auto"/>
          <w:sz w:val="24"/>
          <w:szCs w:val="24"/>
          <w:highlight w:val="none"/>
        </w:rPr>
        <w:t>五、附则</w:t>
      </w:r>
    </w:p>
    <w:p>
      <w:pPr>
        <w:adjustRightInd w:val="0"/>
        <w:snapToGrid w:val="0"/>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（一）本协议未尽事宜，依据有关法律、法规、规章处理。法律、法规、规章没有明确规定的，经双方协商处理解决。</w:t>
      </w:r>
    </w:p>
    <w:p>
      <w:pPr>
        <w:adjustRightInd w:val="0"/>
        <w:snapToGrid w:val="0"/>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（二）在合同（协议）执行期间，因国家、地方、以及广州市净水有限公司印发有关文件，加强安全管理要求的，乙方应按最新要求无条件执行。如不执行，甲方有权根据合同或有关文件进行处理。</w:t>
      </w:r>
    </w:p>
    <w:p>
      <w:pPr>
        <w:adjustRightInd w:val="0"/>
        <w:snapToGrid w:val="0"/>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（三）本协议作为合同的附件同时签字、同事盖章、同时生效、同时终止，具有同等的法律效力。甲方、乙方双方执持数量与合同一致。</w:t>
      </w:r>
    </w:p>
    <w:p>
      <w:pPr>
        <w:rPr>
          <w:rFonts w:hint="eastAsia" w:ascii="仿宋_GB2312" w:hAnsi="仿宋_GB2312" w:eastAsia="仿宋_GB2312" w:cs="仿宋_GB2312"/>
          <w:color w:val="auto"/>
          <w:sz w:val="24"/>
          <w:szCs w:val="24"/>
          <w:highlight w:val="none"/>
        </w:rPr>
      </w:pP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甲方（盖章）：</w:t>
            </w:r>
          </w:p>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签约代表：</w:t>
            </w:r>
          </w:p>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联系电话：</w:t>
            </w:r>
          </w:p>
          <w:p>
            <w:pPr>
              <w:adjustRightInd w:val="0"/>
              <w:snapToGrid w:val="0"/>
              <w:spacing w:line="560" w:lineRule="exact"/>
              <w:ind w:firstLine="240" w:firstLineChars="100"/>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年    月    日</w:t>
            </w:r>
          </w:p>
        </w:tc>
        <w:tc>
          <w:tcPr>
            <w:tcW w:w="4474" w:type="dxa"/>
          </w:tcPr>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乙方（盖章）：</w:t>
            </w:r>
          </w:p>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签约代表：</w:t>
            </w:r>
          </w:p>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联系电话：</w:t>
            </w:r>
          </w:p>
          <w:p>
            <w:pPr>
              <w:adjustRightInd w:val="0"/>
              <w:snapToGrid w:val="0"/>
              <w:spacing w:line="560" w:lineRule="exact"/>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年    月    日</w:t>
            </w:r>
          </w:p>
        </w:tc>
      </w:tr>
    </w:tbl>
    <w:p>
      <w:pPr>
        <w:rPr>
          <w:color w:val="auto"/>
          <w:highlight w:val="none"/>
        </w:rPr>
      </w:pPr>
    </w:p>
    <w:p>
      <w:pPr>
        <w:widowControl/>
        <w:spacing w:line="500" w:lineRule="exact"/>
        <w:jc w:val="left"/>
        <w:rPr>
          <w:rFonts w:hint="eastAsia" w:ascii="宋体" w:hAnsi="宋体" w:cs="宋体"/>
          <w:b/>
          <w:bCs/>
          <w:color w:val="auto"/>
          <w:szCs w:val="21"/>
          <w:highlight w:val="none"/>
        </w:rPr>
      </w:pPr>
      <w:r>
        <w:rPr>
          <w:rFonts w:hint="eastAsia" w:ascii="宋体" w:hAnsi="宋体" w:eastAsia="宋体" w:cs="宋体"/>
          <w:b/>
          <w:color w:val="auto"/>
          <w:sz w:val="24"/>
          <w:szCs w:val="24"/>
          <w:highlight w:val="none"/>
        </w:rPr>
        <w:br w:type="page"/>
      </w:r>
      <w:r>
        <w:rPr>
          <w:rFonts w:hint="eastAsia" w:ascii="宋体" w:hAnsi="宋体" w:cs="宋体"/>
          <w:b/>
          <w:bCs/>
          <w:color w:val="auto"/>
          <w:szCs w:val="21"/>
          <w:highlight w:val="none"/>
        </w:rPr>
        <w:t>附件5：</w:t>
      </w:r>
    </w:p>
    <w:p>
      <w:pPr>
        <w:adjustRightInd w:val="0"/>
        <w:snapToGrid w:val="0"/>
        <w:spacing w:line="500" w:lineRule="exact"/>
        <w:rPr>
          <w:rFonts w:hint="eastAsia" w:ascii="宋体" w:hAnsi="宋体" w:eastAsia="宋体" w:cs="宋体"/>
          <w:color w:val="auto"/>
          <w:sz w:val="24"/>
          <w:highlight w:val="none"/>
        </w:rPr>
      </w:pPr>
    </w:p>
    <w:p>
      <w:pPr>
        <w:spacing w:line="50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安全生产承诺书</w:t>
      </w:r>
    </w:p>
    <w:p>
      <w:pPr>
        <w:spacing w:line="500" w:lineRule="exact"/>
        <w:rPr>
          <w:rFonts w:hint="eastAsia" w:ascii="宋体" w:hAnsi="宋体" w:eastAsia="宋体" w:cs="宋体"/>
          <w:color w:val="auto"/>
          <w:sz w:val="24"/>
          <w:highlight w:val="none"/>
        </w:rPr>
      </w:pP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致：广州市净水有限公司</w:t>
      </w:r>
    </w:p>
    <w:p>
      <w:pPr>
        <w:spacing w:line="500" w:lineRule="exact"/>
        <w:rPr>
          <w:rFonts w:hint="eastAsia" w:ascii="宋体" w:hAnsi="宋体" w:eastAsia="宋体" w:cs="宋体"/>
          <w:color w:val="auto"/>
          <w:sz w:val="24"/>
          <w:szCs w:val="24"/>
          <w:highlight w:val="none"/>
        </w:rPr>
      </w:pPr>
    </w:p>
    <w:p>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为确保我公司承包的</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color w:val="auto"/>
          <w:sz w:val="24"/>
          <w:szCs w:val="24"/>
          <w:highlight w:val="none"/>
        </w:rPr>
        <w:t>项目在施工期间的施工安全，特郑重承诺如下：</w:t>
      </w:r>
    </w:p>
    <w:p>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一、认真组织施工人员、管理人员学习有关施工安全的知识，争取做到人人懂安全，事事保安全。</w:t>
      </w:r>
    </w:p>
    <w:p>
      <w:pPr>
        <w:adjustRightInd w:val="0"/>
        <w:snapToGrid w:val="0"/>
        <w:spacing w:line="500" w:lineRule="exact"/>
        <w:ind w:left="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二、严格执行安全施工的有关规定和规程，文明施工，安全施工。</w:t>
      </w:r>
    </w:p>
    <w:p>
      <w:pPr>
        <w:adjustRightInd w:val="0"/>
        <w:snapToGrid w:val="0"/>
        <w:spacing w:line="500" w:lineRule="exact"/>
        <w:ind w:left="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三、切实履行施工安全协议书规定的各项安全管理职责。</w:t>
      </w:r>
    </w:p>
    <w:p>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保证严格依据国家、相关行业有关规定和施工承包合同的要求安全施工，安全生产目标为：不发生安全事故。我方保证切实执行与贵公司签订的施工安全协议书，如发生安全生产责任事故导致人员重伤累计2人次或死亡1人的，从认定为安全事故责任之日起，我方自动放弃在你方项目中 1年的投标资格；重伤累计3人次及以上或死亡2人及以上的，从认定为安全事故责任之日起，我方自动放弃在你方项目中3年的投标资格。</w:t>
      </w:r>
    </w:p>
    <w:p>
      <w:pPr>
        <w:tabs>
          <w:tab w:val="left" w:pos="2224"/>
          <w:tab w:val="left" w:pos="7152"/>
        </w:tabs>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500" w:lineRule="exact"/>
        <w:ind w:left="38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施工单位：（盖章）</w:t>
      </w:r>
    </w:p>
    <w:p>
      <w:pPr>
        <w:spacing w:line="500" w:lineRule="exact"/>
        <w:ind w:firstLine="4440" w:firstLineChars="18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pPr>
        <w:pStyle w:val="23"/>
        <w:rPr>
          <w:color w:val="auto"/>
          <w:highlight w:val="none"/>
        </w:rPr>
      </w:pPr>
    </w:p>
    <w:p>
      <w:pPr>
        <w:pStyle w:val="23"/>
        <w:spacing w:line="500" w:lineRule="exact"/>
        <w:ind w:firstLine="5180" w:firstLineChars="1850"/>
        <w:rPr>
          <w:color w:val="auto"/>
          <w:highlight w:val="none"/>
        </w:rPr>
      </w:pPr>
    </w:p>
    <w:p>
      <w:pPr>
        <w:spacing w:line="360" w:lineRule="auto"/>
        <w:rPr>
          <w:color w:val="auto"/>
          <w:highlight w:val="none"/>
        </w:rPr>
      </w:pPr>
      <w:r>
        <w:rPr>
          <w:rFonts w:hint="eastAsia" w:ascii="宋体" w:hAnsi="宋体" w:cs="宋体"/>
          <w:b/>
          <w:bCs/>
          <w:color w:val="auto"/>
          <w:szCs w:val="21"/>
          <w:highlight w:val="none"/>
        </w:rPr>
        <w:t>附件6：投入工程人员架构表</w:t>
      </w:r>
    </w:p>
    <w:p>
      <w:pPr>
        <w:spacing w:line="360" w:lineRule="auto"/>
        <w:jc w:val="center"/>
        <w:outlineLvl w:val="3"/>
        <w:rPr>
          <w:rFonts w:hint="eastAsia" w:ascii="宋体" w:hAnsi="宋体" w:cs="宋体"/>
          <w:b/>
          <w:color w:val="auto"/>
          <w:sz w:val="24"/>
          <w:szCs w:val="24"/>
          <w:highlight w:val="none"/>
        </w:rPr>
      </w:pPr>
    </w:p>
    <w:p>
      <w:pPr>
        <w:spacing w:line="360" w:lineRule="auto"/>
        <w:jc w:val="center"/>
        <w:outlineLvl w:val="3"/>
        <w:rPr>
          <w:rFonts w:hint="eastAsia" w:ascii="宋体" w:hAnsi="宋体" w:eastAsia="宋体" w:cs="宋体"/>
          <w:b/>
          <w:bCs/>
          <w:color w:val="auto"/>
          <w:sz w:val="24"/>
          <w:szCs w:val="24"/>
          <w:highlight w:val="none"/>
        </w:rPr>
      </w:pPr>
      <w:r>
        <w:rPr>
          <w:rFonts w:hint="eastAsia" w:ascii="宋体" w:hAnsi="宋体" w:cs="宋体"/>
          <w:b/>
          <w:color w:val="auto"/>
          <w:sz w:val="24"/>
          <w:szCs w:val="24"/>
          <w:highlight w:val="none"/>
        </w:rPr>
        <w:t>投入工程人员架构表</w:t>
      </w:r>
    </w:p>
    <w:tbl>
      <w:tblPr>
        <w:tblStyle w:val="33"/>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s="宋体"/>
                <w:color w:val="auto"/>
                <w:sz w:val="24"/>
                <w:szCs w:val="24"/>
                <w:highlight w:val="none"/>
              </w:rPr>
            </w:pPr>
          </w:p>
        </w:tc>
      </w:tr>
    </w:tbl>
    <w:p>
      <w:pPr>
        <w:spacing w:line="360" w:lineRule="auto"/>
        <w:rPr>
          <w:rFonts w:hint="eastAsia" w:ascii="宋体" w:hAnsi="宋体" w:cs="宋体"/>
          <w:color w:val="auto"/>
          <w:sz w:val="24"/>
          <w:szCs w:val="24"/>
          <w:highlight w:val="none"/>
        </w:rPr>
      </w:pPr>
      <w:r>
        <w:rPr>
          <w:rFonts w:hint="eastAsia" w:ascii="宋体" w:hAnsi="宋体" w:cs="宋体"/>
          <w:b/>
          <w:bCs/>
          <w:color w:val="auto"/>
          <w:sz w:val="24"/>
          <w:szCs w:val="24"/>
          <w:highlight w:val="none"/>
        </w:rPr>
        <w:t>注： 本表作为合同附件，其内容必须是真实有效。</w:t>
      </w:r>
    </w:p>
    <w:p>
      <w:pPr>
        <w:pStyle w:val="2"/>
        <w:rPr>
          <w:rFonts w:hint="eastAsia" w:eastAsia="宋体" w:cs="宋体"/>
          <w:color w:val="auto"/>
          <w:szCs w:val="22"/>
          <w:highlight w:val="none"/>
        </w:rPr>
      </w:pPr>
    </w:p>
    <w:p>
      <w:pPr>
        <w:pStyle w:val="2"/>
        <w:rPr>
          <w:rFonts w:hint="eastAsia" w:eastAsia="宋体" w:cs="宋体"/>
          <w:color w:val="auto"/>
          <w:szCs w:val="22"/>
          <w:highlight w:val="none"/>
        </w:rPr>
      </w:pPr>
    </w:p>
    <w:p>
      <w:pPr>
        <w:pStyle w:val="2"/>
        <w:rPr>
          <w:rFonts w:hint="eastAsia" w:eastAsia="宋体" w:cs="宋体"/>
          <w:color w:val="auto"/>
          <w:szCs w:val="22"/>
          <w:highlight w:val="none"/>
        </w:rPr>
      </w:pPr>
    </w:p>
    <w:p>
      <w:pPr>
        <w:pStyle w:val="2"/>
        <w:rPr>
          <w:rFonts w:hint="eastAsia" w:eastAsia="宋体" w:cs="宋体"/>
          <w:color w:val="auto"/>
          <w:szCs w:val="22"/>
          <w:highlight w:val="none"/>
        </w:rPr>
      </w:pPr>
    </w:p>
    <w:p>
      <w:pPr>
        <w:pStyle w:val="2"/>
        <w:rPr>
          <w:rFonts w:hint="eastAsia" w:eastAsia="宋体" w:cs="宋体"/>
          <w:color w:val="auto"/>
          <w:szCs w:val="22"/>
          <w:highlight w:val="none"/>
        </w:rPr>
      </w:pPr>
    </w:p>
    <w:p>
      <w:pPr>
        <w:pStyle w:val="2"/>
        <w:rPr>
          <w:rFonts w:hint="eastAsia" w:eastAsia="宋体" w:cs="宋体"/>
          <w:color w:val="auto"/>
          <w:szCs w:val="22"/>
          <w:highlight w:val="none"/>
        </w:rPr>
      </w:pPr>
    </w:p>
    <w:p>
      <w:pPr>
        <w:pStyle w:val="2"/>
        <w:rPr>
          <w:rFonts w:hint="eastAsia" w:eastAsia="宋体" w:cs="宋体"/>
          <w:color w:val="auto"/>
          <w:szCs w:val="22"/>
          <w:highlight w:val="none"/>
        </w:rPr>
      </w:pPr>
    </w:p>
    <w:p>
      <w:pPr>
        <w:pStyle w:val="2"/>
        <w:rPr>
          <w:rFonts w:hint="eastAsia" w:eastAsia="宋体" w:cs="宋体"/>
          <w:color w:val="auto"/>
          <w:szCs w:val="22"/>
          <w:highlight w:val="none"/>
        </w:rPr>
      </w:pPr>
    </w:p>
    <w:p>
      <w:pPr>
        <w:pStyle w:val="2"/>
        <w:rPr>
          <w:rFonts w:hint="eastAsia" w:eastAsia="宋体" w:cs="宋体"/>
          <w:color w:val="auto"/>
          <w:szCs w:val="22"/>
          <w:highlight w:val="none"/>
        </w:rPr>
      </w:pPr>
    </w:p>
    <w:p>
      <w:pPr>
        <w:spacing w:line="360" w:lineRule="auto"/>
        <w:rPr>
          <w:rFonts w:hint="eastAsia" w:ascii="宋体" w:hAnsi="宋体" w:cs="宋体" w:eastAsiaTheme="minorEastAsia"/>
          <w:b/>
          <w:bCs/>
          <w:color w:val="auto"/>
          <w:szCs w:val="21"/>
          <w:highlight w:val="none"/>
          <w:lang w:eastAsia="zh-CN"/>
        </w:rPr>
      </w:pPr>
      <w:r>
        <w:rPr>
          <w:rFonts w:hint="eastAsia" w:ascii="宋体" w:hAnsi="宋体" w:cs="宋体"/>
          <w:b/>
          <w:bCs/>
          <w:color w:val="auto"/>
          <w:szCs w:val="21"/>
          <w:highlight w:val="none"/>
        </w:rPr>
        <w:t>附件7：工程量清单/报价</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详见响应文件格式要求5.报价表</w:t>
      </w:r>
      <w:r>
        <w:rPr>
          <w:rFonts w:hint="eastAsia" w:ascii="宋体" w:hAnsi="宋体" w:cs="宋体"/>
          <w:b/>
          <w:bCs/>
          <w:color w:val="auto"/>
          <w:szCs w:val="21"/>
          <w:highlight w:val="none"/>
          <w:lang w:eastAsia="zh-CN"/>
        </w:rPr>
        <w:t>）</w:t>
      </w: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5"/>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2351405</wp:posOffset>
                </wp:positionH>
                <wp:positionV relativeFrom="paragraph">
                  <wp:posOffset>801370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5.15pt;margin-top:63.1pt;height:0pt;width:75.5pt;z-index:251667456;mso-width-relative:page;mso-height-relative:page;" filled="f" stroked="t" coordsize="21600,21600" o:gfxdata="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VGUO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2366645</wp:posOffset>
                </wp:positionH>
                <wp:positionV relativeFrom="paragraph">
                  <wp:posOffset>187960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6.35pt;margin-top:14.8pt;height:0pt;width:75.5pt;z-index:251666432;mso-width-relative:page;mso-height-relative:page;" filled="f" stroked="t" coordsize="21600,21600" o:gfxdata="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cEeHv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56"/>
        <w:rPr>
          <w:color w:val="auto"/>
          <w:highlight w:val="none"/>
        </w:rPr>
      </w:pPr>
    </w:p>
    <w:p>
      <w:pPr>
        <w:pStyle w:val="5"/>
        <w:rPr>
          <w:color w:val="auto"/>
          <w:highlight w:val="none"/>
        </w:rPr>
      </w:pPr>
      <w:bookmarkStart w:id="97" w:name="_Toc5342"/>
      <w:bookmarkStart w:id="98" w:name="_Toc21675"/>
      <w:bookmarkStart w:id="99" w:name="_Toc24490"/>
      <w:bookmarkStart w:id="100" w:name="_Toc22764"/>
      <w:bookmarkStart w:id="101" w:name="_Toc30157"/>
      <w:bookmarkStart w:id="102" w:name="_Toc88209951"/>
      <w:bookmarkStart w:id="103" w:name="_Toc31564"/>
      <w:bookmarkStart w:id="104" w:name="_Toc10840"/>
      <w:bookmarkStart w:id="105" w:name="_Toc17119"/>
      <w:bookmarkStart w:id="106" w:name="_Toc12610"/>
      <w:bookmarkStart w:id="107" w:name="_Toc87616388"/>
      <w:bookmarkStart w:id="108" w:name="_Toc24815"/>
      <w:bookmarkStart w:id="109" w:name="_Toc12769"/>
      <w:r>
        <w:rPr>
          <w:rFonts w:hint="eastAsia"/>
          <w:color w:val="auto"/>
          <w:highlight w:val="none"/>
        </w:rPr>
        <w:t>响应文件格式要求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u w:val="single"/>
        </w:rPr>
      </w:pPr>
    </w:p>
    <w:p>
      <w:pPr>
        <w:pStyle w:val="23"/>
        <w:rPr>
          <w:rFonts w:ascii="方正小标宋简体" w:eastAsia="方正小标宋简体"/>
          <w:color w:val="auto"/>
          <w:sz w:val="44"/>
          <w:szCs w:val="44"/>
          <w:highlight w:val="none"/>
          <w:u w:val="single"/>
        </w:rPr>
      </w:pPr>
    </w:p>
    <w:p>
      <w:pPr>
        <w:pStyle w:val="23"/>
        <w:rPr>
          <w:rFonts w:ascii="方正小标宋简体" w:eastAsia="方正小标宋简体"/>
          <w:color w:val="auto"/>
          <w:sz w:val="44"/>
          <w:szCs w:val="44"/>
          <w:highlight w:val="none"/>
          <w:u w:val="single"/>
        </w:rPr>
      </w:pPr>
    </w:p>
    <w:p>
      <w:pPr>
        <w:pStyle w:val="23"/>
        <w:rPr>
          <w:rFonts w:ascii="方正小标宋简体" w:eastAsia="方正小标宋简体"/>
          <w:color w:val="auto"/>
          <w:sz w:val="44"/>
          <w:szCs w:val="44"/>
          <w:highlight w:val="none"/>
          <w:u w:val="single"/>
        </w:rPr>
      </w:pPr>
    </w:p>
    <w:p>
      <w:pPr>
        <w:pStyle w:val="23"/>
        <w:rPr>
          <w:rFonts w:ascii="方正小标宋简体" w:eastAsia="方正小标宋简体"/>
          <w:color w:val="auto"/>
          <w:sz w:val="44"/>
          <w:szCs w:val="44"/>
          <w:highlight w:val="none"/>
          <w:u w:val="single"/>
        </w:rPr>
      </w:pPr>
    </w:p>
    <w:p>
      <w:pPr>
        <w:pStyle w:val="23"/>
        <w:rPr>
          <w:rFonts w:ascii="方正小标宋简体" w:eastAsia="方正小标宋简体"/>
          <w:color w:val="auto"/>
          <w:sz w:val="44"/>
          <w:szCs w:val="44"/>
          <w:highlight w:val="none"/>
          <w:u w:val="single"/>
        </w:rPr>
      </w:pPr>
    </w:p>
    <w:p>
      <w:pPr>
        <w:pStyle w:val="23"/>
        <w:ind w:left="0" w:leftChars="0" w:firstLine="0"/>
        <w:rPr>
          <w:rFonts w:ascii="方正小标宋简体" w:eastAsia="方正小标宋简体"/>
          <w:color w:val="auto"/>
          <w:sz w:val="44"/>
          <w:szCs w:val="44"/>
          <w:highlight w:val="none"/>
          <w:u w:val="single"/>
        </w:rPr>
      </w:pPr>
    </w:p>
    <w:p>
      <w:pPr>
        <w:pStyle w:val="23"/>
        <w:rPr>
          <w:rFonts w:ascii="方正小标宋简体" w:eastAsia="方正小标宋简体"/>
          <w:color w:val="auto"/>
          <w:sz w:val="44"/>
          <w:szCs w:val="44"/>
          <w:highlight w:val="none"/>
          <w:u w:val="singl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156" w:beforeLines="50" w:after="156" w:afterLines="50" w:line="600" w:lineRule="exact"/>
        <w:jc w:val="center"/>
        <w:rPr>
          <w:rFonts w:ascii="仿宋_GB2312" w:eastAsia="仿宋_GB2312"/>
          <w:color w:val="auto"/>
          <w:sz w:val="30"/>
          <w:szCs w:val="30"/>
          <w:highlight w:val="none"/>
        </w:rPr>
      </w:pPr>
    </w:p>
    <w:p>
      <w:pPr>
        <w:adjustRightInd w:val="0"/>
        <w:snapToGrid w:val="0"/>
        <w:spacing w:before="156" w:beforeLines="50" w:after="156"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hint="eastAsia" w:ascii="方正小标宋简体" w:eastAsia="方正小标宋简体"/>
          <w:color w:val="auto"/>
          <w:sz w:val="44"/>
          <w:szCs w:val="44"/>
          <w:highlight w:val="none"/>
        </w:rPr>
      </w:pPr>
    </w:p>
    <w:p>
      <w:pPr>
        <w:jc w:val="center"/>
        <w:rPr>
          <w:rFonts w:ascii="方正小标宋简体" w:eastAsia="方正小标宋简体"/>
          <w:color w:val="auto"/>
          <w:sz w:val="48"/>
          <w:szCs w:val="48"/>
          <w:highlight w:val="none"/>
        </w:rPr>
      </w:pPr>
    </w:p>
    <w:p>
      <w:pPr>
        <w:pStyle w:val="23"/>
        <w:rPr>
          <w:rFonts w:ascii="方正小标宋简体" w:eastAsia="方正小标宋简体"/>
          <w:color w:val="auto"/>
          <w:sz w:val="48"/>
          <w:szCs w:val="48"/>
          <w:highlight w:val="none"/>
        </w:rPr>
      </w:pPr>
    </w:p>
    <w:p>
      <w:pPr>
        <w:pStyle w:val="23"/>
        <w:rPr>
          <w:rFonts w:ascii="方正小标宋简体" w:eastAsia="方正小标宋简体"/>
          <w:color w:val="auto"/>
          <w:sz w:val="48"/>
          <w:szCs w:val="48"/>
          <w:highlight w:val="none"/>
        </w:rPr>
      </w:pPr>
    </w:p>
    <w:p>
      <w:pPr>
        <w:pStyle w:val="23"/>
        <w:ind w:left="0" w:leftChars="0" w:firstLine="0"/>
        <w:rPr>
          <w:rFonts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hint="eastAsia"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hint="eastAsia"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156" w:beforeLines="50" w:after="156" w:afterLines="50" w:line="600" w:lineRule="exact"/>
        <w:rPr>
          <w:rFonts w:ascii="方正小标宋简体" w:eastAsia="方正小标宋简体"/>
          <w:color w:val="auto"/>
          <w:sz w:val="30"/>
          <w:szCs w:val="30"/>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0" w:name="_Toc87616389"/>
      <w:bookmarkStart w:id="111" w:name="_Toc88209952"/>
      <w:r>
        <w:rPr>
          <w:rFonts w:hint="eastAsia" w:ascii="仿宋_GB2312" w:eastAsia="仿宋_GB2312"/>
          <w:color w:val="auto"/>
          <w:sz w:val="28"/>
          <w:szCs w:val="28"/>
          <w:highlight w:val="none"/>
        </w:rPr>
        <w:t>1.响应函</w:t>
      </w:r>
      <w:bookmarkEnd w:id="110"/>
      <w:bookmarkEnd w:id="111"/>
    </w:p>
    <w:p>
      <w:pPr>
        <w:spacing w:line="600" w:lineRule="exact"/>
        <w:rPr>
          <w:rFonts w:ascii="仿宋_GB2312" w:eastAsia="仿宋_GB2312"/>
          <w:color w:val="auto"/>
          <w:sz w:val="28"/>
          <w:szCs w:val="28"/>
          <w:highlight w:val="none"/>
        </w:rPr>
      </w:pPr>
      <w:bookmarkStart w:id="112" w:name="_Toc88209953"/>
      <w:bookmarkStart w:id="113" w:name="_Toc87616390"/>
      <w:r>
        <w:rPr>
          <w:rFonts w:hint="eastAsia" w:ascii="仿宋_GB2312" w:eastAsia="仿宋_GB2312"/>
          <w:color w:val="auto"/>
          <w:sz w:val="28"/>
          <w:szCs w:val="28"/>
          <w:highlight w:val="none"/>
        </w:rPr>
        <w:t>2.法定代表人证明或授权委托书</w:t>
      </w:r>
      <w:bookmarkEnd w:id="112"/>
      <w:bookmarkEnd w:id="113"/>
      <w:bookmarkStart w:id="114" w:name="_Toc88209956"/>
      <w:bookmarkStart w:id="115"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3.资格审查资料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4.拟投入本项目的项目负责人情况表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6.其他资料</w:t>
      </w:r>
      <w:bookmarkEnd w:id="114"/>
      <w:bookmarkEnd w:id="115"/>
      <w:r>
        <w:rPr>
          <w:rFonts w:hint="eastAsia" w:ascii="仿宋_GB2312" w:eastAsia="仿宋_GB2312"/>
          <w:color w:val="auto"/>
          <w:sz w:val="28"/>
          <w:szCs w:val="28"/>
          <w:highlight w:val="none"/>
        </w:rPr>
        <w:cr/>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hint="eastAsia"/>
          <w:color w:val="auto"/>
          <w:highlight w:val="none"/>
        </w:rPr>
      </w:pPr>
    </w:p>
    <w:p>
      <w:pPr>
        <w:pStyle w:val="2"/>
        <w:rPr>
          <w:rFonts w:hint="eastAsia"/>
          <w:color w:val="auto"/>
          <w:highlight w:val="none"/>
        </w:rPr>
      </w:pPr>
    </w:p>
    <w:p>
      <w:pPr>
        <w:adjustRightInd w:val="0"/>
        <w:snapToGrid w:val="0"/>
        <w:spacing w:before="156" w:beforeLines="50" w:after="156" w:afterLines="50" w:line="600" w:lineRule="exact"/>
        <w:rPr>
          <w:rFonts w:ascii="方正小标宋简体" w:eastAsia="方正小标宋简体"/>
          <w:color w:val="auto"/>
          <w:sz w:val="44"/>
          <w:szCs w:val="44"/>
          <w:highlight w:val="none"/>
        </w:rPr>
      </w:pPr>
    </w:p>
    <w:p>
      <w:pPr>
        <w:pStyle w:val="2"/>
        <w:ind w:firstLine="0"/>
        <w:rPr>
          <w:rFonts w:hint="eastAsia" w:ascii="方正小标宋简体" w:eastAsia="方正小标宋简体"/>
          <w:color w:val="auto"/>
          <w:sz w:val="44"/>
          <w:szCs w:val="44"/>
          <w:highlight w:val="none"/>
        </w:rPr>
      </w:pPr>
    </w:p>
    <w:p>
      <w:pPr>
        <w:pStyle w:val="7"/>
        <w:rPr>
          <w:rFonts w:hint="eastAsia" w:asciiTheme="minorEastAsia" w:hAnsiTheme="minorEastAsia" w:eastAsiaTheme="minorEastAsia"/>
          <w:color w:val="auto"/>
          <w:sz w:val="28"/>
          <w:szCs w:val="28"/>
          <w:highlight w:val="none"/>
        </w:rPr>
      </w:pPr>
      <w:bookmarkStart w:id="116" w:name="_Toc6313"/>
      <w:bookmarkStart w:id="117" w:name="_Toc28619645"/>
      <w:bookmarkStart w:id="118" w:name="_Toc87616394"/>
      <w:bookmarkStart w:id="119" w:name="_Toc88209957"/>
      <w:bookmarkStart w:id="120" w:name="_Toc12665"/>
      <w:r>
        <w:rPr>
          <w:rFonts w:hint="eastAsia" w:asciiTheme="minorEastAsia" w:hAnsiTheme="minorEastAsia" w:eastAsiaTheme="minorEastAsia"/>
          <w:color w:val="auto"/>
          <w:sz w:val="28"/>
          <w:szCs w:val="28"/>
          <w:highlight w:val="none"/>
        </w:rPr>
        <w:t>1.响应函</w:t>
      </w:r>
      <w:bookmarkEnd w:id="116"/>
      <w:bookmarkEnd w:id="117"/>
      <w:bookmarkEnd w:id="118"/>
      <w:bookmarkEnd w:id="119"/>
      <w:bookmarkEnd w:id="120"/>
    </w:p>
    <w:p>
      <w:pPr>
        <w:spacing w:line="360" w:lineRule="auto"/>
        <w:rPr>
          <w:rFonts w:hint="eastAsia"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rPr>
        <w:t>1.1响应函</w:t>
      </w:r>
    </w:p>
    <w:p>
      <w:pPr>
        <w:spacing w:line="360" w:lineRule="auto"/>
        <w:rPr>
          <w:rFonts w:hint="eastAsia"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（4）拟投入本项目的项目负责人情况表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（5）报价表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（6）其他资料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hint="eastAsia"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hint="eastAsia"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hint="eastAsia"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.我方在此声明，所递交的响应文件及有关资料内容完整、真实和准确，且不存在采购公告中供应商不得存在的情形。</w:t>
      </w:r>
    </w:p>
    <w:p>
      <w:pPr>
        <w:spacing w:line="360" w:lineRule="auto"/>
        <w:ind w:firstLine="560" w:firstLineChars="200"/>
        <w:rPr>
          <w:rFonts w:hint="eastAsia"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hint="eastAsia"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hint="eastAsia" w:ascii="仿宋_GB2312" w:eastAsia="仿宋_GB2312" w:hAnsiTheme="minorEastAsia"/>
          <w:color w:val="auto"/>
          <w:sz w:val="28"/>
          <w:szCs w:val="28"/>
          <w:highlight w:val="none"/>
        </w:rPr>
      </w:pPr>
    </w:p>
    <w:p>
      <w:pPr>
        <w:pStyle w:val="2"/>
        <w:rPr>
          <w:rFonts w:hint="eastAsia"/>
          <w:color w:val="auto"/>
          <w:highlight w:val="none"/>
        </w:rPr>
      </w:pPr>
    </w:p>
    <w:p>
      <w:pPr>
        <w:pStyle w:val="2"/>
        <w:rPr>
          <w:rFonts w:hint="eastAsia"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color w:val="auto"/>
          <w:sz w:val="28"/>
          <w:szCs w:val="28"/>
          <w:highlight w:val="none"/>
        </w:rPr>
      </w:pPr>
      <w:bookmarkStart w:id="121" w:name="_Toc22527"/>
      <w:bookmarkStart w:id="122" w:name="_Toc87616395"/>
      <w:bookmarkStart w:id="123" w:name="_Toc88209958"/>
      <w:bookmarkStart w:id="124" w:name="_Toc29833"/>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ind w:firstLine="0"/>
        <w:rPr>
          <w:rFonts w:hint="eastAsia"/>
          <w:color w:val="auto"/>
          <w:highlight w:val="none"/>
        </w:rPr>
      </w:pPr>
    </w:p>
    <w:p>
      <w:pPr>
        <w:pStyle w:val="7"/>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1"/>
      <w:bookmarkEnd w:id="122"/>
      <w:bookmarkEnd w:id="123"/>
      <w:bookmarkEnd w:id="124"/>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156" w:beforeLines="50" w:after="156"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58"/>
        <w:snapToGrid w:val="0"/>
        <w:spacing w:after="0" w:line="600" w:lineRule="exact"/>
        <w:jc w:val="both"/>
        <w:rPr>
          <w:rFonts w:hint="eastAsia"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21"/>
        <w:snapToGrid w:val="0"/>
        <w:spacing w:line="600" w:lineRule="exact"/>
        <w:rPr>
          <w:rFonts w:hint="eastAsia"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57"/>
        <w:snapToGrid w:val="0"/>
        <w:spacing w:after="0" w:line="600" w:lineRule="exact"/>
        <w:ind w:firstLine="750" w:firstLineChars="250"/>
        <w:rPr>
          <w:rFonts w:hint="eastAsia"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21"/>
        <w:snapToGrid w:val="0"/>
        <w:spacing w:line="600" w:lineRule="exact"/>
        <w:ind w:firstLine="771" w:firstLineChars="257"/>
        <w:rPr>
          <w:rFonts w:hint="eastAsia"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21"/>
        <w:snapToGrid w:val="0"/>
        <w:spacing w:line="600" w:lineRule="exact"/>
        <w:ind w:firstLine="771" w:firstLineChars="257"/>
        <w:rPr>
          <w:rFonts w:hint="eastAsia"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21"/>
        <w:snapToGrid w:val="0"/>
        <w:spacing w:line="600" w:lineRule="exact"/>
        <w:ind w:firstLine="771" w:firstLineChars="257"/>
        <w:rPr>
          <w:rFonts w:hint="eastAsia"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21"/>
        <w:snapToGrid w:val="0"/>
        <w:spacing w:line="600" w:lineRule="exact"/>
        <w:ind w:firstLine="771" w:firstLineChars="257"/>
        <w:rPr>
          <w:rFonts w:hint="eastAsia"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21"/>
        <w:snapToGrid w:val="0"/>
        <w:spacing w:line="600" w:lineRule="exact"/>
        <w:ind w:firstLine="771" w:firstLineChars="257"/>
        <w:rPr>
          <w:rFonts w:hint="eastAsia"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21"/>
        <w:snapToGrid w:val="0"/>
        <w:spacing w:line="600" w:lineRule="exact"/>
        <w:ind w:firstLine="3907" w:firstLineChars="1221"/>
        <w:rPr>
          <w:rFonts w:hint="eastAsia" w:ascii="仿宋_GB2312" w:hAnsi="宋体" w:eastAsia="仿宋_GB2312" w:cs="Times New Roman"/>
          <w:color w:val="auto"/>
          <w:sz w:val="32"/>
          <w:szCs w:val="32"/>
          <w:highlight w:val="none"/>
        </w:rPr>
      </w:pPr>
    </w:p>
    <w:p>
      <w:pPr>
        <w:pStyle w:val="21"/>
        <w:snapToGrid w:val="0"/>
        <w:spacing w:line="600" w:lineRule="exact"/>
        <w:ind w:firstLine="3663" w:firstLineChars="1221"/>
        <w:rPr>
          <w:rFonts w:hint="eastAsia"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color w:val="auto"/>
          <w:highlight w:val="none"/>
        </w:rPr>
      </w:pPr>
    </w:p>
    <w:p>
      <w:pPr>
        <w:pStyle w:val="2"/>
        <w:rPr>
          <w:rFonts w:hint="eastAsia"/>
          <w:color w:val="auto"/>
          <w:highlight w:val="none"/>
        </w:rPr>
      </w:pPr>
    </w:p>
    <w:p>
      <w:pPr>
        <w:pStyle w:val="2"/>
        <w:rPr>
          <w:rFonts w:hint="eastAsia" w:ascii="仿宋_GB2312" w:eastAsia="仿宋_GB2312"/>
          <w:color w:val="auto"/>
          <w:sz w:val="30"/>
          <w:szCs w:val="30"/>
          <w:highlight w:val="none"/>
        </w:rPr>
      </w:pPr>
    </w:p>
    <w:p>
      <w:pPr>
        <w:widowControl/>
        <w:adjustRightInd w:val="0"/>
        <w:snapToGrid w:val="0"/>
        <w:spacing w:line="600" w:lineRule="exact"/>
        <w:jc w:val="left"/>
        <w:rPr>
          <w:rFonts w:hint="eastAsia"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9504"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hint="eastAsia" w:ascii="仿宋_GB2312" w:hAnsi="宋体" w:eastAsia="仿宋_GB2312" w:cs="宋体"/>
          <w:color w:val="auto"/>
          <w:kern w:val="0"/>
          <w:sz w:val="28"/>
          <w:szCs w:val="28"/>
          <w:highlight w:val="none"/>
        </w:rPr>
      </w:pPr>
    </w:p>
    <w:p>
      <w:pPr>
        <w:widowControl/>
        <w:adjustRightInd w:val="0"/>
        <w:snapToGrid w:val="0"/>
        <w:spacing w:line="600" w:lineRule="exact"/>
        <w:jc w:val="left"/>
        <w:rPr>
          <w:rFonts w:hint="eastAsia" w:ascii="仿宋_GB2312" w:hAnsi="宋体" w:eastAsia="仿宋_GB2312" w:cs="宋体"/>
          <w:color w:val="auto"/>
          <w:kern w:val="0"/>
          <w:sz w:val="28"/>
          <w:szCs w:val="28"/>
          <w:highlight w:val="none"/>
        </w:rPr>
      </w:pPr>
    </w:p>
    <w:p>
      <w:pPr>
        <w:widowControl/>
        <w:adjustRightInd w:val="0"/>
        <w:snapToGrid w:val="0"/>
        <w:spacing w:line="600" w:lineRule="exact"/>
        <w:jc w:val="left"/>
        <w:rPr>
          <w:rFonts w:hint="eastAsia"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156" w:beforeLines="50" w:after="156"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附：1.委托代理人身份证(正反两面)复印件</w:t>
      </w:r>
    </w:p>
    <w:p>
      <w:pPr>
        <w:pStyle w:val="56"/>
        <w:ind w:firstLine="1200" w:firstLineChars="4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2.提供授权委托人在本单位近三个月社保记录（以加盖社会保险基金管理中心印章的《缴费历史明细表》或《社会保险参保人员证明》为准），否则为无效代理人，询价响应文件无效。</w:t>
      </w:r>
    </w:p>
    <w:p>
      <w:pPr>
        <w:pStyle w:val="21"/>
        <w:snapToGrid w:val="0"/>
        <w:spacing w:line="600" w:lineRule="exact"/>
        <w:ind w:firstLine="3618" w:firstLineChars="1005"/>
        <w:rPr>
          <w:rFonts w:hint="eastAsia"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21"/>
        <w:snapToGrid w:val="0"/>
        <w:spacing w:line="600" w:lineRule="exact"/>
        <w:ind w:firstLine="3600" w:firstLineChars="1200"/>
        <w:rPr>
          <w:rFonts w:hint="eastAsia"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21"/>
        <w:snapToGrid w:val="0"/>
        <w:spacing w:line="600" w:lineRule="exact"/>
        <w:ind w:firstLine="3600" w:firstLineChars="1200"/>
        <w:rPr>
          <w:rFonts w:hint="eastAsia"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ascii="仿宋_GB2312" w:eastAsia="仿宋_GB2312"/>
          <w:color w:val="auto"/>
          <w:sz w:val="30"/>
          <w:szCs w:val="30"/>
          <w:highlight w:val="none"/>
        </w:rPr>
      </w:pPr>
    </w:p>
    <w:p>
      <w:pPr>
        <w:pStyle w:val="14"/>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14"/>
        <w:spacing w:after="0" w:line="600" w:lineRule="exact"/>
        <w:rPr>
          <w:rFonts w:ascii="仿宋_GB2312" w:eastAsia="仿宋_GB2312"/>
          <w:color w:val="auto"/>
          <w:highlight w:val="none"/>
        </w:rPr>
      </w:pPr>
    </w:p>
    <w:p>
      <w:pPr>
        <w:pStyle w:val="14"/>
        <w:spacing w:after="0" w:line="600" w:lineRule="exact"/>
        <w:rPr>
          <w:rFonts w:ascii="仿宋_GB2312" w:eastAsia="仿宋_GB2312"/>
          <w:color w:val="auto"/>
          <w:highlight w:val="none"/>
        </w:rPr>
      </w:pPr>
    </w:p>
    <w:p>
      <w:pPr>
        <w:pStyle w:val="14"/>
        <w:spacing w:after="0" w:line="600" w:lineRule="exact"/>
        <w:ind w:firstLine="0"/>
        <w:rPr>
          <w:rFonts w:ascii="仿宋_GB2312" w:eastAsia="仿宋_GB2312"/>
          <w:color w:val="auto"/>
          <w:highlight w:val="none"/>
        </w:rPr>
      </w:pPr>
    </w:p>
    <w:p>
      <w:pPr>
        <w:pStyle w:val="14"/>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rPr>
            </w:pPr>
            <w:r>
              <w:rPr>
                <w:rFonts w:hint="eastAsia" w:ascii="宋体" w:hAnsi="宋体" w:cs="Times New Roman"/>
                <w:color w:val="auto"/>
                <w:sz w:val="24"/>
                <w:szCs w:val="24"/>
                <w:highlight w:val="none"/>
              </w:rPr>
              <w:t>授权代理人在本单位近三个月社保记录，（以加盖社会保险基金管理中心印章的《缴费历史明细表》或《社会保险参保人员证明》为准，加</w:t>
            </w:r>
            <w:r>
              <w:rPr>
                <w:rFonts w:hint="eastAsia" w:ascii="宋体" w:hAnsi="宋体"/>
                <w:color w:val="auto"/>
                <w:sz w:val="24"/>
                <w:szCs w:val="24"/>
                <w:highlight w:val="none"/>
              </w:rPr>
              <w:t>盖单位公章</w:t>
            </w:r>
          </w:p>
          <w:p>
            <w:pPr>
              <w:spacing w:line="360" w:lineRule="auto"/>
              <w:jc w:val="center"/>
              <w:rPr>
                <w:rFonts w:hint="eastAsia" w:ascii="宋体" w:hAnsi="宋体"/>
                <w:color w:val="auto"/>
                <w:sz w:val="24"/>
                <w:szCs w:val="24"/>
                <w:highlight w:val="none"/>
              </w:rPr>
            </w:pPr>
          </w:p>
          <w:p>
            <w:pPr>
              <w:spacing w:line="360" w:lineRule="auto"/>
              <w:jc w:val="left"/>
              <w:rPr>
                <w:rFonts w:hint="eastAsia" w:ascii="宋体" w:hAnsi="宋体"/>
                <w:color w:val="auto"/>
                <w:sz w:val="24"/>
                <w:szCs w:val="24"/>
                <w:highlight w:val="none"/>
              </w:rPr>
            </w:pPr>
          </w:p>
          <w:p>
            <w:pPr>
              <w:spacing w:line="360" w:lineRule="auto"/>
              <w:jc w:val="left"/>
              <w:rPr>
                <w:rFonts w:hint="eastAsia" w:ascii="宋体" w:hAnsi="宋体"/>
                <w:color w:val="auto"/>
                <w:sz w:val="24"/>
                <w:szCs w:val="24"/>
                <w:highlight w:val="none"/>
              </w:rPr>
            </w:pPr>
          </w:p>
        </w:tc>
      </w:tr>
    </w:tbl>
    <w:p>
      <w:pPr>
        <w:spacing w:line="440" w:lineRule="exact"/>
        <w:ind w:firstLine="859" w:firstLineChars="307"/>
        <w:rPr>
          <w:rFonts w:hint="eastAsia" w:ascii="仿宋" w:hAnsi="仿宋" w:eastAsia="仿宋" w:cs="仿宋_GB2312"/>
          <w:color w:val="auto"/>
          <w:sz w:val="28"/>
          <w:szCs w:val="28"/>
          <w:highlight w:val="none"/>
        </w:rPr>
      </w:pPr>
    </w:p>
    <w:p>
      <w:pPr>
        <w:spacing w:line="480" w:lineRule="exact"/>
        <w:ind w:firstLine="843" w:firstLineChars="300"/>
        <w:rPr>
          <w:rFonts w:hint="eastAsia" w:ascii="仿宋" w:hAnsi="仿宋" w:eastAsia="仿宋" w:cs="仿宋_GB2312"/>
          <w:b/>
          <w:color w:val="auto"/>
          <w:sz w:val="28"/>
          <w:szCs w:val="28"/>
          <w:highlight w:val="none"/>
        </w:rPr>
      </w:pPr>
    </w:p>
    <w:p>
      <w:pPr>
        <w:pStyle w:val="2"/>
        <w:rPr>
          <w:rFonts w:hint="eastAsia"/>
          <w:color w:val="auto"/>
          <w:highlight w:val="none"/>
        </w:rPr>
      </w:pPr>
    </w:p>
    <w:p>
      <w:pPr>
        <w:pStyle w:val="2"/>
        <w:rPr>
          <w:rFonts w:hint="eastAsia"/>
          <w:color w:val="auto"/>
          <w:highlight w:val="none"/>
        </w:rPr>
      </w:pPr>
    </w:p>
    <w:p>
      <w:pPr>
        <w:pStyle w:val="2"/>
        <w:ind w:firstLine="0"/>
        <w:rPr>
          <w:rFonts w:hint="eastAsia"/>
          <w:color w:val="auto"/>
          <w:highlight w:val="none"/>
        </w:rPr>
      </w:pPr>
    </w:p>
    <w:p>
      <w:pPr>
        <w:spacing w:line="360" w:lineRule="auto"/>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w:t>
      </w:r>
      <w:r>
        <w:rPr>
          <w:rFonts w:hint="eastAsia" w:cs="Times New Roman" w:asciiTheme="minorEastAsia" w:hAnsiTheme="minorEastAsia" w:eastAsiaTheme="minorEastAsia"/>
          <w:b/>
          <w:bCs/>
          <w:color w:val="auto"/>
          <w:sz w:val="28"/>
          <w:szCs w:val="28"/>
          <w:highlight w:val="none"/>
        </w:rPr>
        <w:t>.资格审查资料</w:t>
      </w:r>
    </w:p>
    <w:p>
      <w:pPr>
        <w:spacing w:line="360" w:lineRule="auto"/>
        <w:rPr>
          <w:rFonts w:ascii="仿宋_GB2312" w:hAnsi="黑体" w:eastAsia="仿宋_GB2312"/>
          <w:color w:val="auto"/>
          <w:sz w:val="28"/>
          <w:szCs w:val="28"/>
          <w:highlight w:val="none"/>
        </w:rPr>
      </w:pPr>
      <w:r>
        <w:rPr>
          <w:rFonts w:hint="eastAsia" w:ascii="仿宋_GB2312" w:hAnsi="黑体" w:eastAsia="仿宋"/>
          <w:color w:val="auto"/>
          <w:sz w:val="28"/>
          <w:szCs w:val="28"/>
          <w:highlight w:val="none"/>
          <w:lang w:val="en-US" w:eastAsia="zh-CN"/>
        </w:rPr>
        <w:t>3</w:t>
      </w:r>
      <w:r>
        <w:rPr>
          <w:rFonts w:hint="eastAsia" w:ascii="仿宋_GB2312" w:hAnsi="黑体" w:eastAsia="仿宋"/>
          <w:color w:val="auto"/>
          <w:sz w:val="28"/>
          <w:szCs w:val="28"/>
          <w:highlight w:val="none"/>
        </w:rPr>
        <w:t>.1供应商基本情况表</w:t>
      </w:r>
    </w:p>
    <w:tbl>
      <w:tblPr>
        <w:tblStyle w:val="3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供应商名称</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注册地址</w:t>
            </w:r>
          </w:p>
        </w:tc>
        <w:tc>
          <w:tcPr>
            <w:tcW w:w="311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邮政编码</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联系方式</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联系人</w:t>
            </w:r>
          </w:p>
        </w:tc>
        <w:tc>
          <w:tcPr>
            <w:tcW w:w="1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传真</w:t>
            </w:r>
          </w:p>
        </w:tc>
        <w:tc>
          <w:tcPr>
            <w:tcW w:w="1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网址</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组织结构</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eastAsia="仿宋_GB2312" w:hAnsiTheme="minorEastAsia"/>
                <w:color w:val="auto"/>
                <w:sz w:val="28"/>
                <w:szCs w:val="28"/>
                <w:highlight w:val="none"/>
                <w:lang w:eastAsia="zh-CN"/>
              </w:rPr>
            </w:pPr>
            <w:r>
              <w:rPr>
                <w:rFonts w:hint="eastAsia" w:ascii="仿宋_GB2312" w:eastAsia="仿宋" w:hAnsiTheme="minorEastAsia"/>
                <w:color w:val="auto"/>
                <w:sz w:val="28"/>
                <w:szCs w:val="28"/>
                <w:highlight w:val="none"/>
                <w:lang w:eastAsia="zh-CN"/>
              </w:rPr>
              <w:t>法定代表人/负责人</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技术负责人</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成立时间</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5178"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企业资质等级</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其中</w:t>
            </w: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项目负责人</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营业执照号</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□高级职称人员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注册资金</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□中级职称人员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开户银行</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□初级职称人员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账户</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□技工</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经营范围</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备注</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 w:hAnsiTheme="minorEastAsia"/>
          <w:color w:val="auto"/>
          <w:sz w:val="28"/>
          <w:szCs w:val="28"/>
          <w:highlight w:val="none"/>
        </w:rPr>
        <w:t>注</w:t>
      </w:r>
      <w:r>
        <w:rPr>
          <w:rFonts w:hint="eastAsia" w:ascii="仿宋_GB2312" w:eastAsia="仿宋" w:hAnsiTheme="minorEastAsia"/>
          <w:color w:val="auto"/>
          <w:sz w:val="28"/>
          <w:szCs w:val="28"/>
          <w:highlight w:val="none"/>
        </w:rPr>
        <w:t>：</w:t>
      </w:r>
      <w:r>
        <w:rPr>
          <w:rFonts w:ascii="仿宋_GB2312" w:eastAsia="仿宋" w:hAnsiTheme="minorEastAsia"/>
          <w:color w:val="auto"/>
          <w:sz w:val="28"/>
          <w:szCs w:val="28"/>
          <w:highlight w:val="none"/>
        </w:rPr>
        <w:t>供应商应按供应商须知的要求提供主体资格证明材料及相关资质证明材料</w:t>
      </w:r>
      <w:r>
        <w:rPr>
          <w:rFonts w:hint="eastAsia" w:ascii="仿宋_GB2312" w:eastAsia="仿宋"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供应商名称（加盖公章）：</w:t>
      </w:r>
    </w:p>
    <w:p>
      <w:pPr>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br w:type="page"/>
      </w:r>
    </w:p>
    <w:p>
      <w:pPr>
        <w:adjustRightInd w:val="0"/>
        <w:snapToGrid w:val="0"/>
        <w:spacing w:line="360" w:lineRule="auto"/>
        <w:jc w:val="left"/>
        <w:rPr>
          <w:rFonts w:hint="eastAsia" w:ascii="宋体" w:hAnsi="宋体" w:eastAsia="宋体" w:cs="宋体"/>
          <w:color w:val="auto"/>
          <w:sz w:val="24"/>
          <w:szCs w:val="24"/>
          <w:highlight w:val="none"/>
          <w:lang w:val="en-GB"/>
        </w:rPr>
      </w:pPr>
      <w:bookmarkStart w:id="125" w:name="_Hlk59025866"/>
      <w:r>
        <w:rPr>
          <w:rFonts w:hint="eastAsia" w:cs="Times New Roman" w:asciiTheme="minorEastAsia" w:hAnsiTheme="minorEastAsia"/>
          <w:b/>
          <w:bCs/>
          <w:color w:val="auto"/>
          <w:sz w:val="28"/>
          <w:szCs w:val="28"/>
          <w:highlight w:val="none"/>
        </w:rPr>
        <w:t>3.2不得存在情形承诺函</w:t>
      </w:r>
      <w:bookmarkEnd w:id="125"/>
    </w:p>
    <w:p>
      <w:pPr>
        <w:adjustRightInd w:val="0"/>
        <w:snapToGrid w:val="0"/>
        <w:spacing w:line="360" w:lineRule="auto"/>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ind w:firstLine="480" w:firstLineChars="200"/>
        <w:jc w:val="both"/>
        <w:rPr>
          <w:rFonts w:hint="eastAsia" w:ascii="方正小标宋简体" w:hAnsi="方正小标宋简体" w:eastAsia="方正小标宋简体" w:cs="方正小标宋简体"/>
          <w:color w:val="auto"/>
          <w:sz w:val="52"/>
          <w:szCs w:val="52"/>
          <w:highlight w:val="none"/>
          <w:u w:val="single"/>
        </w:rPr>
      </w:pPr>
      <w:r>
        <w:rPr>
          <w:rFonts w:hint="eastAsia" w:ascii="宋体" w:hAnsi="宋体" w:eastAsia="宋体" w:cs="宋体"/>
          <w:color w:val="auto"/>
          <w:sz w:val="24"/>
          <w:szCs w:val="24"/>
          <w:highlight w:val="none"/>
          <w:lang w:val="en-GB"/>
        </w:rPr>
        <w:t>我方郑重承诺，在参与</w:t>
      </w:r>
      <w:r>
        <w:rPr>
          <w:rFonts w:hint="eastAsia" w:ascii="宋体" w:hAnsi="宋体" w:eastAsia="宋体" w:cs="宋体"/>
          <w:color w:val="auto"/>
          <w:sz w:val="24"/>
          <w:szCs w:val="24"/>
          <w:highlight w:val="none"/>
          <w:u w:val="single"/>
          <w:lang w:val="en-GB"/>
        </w:rPr>
        <w:t>广州市净水有限公司猎德分公司北面应急值班室修缮项目</w:t>
      </w:r>
    </w:p>
    <w:p>
      <w:pPr>
        <w:adjustRightInd w:val="0"/>
        <w:snapToGrid w:val="0"/>
        <w:spacing w:line="360" w:lineRule="auto"/>
        <w:ind w:firstLine="0" w:firstLineChars="0"/>
        <w:rPr>
          <w:rFonts w:ascii="仿宋_GB2312" w:eastAsia="仿宋_GB2312"/>
          <w:color w:val="auto"/>
          <w:sz w:val="28"/>
          <w:szCs w:val="28"/>
          <w:highlight w:val="none"/>
        </w:rPr>
      </w:pPr>
      <w:r>
        <w:rPr>
          <w:rFonts w:hint="eastAsia" w:ascii="宋体" w:hAnsi="宋体" w:eastAsia="宋体" w:cs="宋体"/>
          <w:color w:val="auto"/>
          <w:sz w:val="24"/>
          <w:szCs w:val="24"/>
          <w:highlight w:val="none"/>
          <w:lang w:val="en-GB"/>
        </w:rPr>
        <w:t>（</w:t>
      </w:r>
      <w:r>
        <w:rPr>
          <w:rFonts w:hint="eastAsia" w:ascii="宋体" w:hAnsi="宋体" w:eastAsia="宋体" w:cs="宋体"/>
          <w:color w:val="auto"/>
          <w:sz w:val="24"/>
          <w:szCs w:val="24"/>
          <w:highlight w:val="none"/>
          <w:u w:val="single"/>
          <w:lang w:val="en-GB"/>
        </w:rPr>
        <w:t>项目编号： ******）</w:t>
      </w:r>
      <w:r>
        <w:rPr>
          <w:rFonts w:hint="eastAsia" w:ascii="宋体" w:hAnsi="宋体" w:eastAsia="宋体" w:cs="宋体"/>
          <w:color w:val="auto"/>
          <w:sz w:val="24"/>
          <w:szCs w:val="24"/>
          <w:highlight w:val="none"/>
          <w:lang w:val="en-GB"/>
        </w:rPr>
        <w:t>采购期间，未被</w:t>
      </w:r>
      <w:r>
        <w:rPr>
          <w:rFonts w:hint="eastAsia" w:ascii="仿宋_GB2312" w:eastAsia="仿宋_GB2312"/>
          <w:color w:val="auto"/>
          <w:sz w:val="28"/>
          <w:szCs w:val="28"/>
          <w:highlight w:val="none"/>
        </w:rPr>
        <w:t>列入下列情形之一：</w:t>
      </w:r>
    </w:p>
    <w:p>
      <w:pPr>
        <w:adjustRightInd w:val="0"/>
        <w:snapToGrid w:val="0"/>
        <w:spacing w:line="360" w:lineRule="auto"/>
        <w:ind w:firstLine="480" w:firstLineChars="200"/>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（1）与本项目其他供应商的单位负责人为同一人。</w:t>
      </w:r>
    </w:p>
    <w:p>
      <w:pPr>
        <w:adjustRightInd w:val="0"/>
        <w:snapToGrid w:val="0"/>
        <w:spacing w:line="360" w:lineRule="auto"/>
        <w:ind w:firstLine="480" w:firstLineChars="200"/>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（2）与本项目其他供应商存在控股关系。</w:t>
      </w:r>
    </w:p>
    <w:p>
      <w:pPr>
        <w:adjustRightInd w:val="0"/>
        <w:snapToGrid w:val="0"/>
        <w:spacing w:line="360" w:lineRule="auto"/>
        <w:ind w:firstLine="480" w:firstLineChars="200"/>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（3）与本项目其他供应商存在管理关系。</w:t>
      </w:r>
    </w:p>
    <w:p>
      <w:pPr>
        <w:adjustRightInd w:val="0"/>
        <w:snapToGrid w:val="0"/>
        <w:spacing w:line="360" w:lineRule="auto"/>
        <w:ind w:firstLine="480" w:firstLineChars="200"/>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（9）被“信用广州”网站纳入失信被执行人名单（失信黑名单）。</w:t>
      </w:r>
    </w:p>
    <w:p>
      <w:pPr>
        <w:adjustRightInd w:val="0"/>
        <w:snapToGrid w:val="0"/>
        <w:spacing w:line="360" w:lineRule="auto"/>
        <w:ind w:firstLine="480" w:firstLineChars="200"/>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hint="eastAsia" w:ascii="宋体" w:hAnsi="宋体" w:eastAsia="宋体" w:cs="宋体"/>
          <w:color w:val="auto"/>
          <w:sz w:val="24"/>
          <w:szCs w:val="24"/>
          <w:highlight w:val="none"/>
          <w:lang w:val="en-GB"/>
        </w:rPr>
      </w:pPr>
    </w:p>
    <w:p>
      <w:pPr>
        <w:adjustRightInd w:val="0"/>
        <w:snapToGrid w:val="0"/>
        <w:spacing w:line="360" w:lineRule="auto"/>
        <w:jc w:val="right"/>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供应商名称（加盖公章）：</w:t>
      </w:r>
    </w:p>
    <w:p>
      <w:pPr>
        <w:jc w:val="right"/>
        <w:rPr>
          <w:rFonts w:hint="eastAsia"/>
          <w:color w:val="auto"/>
          <w:highlight w:val="none"/>
        </w:rPr>
      </w:pPr>
      <w:r>
        <w:rPr>
          <w:rFonts w:hint="eastAsia" w:ascii="宋体" w:hAnsi="宋体" w:eastAsia="宋体" w:cs="宋体"/>
          <w:color w:val="auto"/>
          <w:sz w:val="24"/>
          <w:szCs w:val="24"/>
          <w:highlight w:val="none"/>
          <w:lang w:val="en-GB"/>
        </w:rPr>
        <w:t>年  月  日</w:t>
      </w:r>
    </w:p>
    <w:p>
      <w:pPr>
        <w:jc w:val="left"/>
        <w:rPr>
          <w:rFonts w:hint="eastAsia" w:cs="Times New Roman" w:asciiTheme="minorEastAsia" w:hAnsiTheme="minorEastAsia"/>
          <w:b/>
          <w:bCs/>
          <w:color w:val="auto"/>
          <w:sz w:val="28"/>
          <w:szCs w:val="28"/>
          <w:highlight w:val="none"/>
        </w:rPr>
      </w:pPr>
      <w:r>
        <w:rPr>
          <w:rFonts w:hint="eastAsia" w:cs="Times New Roman" w:asciiTheme="minorEastAsia" w:hAnsiTheme="minorEastAsia"/>
          <w:b/>
          <w:bCs/>
          <w:color w:val="auto"/>
          <w:sz w:val="28"/>
          <w:szCs w:val="28"/>
          <w:highlight w:val="none"/>
        </w:rPr>
        <w:t>4.拟投入本项目的项目负责人情况表</w:t>
      </w:r>
    </w:p>
    <w:p>
      <w:pPr>
        <w:pStyle w:val="2"/>
        <w:rPr>
          <w:rFonts w:hint="eastAsia" w:ascii="仿宋_GB2312" w:eastAsia="仿宋_GB2312" w:hAnsiTheme="minorEastAsia"/>
          <w:color w:val="auto"/>
          <w:sz w:val="28"/>
          <w:szCs w:val="28"/>
          <w:highlight w:val="none"/>
        </w:rPr>
      </w:pPr>
    </w:p>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3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vAlign w:val="center"/>
          </w:tcPr>
          <w:p>
            <w:pPr>
              <w:jc w:val="center"/>
              <w:rPr>
                <w:rFonts w:hint="eastAsia" w:ascii="仿宋" w:hAnsi="仿宋" w:eastAsia="仿宋" w:cs="仿宋_GB2312"/>
                <w:b/>
                <w:color w:val="auto"/>
                <w:sz w:val="28"/>
                <w:szCs w:val="28"/>
                <w:highlight w:val="none"/>
              </w:rPr>
            </w:pPr>
          </w:p>
        </w:tc>
        <w:tc>
          <w:tcPr>
            <w:tcW w:w="1613" w:type="dxa"/>
            <w:gridSpan w:val="2"/>
            <w:vAlign w:val="center"/>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vAlign w:val="center"/>
          </w:tcPr>
          <w:p>
            <w:pPr>
              <w:jc w:val="center"/>
              <w:rPr>
                <w:rFonts w:hint="eastAsia" w:ascii="仿宋" w:hAnsi="仿宋" w:eastAsia="仿宋" w:cs="仿宋_GB2312"/>
                <w:b/>
                <w:color w:val="auto"/>
                <w:sz w:val="28"/>
                <w:szCs w:val="28"/>
                <w:highlight w:val="none"/>
              </w:rPr>
            </w:pPr>
          </w:p>
        </w:tc>
        <w:tc>
          <w:tcPr>
            <w:tcW w:w="2198" w:type="dxa"/>
            <w:gridSpan w:val="2"/>
            <w:vAlign w:val="center"/>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661" w:type="dxa"/>
            <w:vAlign w:val="center"/>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vAlign w:val="center"/>
          </w:tcPr>
          <w:p>
            <w:pPr>
              <w:spacing w:line="360" w:lineRule="exact"/>
              <w:jc w:val="center"/>
              <w:rPr>
                <w:rFonts w:hint="eastAsia" w:ascii="仿宋" w:hAnsi="仿宋" w:eastAsia="仿宋" w:cs="仿宋_GB2312"/>
                <w:b/>
                <w:color w:val="auto"/>
                <w:sz w:val="28"/>
                <w:szCs w:val="28"/>
                <w:highlight w:val="none"/>
              </w:rPr>
            </w:pPr>
          </w:p>
        </w:tc>
        <w:tc>
          <w:tcPr>
            <w:tcW w:w="1613" w:type="dxa"/>
            <w:gridSpan w:val="2"/>
            <w:vAlign w:val="center"/>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vAlign w:val="center"/>
          </w:tcPr>
          <w:p>
            <w:pPr>
              <w:spacing w:line="360" w:lineRule="exact"/>
              <w:jc w:val="center"/>
              <w:rPr>
                <w:rFonts w:hint="eastAsia" w:ascii="仿宋" w:hAnsi="仿宋" w:eastAsia="仿宋" w:cs="仿宋_GB2312"/>
                <w:b/>
                <w:color w:val="auto"/>
                <w:sz w:val="28"/>
                <w:szCs w:val="28"/>
                <w:highlight w:val="none"/>
              </w:rPr>
            </w:pPr>
          </w:p>
        </w:tc>
        <w:tc>
          <w:tcPr>
            <w:tcW w:w="2198" w:type="dxa"/>
            <w:gridSpan w:val="2"/>
            <w:vAlign w:val="center"/>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tcPr>
          <w:p>
            <w:pPr>
              <w:spacing w:line="360" w:lineRule="exact"/>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vAlign w:val="center"/>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vAlign w:val="center"/>
          </w:tcPr>
          <w:p>
            <w:pPr>
              <w:spacing w:line="360" w:lineRule="exact"/>
              <w:jc w:val="center"/>
              <w:rPr>
                <w:rFonts w:hint="eastAsia" w:ascii="仿宋" w:hAnsi="仿宋" w:eastAsia="仿宋" w:cs="仿宋_GB2312"/>
                <w:b/>
                <w:color w:val="auto"/>
                <w:sz w:val="28"/>
                <w:szCs w:val="28"/>
                <w:highlight w:val="none"/>
              </w:rPr>
            </w:pPr>
          </w:p>
        </w:tc>
        <w:tc>
          <w:tcPr>
            <w:tcW w:w="1613" w:type="dxa"/>
            <w:gridSpan w:val="2"/>
            <w:vAlign w:val="center"/>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vAlign w:val="center"/>
          </w:tcPr>
          <w:p>
            <w:pPr>
              <w:spacing w:line="360" w:lineRule="exact"/>
              <w:jc w:val="center"/>
              <w:rPr>
                <w:rFonts w:hint="eastAsia" w:ascii="仿宋" w:hAnsi="仿宋" w:eastAsia="仿宋" w:cs="仿宋_GB2312"/>
                <w:b/>
                <w:color w:val="auto"/>
                <w:sz w:val="28"/>
                <w:szCs w:val="28"/>
                <w:highlight w:val="none"/>
              </w:rPr>
            </w:pPr>
          </w:p>
        </w:tc>
        <w:tc>
          <w:tcPr>
            <w:tcW w:w="2198" w:type="dxa"/>
            <w:gridSpan w:val="2"/>
            <w:vAlign w:val="center"/>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tcPr>
          <w:p>
            <w:pPr>
              <w:spacing w:line="360" w:lineRule="exact"/>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vAlign w:val="center"/>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vAlign w:val="center"/>
          </w:tcPr>
          <w:p>
            <w:pPr>
              <w:spacing w:line="360" w:lineRule="exact"/>
              <w:jc w:val="center"/>
              <w:rPr>
                <w:rFonts w:hint="eastAsia" w:ascii="仿宋" w:hAnsi="仿宋" w:eastAsia="仿宋" w:cs="仿宋_GB2312"/>
                <w:b/>
                <w:color w:val="auto"/>
                <w:sz w:val="28"/>
                <w:szCs w:val="28"/>
                <w:highlight w:val="none"/>
              </w:rPr>
            </w:pPr>
          </w:p>
        </w:tc>
        <w:tc>
          <w:tcPr>
            <w:tcW w:w="2198" w:type="dxa"/>
            <w:gridSpan w:val="2"/>
            <w:vAlign w:val="center"/>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vAlign w:val="center"/>
          </w:tcPr>
          <w:p>
            <w:pPr>
              <w:spacing w:line="360" w:lineRule="exact"/>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vAlign w:val="center"/>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vAlign w:val="center"/>
          </w:tcPr>
          <w:p>
            <w:pPr>
              <w:jc w:val="center"/>
              <w:rPr>
                <w:rFonts w:hint="eastAsia" w:ascii="仿宋" w:hAnsi="仿宋" w:eastAsia="仿宋" w:cs="仿宋_GB2312"/>
                <w:b/>
                <w:color w:val="auto"/>
                <w:sz w:val="28"/>
                <w:szCs w:val="28"/>
                <w:highlight w:val="none"/>
              </w:rPr>
            </w:pPr>
          </w:p>
        </w:tc>
        <w:tc>
          <w:tcPr>
            <w:tcW w:w="2198" w:type="dxa"/>
            <w:gridSpan w:val="2"/>
            <w:vAlign w:val="center"/>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vAlign w:val="center"/>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vAlign w:val="center"/>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vAlign w:val="center"/>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vAlign w:val="center"/>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vAlign w:val="center"/>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vAlign w:val="center"/>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453" w:type="dxa"/>
            <w:gridSpan w:val="2"/>
            <w:vAlign w:val="center"/>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453" w:type="dxa"/>
            <w:gridSpan w:val="2"/>
            <w:vAlign w:val="center"/>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993" w:type="dxa"/>
            <w:gridSpan w:val="2"/>
            <w:vAlign w:val="center"/>
          </w:tcPr>
          <w:p>
            <w:pPr>
              <w:jc w:val="center"/>
              <w:rPr>
                <w:rFonts w:hint="eastAsia" w:ascii="仿宋" w:hAnsi="仿宋" w:eastAsia="仿宋" w:cs="仿宋_GB2312"/>
                <w:b/>
                <w:color w:val="auto"/>
                <w:sz w:val="28"/>
                <w:szCs w:val="28"/>
                <w:highlight w:val="none"/>
              </w:rPr>
            </w:pPr>
          </w:p>
        </w:tc>
        <w:tc>
          <w:tcPr>
            <w:tcW w:w="1453" w:type="dxa"/>
            <w:gridSpan w:val="2"/>
            <w:vAlign w:val="center"/>
          </w:tcPr>
          <w:p>
            <w:pPr>
              <w:jc w:val="center"/>
              <w:rPr>
                <w:rFonts w:hint="eastAsia" w:ascii="仿宋" w:hAnsi="仿宋" w:eastAsia="仿宋" w:cs="仿宋_GB2312"/>
                <w:b/>
                <w:color w:val="auto"/>
                <w:sz w:val="28"/>
                <w:szCs w:val="28"/>
                <w:highlight w:val="none"/>
              </w:rPr>
            </w:pPr>
          </w:p>
        </w:tc>
      </w:tr>
    </w:tbl>
    <w:p>
      <w:pPr>
        <w:pStyle w:val="2"/>
        <w:ind w:firstLine="0"/>
        <w:rPr>
          <w:rFonts w:hint="eastAsia" w:ascii="仿宋_GB2312" w:eastAsia="仿宋_GB2312" w:hAnsiTheme="minorEastAsia"/>
          <w:color w:val="auto"/>
          <w:sz w:val="28"/>
          <w:szCs w:val="28"/>
          <w:highlight w:val="none"/>
        </w:rPr>
      </w:pPr>
    </w:p>
    <w:p>
      <w:pPr>
        <w:pStyle w:val="2"/>
        <w:ind w:firstLine="6240" w:firstLineChars="2600"/>
        <w:rPr>
          <w:rFonts w:hint="eastAsia" w:eastAsia="宋体" w:cs="宋体"/>
          <w:color w:val="auto"/>
          <w:highlight w:val="none"/>
          <w:lang w:val="en-GB"/>
        </w:rPr>
      </w:pPr>
      <w:r>
        <w:rPr>
          <w:rFonts w:hint="eastAsia" w:eastAsia="宋体" w:cs="宋体"/>
          <w:color w:val="auto"/>
          <w:highlight w:val="none"/>
          <w:lang w:val="en-GB"/>
        </w:rPr>
        <w:t>供应商名称（加盖公章）：</w:t>
      </w:r>
      <w:r>
        <w:rPr>
          <w:rFonts w:hint="eastAsia"/>
          <w:color w:val="auto"/>
          <w:highlight w:val="none"/>
          <w:lang w:val="en-GB"/>
        </w:rPr>
        <w:t xml:space="preserve"> </w:t>
      </w:r>
    </w:p>
    <w:p>
      <w:pPr>
        <w:adjustRightInd w:val="0"/>
        <w:snapToGrid w:val="0"/>
        <w:spacing w:line="360" w:lineRule="auto"/>
        <w:ind w:right="480"/>
        <w:jc w:val="right"/>
        <w:rPr>
          <w:rFonts w:hint="eastAsia" w:ascii="宋体" w:hAnsi="宋体" w:eastAsia="宋体" w:cs="宋体"/>
          <w:color w:val="auto"/>
          <w:sz w:val="24"/>
          <w:szCs w:val="24"/>
          <w:highlight w:val="none"/>
          <w:lang w:val="en-GB"/>
        </w:rPr>
      </w:pPr>
      <w:r>
        <w:rPr>
          <w:rFonts w:hint="eastAsia" w:eastAsia="宋体" w:cs="宋体"/>
          <w:color w:val="auto"/>
          <w:highlight w:val="none"/>
          <w:lang w:val="en-GB"/>
        </w:rPr>
        <w:t>年  月  日</w:t>
      </w:r>
    </w:p>
    <w:p>
      <w:pPr>
        <w:pStyle w:val="2"/>
        <w:ind w:firstLine="0"/>
        <w:rPr>
          <w:rFonts w:hint="eastAsia" w:ascii="仿宋_GB2312" w:eastAsia="仿宋_GB2312" w:hAnsiTheme="minorEastAsia"/>
          <w:color w:val="auto"/>
          <w:sz w:val="28"/>
          <w:szCs w:val="28"/>
          <w:highlight w:val="none"/>
        </w:rPr>
      </w:pPr>
    </w:p>
    <w:p>
      <w:pPr>
        <w:pStyle w:val="7"/>
        <w:numPr>
          <w:ilvl w:val="0"/>
          <w:numId w:val="8"/>
        </w:numPr>
        <w:rPr>
          <w:rFonts w:hint="eastAsia" w:asciiTheme="minorEastAsia" w:hAnsiTheme="minorEastAsia" w:eastAsiaTheme="minorEastAsia"/>
          <w:color w:val="auto"/>
          <w:sz w:val="28"/>
          <w:szCs w:val="28"/>
          <w:highlight w:val="none"/>
        </w:rPr>
      </w:pPr>
      <w:bookmarkStart w:id="126" w:name="_Toc19423"/>
      <w:bookmarkStart w:id="127" w:name="_Toc32430"/>
      <w:r>
        <w:rPr>
          <w:rFonts w:hint="eastAsia" w:asciiTheme="minorEastAsia" w:hAnsiTheme="minorEastAsia" w:eastAsiaTheme="minorEastAsia"/>
          <w:color w:val="auto"/>
          <w:sz w:val="28"/>
          <w:szCs w:val="28"/>
          <w:highlight w:val="none"/>
        </w:rPr>
        <w:t>报价表</w:t>
      </w:r>
      <w:bookmarkEnd w:id="126"/>
      <w:bookmarkEnd w:id="127"/>
    </w:p>
    <w:tbl>
      <w:tblPr>
        <w:tblStyle w:val="33"/>
        <w:tblW w:w="10568" w:type="dxa"/>
        <w:jc w:val="center"/>
        <w:tblLayout w:type="autofit"/>
        <w:tblCellMar>
          <w:top w:w="0" w:type="dxa"/>
          <w:left w:w="108" w:type="dxa"/>
          <w:bottom w:w="0" w:type="dxa"/>
          <w:right w:w="108" w:type="dxa"/>
        </w:tblCellMar>
      </w:tblPr>
      <w:tblGrid>
        <w:gridCol w:w="104"/>
        <w:gridCol w:w="846"/>
        <w:gridCol w:w="192"/>
        <w:gridCol w:w="1342"/>
        <w:gridCol w:w="1310"/>
        <w:gridCol w:w="2080"/>
        <w:gridCol w:w="80"/>
        <w:gridCol w:w="108"/>
        <w:gridCol w:w="218"/>
        <w:gridCol w:w="480"/>
        <w:gridCol w:w="1000"/>
        <w:gridCol w:w="107"/>
        <w:gridCol w:w="99"/>
        <w:gridCol w:w="496"/>
        <w:gridCol w:w="447"/>
        <w:gridCol w:w="727"/>
        <w:gridCol w:w="808"/>
        <w:gridCol w:w="124"/>
      </w:tblGrid>
      <w:tr>
        <w:tblPrEx>
          <w:tblCellMar>
            <w:top w:w="0" w:type="dxa"/>
            <w:left w:w="108" w:type="dxa"/>
            <w:bottom w:w="0" w:type="dxa"/>
            <w:right w:w="108" w:type="dxa"/>
          </w:tblCellMar>
        </w:tblPrEx>
        <w:trPr>
          <w:gridAfter w:val="1"/>
          <w:wAfter w:w="124" w:type="dxa"/>
          <w:trHeight w:val="795" w:hRule="atLeast"/>
          <w:jc w:val="center"/>
        </w:trPr>
        <w:tc>
          <w:tcPr>
            <w:tcW w:w="10444" w:type="dxa"/>
            <w:gridSpan w:val="17"/>
            <w:tcBorders>
              <w:top w:val="nil"/>
              <w:left w:val="nil"/>
              <w:bottom w:val="nil"/>
              <w:right w:val="nil"/>
            </w:tcBorders>
            <w:shd w:val="clear" w:color="FFFFFF" w:fill="FFFFFF"/>
            <w:vAlign w:val="center"/>
          </w:tcPr>
          <w:p>
            <w:pPr>
              <w:pStyle w:val="53"/>
              <w:widowControl/>
              <w:numPr>
                <w:ilvl w:val="0"/>
                <w:numId w:val="8"/>
              </w:numPr>
              <w:spacing w:after="0" w:line="240" w:lineRule="auto"/>
              <w:ind w:firstLineChars="0"/>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单位工程投标报价汇总表</w:t>
            </w:r>
          </w:p>
        </w:tc>
      </w:tr>
      <w:tr>
        <w:tblPrEx>
          <w:tblCellMar>
            <w:top w:w="0" w:type="dxa"/>
            <w:left w:w="108" w:type="dxa"/>
            <w:bottom w:w="0" w:type="dxa"/>
            <w:right w:w="108" w:type="dxa"/>
          </w:tblCellMar>
        </w:tblPrEx>
        <w:trPr>
          <w:gridAfter w:val="1"/>
          <w:wAfter w:w="124" w:type="dxa"/>
          <w:trHeight w:val="570" w:hRule="atLeast"/>
          <w:jc w:val="center"/>
        </w:trPr>
        <w:tc>
          <w:tcPr>
            <w:tcW w:w="5954" w:type="dxa"/>
            <w:gridSpan w:val="7"/>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工程名称：猎德分公司北面应急值班室修缮项目-建筑部分</w:t>
            </w:r>
          </w:p>
        </w:tc>
        <w:tc>
          <w:tcPr>
            <w:tcW w:w="1806" w:type="dxa"/>
            <w:gridSpan w:val="4"/>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684" w:type="dxa"/>
            <w:gridSpan w:val="6"/>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1 页</w:t>
            </w:r>
          </w:p>
        </w:tc>
      </w:tr>
      <w:tr>
        <w:tblPrEx>
          <w:tblCellMar>
            <w:top w:w="0" w:type="dxa"/>
            <w:left w:w="108" w:type="dxa"/>
            <w:bottom w:w="0" w:type="dxa"/>
            <w:right w:w="108" w:type="dxa"/>
          </w:tblCellMar>
        </w:tblPrEx>
        <w:trPr>
          <w:gridAfter w:val="1"/>
          <w:wAfter w:w="124" w:type="dxa"/>
          <w:trHeight w:val="375" w:hRule="atLeast"/>
          <w:jc w:val="center"/>
        </w:trPr>
        <w:tc>
          <w:tcPr>
            <w:tcW w:w="1142" w:type="dxa"/>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4732" w:type="dxa"/>
            <w:gridSpan w:val="3"/>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汇总内容</w:t>
            </w:r>
          </w:p>
        </w:tc>
        <w:tc>
          <w:tcPr>
            <w:tcW w:w="2588" w:type="dxa"/>
            <w:gridSpan w:val="8"/>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金额:(元)</w:t>
            </w:r>
          </w:p>
        </w:tc>
        <w:tc>
          <w:tcPr>
            <w:tcW w:w="1982" w:type="dxa"/>
            <w:gridSpan w:val="3"/>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其中：暂估价(元)</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分部分项合计</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1.1</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拆除部分</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1.2</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箱体部分</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1.3</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箱体地面</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1.4</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雨棚、吊顶部分</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措施合计</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2.1</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绿色施工安全防护措施费</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13743.46</w:t>
            </w: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2.2</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其他措施费</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其他项目</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3.1</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暂列金额</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43199.64</w:t>
            </w: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暂估价</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3.3</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计日工</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3.4</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总承包服务费</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3.5</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预算包干费</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3.6</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工程优质费</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3.7</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概算幅度差</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3.8</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索赔费用</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3.9</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现场签证费用</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3.10</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其他费用</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税前工程造价</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增值税销项税额</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总造价</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1142"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w:t>
            </w:r>
          </w:p>
        </w:tc>
        <w:tc>
          <w:tcPr>
            <w:tcW w:w="4732" w:type="dxa"/>
            <w:gridSpan w:val="3"/>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人工费</w:t>
            </w:r>
          </w:p>
        </w:tc>
        <w:tc>
          <w:tcPr>
            <w:tcW w:w="2588"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After w:val="1"/>
          <w:wAfter w:w="124" w:type="dxa"/>
          <w:trHeight w:val="360" w:hRule="atLeast"/>
          <w:jc w:val="center"/>
        </w:trPr>
        <w:tc>
          <w:tcPr>
            <w:tcW w:w="5874"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投标报价合计=1+2+3+5</w:t>
            </w:r>
          </w:p>
        </w:tc>
        <w:tc>
          <w:tcPr>
            <w:tcW w:w="2588" w:type="dxa"/>
            <w:gridSpan w:val="8"/>
            <w:tcBorders>
              <w:top w:val="single" w:color="000000" w:sz="4" w:space="0"/>
              <w:left w:val="nil"/>
              <w:bottom w:val="single" w:color="000000" w:sz="8"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82" w:type="dxa"/>
            <w:gridSpan w:val="3"/>
            <w:tcBorders>
              <w:top w:val="nil"/>
              <w:left w:val="nil"/>
              <w:bottom w:val="single" w:color="000000" w:sz="8"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r>
      <w:tr>
        <w:tblPrEx>
          <w:tblCellMar>
            <w:top w:w="0" w:type="dxa"/>
            <w:left w:w="108" w:type="dxa"/>
            <w:bottom w:w="0" w:type="dxa"/>
            <w:right w:w="108" w:type="dxa"/>
          </w:tblCellMar>
        </w:tblPrEx>
        <w:trPr>
          <w:gridAfter w:val="1"/>
          <w:wAfter w:w="124" w:type="dxa"/>
          <w:trHeight w:val="360" w:hRule="atLeast"/>
          <w:jc w:val="center"/>
        </w:trPr>
        <w:tc>
          <w:tcPr>
            <w:tcW w:w="10444" w:type="dxa"/>
            <w:gridSpan w:val="17"/>
            <w:tcBorders>
              <w:top w:val="nil"/>
              <w:left w:val="nil"/>
              <w:bottom w:val="nil"/>
              <w:right w:val="nil"/>
            </w:tcBorders>
            <w:shd w:val="clear" w:color="FFFFFF" w:fill="FFFFFF"/>
          </w:tcPr>
          <w:p>
            <w:pPr>
              <w:widowControl/>
              <w:spacing w:after="0" w:line="240" w:lineRule="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注：本表适用于单位工程招标控制价或投标报价的汇总，如无单位工程划分，单项工程也使用本表汇总</w:t>
            </w:r>
          </w:p>
        </w:tc>
      </w:tr>
      <w:tr>
        <w:tblPrEx>
          <w:tblCellMar>
            <w:top w:w="0" w:type="dxa"/>
            <w:left w:w="108" w:type="dxa"/>
            <w:bottom w:w="0" w:type="dxa"/>
            <w:right w:w="108" w:type="dxa"/>
          </w:tblCellMar>
        </w:tblPrEx>
        <w:trPr>
          <w:gridAfter w:val="1"/>
          <w:wAfter w:w="124" w:type="dxa"/>
          <w:trHeight w:val="360" w:hRule="atLeast"/>
          <w:jc w:val="center"/>
        </w:trPr>
        <w:tc>
          <w:tcPr>
            <w:tcW w:w="10444" w:type="dxa"/>
            <w:gridSpan w:val="17"/>
            <w:tcBorders>
              <w:top w:val="nil"/>
              <w:left w:val="nil"/>
              <w:bottom w:val="nil"/>
              <w:right w:val="nil"/>
            </w:tcBorders>
            <w:shd w:val="clear" w:color="FFFFFF" w:fill="FFFFFF"/>
          </w:tcPr>
          <w:p>
            <w:pPr>
              <w:widowControl/>
              <w:spacing w:after="0" w:line="240" w:lineRule="auto"/>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gridAfter w:val="1"/>
          <w:wAfter w:w="124" w:type="dxa"/>
          <w:trHeight w:val="360" w:hRule="atLeast"/>
          <w:jc w:val="center"/>
        </w:trPr>
        <w:tc>
          <w:tcPr>
            <w:tcW w:w="10444" w:type="dxa"/>
            <w:gridSpan w:val="17"/>
            <w:tcBorders>
              <w:top w:val="nil"/>
              <w:left w:val="nil"/>
              <w:bottom w:val="nil"/>
              <w:right w:val="nil"/>
            </w:tcBorders>
            <w:shd w:val="clear" w:color="FFFFFF" w:fill="FFFFFF"/>
          </w:tcPr>
          <w:p>
            <w:pPr>
              <w:widowControl/>
              <w:spacing w:after="0" w:line="240" w:lineRule="auto"/>
              <w:rPr>
                <w:rFonts w:hint="eastAsia" w:ascii="宋体" w:hAnsi="宋体" w:eastAsia="宋体" w:cs="宋体"/>
                <w:color w:val="auto"/>
                <w:kern w:val="0"/>
                <w:sz w:val="18"/>
                <w:szCs w:val="18"/>
                <w:highlight w:val="none"/>
              </w:rPr>
            </w:pPr>
          </w:p>
          <w:p>
            <w:pPr>
              <w:widowControl/>
              <w:spacing w:after="0" w:line="240" w:lineRule="auto"/>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gridAfter w:val="1"/>
          <w:wAfter w:w="124" w:type="dxa"/>
          <w:trHeight w:val="360" w:hRule="atLeast"/>
          <w:jc w:val="center"/>
        </w:trPr>
        <w:tc>
          <w:tcPr>
            <w:tcW w:w="10444" w:type="dxa"/>
            <w:gridSpan w:val="17"/>
            <w:tcBorders>
              <w:top w:val="nil"/>
              <w:left w:val="nil"/>
              <w:bottom w:val="nil"/>
              <w:right w:val="nil"/>
            </w:tcBorders>
            <w:shd w:val="clear" w:color="FFFFFF" w:fill="FFFFFF"/>
          </w:tcPr>
          <w:p>
            <w:pPr>
              <w:widowControl/>
              <w:spacing w:after="0" w:line="240" w:lineRule="auto"/>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分部分项工程和单价措施项目清单与计价表</w:t>
            </w:r>
          </w:p>
          <w:p>
            <w:pPr>
              <w:widowControl/>
              <w:spacing w:after="0" w:line="240" w:lineRule="auto"/>
              <w:jc w:val="center"/>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gridBefore w:val="1"/>
          <w:wBefore w:w="104" w:type="dxa"/>
          <w:trHeight w:val="570" w:hRule="atLeast"/>
          <w:jc w:val="center"/>
        </w:trPr>
        <w:tc>
          <w:tcPr>
            <w:tcW w:w="5958" w:type="dxa"/>
            <w:gridSpan w:val="7"/>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工程名称：猎德分公司北面应急值班室修缮项目-建筑部分</w:t>
            </w:r>
          </w:p>
        </w:tc>
        <w:tc>
          <w:tcPr>
            <w:tcW w:w="1805" w:type="dxa"/>
            <w:gridSpan w:val="4"/>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701" w:type="dxa"/>
            <w:gridSpan w:val="6"/>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3 页</w:t>
            </w:r>
          </w:p>
        </w:tc>
      </w:tr>
      <w:tr>
        <w:tblPrEx>
          <w:tblCellMar>
            <w:top w:w="0" w:type="dxa"/>
            <w:left w:w="108" w:type="dxa"/>
            <w:bottom w:w="0" w:type="dxa"/>
            <w:right w:w="108" w:type="dxa"/>
          </w:tblCellMar>
        </w:tblPrEx>
        <w:trPr>
          <w:gridBefore w:val="1"/>
          <w:wBefore w:w="104" w:type="dxa"/>
          <w:trHeight w:val="360" w:hRule="atLeast"/>
          <w:jc w:val="center"/>
        </w:trPr>
        <w:tc>
          <w:tcPr>
            <w:tcW w:w="84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1534"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项目编码</w:t>
            </w:r>
          </w:p>
        </w:tc>
        <w:tc>
          <w:tcPr>
            <w:tcW w:w="13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项目名称</w:t>
            </w:r>
          </w:p>
        </w:tc>
        <w:tc>
          <w:tcPr>
            <w:tcW w:w="2486"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计量单位</w:t>
            </w:r>
          </w:p>
        </w:tc>
        <w:tc>
          <w:tcPr>
            <w:tcW w:w="1206"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工程量</w:t>
            </w:r>
          </w:p>
        </w:tc>
        <w:tc>
          <w:tcPr>
            <w:tcW w:w="2602" w:type="dxa"/>
            <w:gridSpan w:val="5"/>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金额（元）</w:t>
            </w:r>
          </w:p>
        </w:tc>
      </w:tr>
      <w:tr>
        <w:tblPrEx>
          <w:tblCellMar>
            <w:top w:w="0" w:type="dxa"/>
            <w:left w:w="108" w:type="dxa"/>
            <w:bottom w:w="0" w:type="dxa"/>
            <w:right w:w="108" w:type="dxa"/>
          </w:tblCellMar>
        </w:tblPrEx>
        <w:trPr>
          <w:gridBefore w:val="1"/>
          <w:wBefore w:w="104" w:type="dxa"/>
          <w:trHeight w:val="360" w:hRule="atLeast"/>
          <w:jc w:val="center"/>
        </w:trPr>
        <w:tc>
          <w:tcPr>
            <w:tcW w:w="846" w:type="dxa"/>
            <w:vMerge w:val="continue"/>
            <w:tcBorders>
              <w:top w:val="single" w:color="000000" w:sz="8" w:space="0"/>
              <w:left w:val="single" w:color="000000" w:sz="8"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534"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31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2486" w:type="dxa"/>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48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206" w:type="dxa"/>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943" w:type="dxa"/>
            <w:gridSpan w:val="2"/>
            <w:vMerge w:val="restart"/>
            <w:tcBorders>
              <w:top w:val="nil"/>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综合单价</w:t>
            </w:r>
          </w:p>
        </w:tc>
        <w:tc>
          <w:tcPr>
            <w:tcW w:w="727" w:type="dxa"/>
            <w:vMerge w:val="restart"/>
            <w:tcBorders>
              <w:top w:val="nil"/>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综合合价</w:t>
            </w: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其中</w:t>
            </w:r>
          </w:p>
        </w:tc>
      </w:tr>
      <w:tr>
        <w:tblPrEx>
          <w:tblCellMar>
            <w:top w:w="0" w:type="dxa"/>
            <w:left w:w="108" w:type="dxa"/>
            <w:bottom w:w="0" w:type="dxa"/>
            <w:right w:w="108" w:type="dxa"/>
          </w:tblCellMar>
        </w:tblPrEx>
        <w:trPr>
          <w:gridBefore w:val="1"/>
          <w:wBefore w:w="104" w:type="dxa"/>
          <w:trHeight w:val="360" w:hRule="atLeast"/>
          <w:jc w:val="center"/>
        </w:trPr>
        <w:tc>
          <w:tcPr>
            <w:tcW w:w="846" w:type="dxa"/>
            <w:vMerge w:val="continue"/>
            <w:tcBorders>
              <w:top w:val="single" w:color="000000" w:sz="8" w:space="0"/>
              <w:left w:val="single" w:color="000000" w:sz="8"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534"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31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2486" w:type="dxa"/>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48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206" w:type="dxa"/>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943" w:type="dxa"/>
            <w:gridSpan w:val="2"/>
            <w:vMerge w:val="continue"/>
            <w:tcBorders>
              <w:top w:val="nil"/>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727"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暂估价</w:t>
            </w:r>
          </w:p>
        </w:tc>
      </w:tr>
      <w:tr>
        <w:tblPrEx>
          <w:tblCellMar>
            <w:top w:w="0" w:type="dxa"/>
            <w:left w:w="108" w:type="dxa"/>
            <w:bottom w:w="0" w:type="dxa"/>
            <w:right w:w="108" w:type="dxa"/>
          </w:tblCellMar>
        </w:tblPrEx>
        <w:trPr>
          <w:gridBefore w:val="1"/>
          <w:wBefore w:w="104" w:type="dxa"/>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拆除部分</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1845" w:hRule="atLeast"/>
          <w:jc w:val="center"/>
        </w:trPr>
        <w:tc>
          <w:tcPr>
            <w:tcW w:w="846"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534" w:type="dxa"/>
            <w:gridSpan w:val="2"/>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011606002001</w:t>
            </w:r>
          </w:p>
        </w:tc>
        <w:tc>
          <w:tcPr>
            <w:tcW w:w="1310"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活动板房拆除</w:t>
            </w:r>
          </w:p>
        </w:tc>
        <w:tc>
          <w:tcPr>
            <w:tcW w:w="2486" w:type="dxa"/>
            <w:gridSpan w:val="4"/>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1.拆除的基层类型:活动板房拆除，墙体厚度为50mm厚玻璃棉夹芯板</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2.尺寸：6055mm*2990mm*2730mm</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2.拆除废料外运 人工装自卸汽车运 20km内</w:t>
            </w:r>
          </w:p>
        </w:tc>
        <w:tc>
          <w:tcPr>
            <w:tcW w:w="480"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m2</w:t>
            </w:r>
          </w:p>
        </w:tc>
        <w:tc>
          <w:tcPr>
            <w:tcW w:w="1206" w:type="dxa"/>
            <w:gridSpan w:val="3"/>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1173.42</w:t>
            </w:r>
          </w:p>
        </w:tc>
        <w:tc>
          <w:tcPr>
            <w:tcW w:w="943" w:type="dxa"/>
            <w:gridSpan w:val="2"/>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箱体部分</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108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OB001</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标准箱</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1.类型：标准箱</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2.尺寸：6055*2990*2730</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3.材料：镀锌钢立体结构、50mm厚玻璃棉夹芯板墙体</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套</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17</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159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OB002</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卫生间标准箱</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1.类型：卫生间标准箱</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2.箱体规格尺寸：6055mm*2990mm*2730mm镀锌钢立体结构，50mm厚玻璃棉夹芯板、每个厕所标准箱分成4个隔间。</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套</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010103002001</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箱体吊装、安装费</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1.箱体吊装、安装费</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套</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19</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箱体地面</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2355" w:hRule="atLeast"/>
          <w:jc w:val="center"/>
        </w:trPr>
        <w:tc>
          <w:tcPr>
            <w:tcW w:w="846" w:type="dxa"/>
            <w:tcBorders>
              <w:top w:val="single" w:color="auto" w:sz="4" w:space="0"/>
              <w:left w:val="single" w:color="000000" w:sz="8"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1534"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011102003001</w:t>
            </w:r>
          </w:p>
        </w:tc>
        <w:tc>
          <w:tcPr>
            <w:tcW w:w="131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块料楼地面</w:t>
            </w:r>
          </w:p>
        </w:tc>
        <w:tc>
          <w:tcPr>
            <w:tcW w:w="2486" w:type="dxa"/>
            <w:gridSpan w:val="4"/>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1.找平层厚度、砂浆配合比:20mm抹灰水泥砂浆(配合比) 中砂 1:2.5</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2.结合层厚度、砂浆配合比:20mm抹灰水泥砂浆(配合比) 中砂 1:2.5</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3.面层材料品种、规格、颜色:600*600抛光砖</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4.位置：17个标准箱</w:t>
            </w:r>
          </w:p>
        </w:tc>
        <w:tc>
          <w:tcPr>
            <w:tcW w:w="480"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m2</w:t>
            </w:r>
          </w:p>
        </w:tc>
        <w:tc>
          <w:tcPr>
            <w:tcW w:w="1206" w:type="dxa"/>
            <w:gridSpan w:val="3"/>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307.78</w:t>
            </w:r>
          </w:p>
        </w:tc>
        <w:tc>
          <w:tcPr>
            <w:tcW w:w="943"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65" w:hRule="atLeast"/>
          <w:jc w:val="center"/>
        </w:trPr>
        <w:tc>
          <w:tcPr>
            <w:tcW w:w="5958" w:type="dxa"/>
            <w:gridSpan w:val="7"/>
            <w:tcBorders>
              <w:top w:val="nil"/>
              <w:left w:val="nil"/>
              <w:bottom w:val="nil"/>
              <w:right w:val="nil"/>
            </w:tcBorders>
            <w:shd w:val="clear" w:color="FFFFFF" w:fill="FFFFFF"/>
          </w:tcPr>
          <w:p>
            <w:pPr>
              <w:widowControl/>
              <w:spacing w:after="0" w:line="240" w:lineRule="auto"/>
              <w:rPr>
                <w:rFonts w:hint="eastAsia" w:ascii="宋体" w:hAnsi="宋体" w:eastAsia="宋体" w:cs="宋体"/>
                <w:color w:val="auto"/>
                <w:kern w:val="0"/>
                <w:sz w:val="18"/>
                <w:szCs w:val="18"/>
                <w:highlight w:val="none"/>
              </w:rPr>
            </w:pPr>
          </w:p>
        </w:tc>
        <w:tc>
          <w:tcPr>
            <w:tcW w:w="1805" w:type="dxa"/>
            <w:gridSpan w:val="4"/>
            <w:tcBorders>
              <w:top w:val="nil"/>
              <w:left w:val="nil"/>
              <w:bottom w:val="nil"/>
              <w:right w:val="nil"/>
            </w:tcBorders>
            <w:shd w:val="clear" w:color="FFFFFF" w:fill="FFFFFF"/>
          </w:tcPr>
          <w:p>
            <w:pPr>
              <w:widowControl/>
              <w:spacing w:after="0" w:line="240" w:lineRule="auto"/>
              <w:rPr>
                <w:rFonts w:hint="eastAsia" w:ascii="宋体" w:hAnsi="宋体" w:eastAsia="宋体" w:cs="宋体"/>
                <w:color w:val="auto"/>
                <w:kern w:val="0"/>
                <w:sz w:val="18"/>
                <w:szCs w:val="18"/>
                <w:highlight w:val="none"/>
                <w:u w:val="single"/>
              </w:rPr>
            </w:pPr>
            <w:r>
              <w:rPr>
                <w:rFonts w:hint="eastAsia" w:ascii="宋体" w:hAnsi="宋体" w:eastAsia="宋体" w:cs="宋体"/>
                <w:color w:val="auto"/>
                <w:kern w:val="0"/>
                <w:sz w:val="18"/>
                <w:szCs w:val="18"/>
                <w:highlight w:val="none"/>
                <w:u w:val="single"/>
              </w:rPr>
              <w:t>　</w:t>
            </w:r>
          </w:p>
        </w:tc>
        <w:tc>
          <w:tcPr>
            <w:tcW w:w="2701" w:type="dxa"/>
            <w:gridSpan w:val="6"/>
            <w:tcBorders>
              <w:top w:val="nil"/>
              <w:left w:val="nil"/>
              <w:bottom w:val="nil"/>
              <w:right w:val="nil"/>
            </w:tcBorders>
            <w:shd w:val="clear" w:color="FFFFFF" w:fill="FFFFFF"/>
          </w:tcPr>
          <w:p>
            <w:pPr>
              <w:widowControl/>
              <w:spacing w:after="0" w:line="240" w:lineRule="auto"/>
              <w:jc w:val="righ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表—08</w:t>
            </w:r>
          </w:p>
        </w:tc>
      </w:tr>
      <w:tr>
        <w:tblPrEx>
          <w:tblCellMar>
            <w:top w:w="0" w:type="dxa"/>
            <w:left w:w="108" w:type="dxa"/>
            <w:bottom w:w="0" w:type="dxa"/>
            <w:right w:w="108" w:type="dxa"/>
          </w:tblCellMar>
        </w:tblPrEx>
        <w:trPr>
          <w:gridBefore w:val="1"/>
          <w:wBefore w:w="104" w:type="dxa"/>
          <w:trHeight w:val="2355" w:hRule="atLeast"/>
          <w:jc w:val="center"/>
        </w:trPr>
        <w:tc>
          <w:tcPr>
            <w:tcW w:w="846"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1534" w:type="dxa"/>
            <w:gridSpan w:val="2"/>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011102003002</w:t>
            </w:r>
          </w:p>
        </w:tc>
        <w:tc>
          <w:tcPr>
            <w:tcW w:w="1310"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块料楼地面</w:t>
            </w:r>
          </w:p>
        </w:tc>
        <w:tc>
          <w:tcPr>
            <w:tcW w:w="2486" w:type="dxa"/>
            <w:gridSpan w:val="4"/>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1.找平层厚度、砂浆配合比:20mm抹灰水泥砂浆(配合比) 中砂 1:2.5</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2.结合层厚度、砂浆配合比:20mm抹灰水泥砂浆(配合比) 中砂 1:2.5</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3.面层材料品种、规格、颜色:600*600防滑砖</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4.位置：2个卫生间标准箱</w:t>
            </w:r>
          </w:p>
        </w:tc>
        <w:tc>
          <w:tcPr>
            <w:tcW w:w="480"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m2</w:t>
            </w:r>
          </w:p>
        </w:tc>
        <w:tc>
          <w:tcPr>
            <w:tcW w:w="1206" w:type="dxa"/>
            <w:gridSpan w:val="3"/>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36.21</w:t>
            </w:r>
          </w:p>
        </w:tc>
        <w:tc>
          <w:tcPr>
            <w:tcW w:w="943" w:type="dxa"/>
            <w:gridSpan w:val="2"/>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single" w:color="auto" w:sz="4" w:space="0"/>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825"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040203007001</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水泥混凝土</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1.混凝土强度等级:C30混泥土路面</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2.厚度:10CM</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m2</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736</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825"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010401014001</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排水沟盖升高10cm,换铸铁沟盖</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p>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1.排水沟盖升高10cm,换铸铁沟盖</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2.成品铸铁沟盖600*300</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56</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雨棚、吊顶部分</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1335"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010901002001</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型材屋面</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1.型材品种、规格:镀锌扁管40mm*20mm*2mm</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2.面层材料品种、规格:50mm厚玻璃棉夹芯板</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3.钢结构重量：4.29KG/m2</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m2</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457.77</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3630" w:hRule="atLeast"/>
          <w:jc w:val="center"/>
        </w:trPr>
        <w:tc>
          <w:tcPr>
            <w:tcW w:w="846"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1534" w:type="dxa"/>
            <w:gridSpan w:val="2"/>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011302001001</w:t>
            </w:r>
          </w:p>
        </w:tc>
        <w:tc>
          <w:tcPr>
            <w:tcW w:w="131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吊顶天棚</w:t>
            </w:r>
          </w:p>
        </w:tc>
        <w:tc>
          <w:tcPr>
            <w:tcW w:w="2486" w:type="dxa"/>
            <w:gridSpan w:val="4"/>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xml:space="preserve">1.吊顶形式:不上人型U型轻钢龙骨吊顶，平面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2.龙骨材料种类、规格、中距:Φ6．5钢筋吊杆、双向吊点、中距900mm；U型轻钢主龙骨38mm×12mm×l.0mm，中距1000mm；次龙骨50mm×19mm×0.5mm，中距450mm；覆面横撑龙骨50mm×19mm×0．5mm，中距600mm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3.面层材料品种、规格、晶牌、颜色:方型铝扣板面层 600×600*1mm</w:t>
            </w:r>
          </w:p>
        </w:tc>
        <w:tc>
          <w:tcPr>
            <w:tcW w:w="48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m2</w:t>
            </w:r>
          </w:p>
        </w:tc>
        <w:tc>
          <w:tcPr>
            <w:tcW w:w="1206" w:type="dxa"/>
            <w:gridSpan w:val="3"/>
            <w:tcBorders>
              <w:top w:val="single" w:color="000000"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109.76</w:t>
            </w:r>
          </w:p>
        </w:tc>
        <w:tc>
          <w:tcPr>
            <w:tcW w:w="943" w:type="dxa"/>
            <w:gridSpan w:val="2"/>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36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措施项目</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36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11</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粤011701012001</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活动脚手架</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1.天棚活动脚手架</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m2</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109.76</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gridBefore w:val="1"/>
          <w:wBefore w:w="104" w:type="dxa"/>
          <w:trHeight w:val="36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12</w:t>
            </w:r>
          </w:p>
        </w:tc>
        <w:tc>
          <w:tcPr>
            <w:tcW w:w="1534"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041102001001</w:t>
            </w:r>
          </w:p>
        </w:tc>
        <w:tc>
          <w:tcPr>
            <w:tcW w:w="131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垫层模板</w:t>
            </w:r>
          </w:p>
        </w:tc>
        <w:tc>
          <w:tcPr>
            <w:tcW w:w="248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1.混凝土基础垫层 木模</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m2</w:t>
            </w:r>
          </w:p>
        </w:tc>
        <w:tc>
          <w:tcPr>
            <w:tcW w:w="1206"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28.04</w:t>
            </w:r>
          </w:p>
        </w:tc>
        <w:tc>
          <w:tcPr>
            <w:tcW w:w="943"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27"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32"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bl>
    <w:p>
      <w:pPr>
        <w:rPr>
          <w:color w:val="auto"/>
          <w:highlight w:val="none"/>
        </w:rPr>
      </w:pPr>
    </w:p>
    <w:p>
      <w:pPr>
        <w:rPr>
          <w:color w:val="auto"/>
          <w:highlight w:val="none"/>
        </w:rPr>
      </w:pPr>
    </w:p>
    <w:p>
      <w:pPr>
        <w:rPr>
          <w:color w:val="auto"/>
          <w:highlight w:val="none"/>
        </w:rPr>
      </w:pPr>
    </w:p>
    <w:p>
      <w:pPr>
        <w:rPr>
          <w:color w:val="auto"/>
          <w:highlight w:val="none"/>
        </w:rPr>
      </w:pPr>
    </w:p>
    <w:tbl>
      <w:tblPr>
        <w:tblStyle w:val="33"/>
        <w:tblW w:w="10440" w:type="dxa"/>
        <w:jc w:val="center"/>
        <w:tblLayout w:type="autofit"/>
        <w:tblCellMar>
          <w:top w:w="0" w:type="dxa"/>
          <w:left w:w="108" w:type="dxa"/>
          <w:bottom w:w="0" w:type="dxa"/>
          <w:right w:w="108" w:type="dxa"/>
        </w:tblCellMar>
      </w:tblPr>
      <w:tblGrid>
        <w:gridCol w:w="578"/>
        <w:gridCol w:w="1416"/>
        <w:gridCol w:w="1880"/>
        <w:gridCol w:w="1427"/>
        <w:gridCol w:w="756"/>
        <w:gridCol w:w="60"/>
        <w:gridCol w:w="1336"/>
        <w:gridCol w:w="696"/>
        <w:gridCol w:w="238"/>
        <w:gridCol w:w="936"/>
        <w:gridCol w:w="1117"/>
      </w:tblGrid>
      <w:tr>
        <w:tblPrEx>
          <w:tblCellMar>
            <w:top w:w="0" w:type="dxa"/>
            <w:left w:w="108" w:type="dxa"/>
            <w:bottom w:w="0" w:type="dxa"/>
            <w:right w:w="108" w:type="dxa"/>
          </w:tblCellMar>
        </w:tblPrEx>
        <w:trPr>
          <w:trHeight w:val="795" w:hRule="atLeast"/>
          <w:jc w:val="center"/>
        </w:trPr>
        <w:tc>
          <w:tcPr>
            <w:tcW w:w="10440" w:type="dxa"/>
            <w:gridSpan w:val="11"/>
            <w:tcBorders>
              <w:top w:val="nil"/>
              <w:left w:val="nil"/>
              <w:bottom w:val="nil"/>
              <w:right w:val="nil"/>
            </w:tcBorders>
            <w:shd w:val="clear" w:color="FFFFFF" w:fill="FFFFFF"/>
            <w:vAlign w:val="center"/>
          </w:tcPr>
          <w:p>
            <w:pPr>
              <w:widowControl/>
              <w:spacing w:after="0" w:line="240" w:lineRule="auto"/>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总价措施项目清单与计价表</w:t>
            </w:r>
          </w:p>
        </w:tc>
      </w:tr>
      <w:tr>
        <w:tblPrEx>
          <w:tblCellMar>
            <w:top w:w="0" w:type="dxa"/>
            <w:left w:w="108" w:type="dxa"/>
            <w:bottom w:w="0" w:type="dxa"/>
            <w:right w:w="108" w:type="dxa"/>
          </w:tblCellMar>
        </w:tblPrEx>
        <w:trPr>
          <w:trHeight w:val="825" w:hRule="atLeast"/>
          <w:jc w:val="center"/>
        </w:trPr>
        <w:tc>
          <w:tcPr>
            <w:tcW w:w="6040" w:type="dxa"/>
            <w:gridSpan w:val="5"/>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工程名称：猎德分公司北面应急值班室修缮项目-建筑部分</w:t>
            </w:r>
          </w:p>
        </w:tc>
        <w:tc>
          <w:tcPr>
            <w:tcW w:w="2100" w:type="dxa"/>
            <w:gridSpan w:val="3"/>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300" w:type="dxa"/>
            <w:gridSpan w:val="3"/>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1 页</w:t>
            </w:r>
          </w:p>
        </w:tc>
      </w:tr>
      <w:tr>
        <w:tblPrEx>
          <w:tblCellMar>
            <w:top w:w="0" w:type="dxa"/>
            <w:left w:w="108" w:type="dxa"/>
            <w:bottom w:w="0" w:type="dxa"/>
            <w:right w:w="108" w:type="dxa"/>
          </w:tblCellMar>
        </w:tblPrEx>
        <w:trPr>
          <w:trHeight w:val="825" w:hRule="atLeast"/>
          <w:jc w:val="center"/>
        </w:trPr>
        <w:tc>
          <w:tcPr>
            <w:tcW w:w="58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136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项目编码</w:t>
            </w:r>
          </w:p>
        </w:tc>
        <w:tc>
          <w:tcPr>
            <w:tcW w:w="190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项目名称</w:t>
            </w:r>
          </w:p>
        </w:tc>
        <w:tc>
          <w:tcPr>
            <w:tcW w:w="144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计算基础</w:t>
            </w:r>
          </w:p>
        </w:tc>
        <w:tc>
          <w:tcPr>
            <w:tcW w:w="82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费率</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w:t>
            </w:r>
          </w:p>
        </w:tc>
        <w:tc>
          <w:tcPr>
            <w:tcW w:w="134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金额</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(元)</w:t>
            </w:r>
          </w:p>
        </w:tc>
        <w:tc>
          <w:tcPr>
            <w:tcW w:w="94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调整费率</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w:t>
            </w:r>
          </w:p>
        </w:tc>
        <w:tc>
          <w:tcPr>
            <w:tcW w:w="94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调整后</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金额</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(元)</w:t>
            </w:r>
          </w:p>
        </w:tc>
        <w:tc>
          <w:tcPr>
            <w:tcW w:w="1120" w:type="dxa"/>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备注</w:t>
            </w:r>
          </w:p>
        </w:tc>
      </w:tr>
      <w:tr>
        <w:tblPrEx>
          <w:tblCellMar>
            <w:top w:w="0" w:type="dxa"/>
            <w:left w:w="108" w:type="dxa"/>
            <w:bottom w:w="0" w:type="dxa"/>
            <w:right w:w="108" w:type="dxa"/>
          </w:tblCellMar>
        </w:tblPrEx>
        <w:trPr>
          <w:trHeight w:val="1590" w:hRule="atLeast"/>
          <w:jc w:val="center"/>
        </w:trPr>
        <w:tc>
          <w:tcPr>
            <w:tcW w:w="58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36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LSSGCSF00001</w:t>
            </w:r>
          </w:p>
        </w:tc>
        <w:tc>
          <w:tcPr>
            <w:tcW w:w="19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绿色施工安全防护措施费</w:t>
            </w:r>
          </w:p>
        </w:tc>
        <w:tc>
          <w:tcPr>
            <w:tcW w:w="144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分部分项人工费+分部分项机具费</w:t>
            </w:r>
          </w:p>
        </w:tc>
        <w:tc>
          <w:tcPr>
            <w:tcW w:w="8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34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13743.46</w:t>
            </w:r>
          </w:p>
        </w:tc>
        <w:tc>
          <w:tcPr>
            <w:tcW w:w="94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12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p>
        </w:tc>
      </w:tr>
      <w:tr>
        <w:tblPrEx>
          <w:tblCellMar>
            <w:top w:w="0" w:type="dxa"/>
            <w:left w:w="108" w:type="dxa"/>
            <w:bottom w:w="0" w:type="dxa"/>
            <w:right w:w="108" w:type="dxa"/>
          </w:tblCellMar>
        </w:tblPrEx>
        <w:trPr>
          <w:trHeight w:val="2355" w:hRule="atLeast"/>
          <w:jc w:val="center"/>
        </w:trPr>
        <w:tc>
          <w:tcPr>
            <w:tcW w:w="580" w:type="dxa"/>
            <w:tcBorders>
              <w:top w:val="single" w:color="auto" w:sz="4" w:space="0"/>
              <w:left w:val="single" w:color="000000" w:sz="8"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36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WMGDZJF00001</w:t>
            </w:r>
          </w:p>
        </w:tc>
        <w:tc>
          <w:tcPr>
            <w:tcW w:w="190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文明工地增加费</w:t>
            </w:r>
          </w:p>
        </w:tc>
        <w:tc>
          <w:tcPr>
            <w:tcW w:w="144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分部分项人工费+分部分项机具费</w:t>
            </w:r>
          </w:p>
        </w:tc>
        <w:tc>
          <w:tcPr>
            <w:tcW w:w="820" w:type="dxa"/>
            <w:gridSpan w:val="2"/>
            <w:tcBorders>
              <w:top w:val="single" w:color="000000"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w:t>
            </w:r>
          </w:p>
        </w:tc>
        <w:tc>
          <w:tcPr>
            <w:tcW w:w="1340" w:type="dxa"/>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0" w:type="dxa"/>
            <w:gridSpan w:val="2"/>
            <w:tcBorders>
              <w:top w:val="single" w:color="000000" w:sz="4" w:space="0"/>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12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以分部分项的人工费与施工机具费之和为计算基础，市级文明工地为1.20%；省级文明工地为2.10%</w:t>
            </w:r>
          </w:p>
        </w:tc>
      </w:tr>
      <w:tr>
        <w:tblPrEx>
          <w:tblCellMar>
            <w:top w:w="0" w:type="dxa"/>
            <w:left w:w="108" w:type="dxa"/>
            <w:bottom w:w="0" w:type="dxa"/>
            <w:right w:w="108" w:type="dxa"/>
          </w:tblCellMar>
        </w:tblPrEx>
        <w:trPr>
          <w:trHeight w:val="825" w:hRule="atLeast"/>
          <w:jc w:val="center"/>
        </w:trPr>
        <w:tc>
          <w:tcPr>
            <w:tcW w:w="58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136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011707002001</w:t>
            </w:r>
          </w:p>
        </w:tc>
        <w:tc>
          <w:tcPr>
            <w:tcW w:w="19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夜间施工增加费</w:t>
            </w:r>
          </w:p>
        </w:tc>
        <w:tc>
          <w:tcPr>
            <w:tcW w:w="144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8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20</w:t>
            </w:r>
          </w:p>
        </w:tc>
        <w:tc>
          <w:tcPr>
            <w:tcW w:w="134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12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以夜间施工项目人工费的20%计算</w:t>
            </w:r>
          </w:p>
        </w:tc>
      </w:tr>
      <w:tr>
        <w:tblPrEx>
          <w:tblCellMar>
            <w:top w:w="0" w:type="dxa"/>
            <w:left w:w="108" w:type="dxa"/>
            <w:bottom w:w="0" w:type="dxa"/>
            <w:right w:w="108" w:type="dxa"/>
          </w:tblCellMar>
        </w:tblPrEx>
        <w:trPr>
          <w:trHeight w:val="2865" w:hRule="atLeast"/>
          <w:jc w:val="center"/>
        </w:trPr>
        <w:tc>
          <w:tcPr>
            <w:tcW w:w="58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36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GGCSF0000001</w:t>
            </w:r>
          </w:p>
        </w:tc>
        <w:tc>
          <w:tcPr>
            <w:tcW w:w="19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赶工措施费</w:t>
            </w:r>
          </w:p>
        </w:tc>
        <w:tc>
          <w:tcPr>
            <w:tcW w:w="144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分部分项人工费+分部分项机具费</w:t>
            </w:r>
          </w:p>
        </w:tc>
        <w:tc>
          <w:tcPr>
            <w:tcW w:w="8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w:t>
            </w:r>
          </w:p>
        </w:tc>
        <w:tc>
          <w:tcPr>
            <w:tcW w:w="134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12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赶工措施费=（1-δ）*分部分项的（人工费+施工机具费）*0.3 （0.8≤δ＜1   式中：δ=合同工期/定额工期）</w:t>
            </w:r>
          </w:p>
        </w:tc>
      </w:tr>
      <w:tr>
        <w:tblPrEx>
          <w:tblCellMar>
            <w:top w:w="0" w:type="dxa"/>
            <w:left w:w="108" w:type="dxa"/>
            <w:bottom w:w="0" w:type="dxa"/>
            <w:right w:w="108" w:type="dxa"/>
          </w:tblCellMar>
        </w:tblPrEx>
        <w:trPr>
          <w:trHeight w:val="825" w:hRule="atLeast"/>
          <w:jc w:val="center"/>
        </w:trPr>
        <w:tc>
          <w:tcPr>
            <w:tcW w:w="58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136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QTFY00000001</w:t>
            </w:r>
          </w:p>
        </w:tc>
        <w:tc>
          <w:tcPr>
            <w:tcW w:w="19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其他费用</w:t>
            </w:r>
          </w:p>
        </w:tc>
        <w:tc>
          <w:tcPr>
            <w:tcW w:w="144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8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4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4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12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按经批准的专项施工组织方案计算</w:t>
            </w:r>
          </w:p>
        </w:tc>
      </w:tr>
    </w:tbl>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rPr>
          <w:rFonts w:hint="eastAsia"/>
          <w:color w:val="auto"/>
          <w:highlight w:val="none"/>
        </w:rPr>
      </w:pPr>
    </w:p>
    <w:tbl>
      <w:tblPr>
        <w:tblStyle w:val="33"/>
        <w:tblW w:w="10420" w:type="dxa"/>
        <w:jc w:val="center"/>
        <w:tblLayout w:type="autofit"/>
        <w:tblCellMar>
          <w:top w:w="0" w:type="dxa"/>
          <w:left w:w="108" w:type="dxa"/>
          <w:bottom w:w="0" w:type="dxa"/>
          <w:right w:w="108" w:type="dxa"/>
        </w:tblCellMar>
      </w:tblPr>
      <w:tblGrid>
        <w:gridCol w:w="1060"/>
        <w:gridCol w:w="4000"/>
        <w:gridCol w:w="940"/>
        <w:gridCol w:w="940"/>
        <w:gridCol w:w="880"/>
        <w:gridCol w:w="820"/>
        <w:gridCol w:w="1780"/>
      </w:tblGrid>
      <w:tr>
        <w:tblPrEx>
          <w:tblCellMar>
            <w:top w:w="0" w:type="dxa"/>
            <w:left w:w="108" w:type="dxa"/>
            <w:bottom w:w="0" w:type="dxa"/>
            <w:right w:w="108" w:type="dxa"/>
          </w:tblCellMar>
        </w:tblPrEx>
        <w:trPr>
          <w:trHeight w:val="360" w:hRule="atLeast"/>
          <w:jc w:val="center"/>
        </w:trPr>
        <w:tc>
          <w:tcPr>
            <w:tcW w:w="7820" w:type="dxa"/>
            <w:gridSpan w:val="5"/>
            <w:tcBorders>
              <w:top w:val="nil"/>
              <w:left w:val="nil"/>
              <w:bottom w:val="nil"/>
              <w:right w:val="nil"/>
            </w:tcBorders>
            <w:shd w:val="clear" w:color="FFFFFF" w:fill="FFFFFF"/>
            <w:vAlign w:val="center"/>
          </w:tcPr>
          <w:p>
            <w:pPr>
              <w:widowControl/>
              <w:spacing w:after="0" w:line="240" w:lineRule="auto"/>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　</w:t>
            </w:r>
          </w:p>
        </w:tc>
        <w:tc>
          <w:tcPr>
            <w:tcW w:w="2600" w:type="dxa"/>
            <w:gridSpan w:val="2"/>
            <w:tcBorders>
              <w:top w:val="nil"/>
              <w:left w:val="nil"/>
              <w:bottom w:val="nil"/>
              <w:right w:val="nil"/>
            </w:tcBorders>
            <w:shd w:val="clear" w:color="FFFFFF" w:fill="FFFFFF"/>
            <w:vAlign w:val="center"/>
          </w:tcPr>
          <w:p>
            <w:pPr>
              <w:widowControl/>
              <w:spacing w:after="0" w:line="240" w:lineRule="auto"/>
              <w:jc w:val="righ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w:t>
            </w:r>
          </w:p>
        </w:tc>
      </w:tr>
      <w:tr>
        <w:tblPrEx>
          <w:tblCellMar>
            <w:top w:w="0" w:type="dxa"/>
            <w:left w:w="108" w:type="dxa"/>
            <w:bottom w:w="0" w:type="dxa"/>
            <w:right w:w="108" w:type="dxa"/>
          </w:tblCellMar>
        </w:tblPrEx>
        <w:trPr>
          <w:trHeight w:val="795" w:hRule="atLeast"/>
          <w:jc w:val="center"/>
        </w:trPr>
        <w:tc>
          <w:tcPr>
            <w:tcW w:w="10420" w:type="dxa"/>
            <w:gridSpan w:val="7"/>
            <w:tcBorders>
              <w:top w:val="nil"/>
              <w:left w:val="nil"/>
              <w:bottom w:val="nil"/>
              <w:right w:val="nil"/>
            </w:tcBorders>
            <w:shd w:val="clear" w:color="FFFFFF" w:fill="FFFFFF"/>
            <w:vAlign w:val="center"/>
          </w:tcPr>
          <w:p>
            <w:pPr>
              <w:widowControl/>
              <w:spacing w:after="0" w:line="240" w:lineRule="auto"/>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其他项目清单与计价汇总表</w:t>
            </w:r>
          </w:p>
        </w:tc>
      </w:tr>
      <w:tr>
        <w:tblPrEx>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工程名称：猎德分公司北面应急值班室修缮项目-建筑部分</w:t>
            </w:r>
          </w:p>
        </w:tc>
        <w:tc>
          <w:tcPr>
            <w:tcW w:w="1820" w:type="dxa"/>
            <w:gridSpan w:val="2"/>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600" w:type="dxa"/>
            <w:gridSpan w:val="2"/>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1 页</w:t>
            </w:r>
          </w:p>
        </w:tc>
      </w:tr>
      <w:tr>
        <w:tblPrEx>
          <w:tblCellMar>
            <w:top w:w="0" w:type="dxa"/>
            <w:left w:w="108" w:type="dxa"/>
            <w:bottom w:w="0" w:type="dxa"/>
            <w:right w:w="108" w:type="dxa"/>
          </w:tblCellMar>
        </w:tblPrEx>
        <w:trPr>
          <w:trHeight w:val="375" w:hRule="atLeast"/>
          <w:jc w:val="center"/>
        </w:trPr>
        <w:tc>
          <w:tcPr>
            <w:tcW w:w="106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400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项目名称</w:t>
            </w:r>
          </w:p>
        </w:tc>
        <w:tc>
          <w:tcPr>
            <w:tcW w:w="188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金额（元）</w:t>
            </w:r>
          </w:p>
        </w:tc>
        <w:tc>
          <w:tcPr>
            <w:tcW w:w="170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结算金额（元）</w:t>
            </w:r>
          </w:p>
        </w:tc>
        <w:tc>
          <w:tcPr>
            <w:tcW w:w="1780" w:type="dxa"/>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备注</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暂列金额</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43199.64</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明细详见表-12-1</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暂估价</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2.1</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材料暂估价</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明细详见表-12-2</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2.2</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专业工程暂估价</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明细详见表-12-3</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计日工</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明细详见表-12-4</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总承包服务费</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明细详见表-12-5</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预算包干费</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工程优质费</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概算幅度差</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现场签证费用</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索赔费用</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其他费用</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00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bl>
    <w:p>
      <w:pPr>
        <w:rPr>
          <w:color w:val="auto"/>
          <w:highlight w:val="none"/>
        </w:rPr>
      </w:pPr>
    </w:p>
    <w:tbl>
      <w:tblPr>
        <w:tblStyle w:val="33"/>
        <w:tblW w:w="10420" w:type="dxa"/>
        <w:jc w:val="center"/>
        <w:tblLayout w:type="autofit"/>
        <w:tblCellMar>
          <w:top w:w="0" w:type="dxa"/>
          <w:left w:w="108" w:type="dxa"/>
          <w:bottom w:w="0" w:type="dxa"/>
          <w:right w:w="108" w:type="dxa"/>
        </w:tblCellMar>
      </w:tblPr>
      <w:tblGrid>
        <w:gridCol w:w="1180"/>
        <w:gridCol w:w="4480"/>
        <w:gridCol w:w="340"/>
        <w:gridCol w:w="880"/>
        <w:gridCol w:w="940"/>
        <w:gridCol w:w="880"/>
        <w:gridCol w:w="1720"/>
      </w:tblGrid>
      <w:tr>
        <w:tblPrEx>
          <w:tblCellMar>
            <w:top w:w="0" w:type="dxa"/>
            <w:left w:w="108" w:type="dxa"/>
            <w:bottom w:w="0" w:type="dxa"/>
            <w:right w:w="108" w:type="dxa"/>
          </w:tblCellMar>
        </w:tblPrEx>
        <w:trPr>
          <w:trHeight w:val="360" w:hRule="atLeast"/>
          <w:jc w:val="center"/>
        </w:trPr>
        <w:tc>
          <w:tcPr>
            <w:tcW w:w="7820" w:type="dxa"/>
            <w:gridSpan w:val="5"/>
            <w:tcBorders>
              <w:top w:val="nil"/>
              <w:left w:val="nil"/>
              <w:bottom w:val="nil"/>
              <w:right w:val="nil"/>
            </w:tcBorders>
            <w:shd w:val="clear" w:color="FFFFFF" w:fill="FFFFFF"/>
            <w:vAlign w:val="center"/>
          </w:tcPr>
          <w:p>
            <w:pPr>
              <w:widowControl/>
              <w:spacing w:after="0" w:line="240" w:lineRule="auto"/>
              <w:rPr>
                <w:rFonts w:hint="eastAsia" w:ascii="宋体" w:hAnsi="宋体" w:eastAsia="宋体" w:cs="宋体"/>
                <w:color w:val="auto"/>
                <w:kern w:val="0"/>
                <w:sz w:val="18"/>
                <w:szCs w:val="18"/>
                <w:highlight w:val="none"/>
              </w:rPr>
            </w:pPr>
          </w:p>
        </w:tc>
        <w:tc>
          <w:tcPr>
            <w:tcW w:w="2600" w:type="dxa"/>
            <w:gridSpan w:val="2"/>
            <w:tcBorders>
              <w:top w:val="nil"/>
              <w:left w:val="nil"/>
              <w:bottom w:val="nil"/>
              <w:right w:val="nil"/>
            </w:tcBorders>
            <w:shd w:val="clear" w:color="FFFFFF" w:fill="FFFFFF"/>
            <w:vAlign w:val="center"/>
          </w:tcPr>
          <w:p>
            <w:pPr>
              <w:widowControl/>
              <w:spacing w:after="0" w:line="240" w:lineRule="auto"/>
              <w:jc w:val="righ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w:t>
            </w:r>
          </w:p>
        </w:tc>
      </w:tr>
      <w:tr>
        <w:tblPrEx>
          <w:tblCellMar>
            <w:top w:w="0" w:type="dxa"/>
            <w:left w:w="108" w:type="dxa"/>
            <w:bottom w:w="0" w:type="dxa"/>
            <w:right w:w="108" w:type="dxa"/>
          </w:tblCellMar>
        </w:tblPrEx>
        <w:trPr>
          <w:trHeight w:val="795" w:hRule="atLeast"/>
          <w:jc w:val="center"/>
        </w:trPr>
        <w:tc>
          <w:tcPr>
            <w:tcW w:w="10420" w:type="dxa"/>
            <w:gridSpan w:val="7"/>
            <w:tcBorders>
              <w:top w:val="nil"/>
              <w:left w:val="nil"/>
              <w:bottom w:val="nil"/>
              <w:right w:val="nil"/>
            </w:tcBorders>
            <w:shd w:val="clear" w:color="FFFFFF" w:fill="FFFFFF"/>
            <w:vAlign w:val="center"/>
          </w:tcPr>
          <w:p>
            <w:pPr>
              <w:widowControl/>
              <w:spacing w:after="0" w:line="240" w:lineRule="auto"/>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暂列金额明细表</w:t>
            </w:r>
          </w:p>
        </w:tc>
      </w:tr>
      <w:tr>
        <w:tblPrEx>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工程名称：猎德分公司北面应急值班室修缮项目-建筑部分</w:t>
            </w:r>
          </w:p>
        </w:tc>
        <w:tc>
          <w:tcPr>
            <w:tcW w:w="1820" w:type="dxa"/>
            <w:gridSpan w:val="2"/>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600" w:type="dxa"/>
            <w:gridSpan w:val="2"/>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1 页</w:t>
            </w:r>
          </w:p>
        </w:tc>
      </w:tr>
      <w:tr>
        <w:tblPrEx>
          <w:tblCellMar>
            <w:top w:w="0" w:type="dxa"/>
            <w:left w:w="108" w:type="dxa"/>
            <w:bottom w:w="0" w:type="dxa"/>
            <w:right w:w="108" w:type="dxa"/>
          </w:tblCellMar>
        </w:tblPrEx>
        <w:trPr>
          <w:trHeight w:val="570" w:hRule="atLeast"/>
          <w:jc w:val="center"/>
        </w:trPr>
        <w:tc>
          <w:tcPr>
            <w:tcW w:w="118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448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名称</w:t>
            </w:r>
          </w:p>
        </w:tc>
        <w:tc>
          <w:tcPr>
            <w:tcW w:w="122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计量单位</w:t>
            </w:r>
          </w:p>
        </w:tc>
        <w:tc>
          <w:tcPr>
            <w:tcW w:w="182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暂定金额</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（元）</w:t>
            </w:r>
          </w:p>
        </w:tc>
        <w:tc>
          <w:tcPr>
            <w:tcW w:w="1720" w:type="dxa"/>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备注</w:t>
            </w:r>
          </w:p>
        </w:tc>
      </w:tr>
      <w:tr>
        <w:tblPrEx>
          <w:tblCellMar>
            <w:top w:w="0" w:type="dxa"/>
            <w:left w:w="108" w:type="dxa"/>
            <w:bottom w:w="0" w:type="dxa"/>
            <w:right w:w="108" w:type="dxa"/>
          </w:tblCellMar>
        </w:tblPrEx>
        <w:trPr>
          <w:trHeight w:val="344" w:hRule="atLeast"/>
          <w:jc w:val="center"/>
        </w:trPr>
        <w:tc>
          <w:tcPr>
            <w:tcW w:w="118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4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暂列金额</w:t>
            </w:r>
          </w:p>
        </w:tc>
        <w:tc>
          <w:tcPr>
            <w:tcW w:w="12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元</w:t>
            </w:r>
          </w:p>
        </w:tc>
        <w:tc>
          <w:tcPr>
            <w:tcW w:w="18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43199.64</w:t>
            </w:r>
          </w:p>
        </w:tc>
        <w:tc>
          <w:tcPr>
            <w:tcW w:w="172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8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8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2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8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8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2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bl>
    <w:p>
      <w:pPr>
        <w:rPr>
          <w:color w:val="auto"/>
          <w:highlight w:val="none"/>
        </w:rPr>
      </w:pPr>
    </w:p>
    <w:p>
      <w:pPr>
        <w:rPr>
          <w:color w:val="auto"/>
          <w:highlight w:val="none"/>
        </w:rPr>
      </w:pPr>
    </w:p>
    <w:p>
      <w:pPr>
        <w:rPr>
          <w:color w:val="auto"/>
          <w:highlight w:val="none"/>
        </w:rPr>
      </w:pPr>
    </w:p>
    <w:p>
      <w:pPr>
        <w:rPr>
          <w:color w:val="auto"/>
          <w:highlight w:val="none"/>
        </w:rPr>
      </w:pPr>
    </w:p>
    <w:tbl>
      <w:tblPr>
        <w:tblStyle w:val="33"/>
        <w:tblW w:w="10440" w:type="dxa"/>
        <w:jc w:val="center"/>
        <w:tblLayout w:type="autofit"/>
        <w:tblCellMar>
          <w:top w:w="0" w:type="dxa"/>
          <w:left w:w="108" w:type="dxa"/>
          <w:bottom w:w="0" w:type="dxa"/>
          <w:right w:w="108" w:type="dxa"/>
        </w:tblCellMar>
      </w:tblPr>
      <w:tblGrid>
        <w:gridCol w:w="920"/>
        <w:gridCol w:w="2420"/>
        <w:gridCol w:w="2680"/>
        <w:gridCol w:w="200"/>
        <w:gridCol w:w="1600"/>
        <w:gridCol w:w="20"/>
        <w:gridCol w:w="1000"/>
        <w:gridCol w:w="1600"/>
      </w:tblGrid>
      <w:tr>
        <w:tblPrEx>
          <w:tblCellMar>
            <w:top w:w="0" w:type="dxa"/>
            <w:left w:w="108" w:type="dxa"/>
            <w:bottom w:w="0" w:type="dxa"/>
            <w:right w:w="108" w:type="dxa"/>
          </w:tblCellMar>
        </w:tblPrEx>
        <w:trPr>
          <w:trHeight w:val="795" w:hRule="atLeast"/>
          <w:jc w:val="center"/>
        </w:trPr>
        <w:tc>
          <w:tcPr>
            <w:tcW w:w="10440" w:type="dxa"/>
            <w:gridSpan w:val="8"/>
            <w:tcBorders>
              <w:top w:val="nil"/>
              <w:left w:val="nil"/>
              <w:bottom w:val="nil"/>
              <w:right w:val="nil"/>
            </w:tcBorders>
            <w:shd w:val="clear" w:color="FFFFFF" w:fill="FFFFFF"/>
            <w:vAlign w:val="center"/>
          </w:tcPr>
          <w:p>
            <w:pPr>
              <w:widowControl/>
              <w:spacing w:after="0" w:line="240" w:lineRule="auto"/>
              <w:jc w:val="center"/>
              <w:rPr>
                <w:rFonts w:ascii="宋体" w:hAnsi="宋体" w:eastAsia="宋体" w:cs="宋体"/>
                <w:b/>
                <w:bCs/>
                <w:color w:val="auto"/>
                <w:kern w:val="0"/>
                <w:sz w:val="40"/>
                <w:szCs w:val="40"/>
                <w:highlight w:val="none"/>
              </w:rPr>
            </w:pPr>
          </w:p>
          <w:p>
            <w:pPr>
              <w:widowControl/>
              <w:spacing w:after="0" w:line="240" w:lineRule="auto"/>
              <w:jc w:val="center"/>
              <w:rPr>
                <w:rFonts w:ascii="宋体" w:hAnsi="宋体" w:eastAsia="宋体" w:cs="宋体"/>
                <w:b/>
                <w:bCs/>
                <w:color w:val="auto"/>
                <w:kern w:val="0"/>
                <w:sz w:val="40"/>
                <w:szCs w:val="40"/>
                <w:highlight w:val="none"/>
              </w:rPr>
            </w:pPr>
          </w:p>
          <w:p>
            <w:pPr>
              <w:widowControl/>
              <w:spacing w:after="0" w:line="240" w:lineRule="auto"/>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费、税金项目清单与计价表</w:t>
            </w:r>
          </w:p>
        </w:tc>
      </w:tr>
      <w:tr>
        <w:tblPrEx>
          <w:tblCellMar>
            <w:top w:w="0" w:type="dxa"/>
            <w:left w:w="108" w:type="dxa"/>
            <w:bottom w:w="0" w:type="dxa"/>
            <w:right w:w="108" w:type="dxa"/>
          </w:tblCellMar>
        </w:tblPrEx>
        <w:trPr>
          <w:trHeight w:val="570" w:hRule="atLeast"/>
          <w:jc w:val="center"/>
        </w:trPr>
        <w:tc>
          <w:tcPr>
            <w:tcW w:w="6020" w:type="dxa"/>
            <w:gridSpan w:val="3"/>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工程名称：猎德分公司北面应急值班室修缮项目-建筑部分</w:t>
            </w:r>
          </w:p>
        </w:tc>
        <w:tc>
          <w:tcPr>
            <w:tcW w:w="1820" w:type="dxa"/>
            <w:gridSpan w:val="3"/>
            <w:tcBorders>
              <w:top w:val="nil"/>
              <w:left w:val="nil"/>
              <w:bottom w:val="nil"/>
              <w:right w:val="nil"/>
            </w:tcBorders>
            <w:shd w:val="clear" w:color="FFFFFF" w:fill="FFFFFF"/>
            <w:vAlign w:val="bottom"/>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600" w:type="dxa"/>
            <w:gridSpan w:val="2"/>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1 页</w:t>
            </w:r>
          </w:p>
        </w:tc>
      </w:tr>
      <w:tr>
        <w:tblPrEx>
          <w:tblCellMar>
            <w:top w:w="0" w:type="dxa"/>
            <w:left w:w="108" w:type="dxa"/>
            <w:bottom w:w="0" w:type="dxa"/>
            <w:right w:w="108" w:type="dxa"/>
          </w:tblCellMar>
        </w:tblPrEx>
        <w:trPr>
          <w:trHeight w:val="570" w:hRule="atLeast"/>
          <w:jc w:val="center"/>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242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项目名称</w:t>
            </w:r>
          </w:p>
        </w:tc>
        <w:tc>
          <w:tcPr>
            <w:tcW w:w="288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计算基础</w:t>
            </w:r>
          </w:p>
        </w:tc>
        <w:tc>
          <w:tcPr>
            <w:tcW w:w="160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计算基数</w:t>
            </w:r>
          </w:p>
        </w:tc>
        <w:tc>
          <w:tcPr>
            <w:tcW w:w="102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计算费率</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w:t>
            </w:r>
          </w:p>
        </w:tc>
        <w:tc>
          <w:tcPr>
            <w:tcW w:w="1600" w:type="dxa"/>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金额(元)</w:t>
            </w:r>
          </w:p>
        </w:tc>
      </w:tr>
      <w:tr>
        <w:tblPrEx>
          <w:tblCellMar>
            <w:top w:w="0" w:type="dxa"/>
            <w:left w:w="108" w:type="dxa"/>
            <w:bottom w:w="0" w:type="dxa"/>
            <w:right w:w="108" w:type="dxa"/>
          </w:tblCellMar>
        </w:tblPrEx>
        <w:trPr>
          <w:trHeight w:val="570" w:hRule="atLeast"/>
          <w:jc w:val="center"/>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242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增值税销项税额</w:t>
            </w:r>
          </w:p>
        </w:tc>
        <w:tc>
          <w:tcPr>
            <w:tcW w:w="2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分部分项合计+措施合计+其他项目</w:t>
            </w:r>
          </w:p>
        </w:tc>
        <w:tc>
          <w:tcPr>
            <w:tcW w:w="160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0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w:t>
            </w:r>
          </w:p>
        </w:tc>
        <w:tc>
          <w:tcPr>
            <w:tcW w:w="160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r>
      <w:tr>
        <w:tblPrEx>
          <w:tblCellMar>
            <w:top w:w="0" w:type="dxa"/>
            <w:left w:w="108" w:type="dxa"/>
            <w:bottom w:w="0" w:type="dxa"/>
            <w:right w:w="108" w:type="dxa"/>
          </w:tblCellMar>
        </w:tblPrEx>
        <w:trPr>
          <w:trHeight w:val="360" w:hRule="atLeast"/>
          <w:jc w:val="center"/>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242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2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0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0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0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242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2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0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0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0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bl>
    <w:p>
      <w:pPr>
        <w:rPr>
          <w:color w:val="auto"/>
          <w:highlight w:val="none"/>
        </w:rPr>
      </w:pPr>
    </w:p>
    <w:p>
      <w:pPr>
        <w:rPr>
          <w:color w:val="auto"/>
          <w:highlight w:val="none"/>
        </w:rPr>
      </w:pPr>
    </w:p>
    <w:tbl>
      <w:tblPr>
        <w:tblStyle w:val="33"/>
        <w:tblW w:w="10440" w:type="dxa"/>
        <w:jc w:val="center"/>
        <w:tblLayout w:type="autofit"/>
        <w:tblCellMar>
          <w:top w:w="0" w:type="dxa"/>
          <w:left w:w="108" w:type="dxa"/>
          <w:bottom w:w="0" w:type="dxa"/>
          <w:right w:w="108" w:type="dxa"/>
        </w:tblCellMar>
      </w:tblPr>
      <w:tblGrid>
        <w:gridCol w:w="1160"/>
        <w:gridCol w:w="4780"/>
        <w:gridCol w:w="80"/>
        <w:gridCol w:w="1820"/>
        <w:gridCol w:w="640"/>
        <w:gridCol w:w="1960"/>
      </w:tblGrid>
      <w:tr>
        <w:tblPrEx>
          <w:tblCellMar>
            <w:top w:w="0" w:type="dxa"/>
            <w:left w:w="108" w:type="dxa"/>
            <w:bottom w:w="0" w:type="dxa"/>
            <w:right w:w="108" w:type="dxa"/>
          </w:tblCellMar>
        </w:tblPrEx>
        <w:trPr>
          <w:trHeight w:val="795" w:hRule="atLeast"/>
          <w:jc w:val="center"/>
        </w:trPr>
        <w:tc>
          <w:tcPr>
            <w:tcW w:w="10440" w:type="dxa"/>
            <w:gridSpan w:val="6"/>
            <w:tcBorders>
              <w:top w:val="nil"/>
              <w:left w:val="nil"/>
              <w:bottom w:val="nil"/>
              <w:right w:val="nil"/>
            </w:tcBorders>
            <w:shd w:val="clear" w:color="FFFFFF" w:fill="FFFFFF"/>
            <w:vAlign w:val="center"/>
          </w:tcPr>
          <w:p>
            <w:pPr>
              <w:widowControl/>
              <w:spacing w:after="0" w:line="240" w:lineRule="auto"/>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单位工程投标报价汇总表</w:t>
            </w:r>
          </w:p>
        </w:tc>
      </w:tr>
      <w:tr>
        <w:tblPrEx>
          <w:tblCellMar>
            <w:top w:w="0" w:type="dxa"/>
            <w:left w:w="108" w:type="dxa"/>
            <w:bottom w:w="0" w:type="dxa"/>
            <w:right w:w="108" w:type="dxa"/>
          </w:tblCellMar>
        </w:tblPrEx>
        <w:trPr>
          <w:trHeight w:val="570" w:hRule="atLeast"/>
          <w:jc w:val="center"/>
        </w:trPr>
        <w:tc>
          <w:tcPr>
            <w:tcW w:w="6020" w:type="dxa"/>
            <w:gridSpan w:val="3"/>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工程名称：猎德分公司北面应急值班室修缮项目-安装部分</w:t>
            </w:r>
          </w:p>
        </w:tc>
        <w:tc>
          <w:tcPr>
            <w:tcW w:w="1820" w:type="dxa"/>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600" w:type="dxa"/>
            <w:gridSpan w:val="2"/>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1 页</w:t>
            </w:r>
          </w:p>
        </w:tc>
      </w:tr>
      <w:tr>
        <w:tblPrEx>
          <w:tblCellMar>
            <w:top w:w="0" w:type="dxa"/>
            <w:left w:w="108" w:type="dxa"/>
            <w:bottom w:w="0" w:type="dxa"/>
            <w:right w:w="108" w:type="dxa"/>
          </w:tblCellMar>
        </w:tblPrEx>
        <w:trPr>
          <w:trHeight w:val="375" w:hRule="atLeast"/>
          <w:jc w:val="center"/>
        </w:trPr>
        <w:tc>
          <w:tcPr>
            <w:tcW w:w="116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478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汇总内容</w:t>
            </w:r>
          </w:p>
        </w:tc>
        <w:tc>
          <w:tcPr>
            <w:tcW w:w="2540" w:type="dxa"/>
            <w:gridSpan w:val="3"/>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金额:(元)</w:t>
            </w:r>
          </w:p>
        </w:tc>
        <w:tc>
          <w:tcPr>
            <w:tcW w:w="1960" w:type="dxa"/>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其中：暂估价(元)</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分部分项合计</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1.1</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空调部分</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1.2</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强电部分</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1.3</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给排水部分</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1.4</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监控部分</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1.5</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网络部分</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洁具部分</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1.7</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消防部分</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措施合计</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2.1</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绿色施工安全防护措施费</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8252.71</w:t>
            </w: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2.2</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其他措施费</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其他项目</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3.1</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暂列金额</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10187.09</w:t>
            </w: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暂估价</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single" w:color="auto" w:sz="4" w:space="0"/>
              <w:left w:val="single" w:color="000000" w:sz="8"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3.3</w:t>
            </w:r>
          </w:p>
        </w:tc>
        <w:tc>
          <w:tcPr>
            <w:tcW w:w="478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计日工</w:t>
            </w:r>
          </w:p>
        </w:tc>
        <w:tc>
          <w:tcPr>
            <w:tcW w:w="2540" w:type="dxa"/>
            <w:gridSpan w:val="3"/>
            <w:tcBorders>
              <w:top w:val="single" w:color="000000"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3.4</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总承包服务费</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3.5</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预算包干费</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3.6</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工程优质费</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3.7</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概算幅度差</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3.8</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索赔费用</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3.9</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现场签证费用</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3.10</w:t>
            </w:r>
          </w:p>
        </w:tc>
        <w:tc>
          <w:tcPr>
            <w:tcW w:w="4780"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其他费用</w:t>
            </w:r>
          </w:p>
        </w:tc>
        <w:tc>
          <w:tcPr>
            <w:tcW w:w="2540" w:type="dxa"/>
            <w:gridSpan w:val="3"/>
            <w:tcBorders>
              <w:top w:val="single" w:color="000000"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4780"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税前工程造价</w:t>
            </w:r>
          </w:p>
        </w:tc>
        <w:tc>
          <w:tcPr>
            <w:tcW w:w="2540" w:type="dxa"/>
            <w:gridSpan w:val="3"/>
            <w:tcBorders>
              <w:top w:val="single" w:color="000000"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增值税销项税额</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总造价</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1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w:t>
            </w:r>
          </w:p>
        </w:tc>
        <w:tc>
          <w:tcPr>
            <w:tcW w:w="47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人工费</w:t>
            </w:r>
          </w:p>
        </w:tc>
        <w:tc>
          <w:tcPr>
            <w:tcW w:w="25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5940"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投标报价合计=1+2+3+5</w:t>
            </w:r>
          </w:p>
        </w:tc>
        <w:tc>
          <w:tcPr>
            <w:tcW w:w="2540" w:type="dxa"/>
            <w:gridSpan w:val="3"/>
            <w:tcBorders>
              <w:top w:val="single" w:color="000000" w:sz="4" w:space="0"/>
              <w:left w:val="nil"/>
              <w:bottom w:val="single" w:color="000000" w:sz="8"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960" w:type="dxa"/>
            <w:tcBorders>
              <w:top w:val="nil"/>
              <w:left w:val="nil"/>
              <w:bottom w:val="single" w:color="000000" w:sz="8"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w:t>
            </w:r>
          </w:p>
        </w:tc>
      </w:tr>
      <w:tr>
        <w:tblPrEx>
          <w:tblCellMar>
            <w:top w:w="0" w:type="dxa"/>
            <w:left w:w="108" w:type="dxa"/>
            <w:bottom w:w="0" w:type="dxa"/>
            <w:right w:w="108" w:type="dxa"/>
          </w:tblCellMar>
        </w:tblPrEx>
        <w:trPr>
          <w:trHeight w:val="360" w:hRule="atLeast"/>
          <w:jc w:val="center"/>
        </w:trPr>
        <w:tc>
          <w:tcPr>
            <w:tcW w:w="10440" w:type="dxa"/>
            <w:gridSpan w:val="6"/>
            <w:tcBorders>
              <w:top w:val="nil"/>
              <w:left w:val="nil"/>
              <w:bottom w:val="nil"/>
              <w:right w:val="nil"/>
            </w:tcBorders>
            <w:shd w:val="clear" w:color="FFFFFF" w:fill="FFFFFF"/>
          </w:tcPr>
          <w:p>
            <w:pPr>
              <w:widowControl/>
              <w:spacing w:after="0" w:line="240" w:lineRule="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注：本表适用于单位工程招标控制价或投标报价的汇总，如无单位工程划分，单项工程也使用本表汇总</w:t>
            </w:r>
          </w:p>
        </w:tc>
      </w:tr>
    </w:tbl>
    <w:p>
      <w:pPr>
        <w:rPr>
          <w:color w:val="auto"/>
          <w:highlight w:val="none"/>
        </w:rPr>
      </w:pPr>
    </w:p>
    <w:tbl>
      <w:tblPr>
        <w:tblStyle w:val="33"/>
        <w:tblW w:w="10460" w:type="dxa"/>
        <w:jc w:val="center"/>
        <w:tblLayout w:type="autofit"/>
        <w:tblCellMar>
          <w:top w:w="0" w:type="dxa"/>
          <w:left w:w="108" w:type="dxa"/>
          <w:bottom w:w="0" w:type="dxa"/>
          <w:right w:w="108" w:type="dxa"/>
        </w:tblCellMar>
      </w:tblPr>
      <w:tblGrid>
        <w:gridCol w:w="846"/>
        <w:gridCol w:w="1536"/>
        <w:gridCol w:w="1321"/>
        <w:gridCol w:w="2273"/>
        <w:gridCol w:w="218"/>
        <w:gridCol w:w="480"/>
        <w:gridCol w:w="1107"/>
        <w:gridCol w:w="98"/>
        <w:gridCol w:w="916"/>
        <w:gridCol w:w="916"/>
        <w:gridCol w:w="749"/>
      </w:tblGrid>
      <w:tr>
        <w:tblPrEx>
          <w:tblCellMar>
            <w:top w:w="0" w:type="dxa"/>
            <w:left w:w="108" w:type="dxa"/>
            <w:bottom w:w="0" w:type="dxa"/>
            <w:right w:w="108" w:type="dxa"/>
          </w:tblCellMar>
        </w:tblPrEx>
        <w:trPr>
          <w:trHeight w:val="795" w:hRule="atLeast"/>
          <w:jc w:val="center"/>
        </w:trPr>
        <w:tc>
          <w:tcPr>
            <w:tcW w:w="10460" w:type="dxa"/>
            <w:gridSpan w:val="11"/>
            <w:tcBorders>
              <w:top w:val="nil"/>
              <w:left w:val="nil"/>
              <w:bottom w:val="nil"/>
              <w:right w:val="nil"/>
            </w:tcBorders>
            <w:shd w:val="clear" w:color="FFFFFF" w:fill="FFFFFF"/>
            <w:vAlign w:val="center"/>
          </w:tcPr>
          <w:p>
            <w:pPr>
              <w:widowControl/>
              <w:spacing w:after="0" w:line="240" w:lineRule="auto"/>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分部分项工程和单价措施项目清单与计价表</w:t>
            </w:r>
          </w:p>
        </w:tc>
      </w:tr>
      <w:tr>
        <w:tblPrEx>
          <w:tblCellMar>
            <w:top w:w="0" w:type="dxa"/>
            <w:left w:w="108" w:type="dxa"/>
            <w:bottom w:w="0" w:type="dxa"/>
            <w:right w:w="108" w:type="dxa"/>
          </w:tblCellMar>
        </w:tblPrEx>
        <w:trPr>
          <w:trHeight w:val="570" w:hRule="atLeast"/>
          <w:jc w:val="center"/>
        </w:trPr>
        <w:tc>
          <w:tcPr>
            <w:tcW w:w="5976" w:type="dxa"/>
            <w:gridSpan w:val="4"/>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工程名称：猎德分公司北面应急值班室修缮项目-安装部分</w:t>
            </w:r>
          </w:p>
        </w:tc>
        <w:tc>
          <w:tcPr>
            <w:tcW w:w="1805" w:type="dxa"/>
            <w:gridSpan w:val="3"/>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679" w:type="dxa"/>
            <w:gridSpan w:val="4"/>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4 页</w:t>
            </w:r>
          </w:p>
        </w:tc>
      </w:tr>
      <w:tr>
        <w:tblPrEx>
          <w:tblCellMar>
            <w:top w:w="0" w:type="dxa"/>
            <w:left w:w="108" w:type="dxa"/>
            <w:bottom w:w="0" w:type="dxa"/>
            <w:right w:w="108" w:type="dxa"/>
          </w:tblCellMar>
        </w:tblPrEx>
        <w:trPr>
          <w:trHeight w:val="360" w:hRule="atLeast"/>
          <w:jc w:val="center"/>
        </w:trPr>
        <w:tc>
          <w:tcPr>
            <w:tcW w:w="84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153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项目编码</w:t>
            </w:r>
          </w:p>
        </w:tc>
        <w:tc>
          <w:tcPr>
            <w:tcW w:w="132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项目名称</w:t>
            </w:r>
          </w:p>
        </w:tc>
        <w:tc>
          <w:tcPr>
            <w:tcW w:w="249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计量单位</w:t>
            </w:r>
          </w:p>
        </w:tc>
        <w:tc>
          <w:tcPr>
            <w:tcW w:w="120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工程量</w:t>
            </w:r>
          </w:p>
        </w:tc>
        <w:tc>
          <w:tcPr>
            <w:tcW w:w="2581" w:type="dxa"/>
            <w:gridSpan w:val="3"/>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金额（元）</w:t>
            </w:r>
          </w:p>
        </w:tc>
      </w:tr>
      <w:tr>
        <w:tblPrEx>
          <w:tblCellMar>
            <w:top w:w="0" w:type="dxa"/>
            <w:left w:w="108" w:type="dxa"/>
            <w:bottom w:w="0" w:type="dxa"/>
            <w:right w:w="108" w:type="dxa"/>
          </w:tblCellMar>
        </w:tblPrEx>
        <w:trPr>
          <w:trHeight w:val="360" w:hRule="atLeast"/>
          <w:jc w:val="center"/>
        </w:trPr>
        <w:tc>
          <w:tcPr>
            <w:tcW w:w="846" w:type="dxa"/>
            <w:vMerge w:val="continue"/>
            <w:tcBorders>
              <w:top w:val="single" w:color="000000" w:sz="8" w:space="0"/>
              <w:left w:val="single" w:color="000000" w:sz="8"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536"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321"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2491"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48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205"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916" w:type="dxa"/>
            <w:vMerge w:val="restart"/>
            <w:tcBorders>
              <w:top w:val="nil"/>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综合单价</w:t>
            </w:r>
          </w:p>
        </w:tc>
        <w:tc>
          <w:tcPr>
            <w:tcW w:w="916" w:type="dxa"/>
            <w:vMerge w:val="restart"/>
            <w:tcBorders>
              <w:top w:val="nil"/>
              <w:left w:val="single" w:color="000000"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综合合价</w:t>
            </w: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其中</w:t>
            </w:r>
          </w:p>
        </w:tc>
      </w:tr>
      <w:tr>
        <w:tblPrEx>
          <w:tblCellMar>
            <w:top w:w="0" w:type="dxa"/>
            <w:left w:w="108" w:type="dxa"/>
            <w:bottom w:w="0" w:type="dxa"/>
            <w:right w:w="108" w:type="dxa"/>
          </w:tblCellMar>
        </w:tblPrEx>
        <w:trPr>
          <w:trHeight w:val="360" w:hRule="atLeast"/>
          <w:jc w:val="center"/>
        </w:trPr>
        <w:tc>
          <w:tcPr>
            <w:tcW w:w="846" w:type="dxa"/>
            <w:vMerge w:val="continue"/>
            <w:tcBorders>
              <w:top w:val="single" w:color="000000" w:sz="8" w:space="0"/>
              <w:left w:val="single" w:color="000000" w:sz="8"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536"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321"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2491"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48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1205"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91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91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暂估价</w:t>
            </w:r>
          </w:p>
        </w:tc>
      </w:tr>
      <w:tr>
        <w:tblPrEx>
          <w:tblCellMar>
            <w:top w:w="0" w:type="dxa"/>
            <w:left w:w="108" w:type="dxa"/>
            <w:bottom w:w="0" w:type="dxa"/>
            <w:right w:w="108" w:type="dxa"/>
          </w:tblCellMar>
        </w:tblPrEx>
        <w:trPr>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空调部分</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825"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030701003001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空调器</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1.名称:壁挂空调</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2.型号:1.5P</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3.规格:二级能效以上</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台</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17</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031002002001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设备支架</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1.材质:不锈钢空调支架</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套</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17</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强电部分</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030404017001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配电箱</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1.名称:集装箱配电箱</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2.位数：6位</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台</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19</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030411002001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线槽</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1.名称:塑料线槽</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2.规格:12*24</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442.7</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825" w:hRule="atLeast"/>
          <w:jc w:val="center"/>
        </w:trPr>
        <w:tc>
          <w:tcPr>
            <w:tcW w:w="846"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1536"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030411004001</w:t>
            </w:r>
          </w:p>
        </w:tc>
        <w:tc>
          <w:tcPr>
            <w:tcW w:w="1321"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配线</w:t>
            </w:r>
          </w:p>
        </w:tc>
        <w:tc>
          <w:tcPr>
            <w:tcW w:w="2491"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1.名称:铜线电线</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2.配线形式:BV-2.5mm2</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3.配线部位:线槽配线</w:t>
            </w:r>
          </w:p>
        </w:tc>
        <w:tc>
          <w:tcPr>
            <w:tcW w:w="48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w:t>
            </w:r>
          </w:p>
        </w:tc>
        <w:tc>
          <w:tcPr>
            <w:tcW w:w="1205"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923.4</w:t>
            </w:r>
          </w:p>
        </w:tc>
        <w:tc>
          <w:tcPr>
            <w:tcW w:w="91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825" w:hRule="atLeast"/>
          <w:jc w:val="center"/>
        </w:trPr>
        <w:tc>
          <w:tcPr>
            <w:tcW w:w="846" w:type="dxa"/>
            <w:tcBorders>
              <w:top w:val="nil"/>
              <w:left w:val="single" w:color="000000" w:sz="8" w:space="0"/>
              <w:bottom w:val="single" w:color="auto"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1536" w:type="dxa"/>
            <w:tcBorders>
              <w:top w:val="nil"/>
              <w:left w:val="nil"/>
              <w:bottom w:val="single" w:color="auto"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030411004002</w:t>
            </w:r>
          </w:p>
        </w:tc>
        <w:tc>
          <w:tcPr>
            <w:tcW w:w="1321" w:type="dxa"/>
            <w:tcBorders>
              <w:top w:val="nil"/>
              <w:left w:val="nil"/>
              <w:bottom w:val="single" w:color="auto"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配线</w:t>
            </w:r>
          </w:p>
        </w:tc>
        <w:tc>
          <w:tcPr>
            <w:tcW w:w="2491" w:type="dxa"/>
            <w:gridSpan w:val="2"/>
            <w:tcBorders>
              <w:top w:val="single" w:color="000000" w:sz="4" w:space="0"/>
              <w:left w:val="nil"/>
              <w:bottom w:val="single" w:color="auto"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1.名称:铜线电线</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2.配线形式:BV-4mm2</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3.配线部位:线槽配线</w:t>
            </w:r>
          </w:p>
        </w:tc>
        <w:tc>
          <w:tcPr>
            <w:tcW w:w="480" w:type="dxa"/>
            <w:tcBorders>
              <w:top w:val="nil"/>
              <w:left w:val="nil"/>
              <w:bottom w:val="single" w:color="auto"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w:t>
            </w:r>
          </w:p>
        </w:tc>
        <w:tc>
          <w:tcPr>
            <w:tcW w:w="1205" w:type="dxa"/>
            <w:gridSpan w:val="2"/>
            <w:tcBorders>
              <w:top w:val="single" w:color="000000" w:sz="4" w:space="0"/>
              <w:left w:val="nil"/>
              <w:bottom w:val="single" w:color="auto"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706.8</w:t>
            </w:r>
          </w:p>
        </w:tc>
        <w:tc>
          <w:tcPr>
            <w:tcW w:w="916" w:type="dxa"/>
            <w:tcBorders>
              <w:top w:val="nil"/>
              <w:left w:val="nil"/>
              <w:bottom w:val="single" w:color="auto"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auto"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auto"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965" w:hRule="atLeast"/>
          <w:jc w:val="center"/>
        </w:trPr>
        <w:tc>
          <w:tcPr>
            <w:tcW w:w="846" w:type="dxa"/>
            <w:tcBorders>
              <w:top w:val="single" w:color="auto" w:sz="4" w:space="0"/>
              <w:left w:val="single" w:color="auto"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w:t>
            </w:r>
          </w:p>
        </w:tc>
        <w:tc>
          <w:tcPr>
            <w:tcW w:w="1536" w:type="dxa"/>
            <w:tcBorders>
              <w:top w:val="single" w:color="auto" w:sz="4" w:space="0"/>
              <w:left w:val="nil"/>
              <w:bottom w:val="single" w:color="auto"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p>
          <w:p>
            <w:pPr>
              <w:widowControl/>
              <w:spacing w:after="0" w:line="240" w:lineRule="auto"/>
              <w:rPr>
                <w:rFonts w:hint="eastAsia" w:ascii="宋体" w:hAnsi="宋体" w:eastAsia="宋体" w:cs="宋体"/>
                <w:color w:val="auto"/>
                <w:kern w:val="0"/>
                <w:sz w:val="20"/>
                <w:szCs w:val="20"/>
                <w:highlight w:val="none"/>
              </w:rPr>
            </w:pPr>
          </w:p>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030404035001</w:t>
            </w:r>
          </w:p>
        </w:tc>
        <w:tc>
          <w:tcPr>
            <w:tcW w:w="1321" w:type="dxa"/>
            <w:tcBorders>
              <w:top w:val="single" w:color="auto" w:sz="4" w:space="0"/>
              <w:left w:val="nil"/>
              <w:bottom w:val="single" w:color="auto"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空调插座</w:t>
            </w:r>
          </w:p>
        </w:tc>
        <w:tc>
          <w:tcPr>
            <w:tcW w:w="249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1.名称:空调插座、热水器插座</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2.材质:220V16A</w:t>
            </w:r>
          </w:p>
        </w:tc>
        <w:tc>
          <w:tcPr>
            <w:tcW w:w="480" w:type="dxa"/>
            <w:tcBorders>
              <w:top w:val="single" w:color="auto" w:sz="4" w:space="0"/>
              <w:left w:val="single" w:color="auto" w:sz="4" w:space="0"/>
              <w:bottom w:val="single" w:color="auto"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个</w:t>
            </w:r>
          </w:p>
        </w:tc>
        <w:tc>
          <w:tcPr>
            <w:tcW w:w="1205" w:type="dxa"/>
            <w:gridSpan w:val="2"/>
            <w:tcBorders>
              <w:top w:val="single" w:color="auto" w:sz="4" w:space="0"/>
              <w:left w:val="nil"/>
              <w:bottom w:val="single" w:color="auto"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21</w:t>
            </w:r>
          </w:p>
        </w:tc>
        <w:tc>
          <w:tcPr>
            <w:tcW w:w="916" w:type="dxa"/>
            <w:tcBorders>
              <w:top w:val="single" w:color="auto" w:sz="4" w:space="0"/>
              <w:left w:val="nil"/>
              <w:bottom w:val="single" w:color="auto"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nil"/>
              <w:bottom w:val="single" w:color="auto" w:sz="4" w:space="0"/>
              <w:right w:val="single" w:color="000000" w:sz="4" w:space="0"/>
            </w:tcBorders>
            <w:shd w:val="clear" w:color="FFFFFF" w:fill="FFFFFF"/>
            <w:vAlign w:val="center"/>
          </w:tcPr>
          <w:p>
            <w:pPr>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nil"/>
              <w:bottom w:val="single" w:color="auto"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r>
      <w:tr>
        <w:tblPrEx>
          <w:tblCellMar>
            <w:top w:w="0" w:type="dxa"/>
            <w:left w:w="108" w:type="dxa"/>
            <w:bottom w:w="0" w:type="dxa"/>
            <w:right w:w="108" w:type="dxa"/>
          </w:tblCellMar>
        </w:tblPrEx>
        <w:trPr>
          <w:jc w:val="center"/>
        </w:trPr>
        <w:tc>
          <w:tcPr>
            <w:tcW w:w="846" w:type="dxa"/>
            <w:tcBorders>
              <w:top w:val="single" w:color="auto" w:sz="4" w:space="0"/>
              <w:left w:val="single" w:color="auto" w:sz="4" w:space="0"/>
              <w:right w:val="single" w:color="000000" w:sz="4" w:space="0"/>
            </w:tcBorders>
            <w:shd w:val="clear" w:color="FFFFFF" w:fill="FFFFFF"/>
            <w:vAlign w:val="center"/>
          </w:tcPr>
          <w:p>
            <w:pPr>
              <w:spacing w:after="0" w:line="240" w:lineRule="auto"/>
              <w:jc w:val="center"/>
              <w:rPr>
                <w:rFonts w:hint="eastAsia" w:ascii="宋体" w:hAnsi="宋体" w:eastAsia="宋体" w:cs="宋体"/>
                <w:color w:val="auto"/>
                <w:kern w:val="0"/>
                <w:sz w:val="20"/>
                <w:szCs w:val="20"/>
                <w:highlight w:val="none"/>
              </w:rPr>
            </w:pPr>
          </w:p>
        </w:tc>
        <w:tc>
          <w:tcPr>
            <w:tcW w:w="1536" w:type="dxa"/>
            <w:tcBorders>
              <w:top w:val="single" w:color="auto" w:sz="4" w:space="0"/>
              <w:left w:val="nil"/>
              <w:right w:val="single" w:color="000000" w:sz="4" w:space="0"/>
            </w:tcBorders>
            <w:shd w:val="clear" w:color="FFFFFF" w:fill="FFFFFF"/>
            <w:vAlign w:val="center"/>
          </w:tcPr>
          <w:p>
            <w:pPr>
              <w:spacing w:after="0" w:line="240" w:lineRule="auto"/>
              <w:rPr>
                <w:rFonts w:hint="eastAsia" w:ascii="宋体" w:hAnsi="宋体" w:eastAsia="宋体" w:cs="宋体"/>
                <w:color w:val="auto"/>
                <w:kern w:val="0"/>
                <w:sz w:val="20"/>
                <w:szCs w:val="20"/>
                <w:highlight w:val="none"/>
              </w:rPr>
            </w:pPr>
          </w:p>
        </w:tc>
        <w:tc>
          <w:tcPr>
            <w:tcW w:w="1321" w:type="dxa"/>
            <w:tcBorders>
              <w:top w:val="single" w:color="auto" w:sz="4" w:space="0"/>
              <w:left w:val="nil"/>
              <w:right w:val="single" w:color="auto" w:sz="4" w:space="0"/>
            </w:tcBorders>
            <w:shd w:val="clear" w:color="FFFFFF" w:fill="FFFFFF"/>
            <w:vAlign w:val="center"/>
          </w:tcPr>
          <w:p>
            <w:pPr>
              <w:spacing w:after="0" w:line="240" w:lineRule="auto"/>
              <w:rPr>
                <w:rFonts w:hint="eastAsia" w:ascii="宋体" w:hAnsi="宋体" w:eastAsia="宋体" w:cs="宋体"/>
                <w:color w:val="auto"/>
                <w:kern w:val="0"/>
                <w:sz w:val="20"/>
                <w:szCs w:val="20"/>
                <w:highlight w:val="none"/>
              </w:rPr>
            </w:pPr>
          </w:p>
        </w:tc>
        <w:tc>
          <w:tcPr>
            <w:tcW w:w="249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3.安装方式:明装</w:t>
            </w:r>
          </w:p>
        </w:tc>
        <w:tc>
          <w:tcPr>
            <w:tcW w:w="480" w:type="dxa"/>
            <w:tcBorders>
              <w:top w:val="single" w:color="auto" w:sz="4" w:space="0"/>
              <w:left w:val="single" w:color="auto" w:sz="4" w:space="0"/>
              <w:right w:val="single" w:color="000000" w:sz="4" w:space="0"/>
            </w:tcBorders>
            <w:shd w:val="clear" w:color="FFFFFF" w:fill="FFFFFF"/>
            <w:vAlign w:val="center"/>
          </w:tcPr>
          <w:p>
            <w:pPr>
              <w:spacing w:after="0" w:line="240" w:lineRule="auto"/>
              <w:jc w:val="center"/>
              <w:rPr>
                <w:rFonts w:hint="eastAsia" w:ascii="宋体" w:hAnsi="宋体" w:eastAsia="宋体" w:cs="宋体"/>
                <w:color w:val="auto"/>
                <w:kern w:val="0"/>
                <w:sz w:val="20"/>
                <w:szCs w:val="20"/>
                <w:highlight w:val="none"/>
              </w:rPr>
            </w:pPr>
          </w:p>
        </w:tc>
        <w:tc>
          <w:tcPr>
            <w:tcW w:w="1205" w:type="dxa"/>
            <w:gridSpan w:val="2"/>
            <w:tcBorders>
              <w:top w:val="single" w:color="auto" w:sz="4" w:space="0"/>
              <w:left w:val="nil"/>
              <w:right w:val="single" w:color="000000" w:sz="4" w:space="0"/>
            </w:tcBorders>
            <w:shd w:val="clear" w:color="FFFFFF" w:fill="FFFFFF"/>
            <w:vAlign w:val="center"/>
          </w:tcPr>
          <w:p>
            <w:pPr>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nil"/>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nil"/>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nil"/>
              <w:right w:val="single" w:color="auto" w:sz="4" w:space="0"/>
            </w:tcBorders>
            <w:shd w:val="clear" w:color="FFFFFF" w:fill="FFFFFF"/>
            <w:vAlign w:val="center"/>
          </w:tcPr>
          <w:p>
            <w:pPr>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825" w:hRule="atLeast"/>
          <w:jc w:val="center"/>
        </w:trPr>
        <w:tc>
          <w:tcPr>
            <w:tcW w:w="846" w:type="dxa"/>
            <w:tcBorders>
              <w:top w:val="nil"/>
              <w:left w:val="single" w:color="auto"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p>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030412004001</w:t>
            </w:r>
          </w:p>
        </w:tc>
        <w:tc>
          <w:tcPr>
            <w:tcW w:w="1321" w:type="dxa"/>
            <w:tcBorders>
              <w:top w:val="nil"/>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LED灯管</w:t>
            </w:r>
          </w:p>
        </w:tc>
        <w:tc>
          <w:tcPr>
            <w:tcW w:w="2491" w:type="dxa"/>
            <w:gridSpan w:val="2"/>
            <w:tcBorders>
              <w:top w:val="single" w:color="000000"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1.名称:LED灯管</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2.型号:1.2m 24W</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3.安装形式:吸顶式</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套</w:t>
            </w:r>
          </w:p>
        </w:tc>
        <w:tc>
          <w:tcPr>
            <w:tcW w:w="1205" w:type="dxa"/>
            <w:gridSpan w:val="2"/>
            <w:tcBorders>
              <w:top w:val="single" w:color="000000"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38</w:t>
            </w:r>
          </w:p>
        </w:tc>
        <w:tc>
          <w:tcPr>
            <w:tcW w:w="916" w:type="dxa"/>
            <w:tcBorders>
              <w:top w:val="nil"/>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570" w:hRule="atLeast"/>
          <w:jc w:val="center"/>
        </w:trPr>
        <w:tc>
          <w:tcPr>
            <w:tcW w:w="846" w:type="dxa"/>
            <w:tcBorders>
              <w:top w:val="single" w:color="auto" w:sz="4" w:space="0"/>
              <w:left w:val="single" w:color="000000" w:sz="8"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w:t>
            </w:r>
          </w:p>
        </w:tc>
        <w:tc>
          <w:tcPr>
            <w:tcW w:w="153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030404033001</w:t>
            </w:r>
          </w:p>
        </w:tc>
        <w:tc>
          <w:tcPr>
            <w:tcW w:w="1321"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排气扇</w:t>
            </w:r>
          </w:p>
        </w:tc>
        <w:tc>
          <w:tcPr>
            <w:tcW w:w="2491" w:type="dxa"/>
            <w:gridSpan w:val="2"/>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1.名称:排气扇</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2.型号:300*300</w:t>
            </w:r>
          </w:p>
        </w:tc>
        <w:tc>
          <w:tcPr>
            <w:tcW w:w="480"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台</w:t>
            </w:r>
          </w:p>
        </w:tc>
        <w:tc>
          <w:tcPr>
            <w:tcW w:w="1205" w:type="dxa"/>
            <w:gridSpan w:val="2"/>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19</w:t>
            </w:r>
          </w:p>
        </w:tc>
        <w:tc>
          <w:tcPr>
            <w:tcW w:w="916" w:type="dxa"/>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1080" w:hRule="atLeast"/>
          <w:jc w:val="center"/>
        </w:trPr>
        <w:tc>
          <w:tcPr>
            <w:tcW w:w="84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153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030404035002</w:t>
            </w:r>
          </w:p>
        </w:tc>
        <w:tc>
          <w:tcPr>
            <w:tcW w:w="1321"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二三插座</w:t>
            </w:r>
          </w:p>
        </w:tc>
        <w:tc>
          <w:tcPr>
            <w:tcW w:w="2491" w:type="dxa"/>
            <w:gridSpan w:val="2"/>
            <w:tcBorders>
              <w:top w:val="single" w:color="000000"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1.名称:二三插座（每个房间配6个）</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2.材质:220V10A</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3.安装方式:明装</w:t>
            </w:r>
          </w:p>
        </w:tc>
        <w:tc>
          <w:tcPr>
            <w:tcW w:w="48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个</w:t>
            </w:r>
          </w:p>
        </w:tc>
        <w:tc>
          <w:tcPr>
            <w:tcW w:w="1205" w:type="dxa"/>
            <w:gridSpan w:val="2"/>
            <w:tcBorders>
              <w:top w:val="single" w:color="000000"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76</w:t>
            </w:r>
          </w:p>
        </w:tc>
        <w:tc>
          <w:tcPr>
            <w:tcW w:w="91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825"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11</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040801029001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照明开关</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1.名称:三位开关</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2.材质:220V10A</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3.安装方式:明装</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个</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19</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12</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030411006001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接线盒</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1.接线盒安装 普通接线盒 明装</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个</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116</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给排水部分</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1080" w:hRule="atLeast"/>
          <w:jc w:val="center"/>
        </w:trPr>
        <w:tc>
          <w:tcPr>
            <w:tcW w:w="846" w:type="dxa"/>
            <w:tcBorders>
              <w:top w:val="single" w:color="auto" w:sz="4" w:space="0"/>
              <w:left w:val="single" w:color="000000" w:sz="8"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13</w:t>
            </w:r>
          </w:p>
        </w:tc>
        <w:tc>
          <w:tcPr>
            <w:tcW w:w="1536" w:type="dxa"/>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010902004001</w:t>
            </w:r>
          </w:p>
        </w:tc>
        <w:tc>
          <w:tcPr>
            <w:tcW w:w="1321"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PVC天沟屋檐沟管雨水槽</w:t>
            </w:r>
          </w:p>
        </w:tc>
        <w:tc>
          <w:tcPr>
            <w:tcW w:w="2491" w:type="dxa"/>
            <w:gridSpan w:val="2"/>
            <w:tcBorders>
              <w:top w:val="single" w:color="000000"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1.排水管品种、规格:成品PVC天沟屋檐沟管雨水槽</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2.品种、规格:160mm*110mm*2.2mm</w:t>
            </w:r>
          </w:p>
        </w:tc>
        <w:tc>
          <w:tcPr>
            <w:tcW w:w="48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w:t>
            </w:r>
          </w:p>
        </w:tc>
        <w:tc>
          <w:tcPr>
            <w:tcW w:w="1205"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59.45</w:t>
            </w:r>
          </w:p>
        </w:tc>
        <w:tc>
          <w:tcPr>
            <w:tcW w:w="916" w:type="dxa"/>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1335"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14</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031001006001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塑料管</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xml:space="preserve">1.安装部位:室外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2.输送介质:雨水管</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3.材质:UPVC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4.型号、规格:DN1OOmm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5.连接方式:粘接连接</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29.7</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108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15</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031001006002</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塑料管</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1.安装部位:卫生间标准箱</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2.用途:给水管</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3.材质、规格:PPRDN25</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4.连接形式:热熔连接</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100</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1080" w:hRule="atLeast"/>
          <w:jc w:val="center"/>
        </w:trPr>
        <w:tc>
          <w:tcPr>
            <w:tcW w:w="846"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1536"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031001006003</w:t>
            </w:r>
          </w:p>
        </w:tc>
        <w:tc>
          <w:tcPr>
            <w:tcW w:w="1321"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塑料管</w:t>
            </w:r>
          </w:p>
        </w:tc>
        <w:tc>
          <w:tcPr>
            <w:tcW w:w="2491"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1.安装部位:卫生间标准箱</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2.用途:排水管</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3.材质、规格:PVC、DN75</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4.连接形式:粘接连接</w:t>
            </w:r>
          </w:p>
        </w:tc>
        <w:tc>
          <w:tcPr>
            <w:tcW w:w="48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w:t>
            </w:r>
          </w:p>
        </w:tc>
        <w:tc>
          <w:tcPr>
            <w:tcW w:w="1205" w:type="dxa"/>
            <w:gridSpan w:val="2"/>
            <w:tcBorders>
              <w:top w:val="single" w:color="000000"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65</w:t>
            </w:r>
          </w:p>
        </w:tc>
        <w:tc>
          <w:tcPr>
            <w:tcW w:w="916"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108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17</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031001006004</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塑料管</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1.安装部位:卫生间标准箱</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2.用途:排污管</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3.材质、规格:PVC、DN110</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4.连接形式:粘接连接</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65</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825"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18</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031004014002</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给、排水附(配)件</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1.安装部位:卫生间标准箱</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2.型号、规格:不锈钢水龙头DN20</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个</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825"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19</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031004014003</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给、排水附(配)件</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1.安装部位:卫生间标准箱</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2.型号、规格:不锈钢地漏DN80</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个</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监控部分</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2355" w:hRule="atLeast"/>
          <w:jc w:val="center"/>
        </w:trPr>
        <w:tc>
          <w:tcPr>
            <w:tcW w:w="84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20</w:t>
            </w:r>
          </w:p>
        </w:tc>
        <w:tc>
          <w:tcPr>
            <w:tcW w:w="153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030507013001</w:t>
            </w:r>
          </w:p>
        </w:tc>
        <w:tc>
          <w:tcPr>
            <w:tcW w:w="1321"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硬盘录像机</w:t>
            </w:r>
          </w:p>
        </w:tc>
        <w:tc>
          <w:tcPr>
            <w:tcW w:w="2491" w:type="dxa"/>
            <w:gridSpan w:val="2"/>
            <w:tcBorders>
              <w:top w:val="single" w:color="000000"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名称：硬盘录像机</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 操作系统：嵌入式Linux操作系统；</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 操作界面：Web，本地GUI；</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 接入路数：≥16路；</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 存储硬盘：≥9个SATA，单盘最大16TB。；</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 其他具体按照方案实施</w:t>
            </w:r>
          </w:p>
        </w:tc>
        <w:tc>
          <w:tcPr>
            <w:tcW w:w="480"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台</w:t>
            </w:r>
          </w:p>
        </w:tc>
        <w:tc>
          <w:tcPr>
            <w:tcW w:w="1205" w:type="dxa"/>
            <w:gridSpan w:val="2"/>
            <w:tcBorders>
              <w:top w:val="single" w:color="000000"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91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1845"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p>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21</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030507013002</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3.5寸8TBAI硬盘</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1.名称:3.5寸8TBAI硬盘</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2.规格:8TB</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3.存储容量、格式:1. 单盘容量：≥8TB；</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 硬盘接口：SATA；</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 转速：≥7200RPM；</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 缓存：≥256MB</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台</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120" w:hRule="atLeast"/>
          <w:jc w:val="center"/>
        </w:trPr>
        <w:tc>
          <w:tcPr>
            <w:tcW w:w="846" w:type="dxa"/>
            <w:tcBorders>
              <w:top w:val="single" w:color="auto" w:sz="4" w:space="0"/>
              <w:left w:val="single" w:color="000000" w:sz="8"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22</w:t>
            </w:r>
          </w:p>
        </w:tc>
        <w:tc>
          <w:tcPr>
            <w:tcW w:w="153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030507008001</w:t>
            </w:r>
          </w:p>
        </w:tc>
        <w:tc>
          <w:tcPr>
            <w:tcW w:w="1321" w:type="dxa"/>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400万7寸球机</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名称：400万7寸球机</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 内置≥2个GPU芯片，由全景摄像机和细节摄像机组成</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 细节相机支持不小于24倍光学变倍</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 ▲全景摄像机具有具备4个白光灯，细节摄像机具备4颗红外灯和2颗白光灯。</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 全景摄像机与细节摄像机互为180°夹角监控</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5.其他具体按照方案实施</w:t>
            </w:r>
          </w:p>
        </w:tc>
        <w:tc>
          <w:tcPr>
            <w:tcW w:w="480"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台</w:t>
            </w:r>
          </w:p>
        </w:tc>
        <w:tc>
          <w:tcPr>
            <w:tcW w:w="1205" w:type="dxa"/>
            <w:gridSpan w:val="2"/>
            <w:tcBorders>
              <w:top w:val="single" w:color="000000"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91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12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23</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030507008002</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200万红外筒型网络摄像机</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xml:space="preserve">1.名称:200万红外筒型网络摄像机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2.类别:1.传感器类型：1/2.8英寸CMOS；</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2.像素：200万；</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3.最大分辨率：1920×1080；</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4.最低照度：0.002lux（彩色模式）；0.0002lux（黑白模式）；0lux（补光灯开启）；</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5.其他具体按照方案实施</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台</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网络部分</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2610" w:hRule="atLeast"/>
          <w:jc w:val="center"/>
        </w:trPr>
        <w:tc>
          <w:tcPr>
            <w:tcW w:w="846" w:type="dxa"/>
            <w:tcBorders>
              <w:top w:val="single" w:color="auto" w:sz="4" w:space="0"/>
              <w:left w:val="single" w:color="000000" w:sz="8"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24</w:t>
            </w:r>
          </w:p>
        </w:tc>
        <w:tc>
          <w:tcPr>
            <w:tcW w:w="153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030501012001</w:t>
            </w:r>
          </w:p>
        </w:tc>
        <w:tc>
          <w:tcPr>
            <w:tcW w:w="1321"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8口poe交换机</w:t>
            </w:r>
          </w:p>
        </w:tc>
        <w:tc>
          <w:tcPr>
            <w:tcW w:w="2491" w:type="dxa"/>
            <w:gridSpan w:val="2"/>
            <w:tcBorders>
              <w:top w:val="single" w:color="000000"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1.名称:8口poe交换机</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2.功能:二层网管交换机，交换容量336Gbps，包转发率56Mpps，8口10/100/1000Mbps自适应电口交换机，固化2个SFP千兆光口，支持VLAN、ACL、端口镜像、端口聚合等功能，支持APP和云平台统一管理。</w:t>
            </w:r>
          </w:p>
        </w:tc>
        <w:tc>
          <w:tcPr>
            <w:tcW w:w="480"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套</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916"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25</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030502005001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六类网线</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1.名称:六类网线</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100</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57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26</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030502007001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室外光纤</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1.名称:光纤</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2.规格:4芯</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m</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100</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27</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030501010001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收发器</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1.名称:千兆光纤收发器</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台</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846"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6"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21"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洁具部分</w:t>
            </w:r>
          </w:p>
        </w:tc>
        <w:tc>
          <w:tcPr>
            <w:tcW w:w="2491"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5" w:type="dxa"/>
            <w:gridSpan w:val="2"/>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16"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825" w:hRule="atLeast"/>
          <w:jc w:val="center"/>
        </w:trPr>
        <w:tc>
          <w:tcPr>
            <w:tcW w:w="846" w:type="dxa"/>
            <w:tcBorders>
              <w:top w:val="nil"/>
              <w:left w:val="single" w:color="auto"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28</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031004006001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大便器</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1.材质:陶瓷</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2.规格、类型:蹲式</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3.安装部位:厕所</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组</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825"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29</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031004010001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淋浴器</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1.材质、规格:不锈钢，手动开关，冷热水</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2.安装部位:卫生间标准箱</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套</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825" w:hRule="atLeast"/>
          <w:jc w:val="center"/>
        </w:trPr>
        <w:tc>
          <w:tcPr>
            <w:tcW w:w="846"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30</w:t>
            </w:r>
          </w:p>
        </w:tc>
        <w:tc>
          <w:tcPr>
            <w:tcW w:w="1536"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穗011501021001</w:t>
            </w:r>
          </w:p>
        </w:tc>
        <w:tc>
          <w:tcPr>
            <w:tcW w:w="1321"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洗漱台柜</w:t>
            </w:r>
          </w:p>
        </w:tc>
        <w:tc>
          <w:tcPr>
            <w:tcW w:w="2491" w:type="dxa"/>
            <w:gridSpan w:val="2"/>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1.类型:成套铝合金洗手台（带洁具、镜子）</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2.规格：1200mm*600*600</w:t>
            </w:r>
          </w:p>
        </w:tc>
        <w:tc>
          <w:tcPr>
            <w:tcW w:w="480"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组</w:t>
            </w:r>
          </w:p>
        </w:tc>
        <w:tc>
          <w:tcPr>
            <w:tcW w:w="1205" w:type="dxa"/>
            <w:gridSpan w:val="2"/>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916"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single" w:color="auto" w:sz="4" w:space="0"/>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消防部分</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825"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31</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030901013001</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灭火器</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1.形式:灭火器具放置箱</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2.规格、型号:含两个干粉灭火器4KG</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组</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38</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846"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5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21"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措施项目</w:t>
            </w:r>
          </w:p>
        </w:tc>
        <w:tc>
          <w:tcPr>
            <w:tcW w:w="249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0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91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749"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bl>
    <w:p>
      <w:pPr>
        <w:rPr>
          <w:color w:val="auto"/>
          <w:highlight w:val="none"/>
        </w:rPr>
      </w:pPr>
    </w:p>
    <w:tbl>
      <w:tblPr>
        <w:tblStyle w:val="33"/>
        <w:tblW w:w="10440" w:type="dxa"/>
        <w:jc w:val="center"/>
        <w:tblLayout w:type="autofit"/>
        <w:tblCellMar>
          <w:top w:w="0" w:type="dxa"/>
          <w:left w:w="108" w:type="dxa"/>
          <w:bottom w:w="0" w:type="dxa"/>
          <w:right w:w="108" w:type="dxa"/>
        </w:tblCellMar>
      </w:tblPr>
      <w:tblGrid>
        <w:gridCol w:w="578"/>
        <w:gridCol w:w="1416"/>
        <w:gridCol w:w="1880"/>
        <w:gridCol w:w="1426"/>
        <w:gridCol w:w="759"/>
        <w:gridCol w:w="60"/>
        <w:gridCol w:w="1334"/>
        <w:gridCol w:w="696"/>
        <w:gridCol w:w="238"/>
        <w:gridCol w:w="936"/>
        <w:gridCol w:w="1117"/>
      </w:tblGrid>
      <w:tr>
        <w:tblPrEx>
          <w:tblCellMar>
            <w:top w:w="0" w:type="dxa"/>
            <w:left w:w="108" w:type="dxa"/>
            <w:bottom w:w="0" w:type="dxa"/>
            <w:right w:w="108" w:type="dxa"/>
          </w:tblCellMar>
        </w:tblPrEx>
        <w:trPr>
          <w:trHeight w:val="795" w:hRule="atLeast"/>
          <w:jc w:val="center"/>
        </w:trPr>
        <w:tc>
          <w:tcPr>
            <w:tcW w:w="10440" w:type="dxa"/>
            <w:gridSpan w:val="11"/>
            <w:tcBorders>
              <w:top w:val="nil"/>
              <w:left w:val="nil"/>
              <w:bottom w:val="nil"/>
              <w:right w:val="nil"/>
            </w:tcBorders>
            <w:shd w:val="clear" w:color="FFFFFF" w:fill="FFFFFF"/>
            <w:vAlign w:val="center"/>
          </w:tcPr>
          <w:p>
            <w:pPr>
              <w:widowControl/>
              <w:spacing w:after="0" w:line="240" w:lineRule="auto"/>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总价措施项目清单与计价表</w:t>
            </w:r>
          </w:p>
        </w:tc>
      </w:tr>
      <w:tr>
        <w:tblPrEx>
          <w:tblCellMar>
            <w:top w:w="0" w:type="dxa"/>
            <w:left w:w="108" w:type="dxa"/>
            <w:bottom w:w="0" w:type="dxa"/>
            <w:right w:w="108" w:type="dxa"/>
          </w:tblCellMar>
        </w:tblPrEx>
        <w:trPr>
          <w:trHeight w:val="825" w:hRule="atLeast"/>
          <w:jc w:val="center"/>
        </w:trPr>
        <w:tc>
          <w:tcPr>
            <w:tcW w:w="6059" w:type="dxa"/>
            <w:gridSpan w:val="5"/>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工程名称：猎德分公司北面应急值班室修缮项目-安装部分</w:t>
            </w:r>
          </w:p>
        </w:tc>
        <w:tc>
          <w:tcPr>
            <w:tcW w:w="2090" w:type="dxa"/>
            <w:gridSpan w:val="3"/>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291" w:type="dxa"/>
            <w:gridSpan w:val="3"/>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1 页</w:t>
            </w:r>
          </w:p>
        </w:tc>
      </w:tr>
      <w:tr>
        <w:tblPrEx>
          <w:tblCellMar>
            <w:top w:w="0" w:type="dxa"/>
            <w:left w:w="108" w:type="dxa"/>
            <w:bottom w:w="0" w:type="dxa"/>
            <w:right w:w="108" w:type="dxa"/>
          </w:tblCellMar>
        </w:tblPrEx>
        <w:trPr>
          <w:trHeight w:val="825" w:hRule="atLeast"/>
          <w:jc w:val="center"/>
        </w:trPr>
        <w:tc>
          <w:tcPr>
            <w:tcW w:w="57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1416"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项目编码</w:t>
            </w:r>
          </w:p>
        </w:tc>
        <w:tc>
          <w:tcPr>
            <w:tcW w:w="188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项目名称</w:t>
            </w:r>
          </w:p>
        </w:tc>
        <w:tc>
          <w:tcPr>
            <w:tcW w:w="1426"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计算基础</w:t>
            </w:r>
          </w:p>
        </w:tc>
        <w:tc>
          <w:tcPr>
            <w:tcW w:w="819"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费率</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w:t>
            </w:r>
          </w:p>
        </w:tc>
        <w:tc>
          <w:tcPr>
            <w:tcW w:w="1334"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金额</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(元)</w:t>
            </w:r>
          </w:p>
        </w:tc>
        <w:tc>
          <w:tcPr>
            <w:tcW w:w="934"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调整费率</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w:t>
            </w:r>
          </w:p>
        </w:tc>
        <w:tc>
          <w:tcPr>
            <w:tcW w:w="936"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调整后</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金额</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(元)</w:t>
            </w:r>
          </w:p>
        </w:tc>
        <w:tc>
          <w:tcPr>
            <w:tcW w:w="1117" w:type="dxa"/>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备注</w:t>
            </w:r>
          </w:p>
        </w:tc>
      </w:tr>
      <w:tr>
        <w:tblPrEx>
          <w:tblCellMar>
            <w:top w:w="0" w:type="dxa"/>
            <w:left w:w="108" w:type="dxa"/>
            <w:bottom w:w="0" w:type="dxa"/>
            <w:right w:w="108" w:type="dxa"/>
          </w:tblCellMar>
        </w:tblPrEx>
        <w:trPr>
          <w:trHeight w:val="159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41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LSSGCSF00001</w:t>
            </w:r>
          </w:p>
        </w:tc>
        <w:tc>
          <w:tcPr>
            <w:tcW w:w="18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绿色施工安全防护措施费</w:t>
            </w:r>
          </w:p>
        </w:tc>
        <w:tc>
          <w:tcPr>
            <w:tcW w:w="142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分部分项人工费+分部分项机具费</w:t>
            </w:r>
          </w:p>
        </w:tc>
        <w:tc>
          <w:tcPr>
            <w:tcW w:w="81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334"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8252.71</w:t>
            </w:r>
          </w:p>
        </w:tc>
        <w:tc>
          <w:tcPr>
            <w:tcW w:w="93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p>
        </w:tc>
        <w:tc>
          <w:tcPr>
            <w:tcW w:w="9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117"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p>
        </w:tc>
      </w:tr>
      <w:tr>
        <w:tblPrEx>
          <w:tblCellMar>
            <w:top w:w="0" w:type="dxa"/>
            <w:left w:w="108" w:type="dxa"/>
            <w:bottom w:w="0" w:type="dxa"/>
            <w:right w:w="108" w:type="dxa"/>
          </w:tblCellMar>
        </w:tblPrEx>
        <w:trPr>
          <w:trHeight w:val="2355" w:hRule="atLeast"/>
          <w:jc w:val="center"/>
        </w:trPr>
        <w:tc>
          <w:tcPr>
            <w:tcW w:w="578"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41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WMGDZJF00001</w:t>
            </w:r>
          </w:p>
        </w:tc>
        <w:tc>
          <w:tcPr>
            <w:tcW w:w="188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文明工地增加费</w:t>
            </w:r>
          </w:p>
        </w:tc>
        <w:tc>
          <w:tcPr>
            <w:tcW w:w="142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分部分项人工费+分部分项机具费</w:t>
            </w:r>
          </w:p>
        </w:tc>
        <w:tc>
          <w:tcPr>
            <w:tcW w:w="819" w:type="dxa"/>
            <w:gridSpan w:val="2"/>
            <w:tcBorders>
              <w:top w:val="single" w:color="000000"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w:t>
            </w:r>
          </w:p>
        </w:tc>
        <w:tc>
          <w:tcPr>
            <w:tcW w:w="1334"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34" w:type="dxa"/>
            <w:gridSpan w:val="2"/>
            <w:tcBorders>
              <w:top w:val="single" w:color="000000"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36" w:type="dxa"/>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117"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以分部分项的人工费与施工机具费之和为计算基础，市级文明工地为1.20%；省级文明工地为2.10%</w:t>
            </w:r>
          </w:p>
        </w:tc>
      </w:tr>
      <w:tr>
        <w:tblPrEx>
          <w:tblCellMar>
            <w:top w:w="0" w:type="dxa"/>
            <w:left w:w="108" w:type="dxa"/>
            <w:bottom w:w="0" w:type="dxa"/>
            <w:right w:w="108" w:type="dxa"/>
          </w:tblCellMar>
        </w:tblPrEx>
        <w:trPr>
          <w:trHeight w:val="825"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141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011707002001</w:t>
            </w:r>
          </w:p>
        </w:tc>
        <w:tc>
          <w:tcPr>
            <w:tcW w:w="18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夜间施工增加费</w:t>
            </w:r>
          </w:p>
        </w:tc>
        <w:tc>
          <w:tcPr>
            <w:tcW w:w="142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81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20</w:t>
            </w:r>
          </w:p>
        </w:tc>
        <w:tc>
          <w:tcPr>
            <w:tcW w:w="1334"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3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117"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以夜间施工项目人工费的20%计算</w:t>
            </w:r>
          </w:p>
        </w:tc>
      </w:tr>
      <w:tr>
        <w:tblPrEx>
          <w:tblCellMar>
            <w:top w:w="0" w:type="dxa"/>
            <w:left w:w="108" w:type="dxa"/>
            <w:bottom w:w="0" w:type="dxa"/>
            <w:right w:w="108" w:type="dxa"/>
          </w:tblCellMar>
        </w:tblPrEx>
        <w:trPr>
          <w:trHeight w:val="2865" w:hRule="atLeast"/>
          <w:jc w:val="center"/>
        </w:trPr>
        <w:tc>
          <w:tcPr>
            <w:tcW w:w="578" w:type="dxa"/>
            <w:tcBorders>
              <w:top w:val="single" w:color="auto" w:sz="4" w:space="0"/>
              <w:left w:val="single" w:color="000000" w:sz="8"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41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GGCSF0000001</w:t>
            </w:r>
          </w:p>
        </w:tc>
        <w:tc>
          <w:tcPr>
            <w:tcW w:w="188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赶工措施费</w:t>
            </w:r>
          </w:p>
        </w:tc>
        <w:tc>
          <w:tcPr>
            <w:tcW w:w="1426" w:type="dxa"/>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分部分项人工费+分部分项机具费</w:t>
            </w:r>
          </w:p>
        </w:tc>
        <w:tc>
          <w:tcPr>
            <w:tcW w:w="819" w:type="dxa"/>
            <w:gridSpan w:val="2"/>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w:t>
            </w:r>
          </w:p>
        </w:tc>
        <w:tc>
          <w:tcPr>
            <w:tcW w:w="1334" w:type="dxa"/>
            <w:tcBorders>
              <w:top w:val="single" w:color="auto"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34" w:type="dxa"/>
            <w:gridSpan w:val="2"/>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36"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117" w:type="dxa"/>
            <w:tcBorders>
              <w:top w:val="single" w:color="auto" w:sz="4" w:space="0"/>
              <w:left w:val="single" w:color="auto" w:sz="4" w:space="0"/>
              <w:bottom w:val="single" w:color="auto"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赶工措施费=（1-δ）*分部分项的（人工费+施工机具费）*0.3 （0.8≤δ＜1   式中：δ=合同工期/定额工期）</w:t>
            </w:r>
          </w:p>
        </w:tc>
      </w:tr>
      <w:tr>
        <w:tblPrEx>
          <w:tblCellMar>
            <w:top w:w="0" w:type="dxa"/>
            <w:left w:w="108" w:type="dxa"/>
            <w:bottom w:w="0" w:type="dxa"/>
            <w:right w:w="108" w:type="dxa"/>
          </w:tblCellMar>
        </w:tblPrEx>
        <w:trPr>
          <w:trHeight w:val="825"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141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QTFY00000001</w:t>
            </w:r>
          </w:p>
        </w:tc>
        <w:tc>
          <w:tcPr>
            <w:tcW w:w="188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其他费用</w:t>
            </w:r>
          </w:p>
        </w:tc>
        <w:tc>
          <w:tcPr>
            <w:tcW w:w="1426"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81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334"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3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936"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117" w:type="dxa"/>
            <w:tcBorders>
              <w:top w:val="nil"/>
              <w:left w:val="nil"/>
              <w:bottom w:val="single" w:color="auto"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按经批准的专项施工组织方案计算</w:t>
            </w:r>
          </w:p>
        </w:tc>
      </w:tr>
    </w:tbl>
    <w:p>
      <w:pPr>
        <w:rPr>
          <w:color w:val="auto"/>
          <w:highlight w:val="none"/>
        </w:rPr>
      </w:pPr>
    </w:p>
    <w:tbl>
      <w:tblPr>
        <w:tblStyle w:val="33"/>
        <w:tblW w:w="10420" w:type="dxa"/>
        <w:jc w:val="center"/>
        <w:tblLayout w:type="autofit"/>
        <w:tblCellMar>
          <w:top w:w="0" w:type="dxa"/>
          <w:left w:w="108" w:type="dxa"/>
          <w:bottom w:w="0" w:type="dxa"/>
          <w:right w:w="108" w:type="dxa"/>
        </w:tblCellMar>
      </w:tblPr>
      <w:tblGrid>
        <w:gridCol w:w="1060"/>
        <w:gridCol w:w="120"/>
        <w:gridCol w:w="3880"/>
        <w:gridCol w:w="600"/>
        <w:gridCol w:w="340"/>
        <w:gridCol w:w="880"/>
        <w:gridCol w:w="60"/>
        <w:gridCol w:w="880"/>
        <w:gridCol w:w="820"/>
        <w:gridCol w:w="60"/>
        <w:gridCol w:w="1720"/>
      </w:tblGrid>
      <w:tr>
        <w:tblPrEx>
          <w:tblCellMar>
            <w:top w:w="0" w:type="dxa"/>
            <w:left w:w="108" w:type="dxa"/>
            <w:bottom w:w="0" w:type="dxa"/>
            <w:right w:w="108" w:type="dxa"/>
          </w:tblCellMar>
        </w:tblPrEx>
        <w:trPr>
          <w:trHeight w:val="360" w:hRule="atLeast"/>
          <w:jc w:val="center"/>
        </w:trPr>
        <w:tc>
          <w:tcPr>
            <w:tcW w:w="7820" w:type="dxa"/>
            <w:gridSpan w:val="8"/>
            <w:tcBorders>
              <w:top w:val="nil"/>
              <w:left w:val="nil"/>
              <w:bottom w:val="nil"/>
              <w:right w:val="nil"/>
            </w:tcBorders>
            <w:shd w:val="clear" w:color="FFFFFF" w:fill="FFFFFF"/>
            <w:vAlign w:val="center"/>
          </w:tcPr>
          <w:p>
            <w:pPr>
              <w:widowControl/>
              <w:spacing w:after="0" w:line="240" w:lineRule="auto"/>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　</w:t>
            </w:r>
          </w:p>
        </w:tc>
        <w:tc>
          <w:tcPr>
            <w:tcW w:w="2600" w:type="dxa"/>
            <w:gridSpan w:val="3"/>
            <w:tcBorders>
              <w:top w:val="nil"/>
              <w:left w:val="nil"/>
              <w:bottom w:val="nil"/>
              <w:right w:val="nil"/>
            </w:tcBorders>
            <w:shd w:val="clear" w:color="FFFFFF" w:fill="FFFFFF"/>
            <w:vAlign w:val="center"/>
          </w:tcPr>
          <w:p>
            <w:pPr>
              <w:widowControl/>
              <w:spacing w:after="0" w:line="240" w:lineRule="auto"/>
              <w:jc w:val="righ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w:t>
            </w:r>
          </w:p>
        </w:tc>
      </w:tr>
      <w:tr>
        <w:tblPrEx>
          <w:tblCellMar>
            <w:top w:w="0" w:type="dxa"/>
            <w:left w:w="108" w:type="dxa"/>
            <w:bottom w:w="0" w:type="dxa"/>
            <w:right w:w="108" w:type="dxa"/>
          </w:tblCellMar>
        </w:tblPrEx>
        <w:trPr>
          <w:trHeight w:val="795" w:hRule="atLeast"/>
          <w:jc w:val="center"/>
        </w:trPr>
        <w:tc>
          <w:tcPr>
            <w:tcW w:w="10420" w:type="dxa"/>
            <w:gridSpan w:val="11"/>
            <w:tcBorders>
              <w:top w:val="nil"/>
              <w:left w:val="nil"/>
              <w:bottom w:val="nil"/>
              <w:right w:val="nil"/>
            </w:tcBorders>
            <w:shd w:val="clear" w:color="FFFFFF" w:fill="FFFFFF"/>
            <w:vAlign w:val="center"/>
          </w:tcPr>
          <w:p>
            <w:pPr>
              <w:widowControl/>
              <w:spacing w:after="0" w:line="240" w:lineRule="auto"/>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其他项目清单与计价汇总表</w:t>
            </w:r>
          </w:p>
        </w:tc>
      </w:tr>
      <w:tr>
        <w:tblPrEx>
          <w:tblCellMar>
            <w:top w:w="0" w:type="dxa"/>
            <w:left w:w="108" w:type="dxa"/>
            <w:bottom w:w="0" w:type="dxa"/>
            <w:right w:w="108" w:type="dxa"/>
          </w:tblCellMar>
        </w:tblPrEx>
        <w:trPr>
          <w:trHeight w:val="570" w:hRule="atLeast"/>
          <w:jc w:val="center"/>
        </w:trPr>
        <w:tc>
          <w:tcPr>
            <w:tcW w:w="6000" w:type="dxa"/>
            <w:gridSpan w:val="5"/>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工程名称：猎德分公司北面应急值班室修缮项目-安装部分</w:t>
            </w:r>
          </w:p>
        </w:tc>
        <w:tc>
          <w:tcPr>
            <w:tcW w:w="1820" w:type="dxa"/>
            <w:gridSpan w:val="3"/>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600" w:type="dxa"/>
            <w:gridSpan w:val="3"/>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1 页</w:t>
            </w:r>
          </w:p>
        </w:tc>
      </w:tr>
      <w:tr>
        <w:tblPrEx>
          <w:tblCellMar>
            <w:top w:w="0" w:type="dxa"/>
            <w:left w:w="108" w:type="dxa"/>
            <w:bottom w:w="0" w:type="dxa"/>
            <w:right w:w="108" w:type="dxa"/>
          </w:tblCellMar>
        </w:tblPrEx>
        <w:trPr>
          <w:trHeight w:val="375" w:hRule="atLeast"/>
          <w:jc w:val="center"/>
        </w:trPr>
        <w:tc>
          <w:tcPr>
            <w:tcW w:w="106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400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项目名称</w:t>
            </w:r>
          </w:p>
        </w:tc>
        <w:tc>
          <w:tcPr>
            <w:tcW w:w="1880" w:type="dxa"/>
            <w:gridSpan w:val="4"/>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金额（元）</w:t>
            </w:r>
          </w:p>
        </w:tc>
        <w:tc>
          <w:tcPr>
            <w:tcW w:w="170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结算金额（元）</w:t>
            </w:r>
          </w:p>
        </w:tc>
        <w:tc>
          <w:tcPr>
            <w:tcW w:w="1780" w:type="dxa"/>
            <w:gridSpan w:val="2"/>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备注</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4000"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暂列金额</w:t>
            </w:r>
          </w:p>
        </w:tc>
        <w:tc>
          <w:tcPr>
            <w:tcW w:w="1880"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53386.72</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明细详见表-12-1</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4000"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暂估价</w:t>
            </w:r>
          </w:p>
        </w:tc>
        <w:tc>
          <w:tcPr>
            <w:tcW w:w="1880"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2.1</w:t>
            </w:r>
          </w:p>
        </w:tc>
        <w:tc>
          <w:tcPr>
            <w:tcW w:w="4000"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材料暂估价</w:t>
            </w:r>
          </w:p>
        </w:tc>
        <w:tc>
          <w:tcPr>
            <w:tcW w:w="1880"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明细详见表-12-2</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2.2</w:t>
            </w:r>
          </w:p>
        </w:tc>
        <w:tc>
          <w:tcPr>
            <w:tcW w:w="4000"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专业工程暂估价</w:t>
            </w:r>
          </w:p>
        </w:tc>
        <w:tc>
          <w:tcPr>
            <w:tcW w:w="1880"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明细详见表-12-3</w:t>
            </w:r>
          </w:p>
        </w:tc>
      </w:tr>
      <w:tr>
        <w:tblPrEx>
          <w:tblCellMar>
            <w:top w:w="0" w:type="dxa"/>
            <w:left w:w="108" w:type="dxa"/>
            <w:bottom w:w="0" w:type="dxa"/>
            <w:right w:w="108" w:type="dxa"/>
          </w:tblCellMar>
        </w:tblPrEx>
        <w:trPr>
          <w:trHeight w:val="360" w:hRule="atLeast"/>
          <w:jc w:val="center"/>
        </w:trPr>
        <w:tc>
          <w:tcPr>
            <w:tcW w:w="1060" w:type="dxa"/>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4000"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计日工</w:t>
            </w:r>
          </w:p>
        </w:tc>
        <w:tc>
          <w:tcPr>
            <w:tcW w:w="1880" w:type="dxa"/>
            <w:gridSpan w:val="4"/>
            <w:tcBorders>
              <w:top w:val="single" w:color="auto"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auto" w:sz="4" w:space="0"/>
              <w:left w:val="nil"/>
              <w:bottom w:val="single" w:color="000000" w:sz="4" w:space="0"/>
              <w:right w:val="single" w:color="auto"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明细详见表-12-4</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4000"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总承包服务费</w:t>
            </w:r>
          </w:p>
        </w:tc>
        <w:tc>
          <w:tcPr>
            <w:tcW w:w="1880"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明细详见表-12-5</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4000"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预算包干费</w:t>
            </w:r>
          </w:p>
        </w:tc>
        <w:tc>
          <w:tcPr>
            <w:tcW w:w="1880"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single" w:color="auto" w:sz="4" w:space="0"/>
              <w:left w:val="single" w:color="000000" w:sz="8" w:space="0"/>
              <w:bottom w:val="single" w:color="000000" w:sz="4" w:space="0"/>
              <w:right w:val="single" w:color="auto"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4000" w:type="dxa"/>
            <w:gridSpan w:val="2"/>
            <w:tcBorders>
              <w:top w:val="single" w:color="auto" w:sz="4" w:space="0"/>
              <w:left w:val="single" w:color="auto" w:sz="4" w:space="0"/>
              <w:bottom w:val="single" w:color="000000" w:sz="4" w:space="0"/>
              <w:right w:val="single" w:color="auto"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工程优质费</w:t>
            </w:r>
          </w:p>
        </w:tc>
        <w:tc>
          <w:tcPr>
            <w:tcW w:w="1880" w:type="dxa"/>
            <w:gridSpan w:val="4"/>
            <w:tcBorders>
              <w:top w:val="single" w:color="000000" w:sz="4" w:space="0"/>
              <w:left w:val="single" w:color="auto" w:sz="4" w:space="0"/>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single" w:color="auto" w:sz="4" w:space="0"/>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w:t>
            </w:r>
          </w:p>
        </w:tc>
        <w:tc>
          <w:tcPr>
            <w:tcW w:w="4000"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概算幅度差</w:t>
            </w:r>
          </w:p>
        </w:tc>
        <w:tc>
          <w:tcPr>
            <w:tcW w:w="1880"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4000"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现场签证费用</w:t>
            </w:r>
          </w:p>
        </w:tc>
        <w:tc>
          <w:tcPr>
            <w:tcW w:w="1880"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w:t>
            </w:r>
          </w:p>
        </w:tc>
        <w:tc>
          <w:tcPr>
            <w:tcW w:w="4000"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索赔费用</w:t>
            </w:r>
          </w:p>
        </w:tc>
        <w:tc>
          <w:tcPr>
            <w:tcW w:w="1880"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106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4000"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其他费用</w:t>
            </w:r>
          </w:p>
        </w:tc>
        <w:tc>
          <w:tcPr>
            <w:tcW w:w="1880"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0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780" w:type="dxa"/>
            <w:gridSpan w:val="2"/>
            <w:tcBorders>
              <w:top w:val="nil"/>
              <w:left w:val="nil"/>
              <w:bottom w:val="single" w:color="000000" w:sz="4" w:space="0"/>
              <w:right w:val="single" w:color="000000" w:sz="8"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7820" w:type="dxa"/>
            <w:gridSpan w:val="8"/>
            <w:tcBorders>
              <w:top w:val="nil"/>
              <w:left w:val="nil"/>
              <w:bottom w:val="nil"/>
              <w:right w:val="nil"/>
            </w:tcBorders>
            <w:shd w:val="clear" w:color="FFFFFF" w:fill="FFFFFF"/>
            <w:vAlign w:val="center"/>
          </w:tcPr>
          <w:p>
            <w:pPr>
              <w:widowControl/>
              <w:spacing w:after="0" w:line="240" w:lineRule="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w:t>
            </w:r>
          </w:p>
        </w:tc>
        <w:tc>
          <w:tcPr>
            <w:tcW w:w="2600" w:type="dxa"/>
            <w:gridSpan w:val="3"/>
            <w:tcBorders>
              <w:top w:val="nil"/>
              <w:left w:val="nil"/>
              <w:bottom w:val="nil"/>
              <w:right w:val="nil"/>
            </w:tcBorders>
            <w:shd w:val="clear" w:color="FFFFFF" w:fill="FFFFFF"/>
            <w:vAlign w:val="center"/>
          </w:tcPr>
          <w:p>
            <w:pPr>
              <w:widowControl/>
              <w:spacing w:after="0" w:line="240" w:lineRule="auto"/>
              <w:jc w:val="righ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w:t>
            </w:r>
          </w:p>
        </w:tc>
      </w:tr>
      <w:tr>
        <w:tblPrEx>
          <w:tblCellMar>
            <w:top w:w="0" w:type="dxa"/>
            <w:left w:w="108" w:type="dxa"/>
            <w:bottom w:w="0" w:type="dxa"/>
            <w:right w:w="108" w:type="dxa"/>
          </w:tblCellMar>
        </w:tblPrEx>
        <w:trPr>
          <w:trHeight w:val="795" w:hRule="atLeast"/>
          <w:jc w:val="center"/>
        </w:trPr>
        <w:tc>
          <w:tcPr>
            <w:tcW w:w="10420" w:type="dxa"/>
            <w:gridSpan w:val="11"/>
            <w:tcBorders>
              <w:top w:val="nil"/>
              <w:left w:val="nil"/>
              <w:bottom w:val="nil"/>
              <w:right w:val="nil"/>
            </w:tcBorders>
            <w:shd w:val="clear" w:color="FFFFFF" w:fill="FFFFFF"/>
            <w:vAlign w:val="center"/>
          </w:tcPr>
          <w:p>
            <w:pPr>
              <w:widowControl/>
              <w:spacing w:after="0" w:line="240" w:lineRule="auto"/>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暂列金额明细表</w:t>
            </w:r>
          </w:p>
        </w:tc>
      </w:tr>
      <w:tr>
        <w:tblPrEx>
          <w:tblCellMar>
            <w:top w:w="0" w:type="dxa"/>
            <w:left w:w="108" w:type="dxa"/>
            <w:bottom w:w="0" w:type="dxa"/>
            <w:right w:w="108" w:type="dxa"/>
          </w:tblCellMar>
        </w:tblPrEx>
        <w:trPr>
          <w:trHeight w:val="570" w:hRule="atLeast"/>
          <w:jc w:val="center"/>
        </w:trPr>
        <w:tc>
          <w:tcPr>
            <w:tcW w:w="6000" w:type="dxa"/>
            <w:gridSpan w:val="5"/>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工程名称：猎德分公司北面应急值班室修缮项目-安装部分</w:t>
            </w:r>
          </w:p>
        </w:tc>
        <w:tc>
          <w:tcPr>
            <w:tcW w:w="1820" w:type="dxa"/>
            <w:gridSpan w:val="3"/>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600" w:type="dxa"/>
            <w:gridSpan w:val="3"/>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1 页</w:t>
            </w:r>
          </w:p>
        </w:tc>
      </w:tr>
      <w:tr>
        <w:tblPrEx>
          <w:tblCellMar>
            <w:top w:w="0" w:type="dxa"/>
            <w:left w:w="108" w:type="dxa"/>
            <w:bottom w:w="0" w:type="dxa"/>
            <w:right w:w="108" w:type="dxa"/>
          </w:tblCellMar>
        </w:tblPrEx>
        <w:trPr>
          <w:trHeight w:val="570" w:hRule="atLeast"/>
          <w:jc w:val="center"/>
        </w:trPr>
        <w:tc>
          <w:tcPr>
            <w:tcW w:w="1180"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448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名称</w:t>
            </w:r>
          </w:p>
        </w:tc>
        <w:tc>
          <w:tcPr>
            <w:tcW w:w="122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计量单位</w:t>
            </w:r>
          </w:p>
        </w:tc>
        <w:tc>
          <w:tcPr>
            <w:tcW w:w="1820" w:type="dxa"/>
            <w:gridSpan w:val="4"/>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暂定金额</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（元）</w:t>
            </w:r>
          </w:p>
        </w:tc>
        <w:tc>
          <w:tcPr>
            <w:tcW w:w="1720" w:type="dxa"/>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备注</w:t>
            </w:r>
          </w:p>
        </w:tc>
      </w:tr>
      <w:tr>
        <w:tblPrEx>
          <w:tblCellMar>
            <w:top w:w="0" w:type="dxa"/>
            <w:left w:w="108" w:type="dxa"/>
            <w:bottom w:w="0" w:type="dxa"/>
            <w:right w:w="108" w:type="dxa"/>
          </w:tblCellMar>
        </w:tblPrEx>
        <w:trPr>
          <w:trHeight w:val="360" w:hRule="atLeast"/>
          <w:jc w:val="center"/>
        </w:trPr>
        <w:tc>
          <w:tcPr>
            <w:tcW w:w="1180"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4480" w:type="dxa"/>
            <w:gridSpan w:val="2"/>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820"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72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bl>
    <w:p>
      <w:pPr>
        <w:rPr>
          <w:color w:val="auto"/>
          <w:highlight w:val="none"/>
        </w:rPr>
      </w:pPr>
    </w:p>
    <w:tbl>
      <w:tblPr>
        <w:tblStyle w:val="33"/>
        <w:tblW w:w="10440" w:type="dxa"/>
        <w:jc w:val="center"/>
        <w:tblLayout w:type="autofit"/>
        <w:tblCellMar>
          <w:top w:w="0" w:type="dxa"/>
          <w:left w:w="108" w:type="dxa"/>
          <w:bottom w:w="0" w:type="dxa"/>
          <w:right w:w="108" w:type="dxa"/>
        </w:tblCellMar>
      </w:tblPr>
      <w:tblGrid>
        <w:gridCol w:w="920"/>
        <w:gridCol w:w="2420"/>
        <w:gridCol w:w="2680"/>
        <w:gridCol w:w="200"/>
        <w:gridCol w:w="1600"/>
        <w:gridCol w:w="20"/>
        <w:gridCol w:w="1000"/>
        <w:gridCol w:w="1600"/>
      </w:tblGrid>
      <w:tr>
        <w:tblPrEx>
          <w:tblCellMar>
            <w:top w:w="0" w:type="dxa"/>
            <w:left w:w="108" w:type="dxa"/>
            <w:bottom w:w="0" w:type="dxa"/>
            <w:right w:w="108" w:type="dxa"/>
          </w:tblCellMar>
        </w:tblPrEx>
        <w:trPr>
          <w:trHeight w:val="795" w:hRule="atLeast"/>
          <w:jc w:val="center"/>
        </w:trPr>
        <w:tc>
          <w:tcPr>
            <w:tcW w:w="10440" w:type="dxa"/>
            <w:gridSpan w:val="8"/>
            <w:tcBorders>
              <w:top w:val="nil"/>
              <w:left w:val="nil"/>
              <w:bottom w:val="nil"/>
              <w:right w:val="nil"/>
            </w:tcBorders>
            <w:shd w:val="clear" w:color="FFFFFF" w:fill="FFFFFF"/>
            <w:vAlign w:val="center"/>
          </w:tcPr>
          <w:p>
            <w:pPr>
              <w:widowControl/>
              <w:spacing w:after="0" w:line="240" w:lineRule="auto"/>
              <w:jc w:val="center"/>
              <w:rPr>
                <w:rFonts w:hint="eastAsia" w:ascii="宋体" w:hAnsi="宋体" w:eastAsia="宋体" w:cs="宋体"/>
                <w:b/>
                <w:bCs/>
                <w:color w:val="auto"/>
                <w:kern w:val="0"/>
                <w:sz w:val="40"/>
                <w:szCs w:val="40"/>
                <w:highlight w:val="none"/>
              </w:rPr>
            </w:pPr>
            <w:r>
              <w:rPr>
                <w:rFonts w:hint="eastAsia" w:ascii="宋体" w:hAnsi="宋体" w:eastAsia="宋体" w:cs="宋体"/>
                <w:b/>
                <w:bCs/>
                <w:color w:val="auto"/>
                <w:kern w:val="0"/>
                <w:sz w:val="40"/>
                <w:szCs w:val="40"/>
                <w:highlight w:val="none"/>
              </w:rPr>
              <w:t>规费、税金项目清单与计价表</w:t>
            </w:r>
          </w:p>
        </w:tc>
      </w:tr>
      <w:tr>
        <w:tblPrEx>
          <w:tblCellMar>
            <w:top w:w="0" w:type="dxa"/>
            <w:left w:w="108" w:type="dxa"/>
            <w:bottom w:w="0" w:type="dxa"/>
            <w:right w:w="108" w:type="dxa"/>
          </w:tblCellMar>
        </w:tblPrEx>
        <w:trPr>
          <w:trHeight w:val="570" w:hRule="atLeast"/>
          <w:jc w:val="center"/>
        </w:trPr>
        <w:tc>
          <w:tcPr>
            <w:tcW w:w="6020" w:type="dxa"/>
            <w:gridSpan w:val="3"/>
            <w:tcBorders>
              <w:top w:val="nil"/>
              <w:left w:val="nil"/>
              <w:bottom w:val="nil"/>
              <w:right w:val="nil"/>
            </w:tcBorders>
            <w:shd w:val="clear" w:color="FFFFFF" w:fill="FFFFFF"/>
            <w:vAlign w:val="bottom"/>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工程名称：猎德分公司北面应急值班室修缮项目-安装部分</w:t>
            </w:r>
          </w:p>
        </w:tc>
        <w:tc>
          <w:tcPr>
            <w:tcW w:w="1820" w:type="dxa"/>
            <w:gridSpan w:val="3"/>
            <w:tcBorders>
              <w:top w:val="nil"/>
              <w:left w:val="nil"/>
              <w:bottom w:val="nil"/>
              <w:right w:val="nil"/>
            </w:tcBorders>
            <w:shd w:val="clear" w:color="FFFFFF" w:fill="FFFFFF"/>
            <w:vAlign w:val="bottom"/>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标段：</w:t>
            </w:r>
          </w:p>
        </w:tc>
        <w:tc>
          <w:tcPr>
            <w:tcW w:w="2600" w:type="dxa"/>
            <w:gridSpan w:val="2"/>
            <w:tcBorders>
              <w:top w:val="nil"/>
              <w:left w:val="nil"/>
              <w:bottom w:val="nil"/>
              <w:right w:val="nil"/>
            </w:tcBorders>
            <w:shd w:val="clear" w:color="FFFFFF" w:fill="FFFFFF"/>
            <w:vAlign w:val="bottom"/>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第 1 页  共 1 页</w:t>
            </w:r>
          </w:p>
        </w:tc>
      </w:tr>
      <w:tr>
        <w:tblPrEx>
          <w:tblCellMar>
            <w:top w:w="0" w:type="dxa"/>
            <w:left w:w="108" w:type="dxa"/>
            <w:bottom w:w="0" w:type="dxa"/>
            <w:right w:w="108" w:type="dxa"/>
          </w:tblCellMar>
        </w:tblPrEx>
        <w:trPr>
          <w:trHeight w:val="570" w:hRule="atLeast"/>
          <w:jc w:val="center"/>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242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p>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项目名称</w:t>
            </w:r>
          </w:p>
        </w:tc>
        <w:tc>
          <w:tcPr>
            <w:tcW w:w="288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计算基础</w:t>
            </w:r>
          </w:p>
        </w:tc>
        <w:tc>
          <w:tcPr>
            <w:tcW w:w="1600" w:type="dxa"/>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计算基数</w:t>
            </w:r>
          </w:p>
        </w:tc>
        <w:tc>
          <w:tcPr>
            <w:tcW w:w="1020"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计算费率</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w:t>
            </w:r>
          </w:p>
        </w:tc>
        <w:tc>
          <w:tcPr>
            <w:tcW w:w="1600" w:type="dxa"/>
            <w:tcBorders>
              <w:top w:val="single" w:color="000000" w:sz="8" w:space="0"/>
              <w:left w:val="nil"/>
              <w:bottom w:val="single" w:color="000000" w:sz="4" w:space="0"/>
              <w:right w:val="single" w:color="000000" w:sz="8"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金额(元)</w:t>
            </w:r>
          </w:p>
        </w:tc>
      </w:tr>
      <w:tr>
        <w:tblPrEx>
          <w:tblCellMar>
            <w:top w:w="0" w:type="dxa"/>
            <w:left w:w="108" w:type="dxa"/>
            <w:bottom w:w="0" w:type="dxa"/>
            <w:right w:w="108" w:type="dxa"/>
          </w:tblCellMar>
        </w:tblPrEx>
        <w:trPr>
          <w:trHeight w:val="570" w:hRule="atLeast"/>
          <w:jc w:val="center"/>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242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增值税销项税额</w:t>
            </w:r>
          </w:p>
        </w:tc>
        <w:tc>
          <w:tcPr>
            <w:tcW w:w="2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分部分项合计+措施合计+其他项目</w:t>
            </w:r>
          </w:p>
        </w:tc>
        <w:tc>
          <w:tcPr>
            <w:tcW w:w="160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c>
          <w:tcPr>
            <w:tcW w:w="10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w:t>
            </w:r>
          </w:p>
        </w:tc>
        <w:tc>
          <w:tcPr>
            <w:tcW w:w="160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p>
        </w:tc>
      </w:tr>
      <w:tr>
        <w:tblPrEx>
          <w:tblCellMar>
            <w:top w:w="0" w:type="dxa"/>
            <w:left w:w="108" w:type="dxa"/>
            <w:bottom w:w="0" w:type="dxa"/>
            <w:right w:w="108" w:type="dxa"/>
          </w:tblCellMar>
        </w:tblPrEx>
        <w:trPr>
          <w:trHeight w:val="360" w:hRule="atLeast"/>
          <w:jc w:val="center"/>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242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2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0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0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0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r>
        <w:tblPrEx>
          <w:tblCellMar>
            <w:top w:w="0" w:type="dxa"/>
            <w:left w:w="108" w:type="dxa"/>
            <w:bottom w:w="0" w:type="dxa"/>
            <w:right w:w="108" w:type="dxa"/>
          </w:tblCellMar>
        </w:tblPrEx>
        <w:trPr>
          <w:trHeight w:val="360" w:hRule="atLeast"/>
          <w:jc w:val="center"/>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spacing w:after="0" w:line="240" w:lineRule="auto"/>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2420" w:type="dxa"/>
            <w:tcBorders>
              <w:top w:val="nil"/>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288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00" w:type="dxa"/>
            <w:tcBorders>
              <w:top w:val="nil"/>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02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00" w:type="dxa"/>
            <w:tcBorders>
              <w:top w:val="nil"/>
              <w:left w:val="nil"/>
              <w:bottom w:val="single" w:color="000000" w:sz="4" w:space="0"/>
              <w:right w:val="single" w:color="000000" w:sz="8" w:space="0"/>
            </w:tcBorders>
            <w:shd w:val="clear" w:color="FFFFFF" w:fill="FFFFFF"/>
            <w:vAlign w:val="center"/>
          </w:tcPr>
          <w:p>
            <w:pPr>
              <w:widowControl/>
              <w:spacing w:after="0" w:line="240" w:lineRule="auto"/>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r>
    </w:tbl>
    <w:p>
      <w:pPr>
        <w:pStyle w:val="2"/>
        <w:ind w:firstLine="0"/>
        <w:rPr>
          <w:rFonts w:hint="eastAsia" w:cs="宋体"/>
          <w:b/>
          <w:bCs/>
          <w:color w:val="auto"/>
          <w:szCs w:val="21"/>
          <w:highlight w:val="none"/>
        </w:rPr>
      </w:pPr>
    </w:p>
    <w:p>
      <w:pPr>
        <w:pStyle w:val="2"/>
        <w:ind w:left="6180" w:leftChars="2600" w:hanging="720" w:hangingChars="300"/>
        <w:rPr>
          <w:rFonts w:hint="eastAsia" w:eastAsia="宋体" w:cs="宋体"/>
          <w:color w:val="auto"/>
          <w:highlight w:val="none"/>
          <w:lang w:val="en-GB"/>
        </w:rPr>
      </w:pPr>
      <w:r>
        <w:rPr>
          <w:rFonts w:hint="eastAsia"/>
          <w:color w:val="auto"/>
          <w:highlight w:val="none"/>
        </w:rPr>
        <w:t xml:space="preserve">                                                          </w:t>
      </w:r>
      <w:r>
        <w:rPr>
          <w:rFonts w:hint="eastAsia" w:eastAsia="宋体" w:cs="宋体"/>
          <w:color w:val="auto"/>
          <w:highlight w:val="none"/>
          <w:lang w:val="en-GB"/>
        </w:rPr>
        <w:t>供应商名称（加盖公章）：</w:t>
      </w:r>
      <w:r>
        <w:rPr>
          <w:rFonts w:hint="eastAsia"/>
          <w:color w:val="auto"/>
          <w:highlight w:val="none"/>
          <w:lang w:val="en-GB"/>
        </w:rPr>
        <w:t xml:space="preserve"> </w:t>
      </w:r>
    </w:p>
    <w:p>
      <w:pPr>
        <w:adjustRightInd w:val="0"/>
        <w:snapToGrid w:val="0"/>
        <w:spacing w:line="360" w:lineRule="auto"/>
        <w:ind w:right="480"/>
        <w:jc w:val="right"/>
        <w:rPr>
          <w:rFonts w:hint="eastAsia" w:ascii="宋体" w:hAnsi="宋体" w:eastAsia="宋体" w:cs="宋体"/>
          <w:color w:val="auto"/>
          <w:sz w:val="24"/>
          <w:szCs w:val="24"/>
          <w:highlight w:val="none"/>
          <w:lang w:val="en-GB"/>
        </w:rPr>
      </w:pPr>
      <w:r>
        <w:rPr>
          <w:rFonts w:hint="eastAsia" w:eastAsia="宋体" w:cs="宋体"/>
          <w:color w:val="auto"/>
          <w:highlight w:val="none"/>
          <w:lang w:val="en-GB"/>
        </w:rPr>
        <w:t>年  月  日</w:t>
      </w:r>
    </w:p>
    <w:p>
      <w:pPr>
        <w:pStyle w:val="7"/>
        <w:rPr>
          <w:rFonts w:hint="eastAsia" w:ascii="仿宋_GB2312" w:eastAsia="仿宋_GB2312" w:hAnsiTheme="minorEastAsia"/>
          <w:color w:val="auto"/>
          <w:sz w:val="28"/>
          <w:szCs w:val="28"/>
          <w:highlight w:val="none"/>
        </w:rPr>
      </w:pPr>
      <w:bookmarkStart w:id="128" w:name="_Toc88209965"/>
      <w:bookmarkStart w:id="129" w:name="_Toc87616402"/>
      <w:bookmarkStart w:id="130" w:name="_Toc16386"/>
      <w:bookmarkStart w:id="131" w:name="_Toc6058"/>
      <w:r>
        <w:rPr>
          <w:rFonts w:hint="eastAsia" w:ascii="仿宋_GB2312" w:eastAsia="仿宋_GB2312" w:hAnsiTheme="minorEastAsia"/>
          <w:color w:val="auto"/>
          <w:sz w:val="28"/>
          <w:szCs w:val="28"/>
          <w:highlight w:val="none"/>
        </w:rPr>
        <w:t>6.其他资料</w:t>
      </w:r>
      <w:bookmarkEnd w:id="128"/>
      <w:bookmarkEnd w:id="129"/>
      <w:bookmarkEnd w:id="130"/>
      <w:bookmarkEnd w:id="131"/>
    </w:p>
    <w:p>
      <w:pPr>
        <w:adjustRightInd w:val="0"/>
        <w:snapToGrid w:val="0"/>
        <w:spacing w:line="600" w:lineRule="exact"/>
        <w:ind w:firstLine="570"/>
        <w:rPr>
          <w:rFonts w:hint="eastAsia"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headerReference r:id="rId8" w:type="first"/>
      <w:footerReference r:id="rId11" w:type="first"/>
      <w:footerReference r:id="rId9" w:type="default"/>
      <w:footerReference r:id="rId10" w:type="even"/>
      <w:pgSz w:w="11906" w:h="16838"/>
      <w:pgMar w:top="2098" w:right="1474" w:bottom="1985" w:left="1588" w:header="851" w:footer="992" w:gutter="0"/>
      <w:pgNumType w:fmt="decimal"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p>
  <w:p>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outside" w:y="1"/>
      <w:rPr>
        <w:rStyle w:val="37"/>
      </w:rPr>
    </w:pPr>
    <w:r>
      <w:fldChar w:fldCharType="begin"/>
    </w:r>
    <w:r>
      <w:rPr>
        <w:rStyle w:val="37"/>
      </w:rPr>
      <w:instrText xml:space="preserve">PAGE  </w:instrText>
    </w:r>
    <w:r>
      <w:fldChar w:fldCharType="end"/>
    </w:r>
  </w:p>
  <w:p>
    <w:pPr>
      <w:pStyle w:val="2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y/ZY8IBAACO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TUauAeHdIWHh0k9GHaGmYjimwmhaqbwH/95L1v1v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Mv2WPCAQAAjgMAAA4AAAAAAAAAAQAgAAAAHgEAAGRycy9lMm9Eb2MueG1sUEsF&#10;BgAAAAAGAAYAWQEAAFIFAAAAAA==&#10;">
              <v:fill on="f" focussize="0,0"/>
              <v:stroke on="f"/>
              <v:imagedata o:title=""/>
              <o:lock v:ext="edit" aspectratio="f"/>
              <v:textbox inset="0mm,0mm,0mm,0mm" style="mso-fit-shape-to-text:t;">
                <w:txbxContent>
                  <w:p>
                    <w:pPr>
                      <w:pStyle w:val="2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pPr>
                        </w:p>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OVzw8IBAACO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TUauAeHdIWHh0k9GHaGmYjimwmhaqbwH/95L1v1v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Dlc8PCAQAAjgMAAA4AAAAAAAAAAQAgAAAAHgEAAGRycy9lMm9Eb2MueG1sUEsF&#10;BgAAAAAGAAYAWQEAAFIFAAAAAA==&#10;">
              <v:fill on="f" focussize="0,0"/>
              <v:stroke on="f"/>
              <v:imagedata o:title=""/>
              <o:lock v:ext="edit" aspectratio="f"/>
              <v:textbox inset="0mm,0mm,0mm,0mm" style="mso-fit-shape-to-text:t;">
                <w:txbxContent>
                  <w:p>
                    <w:pPr>
                      <w:pStyle w:val="25"/>
                    </w:pPr>
                  </w:p>
                  <w:p/>
                </w:txbxContent>
              </v:textbox>
            </v:shape>
          </w:pict>
        </mc:Fallback>
      </mc:AlternateContent>
    </w:r>
  </w:p>
  <w:p>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25"/>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4odEcE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FwDwu0xYeHST0YdoaZiOKbCaFqpvAeP7yXr4Tfa/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n4odEcEBAACOAwAADgAAAAAAAAABACAAAAAeAQAAZHJzL2Uyb0RvYy54bWxQSwUG&#10;AAAAAAYABgBZAQAAUQUAAAAA&#10;">
              <v:fill on="f" focussize="0,0"/>
              <v:stroke on="f"/>
              <v:imagedata o:title=""/>
              <o:lock v:ext="edit" aspectratio="f"/>
              <v:textbox inset="0mm,0mm,0mm,0mm" style="mso-fit-shape-to-text:t;">
                <w:txbxContent>
                  <w:p>
                    <w:pPr>
                      <w:pStyle w:val="25"/>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513199"/>
    <w:multiLevelType w:val="singleLevel"/>
    <w:tmpl w:val="BE513199"/>
    <w:lvl w:ilvl="0" w:tentative="0">
      <w:start w:val="1"/>
      <w:numFmt w:val="decimal"/>
      <w:suff w:val="nothing"/>
      <w:lvlText w:val="（%1）"/>
      <w:lvlJc w:val="left"/>
    </w:lvl>
  </w:abstractNum>
  <w:abstractNum w:abstractNumId="1">
    <w:nsid w:val="C69777A2"/>
    <w:multiLevelType w:val="singleLevel"/>
    <w:tmpl w:val="C69777A2"/>
    <w:lvl w:ilvl="0" w:tentative="0">
      <w:start w:val="1"/>
      <w:numFmt w:val="decimal"/>
      <w:lvlText w:val="%1."/>
      <w:lvlJc w:val="left"/>
      <w:pPr>
        <w:tabs>
          <w:tab w:val="left" w:pos="312"/>
        </w:tabs>
      </w:pPr>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1491C3F6"/>
    <w:multiLevelType w:val="singleLevel"/>
    <w:tmpl w:val="1491C3F6"/>
    <w:lvl w:ilvl="0" w:tentative="0">
      <w:start w:val="2"/>
      <w:numFmt w:val="decimal"/>
      <w:suff w:val="nothing"/>
      <w:lvlText w:val="（%1）"/>
      <w:lvlJc w:val="left"/>
    </w:lvl>
  </w:abstractNum>
  <w:abstractNum w:abstractNumId="4">
    <w:nsid w:val="4734DCE6"/>
    <w:multiLevelType w:val="singleLevel"/>
    <w:tmpl w:val="4734DCE6"/>
    <w:lvl w:ilvl="0" w:tentative="0">
      <w:start w:val="1"/>
      <w:numFmt w:val="decimal"/>
      <w:lvlText w:val="%1."/>
      <w:lvlJc w:val="left"/>
      <w:pPr>
        <w:tabs>
          <w:tab w:val="left" w:pos="312"/>
        </w:tabs>
      </w:pPr>
    </w:lvl>
  </w:abstractNum>
  <w:abstractNum w:abstractNumId="5">
    <w:nsid w:val="4F5CC218"/>
    <w:multiLevelType w:val="singleLevel"/>
    <w:tmpl w:val="4F5CC218"/>
    <w:lvl w:ilvl="0" w:tentative="0">
      <w:start w:val="5"/>
      <w:numFmt w:val="decimal"/>
      <w:lvlText w:val="%1."/>
      <w:lvlJc w:val="left"/>
      <w:pPr>
        <w:tabs>
          <w:tab w:val="left" w:pos="312"/>
        </w:tabs>
      </w:pPr>
    </w:lvl>
  </w:abstractNum>
  <w:abstractNum w:abstractNumId="6">
    <w:nsid w:val="5A90D308"/>
    <w:multiLevelType w:val="singleLevel"/>
    <w:tmpl w:val="5A90D308"/>
    <w:lvl w:ilvl="0" w:tentative="0">
      <w:start w:val="1"/>
      <w:numFmt w:val="decimal"/>
      <w:suff w:val="nothing"/>
      <w:lvlText w:val="（%1）"/>
      <w:lvlJc w:val="left"/>
    </w:lvl>
  </w:abstractNum>
  <w:abstractNum w:abstractNumId="7">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0"/>
  </w:num>
  <w:num w:numId="3">
    <w:abstractNumId w:val="7"/>
  </w:num>
  <w:num w:numId="4">
    <w:abstractNumId w:val="4"/>
  </w:num>
  <w:num w:numId="5">
    <w:abstractNumId w:val="1"/>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revisionView w:markup="0"/>
  <w:trackRevisions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000BF9"/>
    <w:rsid w:val="00002735"/>
    <w:rsid w:val="00004A67"/>
    <w:rsid w:val="000110B0"/>
    <w:rsid w:val="000169AC"/>
    <w:rsid w:val="00017EAF"/>
    <w:rsid w:val="00024976"/>
    <w:rsid w:val="00061A5F"/>
    <w:rsid w:val="00095DAA"/>
    <w:rsid w:val="00095E33"/>
    <w:rsid w:val="000A3920"/>
    <w:rsid w:val="000A3BE3"/>
    <w:rsid w:val="000A7C8A"/>
    <w:rsid w:val="000E7042"/>
    <w:rsid w:val="001027CC"/>
    <w:rsid w:val="00113097"/>
    <w:rsid w:val="001141EC"/>
    <w:rsid w:val="00133D9D"/>
    <w:rsid w:val="00147652"/>
    <w:rsid w:val="00147656"/>
    <w:rsid w:val="00150EA5"/>
    <w:rsid w:val="00151895"/>
    <w:rsid w:val="00160990"/>
    <w:rsid w:val="00180425"/>
    <w:rsid w:val="00182DE8"/>
    <w:rsid w:val="0018793E"/>
    <w:rsid w:val="001B2785"/>
    <w:rsid w:val="001B34B1"/>
    <w:rsid w:val="001D0B7B"/>
    <w:rsid w:val="001D2869"/>
    <w:rsid w:val="001D5D31"/>
    <w:rsid w:val="001D5E33"/>
    <w:rsid w:val="001F7F71"/>
    <w:rsid w:val="002015A6"/>
    <w:rsid w:val="00204047"/>
    <w:rsid w:val="00221437"/>
    <w:rsid w:val="00225216"/>
    <w:rsid w:val="002336AB"/>
    <w:rsid w:val="00254013"/>
    <w:rsid w:val="00290A49"/>
    <w:rsid w:val="002930CB"/>
    <w:rsid w:val="002A0B93"/>
    <w:rsid w:val="002B6031"/>
    <w:rsid w:val="002E1073"/>
    <w:rsid w:val="002E633A"/>
    <w:rsid w:val="002F0C82"/>
    <w:rsid w:val="002F524A"/>
    <w:rsid w:val="003050D9"/>
    <w:rsid w:val="00316C34"/>
    <w:rsid w:val="00346D27"/>
    <w:rsid w:val="00354384"/>
    <w:rsid w:val="003675BC"/>
    <w:rsid w:val="00394D92"/>
    <w:rsid w:val="00395D29"/>
    <w:rsid w:val="003D60BA"/>
    <w:rsid w:val="003E19DF"/>
    <w:rsid w:val="003F5F2A"/>
    <w:rsid w:val="00400582"/>
    <w:rsid w:val="00401495"/>
    <w:rsid w:val="00411689"/>
    <w:rsid w:val="0041352B"/>
    <w:rsid w:val="00433B01"/>
    <w:rsid w:val="00434071"/>
    <w:rsid w:val="00440C81"/>
    <w:rsid w:val="0044194C"/>
    <w:rsid w:val="00450ACA"/>
    <w:rsid w:val="004557D8"/>
    <w:rsid w:val="004618A8"/>
    <w:rsid w:val="004622A1"/>
    <w:rsid w:val="00480839"/>
    <w:rsid w:val="004839E2"/>
    <w:rsid w:val="004A15F6"/>
    <w:rsid w:val="004A4E7D"/>
    <w:rsid w:val="004C2929"/>
    <w:rsid w:val="004C481A"/>
    <w:rsid w:val="00501D9E"/>
    <w:rsid w:val="00564DDD"/>
    <w:rsid w:val="00587ADD"/>
    <w:rsid w:val="00593018"/>
    <w:rsid w:val="005A1445"/>
    <w:rsid w:val="005A6CBB"/>
    <w:rsid w:val="005A7589"/>
    <w:rsid w:val="005B078E"/>
    <w:rsid w:val="005C4EB0"/>
    <w:rsid w:val="005D05F5"/>
    <w:rsid w:val="005D39C9"/>
    <w:rsid w:val="005D3E71"/>
    <w:rsid w:val="005D618A"/>
    <w:rsid w:val="005D6998"/>
    <w:rsid w:val="005D7E06"/>
    <w:rsid w:val="005E0E0A"/>
    <w:rsid w:val="005F72BF"/>
    <w:rsid w:val="006007AB"/>
    <w:rsid w:val="00606BF7"/>
    <w:rsid w:val="006170BC"/>
    <w:rsid w:val="00623BC7"/>
    <w:rsid w:val="00627886"/>
    <w:rsid w:val="00627F01"/>
    <w:rsid w:val="00633494"/>
    <w:rsid w:val="00647793"/>
    <w:rsid w:val="00647F97"/>
    <w:rsid w:val="00654CB3"/>
    <w:rsid w:val="00656212"/>
    <w:rsid w:val="00667F67"/>
    <w:rsid w:val="00684BFD"/>
    <w:rsid w:val="0068547A"/>
    <w:rsid w:val="006873F4"/>
    <w:rsid w:val="006A1179"/>
    <w:rsid w:val="006B3264"/>
    <w:rsid w:val="006B3D62"/>
    <w:rsid w:val="006C645A"/>
    <w:rsid w:val="006E185C"/>
    <w:rsid w:val="006F016F"/>
    <w:rsid w:val="006F30B5"/>
    <w:rsid w:val="007047CD"/>
    <w:rsid w:val="00706971"/>
    <w:rsid w:val="0072350D"/>
    <w:rsid w:val="00724155"/>
    <w:rsid w:val="0073172E"/>
    <w:rsid w:val="007368A4"/>
    <w:rsid w:val="00741E11"/>
    <w:rsid w:val="00747FAC"/>
    <w:rsid w:val="00751295"/>
    <w:rsid w:val="00754FDE"/>
    <w:rsid w:val="00756EE4"/>
    <w:rsid w:val="007679C5"/>
    <w:rsid w:val="00772C0E"/>
    <w:rsid w:val="007740B7"/>
    <w:rsid w:val="00780494"/>
    <w:rsid w:val="00781EEA"/>
    <w:rsid w:val="007A3A45"/>
    <w:rsid w:val="007E0D8A"/>
    <w:rsid w:val="007E31DB"/>
    <w:rsid w:val="007E6AD0"/>
    <w:rsid w:val="007F1D56"/>
    <w:rsid w:val="008131DE"/>
    <w:rsid w:val="008222C4"/>
    <w:rsid w:val="00841EA2"/>
    <w:rsid w:val="00867CFA"/>
    <w:rsid w:val="00890651"/>
    <w:rsid w:val="008955CD"/>
    <w:rsid w:val="00895A1A"/>
    <w:rsid w:val="008A4CE4"/>
    <w:rsid w:val="008B635E"/>
    <w:rsid w:val="008C1BD0"/>
    <w:rsid w:val="008E6995"/>
    <w:rsid w:val="008F2399"/>
    <w:rsid w:val="008F7B3A"/>
    <w:rsid w:val="00902FF4"/>
    <w:rsid w:val="00904AB2"/>
    <w:rsid w:val="00907755"/>
    <w:rsid w:val="00911ECD"/>
    <w:rsid w:val="00916920"/>
    <w:rsid w:val="00923D55"/>
    <w:rsid w:val="00937CE2"/>
    <w:rsid w:val="00951463"/>
    <w:rsid w:val="00957835"/>
    <w:rsid w:val="00960920"/>
    <w:rsid w:val="00962D22"/>
    <w:rsid w:val="00967768"/>
    <w:rsid w:val="009733C6"/>
    <w:rsid w:val="00974C8B"/>
    <w:rsid w:val="0098116C"/>
    <w:rsid w:val="00987DBE"/>
    <w:rsid w:val="009C056B"/>
    <w:rsid w:val="009F20CB"/>
    <w:rsid w:val="009F20FA"/>
    <w:rsid w:val="00A042E0"/>
    <w:rsid w:val="00A064E7"/>
    <w:rsid w:val="00A07E29"/>
    <w:rsid w:val="00A11690"/>
    <w:rsid w:val="00A11C6F"/>
    <w:rsid w:val="00A17562"/>
    <w:rsid w:val="00A31BBD"/>
    <w:rsid w:val="00A46F24"/>
    <w:rsid w:val="00A8255F"/>
    <w:rsid w:val="00A84D2E"/>
    <w:rsid w:val="00A93615"/>
    <w:rsid w:val="00AB2F8B"/>
    <w:rsid w:val="00AE146F"/>
    <w:rsid w:val="00AF0E90"/>
    <w:rsid w:val="00B0027A"/>
    <w:rsid w:val="00B029E4"/>
    <w:rsid w:val="00B16BE0"/>
    <w:rsid w:val="00B231BB"/>
    <w:rsid w:val="00B26BB1"/>
    <w:rsid w:val="00B26E21"/>
    <w:rsid w:val="00B326F3"/>
    <w:rsid w:val="00B474E6"/>
    <w:rsid w:val="00B520B4"/>
    <w:rsid w:val="00B524A7"/>
    <w:rsid w:val="00B63CA4"/>
    <w:rsid w:val="00B80055"/>
    <w:rsid w:val="00BA2DEA"/>
    <w:rsid w:val="00BB39CB"/>
    <w:rsid w:val="00BC492C"/>
    <w:rsid w:val="00BD4F14"/>
    <w:rsid w:val="00BD54CA"/>
    <w:rsid w:val="00C13E40"/>
    <w:rsid w:val="00C30F0A"/>
    <w:rsid w:val="00C34DF0"/>
    <w:rsid w:val="00C37A66"/>
    <w:rsid w:val="00C5783C"/>
    <w:rsid w:val="00C63E08"/>
    <w:rsid w:val="00C8296C"/>
    <w:rsid w:val="00C87E79"/>
    <w:rsid w:val="00C94EF1"/>
    <w:rsid w:val="00CB67D9"/>
    <w:rsid w:val="00CD33D3"/>
    <w:rsid w:val="00CD671B"/>
    <w:rsid w:val="00CE09D0"/>
    <w:rsid w:val="00D068E4"/>
    <w:rsid w:val="00D11E6C"/>
    <w:rsid w:val="00D12DB5"/>
    <w:rsid w:val="00D27A52"/>
    <w:rsid w:val="00D47A3D"/>
    <w:rsid w:val="00D564F8"/>
    <w:rsid w:val="00D67F59"/>
    <w:rsid w:val="00D857A9"/>
    <w:rsid w:val="00D947DD"/>
    <w:rsid w:val="00DA4293"/>
    <w:rsid w:val="00DC46F5"/>
    <w:rsid w:val="00DE3595"/>
    <w:rsid w:val="00DE6157"/>
    <w:rsid w:val="00DF0310"/>
    <w:rsid w:val="00DF1217"/>
    <w:rsid w:val="00E074A3"/>
    <w:rsid w:val="00E24A93"/>
    <w:rsid w:val="00E25EA4"/>
    <w:rsid w:val="00E31AE8"/>
    <w:rsid w:val="00E36979"/>
    <w:rsid w:val="00E4247D"/>
    <w:rsid w:val="00E439CD"/>
    <w:rsid w:val="00E65038"/>
    <w:rsid w:val="00E71BE1"/>
    <w:rsid w:val="00E94A09"/>
    <w:rsid w:val="00EA78D1"/>
    <w:rsid w:val="00EB2611"/>
    <w:rsid w:val="00EC1817"/>
    <w:rsid w:val="00EC51AB"/>
    <w:rsid w:val="00ED0C21"/>
    <w:rsid w:val="00F60357"/>
    <w:rsid w:val="00F6704F"/>
    <w:rsid w:val="00F71FDC"/>
    <w:rsid w:val="00F76887"/>
    <w:rsid w:val="00F83B64"/>
    <w:rsid w:val="00F8605C"/>
    <w:rsid w:val="00F920C9"/>
    <w:rsid w:val="00F9326F"/>
    <w:rsid w:val="00FB3564"/>
    <w:rsid w:val="00FB5006"/>
    <w:rsid w:val="00FC0DC4"/>
    <w:rsid w:val="00FC69FD"/>
    <w:rsid w:val="00FE4856"/>
    <w:rsid w:val="00FE63B4"/>
    <w:rsid w:val="00FF53CC"/>
    <w:rsid w:val="01600158"/>
    <w:rsid w:val="017008F1"/>
    <w:rsid w:val="02090C75"/>
    <w:rsid w:val="020B18B5"/>
    <w:rsid w:val="021A4ADB"/>
    <w:rsid w:val="02A23A3C"/>
    <w:rsid w:val="02B84860"/>
    <w:rsid w:val="02ED10BB"/>
    <w:rsid w:val="031A5AA4"/>
    <w:rsid w:val="033966B5"/>
    <w:rsid w:val="03AC246A"/>
    <w:rsid w:val="03B23056"/>
    <w:rsid w:val="03DC3EBA"/>
    <w:rsid w:val="03F9794D"/>
    <w:rsid w:val="046A2461"/>
    <w:rsid w:val="047006A8"/>
    <w:rsid w:val="051D4C28"/>
    <w:rsid w:val="053E0EA6"/>
    <w:rsid w:val="05995B49"/>
    <w:rsid w:val="062C0CFF"/>
    <w:rsid w:val="06B01251"/>
    <w:rsid w:val="06C64829"/>
    <w:rsid w:val="071926F7"/>
    <w:rsid w:val="077D16D2"/>
    <w:rsid w:val="07807554"/>
    <w:rsid w:val="07812C00"/>
    <w:rsid w:val="085A292F"/>
    <w:rsid w:val="08675FC8"/>
    <w:rsid w:val="087D179B"/>
    <w:rsid w:val="08804834"/>
    <w:rsid w:val="089F1C5C"/>
    <w:rsid w:val="08B95724"/>
    <w:rsid w:val="08E03F39"/>
    <w:rsid w:val="099928DC"/>
    <w:rsid w:val="09B713FD"/>
    <w:rsid w:val="09B94F9F"/>
    <w:rsid w:val="09D13733"/>
    <w:rsid w:val="09EF6ACC"/>
    <w:rsid w:val="0A315056"/>
    <w:rsid w:val="0A591FCA"/>
    <w:rsid w:val="0A5A62EA"/>
    <w:rsid w:val="0A6A0048"/>
    <w:rsid w:val="0A773CB4"/>
    <w:rsid w:val="0A7C3E9F"/>
    <w:rsid w:val="0AC05EBA"/>
    <w:rsid w:val="0AFB45AD"/>
    <w:rsid w:val="0B351E9B"/>
    <w:rsid w:val="0B4C50D3"/>
    <w:rsid w:val="0B7B3209"/>
    <w:rsid w:val="0B806B92"/>
    <w:rsid w:val="0B827E94"/>
    <w:rsid w:val="0BD070E1"/>
    <w:rsid w:val="0BEA08E7"/>
    <w:rsid w:val="0C247926"/>
    <w:rsid w:val="0C3278E9"/>
    <w:rsid w:val="0C47454F"/>
    <w:rsid w:val="0C7D3B4D"/>
    <w:rsid w:val="0CC34B8B"/>
    <w:rsid w:val="0D5471C2"/>
    <w:rsid w:val="0D5B011C"/>
    <w:rsid w:val="0D662944"/>
    <w:rsid w:val="0D794204"/>
    <w:rsid w:val="0D7F6266"/>
    <w:rsid w:val="0DB50078"/>
    <w:rsid w:val="0DD73C46"/>
    <w:rsid w:val="0DE767B0"/>
    <w:rsid w:val="0E2125D1"/>
    <w:rsid w:val="0E214211"/>
    <w:rsid w:val="0E3957C7"/>
    <w:rsid w:val="0E5F2769"/>
    <w:rsid w:val="0EC91B3C"/>
    <w:rsid w:val="0F0A3BA7"/>
    <w:rsid w:val="0F383D81"/>
    <w:rsid w:val="0F4D75A3"/>
    <w:rsid w:val="0F5B2DCA"/>
    <w:rsid w:val="0F713C26"/>
    <w:rsid w:val="0FB80F7E"/>
    <w:rsid w:val="0FE9047A"/>
    <w:rsid w:val="0FED051E"/>
    <w:rsid w:val="0FEE4C29"/>
    <w:rsid w:val="10046082"/>
    <w:rsid w:val="1092654A"/>
    <w:rsid w:val="10A44694"/>
    <w:rsid w:val="112B101A"/>
    <w:rsid w:val="11315192"/>
    <w:rsid w:val="11601662"/>
    <w:rsid w:val="117C372E"/>
    <w:rsid w:val="118F19D2"/>
    <w:rsid w:val="119B53FC"/>
    <w:rsid w:val="11E32D6C"/>
    <w:rsid w:val="12071598"/>
    <w:rsid w:val="12424CDC"/>
    <w:rsid w:val="129A2738"/>
    <w:rsid w:val="12B56BF1"/>
    <w:rsid w:val="12CB1A89"/>
    <w:rsid w:val="12E017EF"/>
    <w:rsid w:val="12E84D9E"/>
    <w:rsid w:val="131840FB"/>
    <w:rsid w:val="13375E48"/>
    <w:rsid w:val="13467417"/>
    <w:rsid w:val="13676FEA"/>
    <w:rsid w:val="136E76CF"/>
    <w:rsid w:val="142078A9"/>
    <w:rsid w:val="142273BC"/>
    <w:rsid w:val="14553B17"/>
    <w:rsid w:val="14E61045"/>
    <w:rsid w:val="15103CD0"/>
    <w:rsid w:val="15337151"/>
    <w:rsid w:val="155D66DF"/>
    <w:rsid w:val="15944EEB"/>
    <w:rsid w:val="15985994"/>
    <w:rsid w:val="15A267B6"/>
    <w:rsid w:val="15BC6B3C"/>
    <w:rsid w:val="16003810"/>
    <w:rsid w:val="163F682C"/>
    <w:rsid w:val="1694429A"/>
    <w:rsid w:val="17011D34"/>
    <w:rsid w:val="17147CB9"/>
    <w:rsid w:val="17635326"/>
    <w:rsid w:val="17707863"/>
    <w:rsid w:val="179C5E42"/>
    <w:rsid w:val="17B15508"/>
    <w:rsid w:val="17BD20FF"/>
    <w:rsid w:val="17F61926"/>
    <w:rsid w:val="18236EFD"/>
    <w:rsid w:val="182E0CB8"/>
    <w:rsid w:val="188D1DE4"/>
    <w:rsid w:val="189D5B1F"/>
    <w:rsid w:val="18A34CD0"/>
    <w:rsid w:val="18BF6327"/>
    <w:rsid w:val="19291BFF"/>
    <w:rsid w:val="196640D0"/>
    <w:rsid w:val="19B64DBC"/>
    <w:rsid w:val="19D92AF4"/>
    <w:rsid w:val="1A373ACF"/>
    <w:rsid w:val="1A581A19"/>
    <w:rsid w:val="1A895341"/>
    <w:rsid w:val="1B0D071F"/>
    <w:rsid w:val="1B4568CE"/>
    <w:rsid w:val="1B9015B7"/>
    <w:rsid w:val="1BC04E70"/>
    <w:rsid w:val="1C326A23"/>
    <w:rsid w:val="1CBD494F"/>
    <w:rsid w:val="1CF103F8"/>
    <w:rsid w:val="1D1C7339"/>
    <w:rsid w:val="1D5A79EE"/>
    <w:rsid w:val="1DB508BE"/>
    <w:rsid w:val="1DB86249"/>
    <w:rsid w:val="1DC33F67"/>
    <w:rsid w:val="1E0E2CD0"/>
    <w:rsid w:val="1E5D0E5D"/>
    <w:rsid w:val="1E831280"/>
    <w:rsid w:val="1EBC4704"/>
    <w:rsid w:val="1F1223AE"/>
    <w:rsid w:val="1F172EB5"/>
    <w:rsid w:val="1F184FA7"/>
    <w:rsid w:val="1F284737"/>
    <w:rsid w:val="1F474421"/>
    <w:rsid w:val="1F94592D"/>
    <w:rsid w:val="1FB860DE"/>
    <w:rsid w:val="20146634"/>
    <w:rsid w:val="203C5A02"/>
    <w:rsid w:val="20735A50"/>
    <w:rsid w:val="209D4C94"/>
    <w:rsid w:val="20E84705"/>
    <w:rsid w:val="20F36B91"/>
    <w:rsid w:val="217E5BEC"/>
    <w:rsid w:val="218400BA"/>
    <w:rsid w:val="21AB1E2F"/>
    <w:rsid w:val="21D40498"/>
    <w:rsid w:val="221943D6"/>
    <w:rsid w:val="223B434C"/>
    <w:rsid w:val="22456F79"/>
    <w:rsid w:val="22457ACF"/>
    <w:rsid w:val="225471F2"/>
    <w:rsid w:val="226550C0"/>
    <w:rsid w:val="22767047"/>
    <w:rsid w:val="22783AE1"/>
    <w:rsid w:val="229A56A6"/>
    <w:rsid w:val="22F425EF"/>
    <w:rsid w:val="231A741E"/>
    <w:rsid w:val="238C3CBF"/>
    <w:rsid w:val="23A05588"/>
    <w:rsid w:val="23B85EA9"/>
    <w:rsid w:val="23FB6910"/>
    <w:rsid w:val="242F7523"/>
    <w:rsid w:val="24561B4D"/>
    <w:rsid w:val="24CC1BD3"/>
    <w:rsid w:val="24DA6FD0"/>
    <w:rsid w:val="25431AEB"/>
    <w:rsid w:val="2579372D"/>
    <w:rsid w:val="25BF43FD"/>
    <w:rsid w:val="25F86BCD"/>
    <w:rsid w:val="25FF5E4C"/>
    <w:rsid w:val="26673907"/>
    <w:rsid w:val="269E416A"/>
    <w:rsid w:val="26FE1DEC"/>
    <w:rsid w:val="2716101F"/>
    <w:rsid w:val="272100D3"/>
    <w:rsid w:val="272C72FC"/>
    <w:rsid w:val="2749593C"/>
    <w:rsid w:val="275163C0"/>
    <w:rsid w:val="27CD0040"/>
    <w:rsid w:val="27E01AE8"/>
    <w:rsid w:val="27EB149D"/>
    <w:rsid w:val="27FD3E52"/>
    <w:rsid w:val="28975BB3"/>
    <w:rsid w:val="28CD69F7"/>
    <w:rsid w:val="28E11370"/>
    <w:rsid w:val="294A756A"/>
    <w:rsid w:val="29982084"/>
    <w:rsid w:val="29D5322D"/>
    <w:rsid w:val="2A025DD9"/>
    <w:rsid w:val="2A111E36"/>
    <w:rsid w:val="2A6D20E7"/>
    <w:rsid w:val="2A7C2231"/>
    <w:rsid w:val="2A856479"/>
    <w:rsid w:val="2ABB753D"/>
    <w:rsid w:val="2ADA211C"/>
    <w:rsid w:val="2B196B97"/>
    <w:rsid w:val="2B2C588B"/>
    <w:rsid w:val="2B4A6107"/>
    <w:rsid w:val="2B7A49FA"/>
    <w:rsid w:val="2BAE2033"/>
    <w:rsid w:val="2BC74EA2"/>
    <w:rsid w:val="2BF82AD4"/>
    <w:rsid w:val="2C03107C"/>
    <w:rsid w:val="2C1125C1"/>
    <w:rsid w:val="2C141C42"/>
    <w:rsid w:val="2C3D33B6"/>
    <w:rsid w:val="2C4F039F"/>
    <w:rsid w:val="2C615D26"/>
    <w:rsid w:val="2CB679ED"/>
    <w:rsid w:val="2CD45AC9"/>
    <w:rsid w:val="2CD579DF"/>
    <w:rsid w:val="2CE41A4F"/>
    <w:rsid w:val="2CEC22A5"/>
    <w:rsid w:val="2CFC6DCE"/>
    <w:rsid w:val="2D173C07"/>
    <w:rsid w:val="2D2612BA"/>
    <w:rsid w:val="2D424A86"/>
    <w:rsid w:val="2D5F55CD"/>
    <w:rsid w:val="2DCF6290"/>
    <w:rsid w:val="2DE5767A"/>
    <w:rsid w:val="2DED793F"/>
    <w:rsid w:val="2E1B54EC"/>
    <w:rsid w:val="2E7B52DB"/>
    <w:rsid w:val="2EE62805"/>
    <w:rsid w:val="2EEA4821"/>
    <w:rsid w:val="2F324CFE"/>
    <w:rsid w:val="2FB27C17"/>
    <w:rsid w:val="2FBA09F1"/>
    <w:rsid w:val="2FD15B4A"/>
    <w:rsid w:val="2FEF2ACF"/>
    <w:rsid w:val="30134A3E"/>
    <w:rsid w:val="30540211"/>
    <w:rsid w:val="3098425E"/>
    <w:rsid w:val="30CC4D09"/>
    <w:rsid w:val="30FC55EE"/>
    <w:rsid w:val="312D7741"/>
    <w:rsid w:val="3165624E"/>
    <w:rsid w:val="316F137F"/>
    <w:rsid w:val="317E02CB"/>
    <w:rsid w:val="31972F9E"/>
    <w:rsid w:val="31DF525F"/>
    <w:rsid w:val="32324C2E"/>
    <w:rsid w:val="327171DF"/>
    <w:rsid w:val="32921BF5"/>
    <w:rsid w:val="329655CE"/>
    <w:rsid w:val="32AD26FC"/>
    <w:rsid w:val="32DF2F2E"/>
    <w:rsid w:val="33071668"/>
    <w:rsid w:val="331A7FAD"/>
    <w:rsid w:val="33275DEA"/>
    <w:rsid w:val="334A2CD5"/>
    <w:rsid w:val="336D4B54"/>
    <w:rsid w:val="338430F9"/>
    <w:rsid w:val="339E298D"/>
    <w:rsid w:val="341E3434"/>
    <w:rsid w:val="354859AF"/>
    <w:rsid w:val="356F2313"/>
    <w:rsid w:val="35982C86"/>
    <w:rsid w:val="35AC4DA2"/>
    <w:rsid w:val="35E460D6"/>
    <w:rsid w:val="360B7EBA"/>
    <w:rsid w:val="368816D2"/>
    <w:rsid w:val="369C32FD"/>
    <w:rsid w:val="369D4959"/>
    <w:rsid w:val="37193AA6"/>
    <w:rsid w:val="37441A9D"/>
    <w:rsid w:val="37526A55"/>
    <w:rsid w:val="37666E72"/>
    <w:rsid w:val="376950A4"/>
    <w:rsid w:val="37746D1B"/>
    <w:rsid w:val="37A9391E"/>
    <w:rsid w:val="37C5228F"/>
    <w:rsid w:val="38167A04"/>
    <w:rsid w:val="38281D6C"/>
    <w:rsid w:val="383907DC"/>
    <w:rsid w:val="38A84FCA"/>
    <w:rsid w:val="38D82EE1"/>
    <w:rsid w:val="38F063D4"/>
    <w:rsid w:val="394B167A"/>
    <w:rsid w:val="39C90037"/>
    <w:rsid w:val="3A4E4336"/>
    <w:rsid w:val="3A6007FE"/>
    <w:rsid w:val="3AA64F66"/>
    <w:rsid w:val="3AF12819"/>
    <w:rsid w:val="3B454DA1"/>
    <w:rsid w:val="3B4A61AD"/>
    <w:rsid w:val="3B7C2CE4"/>
    <w:rsid w:val="3B936B4F"/>
    <w:rsid w:val="3BB07701"/>
    <w:rsid w:val="3C0B5355"/>
    <w:rsid w:val="3C270AB7"/>
    <w:rsid w:val="3C5718B8"/>
    <w:rsid w:val="3C945CB8"/>
    <w:rsid w:val="3CB91ED7"/>
    <w:rsid w:val="3CD4176B"/>
    <w:rsid w:val="3CE82429"/>
    <w:rsid w:val="3D1947C6"/>
    <w:rsid w:val="3D1F44D9"/>
    <w:rsid w:val="3D22018A"/>
    <w:rsid w:val="3D5C38CD"/>
    <w:rsid w:val="3D6114FE"/>
    <w:rsid w:val="3E5070F1"/>
    <w:rsid w:val="3F0A4E49"/>
    <w:rsid w:val="3F6C3589"/>
    <w:rsid w:val="3F737382"/>
    <w:rsid w:val="3F850180"/>
    <w:rsid w:val="3F9004D6"/>
    <w:rsid w:val="3F9127A6"/>
    <w:rsid w:val="3FF61A95"/>
    <w:rsid w:val="400A451E"/>
    <w:rsid w:val="400E4D5E"/>
    <w:rsid w:val="402F7EFE"/>
    <w:rsid w:val="40B22029"/>
    <w:rsid w:val="40CB0B39"/>
    <w:rsid w:val="40E1138C"/>
    <w:rsid w:val="410D74BE"/>
    <w:rsid w:val="41105204"/>
    <w:rsid w:val="413814BA"/>
    <w:rsid w:val="41872511"/>
    <w:rsid w:val="41962EF5"/>
    <w:rsid w:val="41AA590B"/>
    <w:rsid w:val="42140FBE"/>
    <w:rsid w:val="422A3109"/>
    <w:rsid w:val="42466655"/>
    <w:rsid w:val="42597B5D"/>
    <w:rsid w:val="42A51A4F"/>
    <w:rsid w:val="42C82F57"/>
    <w:rsid w:val="42D0544D"/>
    <w:rsid w:val="43734D42"/>
    <w:rsid w:val="43A318F9"/>
    <w:rsid w:val="43C76AF7"/>
    <w:rsid w:val="43FA3CF9"/>
    <w:rsid w:val="446828F0"/>
    <w:rsid w:val="44A62595"/>
    <w:rsid w:val="45034D45"/>
    <w:rsid w:val="4541586E"/>
    <w:rsid w:val="4554734F"/>
    <w:rsid w:val="455A06DD"/>
    <w:rsid w:val="455F5432"/>
    <w:rsid w:val="45673673"/>
    <w:rsid w:val="45795E90"/>
    <w:rsid w:val="458C7ADE"/>
    <w:rsid w:val="45AE0D8C"/>
    <w:rsid w:val="45C13B4D"/>
    <w:rsid w:val="45E16FEB"/>
    <w:rsid w:val="46054BCA"/>
    <w:rsid w:val="464C6AFC"/>
    <w:rsid w:val="46571993"/>
    <w:rsid w:val="468B0091"/>
    <w:rsid w:val="46A00372"/>
    <w:rsid w:val="46A107C3"/>
    <w:rsid w:val="46B15CE2"/>
    <w:rsid w:val="46BE113D"/>
    <w:rsid w:val="46E44B13"/>
    <w:rsid w:val="47014FCC"/>
    <w:rsid w:val="4703508A"/>
    <w:rsid w:val="47376F28"/>
    <w:rsid w:val="475023F8"/>
    <w:rsid w:val="47670051"/>
    <w:rsid w:val="479223B1"/>
    <w:rsid w:val="479D361E"/>
    <w:rsid w:val="47B74789"/>
    <w:rsid w:val="480F2B9D"/>
    <w:rsid w:val="4821154F"/>
    <w:rsid w:val="48253225"/>
    <w:rsid w:val="48282920"/>
    <w:rsid w:val="48311BC9"/>
    <w:rsid w:val="485321E0"/>
    <w:rsid w:val="48546AD3"/>
    <w:rsid w:val="48CA4868"/>
    <w:rsid w:val="48E24C72"/>
    <w:rsid w:val="48F005D3"/>
    <w:rsid w:val="48F07C85"/>
    <w:rsid w:val="49156DF5"/>
    <w:rsid w:val="4929385D"/>
    <w:rsid w:val="497D195F"/>
    <w:rsid w:val="498F4AF1"/>
    <w:rsid w:val="49C05787"/>
    <w:rsid w:val="49CD217F"/>
    <w:rsid w:val="49CF518D"/>
    <w:rsid w:val="49FF643D"/>
    <w:rsid w:val="4ADA1F63"/>
    <w:rsid w:val="4AE23D89"/>
    <w:rsid w:val="4B1D01E3"/>
    <w:rsid w:val="4B2038D0"/>
    <w:rsid w:val="4B296E7D"/>
    <w:rsid w:val="4B5826AD"/>
    <w:rsid w:val="4B7D1A7A"/>
    <w:rsid w:val="4B877F28"/>
    <w:rsid w:val="4BD60CA6"/>
    <w:rsid w:val="4C3E62B8"/>
    <w:rsid w:val="4C6C2B55"/>
    <w:rsid w:val="4C9267C2"/>
    <w:rsid w:val="4CBD3C34"/>
    <w:rsid w:val="4CFB4554"/>
    <w:rsid w:val="4D916BA6"/>
    <w:rsid w:val="4DC44169"/>
    <w:rsid w:val="4DE76A53"/>
    <w:rsid w:val="4E3704A8"/>
    <w:rsid w:val="4EAC3B65"/>
    <w:rsid w:val="4EF0709E"/>
    <w:rsid w:val="4EF27D04"/>
    <w:rsid w:val="4F18388F"/>
    <w:rsid w:val="4F2D1B25"/>
    <w:rsid w:val="4F3246BD"/>
    <w:rsid w:val="4F345301"/>
    <w:rsid w:val="4F43480D"/>
    <w:rsid w:val="503009B9"/>
    <w:rsid w:val="50456F8B"/>
    <w:rsid w:val="50942CF5"/>
    <w:rsid w:val="512D3A1F"/>
    <w:rsid w:val="513C6A7B"/>
    <w:rsid w:val="51491D32"/>
    <w:rsid w:val="51AA51AE"/>
    <w:rsid w:val="51B573C7"/>
    <w:rsid w:val="51FB1DBF"/>
    <w:rsid w:val="51FE3F57"/>
    <w:rsid w:val="520E4D2A"/>
    <w:rsid w:val="521269DB"/>
    <w:rsid w:val="529C0B07"/>
    <w:rsid w:val="5333545B"/>
    <w:rsid w:val="5450213C"/>
    <w:rsid w:val="547808CF"/>
    <w:rsid w:val="54A0435F"/>
    <w:rsid w:val="54A60E7E"/>
    <w:rsid w:val="54D24048"/>
    <w:rsid w:val="54D64CD5"/>
    <w:rsid w:val="554F6252"/>
    <w:rsid w:val="55887D69"/>
    <w:rsid w:val="558A39D8"/>
    <w:rsid w:val="558F7FB5"/>
    <w:rsid w:val="55D571FD"/>
    <w:rsid w:val="55D6790C"/>
    <w:rsid w:val="561A0928"/>
    <w:rsid w:val="56222B52"/>
    <w:rsid w:val="56423872"/>
    <w:rsid w:val="566B4D4A"/>
    <w:rsid w:val="56B279F0"/>
    <w:rsid w:val="57362972"/>
    <w:rsid w:val="579D710E"/>
    <w:rsid w:val="57AE3DF4"/>
    <w:rsid w:val="57DB745C"/>
    <w:rsid w:val="57F60092"/>
    <w:rsid w:val="580603F2"/>
    <w:rsid w:val="581F22F6"/>
    <w:rsid w:val="58221C4A"/>
    <w:rsid w:val="583D1EC5"/>
    <w:rsid w:val="58472D43"/>
    <w:rsid w:val="58501BF8"/>
    <w:rsid w:val="58502D74"/>
    <w:rsid w:val="586E1E17"/>
    <w:rsid w:val="58862C35"/>
    <w:rsid w:val="58B73FB5"/>
    <w:rsid w:val="58C14957"/>
    <w:rsid w:val="591F15CA"/>
    <w:rsid w:val="599420F2"/>
    <w:rsid w:val="59B4067F"/>
    <w:rsid w:val="59C12681"/>
    <w:rsid w:val="59D46318"/>
    <w:rsid w:val="5A192AAF"/>
    <w:rsid w:val="5A202317"/>
    <w:rsid w:val="5AE83A50"/>
    <w:rsid w:val="5AFA4FF6"/>
    <w:rsid w:val="5BAB2917"/>
    <w:rsid w:val="5BAF26CF"/>
    <w:rsid w:val="5BFC33FA"/>
    <w:rsid w:val="5C050E1B"/>
    <w:rsid w:val="5C092028"/>
    <w:rsid w:val="5C3107A4"/>
    <w:rsid w:val="5C3B1B93"/>
    <w:rsid w:val="5C7600B9"/>
    <w:rsid w:val="5C897F15"/>
    <w:rsid w:val="5C9220DF"/>
    <w:rsid w:val="5CD8040E"/>
    <w:rsid w:val="5D4A15F3"/>
    <w:rsid w:val="5D69542A"/>
    <w:rsid w:val="5DC015CE"/>
    <w:rsid w:val="5DCD56A6"/>
    <w:rsid w:val="5DD132B1"/>
    <w:rsid w:val="5DDE3802"/>
    <w:rsid w:val="5E0930EF"/>
    <w:rsid w:val="5E26549C"/>
    <w:rsid w:val="5E3D4D53"/>
    <w:rsid w:val="5E4717E6"/>
    <w:rsid w:val="5E55774C"/>
    <w:rsid w:val="5E7158AA"/>
    <w:rsid w:val="5F3705FF"/>
    <w:rsid w:val="5F4D1192"/>
    <w:rsid w:val="5F5807B7"/>
    <w:rsid w:val="5FA70F6C"/>
    <w:rsid w:val="5FD517A5"/>
    <w:rsid w:val="600C13D0"/>
    <w:rsid w:val="60104DDC"/>
    <w:rsid w:val="605C0804"/>
    <w:rsid w:val="60A563A7"/>
    <w:rsid w:val="61543285"/>
    <w:rsid w:val="615825AC"/>
    <w:rsid w:val="6189617B"/>
    <w:rsid w:val="61B52BB6"/>
    <w:rsid w:val="61B749C2"/>
    <w:rsid w:val="61B96A60"/>
    <w:rsid w:val="61DB0DFF"/>
    <w:rsid w:val="61FE26C5"/>
    <w:rsid w:val="62280D20"/>
    <w:rsid w:val="622C5B5B"/>
    <w:rsid w:val="62A67249"/>
    <w:rsid w:val="62CA2457"/>
    <w:rsid w:val="62E419D3"/>
    <w:rsid w:val="6340659E"/>
    <w:rsid w:val="63635B65"/>
    <w:rsid w:val="63740FE2"/>
    <w:rsid w:val="638240A1"/>
    <w:rsid w:val="63A5257B"/>
    <w:rsid w:val="63BD3DCC"/>
    <w:rsid w:val="63C61741"/>
    <w:rsid w:val="63FE2C2C"/>
    <w:rsid w:val="64560967"/>
    <w:rsid w:val="6465250B"/>
    <w:rsid w:val="64805613"/>
    <w:rsid w:val="64EC2CA8"/>
    <w:rsid w:val="65005C64"/>
    <w:rsid w:val="655D7702"/>
    <w:rsid w:val="656B1D10"/>
    <w:rsid w:val="65764386"/>
    <w:rsid w:val="658A426F"/>
    <w:rsid w:val="659B2EBF"/>
    <w:rsid w:val="65E2458B"/>
    <w:rsid w:val="65E60A3C"/>
    <w:rsid w:val="66022B28"/>
    <w:rsid w:val="660E6C4E"/>
    <w:rsid w:val="66200FCB"/>
    <w:rsid w:val="66292A20"/>
    <w:rsid w:val="66581E87"/>
    <w:rsid w:val="6692162D"/>
    <w:rsid w:val="66FA11D5"/>
    <w:rsid w:val="6716400D"/>
    <w:rsid w:val="672D4BFB"/>
    <w:rsid w:val="674302C7"/>
    <w:rsid w:val="680A5986"/>
    <w:rsid w:val="680D5F4B"/>
    <w:rsid w:val="68113F51"/>
    <w:rsid w:val="6812290E"/>
    <w:rsid w:val="68553A05"/>
    <w:rsid w:val="68E94770"/>
    <w:rsid w:val="68EC4E38"/>
    <w:rsid w:val="68F708D2"/>
    <w:rsid w:val="68F949C9"/>
    <w:rsid w:val="68F9743F"/>
    <w:rsid w:val="6916122F"/>
    <w:rsid w:val="695A4290"/>
    <w:rsid w:val="695B411C"/>
    <w:rsid w:val="696223A7"/>
    <w:rsid w:val="69884262"/>
    <w:rsid w:val="69A1231A"/>
    <w:rsid w:val="69FD3644"/>
    <w:rsid w:val="6A334932"/>
    <w:rsid w:val="6A3353FF"/>
    <w:rsid w:val="6A5D63E6"/>
    <w:rsid w:val="6A5F24D1"/>
    <w:rsid w:val="6A786D8C"/>
    <w:rsid w:val="6AC24496"/>
    <w:rsid w:val="6AE347EB"/>
    <w:rsid w:val="6B434AF0"/>
    <w:rsid w:val="6B496903"/>
    <w:rsid w:val="6B57675A"/>
    <w:rsid w:val="6B657311"/>
    <w:rsid w:val="6B971BD3"/>
    <w:rsid w:val="6B99046E"/>
    <w:rsid w:val="6BB35F77"/>
    <w:rsid w:val="6BDD7B4D"/>
    <w:rsid w:val="6C240F7A"/>
    <w:rsid w:val="6C2A7E16"/>
    <w:rsid w:val="6C682BCA"/>
    <w:rsid w:val="6C917ADD"/>
    <w:rsid w:val="6C935B86"/>
    <w:rsid w:val="6D284B02"/>
    <w:rsid w:val="6D342FFC"/>
    <w:rsid w:val="6D4160BF"/>
    <w:rsid w:val="6DEB1B30"/>
    <w:rsid w:val="6DF67774"/>
    <w:rsid w:val="6E301597"/>
    <w:rsid w:val="6E3E378E"/>
    <w:rsid w:val="6E573888"/>
    <w:rsid w:val="6E9F36E2"/>
    <w:rsid w:val="6EBA58AF"/>
    <w:rsid w:val="6EBC0B3A"/>
    <w:rsid w:val="6EC7159E"/>
    <w:rsid w:val="6EF51C7D"/>
    <w:rsid w:val="6F152B69"/>
    <w:rsid w:val="6F614293"/>
    <w:rsid w:val="6F8363E5"/>
    <w:rsid w:val="6F8B7FB3"/>
    <w:rsid w:val="6F9E7295"/>
    <w:rsid w:val="6FC746F5"/>
    <w:rsid w:val="6FDC38E7"/>
    <w:rsid w:val="70317AC6"/>
    <w:rsid w:val="70651B61"/>
    <w:rsid w:val="70863262"/>
    <w:rsid w:val="70A1528F"/>
    <w:rsid w:val="70A76ED3"/>
    <w:rsid w:val="70D15B9A"/>
    <w:rsid w:val="70ED3587"/>
    <w:rsid w:val="71860B17"/>
    <w:rsid w:val="71987335"/>
    <w:rsid w:val="71AB7A47"/>
    <w:rsid w:val="71ED6D3E"/>
    <w:rsid w:val="72033859"/>
    <w:rsid w:val="723B27CC"/>
    <w:rsid w:val="723F6421"/>
    <w:rsid w:val="72687227"/>
    <w:rsid w:val="72A03FD9"/>
    <w:rsid w:val="72F61D99"/>
    <w:rsid w:val="72FD24DD"/>
    <w:rsid w:val="73211723"/>
    <w:rsid w:val="73406CFF"/>
    <w:rsid w:val="7359395E"/>
    <w:rsid w:val="7383028C"/>
    <w:rsid w:val="73A25E44"/>
    <w:rsid w:val="73AD7AA7"/>
    <w:rsid w:val="73CA39CA"/>
    <w:rsid w:val="73ED4347"/>
    <w:rsid w:val="741F68CF"/>
    <w:rsid w:val="745D14CD"/>
    <w:rsid w:val="746A705E"/>
    <w:rsid w:val="748713D8"/>
    <w:rsid w:val="74BD28E5"/>
    <w:rsid w:val="75252DF3"/>
    <w:rsid w:val="75621536"/>
    <w:rsid w:val="75BF3154"/>
    <w:rsid w:val="760F7D0F"/>
    <w:rsid w:val="764A07CF"/>
    <w:rsid w:val="764F6B3D"/>
    <w:rsid w:val="76CD2B7B"/>
    <w:rsid w:val="76D637B8"/>
    <w:rsid w:val="76D80645"/>
    <w:rsid w:val="76DE441B"/>
    <w:rsid w:val="76E03371"/>
    <w:rsid w:val="77020109"/>
    <w:rsid w:val="771F413A"/>
    <w:rsid w:val="777D1617"/>
    <w:rsid w:val="77AB07A1"/>
    <w:rsid w:val="77AF096C"/>
    <w:rsid w:val="780E5898"/>
    <w:rsid w:val="782642CC"/>
    <w:rsid w:val="784A7BB7"/>
    <w:rsid w:val="7894095E"/>
    <w:rsid w:val="78BF57A5"/>
    <w:rsid w:val="78C729E2"/>
    <w:rsid w:val="78E27FB5"/>
    <w:rsid w:val="79000679"/>
    <w:rsid w:val="79A416F0"/>
    <w:rsid w:val="79AE6327"/>
    <w:rsid w:val="79B03EB6"/>
    <w:rsid w:val="7A244940"/>
    <w:rsid w:val="7AF26EC4"/>
    <w:rsid w:val="7AF37579"/>
    <w:rsid w:val="7AF87F64"/>
    <w:rsid w:val="7B1C0C84"/>
    <w:rsid w:val="7B385C1C"/>
    <w:rsid w:val="7B417A08"/>
    <w:rsid w:val="7B5A62DF"/>
    <w:rsid w:val="7B7A04A8"/>
    <w:rsid w:val="7B9867A6"/>
    <w:rsid w:val="7BDB7F1C"/>
    <w:rsid w:val="7BFF3B20"/>
    <w:rsid w:val="7C05779D"/>
    <w:rsid w:val="7C0C3F6D"/>
    <w:rsid w:val="7C22163C"/>
    <w:rsid w:val="7C283958"/>
    <w:rsid w:val="7C595075"/>
    <w:rsid w:val="7C6B07B2"/>
    <w:rsid w:val="7C8141C6"/>
    <w:rsid w:val="7CBF4FEB"/>
    <w:rsid w:val="7D133243"/>
    <w:rsid w:val="7D470F6C"/>
    <w:rsid w:val="7D852995"/>
    <w:rsid w:val="7D972E6C"/>
    <w:rsid w:val="7DF67FF0"/>
    <w:rsid w:val="7E394207"/>
    <w:rsid w:val="7E4007A2"/>
    <w:rsid w:val="7E4B683A"/>
    <w:rsid w:val="7E791CAD"/>
    <w:rsid w:val="7E9836E2"/>
    <w:rsid w:val="7EA50DFB"/>
    <w:rsid w:val="7EA877E8"/>
    <w:rsid w:val="7EC07E21"/>
    <w:rsid w:val="7EC86878"/>
    <w:rsid w:val="7EED169F"/>
    <w:rsid w:val="7F16390D"/>
    <w:rsid w:val="7F5A71FC"/>
    <w:rsid w:val="7F691D27"/>
    <w:rsid w:val="7F752917"/>
    <w:rsid w:val="7F947ACE"/>
    <w:rsid w:val="7FBB248D"/>
    <w:rsid w:val="7FBD2969"/>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50"/>
    <w:qFormat/>
    <w:uiPriority w:val="9"/>
    <w:pPr>
      <w:keepNext/>
      <w:keepLines/>
      <w:spacing w:before="340" w:after="330" w:line="578" w:lineRule="auto"/>
      <w:jc w:val="center"/>
      <w:outlineLvl w:val="0"/>
    </w:pPr>
    <w:rPr>
      <w:rFonts w:eastAsia="方正小标宋简体"/>
      <w:bCs/>
      <w:kern w:val="44"/>
      <w:sz w:val="44"/>
      <w:szCs w:val="44"/>
    </w:rPr>
  </w:style>
  <w:style w:type="paragraph" w:styleId="6">
    <w:name w:val="heading 2"/>
    <w:basedOn w:val="1"/>
    <w:next w:val="1"/>
    <w:link w:val="51"/>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7">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8">
    <w:name w:val="heading 4"/>
    <w:basedOn w:val="1"/>
    <w:next w:val="1"/>
    <w:link w:val="79"/>
    <w:semiHidden/>
    <w:unhideWhenUsed/>
    <w:qFormat/>
    <w:uiPriority w:val="9"/>
    <w:pPr>
      <w:keepNext/>
      <w:keepLines/>
      <w:spacing w:before="80" w:after="40"/>
      <w:jc w:val="left"/>
      <w:outlineLvl w:val="3"/>
    </w:pPr>
    <w:rPr>
      <w:rFonts w:cstheme="majorBidi"/>
      <w:color w:val="376092" w:themeColor="accent1" w:themeShade="BF"/>
      <w:sz w:val="28"/>
      <w:szCs w:val="28"/>
      <w14:ligatures w14:val="standardContextual"/>
    </w:rPr>
  </w:style>
  <w:style w:type="paragraph" w:styleId="9">
    <w:name w:val="heading 5"/>
    <w:basedOn w:val="1"/>
    <w:next w:val="1"/>
    <w:link w:val="80"/>
    <w:semiHidden/>
    <w:unhideWhenUsed/>
    <w:qFormat/>
    <w:uiPriority w:val="9"/>
    <w:pPr>
      <w:keepNext/>
      <w:keepLines/>
      <w:spacing w:before="80" w:after="40"/>
      <w:jc w:val="left"/>
      <w:outlineLvl w:val="4"/>
    </w:pPr>
    <w:rPr>
      <w:rFonts w:cstheme="majorBidi"/>
      <w:color w:val="376092" w:themeColor="accent1" w:themeShade="BF"/>
      <w:sz w:val="24"/>
      <w:szCs w:val="24"/>
      <w14:ligatures w14:val="standardContextual"/>
    </w:rPr>
  </w:style>
  <w:style w:type="paragraph" w:styleId="10">
    <w:name w:val="heading 6"/>
    <w:basedOn w:val="1"/>
    <w:next w:val="1"/>
    <w:link w:val="81"/>
    <w:semiHidden/>
    <w:unhideWhenUsed/>
    <w:qFormat/>
    <w:uiPriority w:val="9"/>
    <w:pPr>
      <w:keepNext/>
      <w:keepLines/>
      <w:spacing w:before="40" w:after="0"/>
      <w:jc w:val="left"/>
      <w:outlineLvl w:val="5"/>
    </w:pPr>
    <w:rPr>
      <w:rFonts w:cstheme="majorBidi"/>
      <w:b/>
      <w:bCs/>
      <w:color w:val="376092" w:themeColor="accent1" w:themeShade="BF"/>
      <w:sz w:val="22"/>
      <w:szCs w:val="24"/>
      <w14:ligatures w14:val="standardContextual"/>
    </w:rPr>
  </w:style>
  <w:style w:type="paragraph" w:styleId="11">
    <w:name w:val="heading 7"/>
    <w:basedOn w:val="1"/>
    <w:next w:val="1"/>
    <w:link w:val="82"/>
    <w:semiHidden/>
    <w:unhideWhenUsed/>
    <w:qFormat/>
    <w:uiPriority w:val="9"/>
    <w:pPr>
      <w:keepNext/>
      <w:keepLines/>
      <w:spacing w:before="40" w:after="0"/>
      <w:jc w:val="left"/>
      <w:outlineLvl w:val="6"/>
    </w:pPr>
    <w:rPr>
      <w:rFonts w:cstheme="majorBidi"/>
      <w:b/>
      <w:bCs/>
      <w:color w:val="595959" w:themeColor="text1" w:themeTint="A6"/>
      <w:sz w:val="22"/>
      <w:szCs w:val="24"/>
      <w14:textFill>
        <w14:solidFill>
          <w14:schemeClr w14:val="tx1">
            <w14:lumMod w14:val="65000"/>
            <w14:lumOff w14:val="35000"/>
          </w14:schemeClr>
        </w14:solidFill>
      </w14:textFill>
      <w14:ligatures w14:val="standardContextual"/>
    </w:rPr>
  </w:style>
  <w:style w:type="paragraph" w:styleId="12">
    <w:name w:val="heading 8"/>
    <w:basedOn w:val="1"/>
    <w:next w:val="1"/>
    <w:link w:val="83"/>
    <w:semiHidden/>
    <w:unhideWhenUsed/>
    <w:qFormat/>
    <w:uiPriority w:val="9"/>
    <w:pPr>
      <w:keepNext/>
      <w:keepLines/>
      <w:spacing w:after="0"/>
      <w:jc w:val="left"/>
      <w:outlineLvl w:val="7"/>
    </w:pPr>
    <w:rPr>
      <w:rFonts w:cstheme="majorBidi"/>
      <w:color w:val="595959" w:themeColor="text1" w:themeTint="A6"/>
      <w:sz w:val="22"/>
      <w:szCs w:val="24"/>
      <w14:textFill>
        <w14:solidFill>
          <w14:schemeClr w14:val="tx1">
            <w14:lumMod w14:val="65000"/>
            <w14:lumOff w14:val="35000"/>
          </w14:schemeClr>
        </w14:solidFill>
      </w14:textFill>
      <w14:ligatures w14:val="standardContextual"/>
    </w:rPr>
  </w:style>
  <w:style w:type="paragraph" w:styleId="13">
    <w:name w:val="heading 9"/>
    <w:basedOn w:val="1"/>
    <w:next w:val="1"/>
    <w:link w:val="84"/>
    <w:semiHidden/>
    <w:unhideWhenUsed/>
    <w:qFormat/>
    <w:uiPriority w:val="9"/>
    <w:pPr>
      <w:keepNext/>
      <w:keepLines/>
      <w:spacing w:after="0"/>
      <w:jc w:val="left"/>
      <w:outlineLvl w:val="8"/>
    </w:pPr>
    <w:rPr>
      <w:rFonts w:eastAsiaTheme="majorEastAsia" w:cstheme="majorBidi"/>
      <w:color w:val="595959" w:themeColor="text1" w:themeTint="A6"/>
      <w:sz w:val="22"/>
      <w:szCs w:val="24"/>
      <w14:textFill>
        <w14:solidFill>
          <w14:schemeClr w14:val="tx1">
            <w14:lumMod w14:val="65000"/>
            <w14:lumOff w14:val="35000"/>
          </w14:schemeClr>
        </w14:solidFill>
      </w14:textFill>
      <w14:ligatures w14:val="standardContextual"/>
    </w:rPr>
  </w:style>
  <w:style w:type="character" w:default="1" w:styleId="35">
    <w:name w:val="Default Paragraph Font"/>
    <w:semiHidden/>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360" w:lineRule="auto"/>
      <w:ind w:firstLine="420"/>
    </w:pPr>
    <w:rPr>
      <w:rFonts w:eastAsia="等线"/>
      <w:color w:val="000000"/>
      <w:szCs w:val="24"/>
    </w:rPr>
  </w:style>
  <w:style w:type="paragraph" w:styleId="3">
    <w:name w:val="Body Text Indent"/>
    <w:basedOn w:val="1"/>
    <w:next w:val="4"/>
    <w:qFormat/>
    <w:uiPriority w:val="0"/>
    <w:pPr>
      <w:adjustRightInd w:val="0"/>
      <w:snapToGrid w:val="0"/>
      <w:spacing w:after="0" w:line="360" w:lineRule="exact"/>
      <w:ind w:firstLine="630"/>
      <w:textAlignment w:val="baseline"/>
    </w:pPr>
    <w:rPr>
      <w:rFonts w:ascii="宋体" w:hAnsi="宋体" w:cs="Times New Roman"/>
      <w:kern w:val="0"/>
      <w:sz w:val="24"/>
      <w:szCs w:val="20"/>
    </w:rPr>
  </w:style>
  <w:style w:type="paragraph" w:styleId="4">
    <w:name w:val="envelope return"/>
    <w:basedOn w:val="1"/>
    <w:qFormat/>
    <w:uiPriority w:val="0"/>
    <w:pPr>
      <w:snapToGrid w:val="0"/>
    </w:pPr>
    <w:rPr>
      <w:rFonts w:ascii="Arial" w:hAnsi="Arial"/>
    </w:rPr>
  </w:style>
  <w:style w:type="paragraph" w:styleId="14">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15">
    <w:name w:val="annotation text"/>
    <w:basedOn w:val="1"/>
    <w:link w:val="77"/>
    <w:unhideWhenUsed/>
    <w:qFormat/>
    <w:uiPriority w:val="0"/>
    <w:pPr>
      <w:jc w:val="left"/>
    </w:pPr>
  </w:style>
  <w:style w:type="paragraph" w:styleId="16">
    <w:name w:val="Body Text 3"/>
    <w:basedOn w:val="1"/>
    <w:link w:val="60"/>
    <w:unhideWhenUsed/>
    <w:qFormat/>
    <w:uiPriority w:val="99"/>
    <w:pPr>
      <w:spacing w:after="120"/>
    </w:pPr>
    <w:rPr>
      <w:sz w:val="16"/>
      <w:szCs w:val="16"/>
    </w:rPr>
  </w:style>
  <w:style w:type="paragraph" w:styleId="17">
    <w:name w:val="Body Text"/>
    <w:basedOn w:val="1"/>
    <w:next w:val="18"/>
    <w:qFormat/>
    <w:uiPriority w:val="99"/>
    <w:pPr>
      <w:spacing w:after="120"/>
    </w:pPr>
  </w:style>
  <w:style w:type="paragraph" w:styleId="18">
    <w:name w:val="Body Text 2"/>
    <w:basedOn w:val="1"/>
    <w:qFormat/>
    <w:uiPriority w:val="0"/>
    <w:pPr>
      <w:spacing w:after="120" w:line="480" w:lineRule="auto"/>
    </w:pPr>
  </w:style>
  <w:style w:type="paragraph" w:styleId="19">
    <w:name w:val="toc 3"/>
    <w:basedOn w:val="1"/>
    <w:next w:val="1"/>
    <w:unhideWhenUsed/>
    <w:qFormat/>
    <w:uiPriority w:val="39"/>
    <w:pPr>
      <w:widowControl/>
      <w:spacing w:after="100" w:line="276" w:lineRule="auto"/>
      <w:ind w:left="440"/>
      <w:jc w:val="left"/>
    </w:pPr>
    <w:rPr>
      <w:kern w:val="0"/>
      <w:sz w:val="22"/>
    </w:rPr>
  </w:style>
  <w:style w:type="paragraph" w:styleId="20">
    <w:name w:val="Plain Text"/>
    <w:basedOn w:val="1"/>
    <w:next w:val="21"/>
    <w:qFormat/>
    <w:uiPriority w:val="0"/>
    <w:rPr>
      <w:rFonts w:ascii="宋体" w:hAnsi="Courier New"/>
      <w:szCs w:val="21"/>
    </w:rPr>
  </w:style>
  <w:style w:type="paragraph" w:customStyle="1" w:styleId="21">
    <w:name w:val="Default"/>
    <w:next w:val="22"/>
    <w:qFormat/>
    <w:uiPriority w:val="0"/>
    <w:pPr>
      <w:widowControl w:val="0"/>
      <w:autoSpaceDE w:val="0"/>
      <w:autoSpaceDN w:val="0"/>
      <w:adjustRightInd w:val="0"/>
      <w:spacing w:after="160" w:line="278" w:lineRule="auto"/>
    </w:pPr>
    <w:rPr>
      <w:rFonts w:ascii="宋体" w:hAnsi="Calibri" w:eastAsia="宋体" w:cs="宋体"/>
      <w:color w:val="000000"/>
      <w:sz w:val="24"/>
      <w:szCs w:val="24"/>
      <w:lang w:val="en-US" w:eastAsia="zh-CN" w:bidi="ar-SA"/>
    </w:rPr>
  </w:style>
  <w:style w:type="paragraph" w:styleId="22">
    <w:name w:val="List"/>
    <w:basedOn w:val="1"/>
    <w:next w:val="1"/>
    <w:qFormat/>
    <w:uiPriority w:val="0"/>
    <w:pPr>
      <w:snapToGrid w:val="0"/>
    </w:pPr>
    <w:rPr>
      <w:szCs w:val="24"/>
    </w:rPr>
  </w:style>
  <w:style w:type="paragraph" w:styleId="23">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24">
    <w:name w:val="Balloon Text"/>
    <w:basedOn w:val="1"/>
    <w:link w:val="55"/>
    <w:semiHidden/>
    <w:unhideWhenUsed/>
    <w:qFormat/>
    <w:uiPriority w:val="99"/>
    <w:rPr>
      <w:sz w:val="18"/>
      <w:szCs w:val="18"/>
    </w:rPr>
  </w:style>
  <w:style w:type="paragraph" w:styleId="25">
    <w:name w:val="footer"/>
    <w:basedOn w:val="1"/>
    <w:link w:val="49"/>
    <w:unhideWhenUsed/>
    <w:qFormat/>
    <w:uiPriority w:val="99"/>
    <w:pPr>
      <w:tabs>
        <w:tab w:val="center" w:pos="4153"/>
        <w:tab w:val="right" w:pos="8306"/>
      </w:tabs>
      <w:snapToGrid w:val="0"/>
      <w:jc w:val="left"/>
    </w:pPr>
    <w:rPr>
      <w:sz w:val="18"/>
      <w:szCs w:val="18"/>
    </w:rPr>
  </w:style>
  <w:style w:type="paragraph" w:styleId="26">
    <w:name w:val="header"/>
    <w:basedOn w:val="1"/>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widowControl/>
      <w:spacing w:after="100" w:line="276" w:lineRule="auto"/>
      <w:jc w:val="left"/>
    </w:pPr>
    <w:rPr>
      <w:kern w:val="0"/>
      <w:sz w:val="22"/>
    </w:rPr>
  </w:style>
  <w:style w:type="paragraph" w:styleId="28">
    <w:name w:val="Subtitle"/>
    <w:basedOn w:val="1"/>
    <w:next w:val="1"/>
    <w:link w:val="86"/>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14:ligatures w14:val="standardContextual"/>
    </w:rPr>
  </w:style>
  <w:style w:type="paragraph" w:styleId="29">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30">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31">
    <w:name w:val="Title"/>
    <w:basedOn w:val="1"/>
    <w:next w:val="1"/>
    <w:link w:val="85"/>
    <w:qFormat/>
    <w:uiPriority w:val="10"/>
    <w:pPr>
      <w:spacing w:after="80" w:line="240" w:lineRule="auto"/>
      <w:contextualSpacing/>
      <w:jc w:val="center"/>
    </w:pPr>
    <w:rPr>
      <w:rFonts w:asciiTheme="majorHAnsi" w:hAnsiTheme="majorHAnsi" w:eastAsiaTheme="majorEastAsia" w:cstheme="majorBidi"/>
      <w:spacing w:val="-10"/>
      <w:kern w:val="28"/>
      <w:sz w:val="56"/>
      <w:szCs w:val="56"/>
      <w14:ligatures w14:val="standardContextual"/>
    </w:rPr>
  </w:style>
  <w:style w:type="paragraph" w:styleId="32">
    <w:name w:val="annotation subject"/>
    <w:basedOn w:val="15"/>
    <w:next w:val="15"/>
    <w:link w:val="78"/>
    <w:qFormat/>
    <w:uiPriority w:val="0"/>
    <w:rPr>
      <w:b/>
      <w:bCs/>
    </w:rPr>
  </w:style>
  <w:style w:type="table" w:styleId="34">
    <w:name w:val="Table Grid"/>
    <w:basedOn w:val="33"/>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6">
    <w:name w:val="Strong"/>
    <w:basedOn w:val="35"/>
    <w:qFormat/>
    <w:uiPriority w:val="22"/>
    <w:rPr>
      <w:b/>
      <w:bCs/>
    </w:rPr>
  </w:style>
  <w:style w:type="character" w:styleId="37">
    <w:name w:val="page number"/>
    <w:basedOn w:val="35"/>
    <w:qFormat/>
    <w:uiPriority w:val="0"/>
  </w:style>
  <w:style w:type="character" w:styleId="38">
    <w:name w:val="FollowedHyperlink"/>
    <w:basedOn w:val="35"/>
    <w:semiHidden/>
    <w:unhideWhenUsed/>
    <w:qFormat/>
    <w:uiPriority w:val="99"/>
    <w:rPr>
      <w:color w:val="2D64B3"/>
      <w:u w:val="none"/>
      <w:shd w:val="clear" w:color="auto" w:fill="3399FF"/>
    </w:rPr>
  </w:style>
  <w:style w:type="character" w:styleId="39">
    <w:name w:val="Emphasis"/>
    <w:basedOn w:val="35"/>
    <w:qFormat/>
    <w:uiPriority w:val="20"/>
  </w:style>
  <w:style w:type="character" w:styleId="40">
    <w:name w:val="HTML Definition"/>
    <w:basedOn w:val="35"/>
    <w:semiHidden/>
    <w:unhideWhenUsed/>
    <w:qFormat/>
    <w:uiPriority w:val="99"/>
  </w:style>
  <w:style w:type="character" w:styleId="41">
    <w:name w:val="HTML Variable"/>
    <w:basedOn w:val="35"/>
    <w:semiHidden/>
    <w:unhideWhenUsed/>
    <w:qFormat/>
    <w:uiPriority w:val="99"/>
  </w:style>
  <w:style w:type="character" w:styleId="42">
    <w:name w:val="Hyperlink"/>
    <w:basedOn w:val="35"/>
    <w:unhideWhenUsed/>
    <w:qFormat/>
    <w:uiPriority w:val="99"/>
    <w:rPr>
      <w:color w:val="0000FF" w:themeColor="hyperlink"/>
      <w:u w:val="single"/>
      <w14:textFill>
        <w14:solidFill>
          <w14:schemeClr w14:val="hlink"/>
        </w14:solidFill>
      </w14:textFill>
    </w:rPr>
  </w:style>
  <w:style w:type="character" w:styleId="43">
    <w:name w:val="HTML Code"/>
    <w:basedOn w:val="35"/>
    <w:semiHidden/>
    <w:unhideWhenUsed/>
    <w:qFormat/>
    <w:uiPriority w:val="99"/>
    <w:rPr>
      <w:rFonts w:hint="eastAsia" w:ascii="Arial" w:hAnsi="Arial" w:cs="Arial"/>
      <w:sz w:val="20"/>
    </w:rPr>
  </w:style>
  <w:style w:type="character" w:styleId="44">
    <w:name w:val="annotation reference"/>
    <w:qFormat/>
    <w:uiPriority w:val="0"/>
    <w:rPr>
      <w:rFonts w:ascii="Times New Roman" w:hAnsi="Times New Roman" w:eastAsia="宋体" w:cs="Times New Roman"/>
      <w:sz w:val="21"/>
      <w:szCs w:val="21"/>
    </w:rPr>
  </w:style>
  <w:style w:type="character" w:styleId="45">
    <w:name w:val="HTML Cite"/>
    <w:basedOn w:val="35"/>
    <w:semiHidden/>
    <w:unhideWhenUsed/>
    <w:qFormat/>
    <w:uiPriority w:val="99"/>
  </w:style>
  <w:style w:type="character" w:styleId="46">
    <w:name w:val="HTML Keyboard"/>
    <w:basedOn w:val="35"/>
    <w:semiHidden/>
    <w:unhideWhenUsed/>
    <w:qFormat/>
    <w:uiPriority w:val="99"/>
    <w:rPr>
      <w:rFonts w:hint="default" w:ascii="Arial" w:hAnsi="Arial" w:cs="Arial"/>
      <w:sz w:val="20"/>
    </w:rPr>
  </w:style>
  <w:style w:type="character" w:styleId="47">
    <w:name w:val="HTML Sample"/>
    <w:basedOn w:val="35"/>
    <w:semiHidden/>
    <w:unhideWhenUsed/>
    <w:qFormat/>
    <w:uiPriority w:val="99"/>
    <w:rPr>
      <w:rFonts w:hint="default" w:ascii="Arial" w:hAnsi="Arial" w:cs="Arial"/>
    </w:rPr>
  </w:style>
  <w:style w:type="character" w:customStyle="1" w:styleId="48">
    <w:name w:val="页眉 字符"/>
    <w:basedOn w:val="35"/>
    <w:link w:val="26"/>
    <w:qFormat/>
    <w:uiPriority w:val="99"/>
    <w:rPr>
      <w:sz w:val="18"/>
      <w:szCs w:val="18"/>
    </w:rPr>
  </w:style>
  <w:style w:type="character" w:customStyle="1" w:styleId="49">
    <w:name w:val="页脚 字符"/>
    <w:basedOn w:val="35"/>
    <w:link w:val="25"/>
    <w:qFormat/>
    <w:uiPriority w:val="99"/>
    <w:rPr>
      <w:sz w:val="18"/>
      <w:szCs w:val="18"/>
    </w:rPr>
  </w:style>
  <w:style w:type="character" w:customStyle="1" w:styleId="50">
    <w:name w:val="标题 1 字符"/>
    <w:basedOn w:val="35"/>
    <w:link w:val="5"/>
    <w:qFormat/>
    <w:uiPriority w:val="9"/>
    <w:rPr>
      <w:rFonts w:eastAsia="方正小标宋简体"/>
      <w:bCs/>
      <w:kern w:val="44"/>
      <w:sz w:val="44"/>
      <w:szCs w:val="44"/>
    </w:rPr>
  </w:style>
  <w:style w:type="character" w:customStyle="1" w:styleId="51">
    <w:name w:val="标题 2 字符"/>
    <w:basedOn w:val="35"/>
    <w:link w:val="6"/>
    <w:qFormat/>
    <w:uiPriority w:val="9"/>
    <w:rPr>
      <w:rFonts w:eastAsia="方正小标宋简体" w:asciiTheme="majorHAnsi" w:hAnsiTheme="majorHAnsi" w:cstheme="majorBidi"/>
      <w:bCs/>
      <w:sz w:val="36"/>
      <w:szCs w:val="32"/>
    </w:rPr>
  </w:style>
  <w:style w:type="character" w:customStyle="1" w:styleId="52">
    <w:name w:val="标题 3 字符"/>
    <w:basedOn w:val="35"/>
    <w:link w:val="7"/>
    <w:qFormat/>
    <w:uiPriority w:val="9"/>
    <w:rPr>
      <w:rFonts w:ascii="Calibri" w:hAnsi="Calibri" w:eastAsia="宋体" w:cs="Times New Roman"/>
      <w:b/>
      <w:bCs/>
      <w:sz w:val="32"/>
      <w:szCs w:val="32"/>
    </w:rPr>
  </w:style>
  <w:style w:type="paragraph" w:styleId="53">
    <w:name w:val="List Paragraph"/>
    <w:basedOn w:val="1"/>
    <w:link w:val="61"/>
    <w:qFormat/>
    <w:uiPriority w:val="34"/>
    <w:pPr>
      <w:ind w:firstLine="420" w:firstLineChars="200"/>
    </w:pPr>
  </w:style>
  <w:style w:type="paragraph" w:customStyle="1" w:styleId="54">
    <w:name w:val="TOC 标题1"/>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5">
    <w:name w:val="批注框文本 字符"/>
    <w:basedOn w:val="35"/>
    <w:link w:val="24"/>
    <w:semiHidden/>
    <w:qFormat/>
    <w:uiPriority w:val="99"/>
    <w:rPr>
      <w:sz w:val="18"/>
      <w:szCs w:val="18"/>
    </w:rPr>
  </w:style>
  <w:style w:type="paragraph" w:styleId="56">
    <w:name w:val="No Spacing"/>
    <w:qFormat/>
    <w:uiPriority w:val="1"/>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paragraph" w:customStyle="1" w:styleId="57">
    <w:name w:val="CM97"/>
    <w:basedOn w:val="21"/>
    <w:next w:val="21"/>
    <w:qFormat/>
    <w:uiPriority w:val="0"/>
    <w:pPr>
      <w:spacing w:after="373"/>
    </w:pPr>
    <w:rPr>
      <w:color w:val="auto"/>
    </w:rPr>
  </w:style>
  <w:style w:type="paragraph" w:customStyle="1" w:styleId="58">
    <w:name w:val="CM91"/>
    <w:basedOn w:val="21"/>
    <w:next w:val="21"/>
    <w:qFormat/>
    <w:uiPriority w:val="0"/>
    <w:rPr>
      <w:color w:val="auto"/>
    </w:rPr>
  </w:style>
  <w:style w:type="character" w:customStyle="1" w:styleId="59">
    <w:name w:val="正文文本 3 Char"/>
    <w:qFormat/>
    <w:uiPriority w:val="99"/>
    <w:rPr>
      <w:sz w:val="16"/>
      <w:szCs w:val="16"/>
    </w:rPr>
  </w:style>
  <w:style w:type="character" w:customStyle="1" w:styleId="60">
    <w:name w:val="正文文本 3 字符"/>
    <w:basedOn w:val="35"/>
    <w:link w:val="16"/>
    <w:semiHidden/>
    <w:qFormat/>
    <w:uiPriority w:val="99"/>
    <w:rPr>
      <w:sz w:val="16"/>
      <w:szCs w:val="16"/>
    </w:rPr>
  </w:style>
  <w:style w:type="character" w:customStyle="1" w:styleId="61">
    <w:name w:val="列表段落 字符"/>
    <w:link w:val="53"/>
    <w:qFormat/>
    <w:uiPriority w:val="34"/>
  </w:style>
  <w:style w:type="paragraph" w:customStyle="1" w:styleId="62">
    <w:name w:val="1"/>
    <w:basedOn w:val="1"/>
    <w:next w:val="20"/>
    <w:qFormat/>
    <w:uiPriority w:val="99"/>
    <w:rPr>
      <w:rFonts w:ascii="宋体" w:hAnsi="Courier New"/>
    </w:rPr>
  </w:style>
  <w:style w:type="paragraph" w:customStyle="1" w:styleId="63">
    <w:name w:val="WPSOffice手动目录 1"/>
    <w:qFormat/>
    <w:uiPriority w:val="0"/>
    <w:pPr>
      <w:spacing w:after="160" w:line="278" w:lineRule="auto"/>
    </w:pPr>
    <w:rPr>
      <w:rFonts w:asciiTheme="minorHAnsi" w:hAnsiTheme="minorHAnsi" w:eastAsiaTheme="minorEastAsia" w:cstheme="minorBidi"/>
      <w:lang w:val="en-US" w:eastAsia="zh-CN" w:bidi="ar-SA"/>
    </w:rPr>
  </w:style>
  <w:style w:type="paragraph" w:customStyle="1" w:styleId="64">
    <w:name w:val="WPSOffice手动目录 2"/>
    <w:qFormat/>
    <w:uiPriority w:val="0"/>
    <w:pPr>
      <w:spacing w:after="160" w:line="278" w:lineRule="auto"/>
      <w:ind w:left="200" w:leftChars="200"/>
    </w:pPr>
    <w:rPr>
      <w:rFonts w:asciiTheme="minorHAnsi" w:hAnsiTheme="minorHAnsi" w:eastAsiaTheme="minorEastAsia" w:cstheme="minorBidi"/>
      <w:lang w:val="en-US" w:eastAsia="zh-CN" w:bidi="ar-SA"/>
    </w:rPr>
  </w:style>
  <w:style w:type="paragraph" w:customStyle="1" w:styleId="65">
    <w:name w:val="WPSOffice手动目录 3"/>
    <w:qFormat/>
    <w:uiPriority w:val="0"/>
    <w:pPr>
      <w:spacing w:after="160" w:line="278" w:lineRule="auto"/>
      <w:ind w:left="400" w:leftChars="400"/>
    </w:pPr>
    <w:rPr>
      <w:rFonts w:asciiTheme="minorHAnsi" w:hAnsiTheme="minorHAnsi" w:eastAsiaTheme="minorEastAsia" w:cstheme="minorBidi"/>
      <w:lang w:val="en-US" w:eastAsia="zh-CN" w:bidi="ar-SA"/>
    </w:rPr>
  </w:style>
  <w:style w:type="paragraph" w:customStyle="1" w:styleId="66">
    <w:name w:val="Default1"/>
    <w:qFormat/>
    <w:uiPriority w:val="0"/>
    <w:pPr>
      <w:widowControl w:val="0"/>
      <w:autoSpaceDE w:val="0"/>
      <w:autoSpaceDN w:val="0"/>
      <w:adjustRightInd w:val="0"/>
      <w:spacing w:after="160" w:line="278" w:lineRule="auto"/>
    </w:pPr>
    <w:rPr>
      <w:rFonts w:ascii="宋体" w:hAnsi="Times New Roman" w:eastAsia="仿宋_GB2312" w:cs="宋体"/>
      <w:color w:val="000000"/>
      <w:sz w:val="24"/>
      <w:szCs w:val="24"/>
      <w:lang w:val="en-US" w:eastAsia="zh-CN" w:bidi="ar-SA"/>
    </w:rPr>
  </w:style>
  <w:style w:type="paragraph" w:customStyle="1" w:styleId="67">
    <w:name w:val="_Style 4"/>
    <w:basedOn w:val="5"/>
    <w:next w:val="1"/>
    <w:qFormat/>
    <w:uiPriority w:val="0"/>
    <w:pPr>
      <w:spacing w:line="576" w:lineRule="auto"/>
      <w:outlineLvl w:val="9"/>
    </w:pPr>
    <w:rPr>
      <w:rFonts w:ascii="Calibri" w:hAnsi="Calibri"/>
    </w:rPr>
  </w:style>
  <w:style w:type="paragraph" w:customStyle="1" w:styleId="68">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paragraph" w:customStyle="1" w:styleId="69">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0">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1">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2">
    <w:name w:val="修订4"/>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3">
    <w:name w:val="修订5"/>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4">
    <w:name w:val="修订6"/>
    <w:hidden/>
    <w:unhideWhenUsed/>
    <w:uiPriority w:val="99"/>
    <w:rPr>
      <w:rFonts w:asciiTheme="minorHAnsi" w:hAnsiTheme="minorHAnsi" w:eastAsiaTheme="minorEastAsia" w:cstheme="minorBidi"/>
      <w:kern w:val="2"/>
      <w:sz w:val="21"/>
      <w:szCs w:val="22"/>
      <w:lang w:val="en-US" w:eastAsia="zh-CN" w:bidi="ar-SA"/>
    </w:rPr>
  </w:style>
  <w:style w:type="paragraph" w:customStyle="1" w:styleId="75">
    <w:name w:val="修订7"/>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6">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77">
    <w:name w:val="批注文字 字符"/>
    <w:basedOn w:val="35"/>
    <w:link w:val="15"/>
    <w:uiPriority w:val="0"/>
    <w:rPr>
      <w:rFonts w:asciiTheme="minorHAnsi" w:hAnsiTheme="minorHAnsi" w:eastAsiaTheme="minorEastAsia" w:cstheme="minorBidi"/>
      <w:kern w:val="2"/>
      <w:sz w:val="21"/>
      <w:szCs w:val="22"/>
    </w:rPr>
  </w:style>
  <w:style w:type="character" w:customStyle="1" w:styleId="78">
    <w:name w:val="批注主题 字符"/>
    <w:basedOn w:val="77"/>
    <w:link w:val="32"/>
    <w:qFormat/>
    <w:uiPriority w:val="0"/>
    <w:rPr>
      <w:rFonts w:asciiTheme="minorHAnsi" w:hAnsiTheme="minorHAnsi" w:eastAsiaTheme="minorEastAsia" w:cstheme="minorBidi"/>
      <w:b/>
      <w:bCs/>
      <w:kern w:val="2"/>
      <w:sz w:val="21"/>
      <w:szCs w:val="22"/>
    </w:rPr>
  </w:style>
  <w:style w:type="character" w:customStyle="1" w:styleId="79">
    <w:name w:val="标题 4 字符"/>
    <w:basedOn w:val="35"/>
    <w:link w:val="8"/>
    <w:semiHidden/>
    <w:uiPriority w:val="9"/>
    <w:rPr>
      <w:rFonts w:asciiTheme="minorHAnsi" w:hAnsiTheme="minorHAnsi" w:eastAsiaTheme="minorEastAsia" w:cstheme="majorBidi"/>
      <w:color w:val="376092" w:themeColor="accent1" w:themeShade="BF"/>
      <w:kern w:val="2"/>
      <w:sz w:val="28"/>
      <w:szCs w:val="28"/>
      <w14:ligatures w14:val="standardContextual"/>
    </w:rPr>
  </w:style>
  <w:style w:type="character" w:customStyle="1" w:styleId="80">
    <w:name w:val="标题 5 字符"/>
    <w:basedOn w:val="35"/>
    <w:link w:val="9"/>
    <w:semiHidden/>
    <w:qFormat/>
    <w:uiPriority w:val="9"/>
    <w:rPr>
      <w:rFonts w:asciiTheme="minorHAnsi" w:hAnsiTheme="minorHAnsi" w:eastAsiaTheme="minorEastAsia" w:cstheme="majorBidi"/>
      <w:color w:val="376092" w:themeColor="accent1" w:themeShade="BF"/>
      <w:kern w:val="2"/>
      <w:sz w:val="24"/>
      <w:szCs w:val="24"/>
      <w14:ligatures w14:val="standardContextual"/>
    </w:rPr>
  </w:style>
  <w:style w:type="character" w:customStyle="1" w:styleId="81">
    <w:name w:val="标题 6 字符"/>
    <w:basedOn w:val="35"/>
    <w:link w:val="10"/>
    <w:semiHidden/>
    <w:uiPriority w:val="9"/>
    <w:rPr>
      <w:rFonts w:asciiTheme="minorHAnsi" w:hAnsiTheme="minorHAnsi" w:eastAsiaTheme="minorEastAsia" w:cstheme="majorBidi"/>
      <w:b/>
      <w:bCs/>
      <w:color w:val="376092" w:themeColor="accent1" w:themeShade="BF"/>
      <w:kern w:val="2"/>
      <w:sz w:val="22"/>
      <w:szCs w:val="24"/>
      <w14:ligatures w14:val="standardContextual"/>
    </w:rPr>
  </w:style>
  <w:style w:type="character" w:customStyle="1" w:styleId="82">
    <w:name w:val="标题 7 字符"/>
    <w:basedOn w:val="35"/>
    <w:link w:val="11"/>
    <w:semiHidden/>
    <w:uiPriority w:val="9"/>
    <w:rPr>
      <w:rFonts w:asciiTheme="minorHAnsi" w:hAnsiTheme="minorHAnsi" w:eastAsiaTheme="minorEastAsia" w:cstheme="majorBidi"/>
      <w:b/>
      <w:bCs/>
      <w:color w:val="595959" w:themeColor="text1" w:themeTint="A6"/>
      <w:kern w:val="2"/>
      <w:sz w:val="22"/>
      <w:szCs w:val="24"/>
      <w14:textFill>
        <w14:solidFill>
          <w14:schemeClr w14:val="tx1">
            <w14:lumMod w14:val="65000"/>
            <w14:lumOff w14:val="35000"/>
          </w14:schemeClr>
        </w14:solidFill>
      </w14:textFill>
      <w14:ligatures w14:val="standardContextual"/>
    </w:rPr>
  </w:style>
  <w:style w:type="character" w:customStyle="1" w:styleId="83">
    <w:name w:val="标题 8 字符"/>
    <w:basedOn w:val="35"/>
    <w:link w:val="12"/>
    <w:semiHidden/>
    <w:qFormat/>
    <w:uiPriority w:val="9"/>
    <w:rPr>
      <w:rFonts w:asciiTheme="minorHAnsi" w:hAnsiTheme="minorHAnsi" w:eastAsiaTheme="minorEastAsia" w:cstheme="majorBidi"/>
      <w:color w:val="595959" w:themeColor="text1" w:themeTint="A6"/>
      <w:kern w:val="2"/>
      <w:sz w:val="22"/>
      <w:szCs w:val="24"/>
      <w14:textFill>
        <w14:solidFill>
          <w14:schemeClr w14:val="tx1">
            <w14:lumMod w14:val="65000"/>
            <w14:lumOff w14:val="35000"/>
          </w14:schemeClr>
        </w14:solidFill>
      </w14:textFill>
      <w14:ligatures w14:val="standardContextual"/>
    </w:rPr>
  </w:style>
  <w:style w:type="character" w:customStyle="1" w:styleId="84">
    <w:name w:val="标题 9 字符"/>
    <w:basedOn w:val="35"/>
    <w:link w:val="13"/>
    <w:semiHidden/>
    <w:uiPriority w:val="9"/>
    <w:rPr>
      <w:rFonts w:asciiTheme="minorHAnsi" w:hAnsiTheme="minorHAnsi" w:eastAsiaTheme="majorEastAsia" w:cstheme="majorBidi"/>
      <w:color w:val="595959" w:themeColor="text1" w:themeTint="A6"/>
      <w:kern w:val="2"/>
      <w:sz w:val="22"/>
      <w:szCs w:val="24"/>
      <w14:textFill>
        <w14:solidFill>
          <w14:schemeClr w14:val="tx1">
            <w14:lumMod w14:val="65000"/>
            <w14:lumOff w14:val="35000"/>
          </w14:schemeClr>
        </w14:solidFill>
      </w14:textFill>
      <w14:ligatures w14:val="standardContextual"/>
    </w:rPr>
  </w:style>
  <w:style w:type="character" w:customStyle="1" w:styleId="85">
    <w:name w:val="标题 字符"/>
    <w:basedOn w:val="35"/>
    <w:link w:val="31"/>
    <w:uiPriority w:val="10"/>
    <w:rPr>
      <w:rFonts w:asciiTheme="majorHAnsi" w:hAnsiTheme="majorHAnsi" w:eastAsiaTheme="majorEastAsia" w:cstheme="majorBidi"/>
      <w:spacing w:val="-10"/>
      <w:kern w:val="28"/>
      <w:sz w:val="56"/>
      <w:szCs w:val="56"/>
      <w14:ligatures w14:val="standardContextual"/>
    </w:rPr>
  </w:style>
  <w:style w:type="character" w:customStyle="1" w:styleId="86">
    <w:name w:val="副标题 字符"/>
    <w:basedOn w:val="35"/>
    <w:link w:val="28"/>
    <w:qFormat/>
    <w:uiPriority w:val="11"/>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paragraph" w:styleId="87">
    <w:name w:val="Quote"/>
    <w:basedOn w:val="1"/>
    <w:next w:val="1"/>
    <w:link w:val="88"/>
    <w:qFormat/>
    <w:uiPriority w:val="29"/>
    <w:pPr>
      <w:spacing w:before="160"/>
      <w:jc w:val="center"/>
    </w:pPr>
    <w:rPr>
      <w:i/>
      <w:iCs/>
      <w:color w:val="404040" w:themeColor="text1" w:themeTint="BF"/>
      <w:sz w:val="22"/>
      <w:szCs w:val="24"/>
      <w14:textFill>
        <w14:solidFill>
          <w14:schemeClr w14:val="tx1">
            <w14:lumMod w14:val="75000"/>
            <w14:lumOff w14:val="25000"/>
          </w14:schemeClr>
        </w14:solidFill>
      </w14:textFill>
      <w14:ligatures w14:val="standardContextual"/>
    </w:rPr>
  </w:style>
  <w:style w:type="character" w:customStyle="1" w:styleId="88">
    <w:name w:val="引用 字符"/>
    <w:basedOn w:val="35"/>
    <w:link w:val="87"/>
    <w:qFormat/>
    <w:uiPriority w:val="29"/>
    <w:rPr>
      <w:rFonts w:asciiTheme="minorHAnsi" w:hAnsiTheme="minorHAnsi" w:eastAsiaTheme="minorEastAsia" w:cstheme="minorBidi"/>
      <w:i/>
      <w:iCs/>
      <w:color w:val="404040" w:themeColor="text1" w:themeTint="BF"/>
      <w:kern w:val="2"/>
      <w:sz w:val="22"/>
      <w:szCs w:val="24"/>
      <w14:textFill>
        <w14:solidFill>
          <w14:schemeClr w14:val="tx1">
            <w14:lumMod w14:val="75000"/>
            <w14:lumOff w14:val="25000"/>
          </w14:schemeClr>
        </w14:solidFill>
      </w14:textFill>
      <w14:ligatures w14:val="standardContextual"/>
    </w:rPr>
  </w:style>
  <w:style w:type="character" w:customStyle="1" w:styleId="89">
    <w:name w:val="Intense Emphasis"/>
    <w:basedOn w:val="35"/>
    <w:qFormat/>
    <w:uiPriority w:val="21"/>
    <w:rPr>
      <w:i/>
      <w:iCs/>
      <w:color w:val="376092" w:themeColor="accent1" w:themeShade="BF"/>
    </w:rPr>
  </w:style>
  <w:style w:type="paragraph" w:styleId="90">
    <w:name w:val="Intense Quote"/>
    <w:basedOn w:val="1"/>
    <w:next w:val="1"/>
    <w:link w:val="91"/>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sz w:val="22"/>
      <w:szCs w:val="24"/>
      <w14:ligatures w14:val="standardContextual"/>
    </w:rPr>
  </w:style>
  <w:style w:type="character" w:customStyle="1" w:styleId="91">
    <w:name w:val="明显引用 字符"/>
    <w:basedOn w:val="35"/>
    <w:link w:val="90"/>
    <w:uiPriority w:val="30"/>
    <w:rPr>
      <w:rFonts w:asciiTheme="minorHAnsi" w:hAnsiTheme="minorHAnsi" w:eastAsiaTheme="minorEastAsia" w:cstheme="minorBidi"/>
      <w:i/>
      <w:iCs/>
      <w:color w:val="376092" w:themeColor="accent1" w:themeShade="BF"/>
      <w:kern w:val="2"/>
      <w:sz w:val="22"/>
      <w:szCs w:val="24"/>
      <w14:ligatures w14:val="standardContextual"/>
    </w:rPr>
  </w:style>
  <w:style w:type="character" w:customStyle="1" w:styleId="92">
    <w:name w:val="Intense Reference"/>
    <w:basedOn w:val="35"/>
    <w:qFormat/>
    <w:uiPriority w:val="32"/>
    <w:rPr>
      <w:b/>
      <w:bCs/>
      <w:smallCaps/>
      <w:color w:val="37609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118</Pages>
  <Words>6983</Words>
  <Characters>39807</Characters>
  <Lines>331</Lines>
  <Paragraphs>93</Paragraphs>
  <TotalTime>2</TotalTime>
  <ScaleCrop>false</ScaleCrop>
  <LinksUpToDate>false</LinksUpToDate>
  <CharactersWithSpaces>46697</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2024-10-18T01:26:00Z</cp:lastPrinted>
  <dcterms:modified xsi:type="dcterms:W3CDTF">2024-10-28T03:22:33Z</dcterms:modified>
  <cp:revision>261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6F954644A0824178B90B64187536FE99_13</vt:lpwstr>
  </property>
</Properties>
</file>