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85" w:name="_GoBack"/>
      <w:bookmarkEnd w:id="85"/>
    </w:p>
    <w:p>
      <w:pPr>
        <w:rPr>
          <w:rFonts w:hint="eastAsia" w:ascii="仿宋_GB2312" w:hAnsi="仿宋_GB2312" w:eastAsia="仿宋" w:cs="仿宋_GB2312"/>
          <w:color w:val="auto"/>
          <w:highlight w:val="none"/>
        </w:rPr>
      </w:pP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广州市净水有限公司2024-2025年公务车辆保险采购（第四次）项目</w:t>
      </w:r>
    </w:p>
    <w:p>
      <w:pPr>
        <w:pStyle w:val="2"/>
        <w:rPr>
          <w:rFonts w:hint="eastAsia"/>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pStyle w:val="2"/>
        <w:rPr>
          <w:rFonts w:ascii="仿宋_GB2312" w:eastAsia="仿宋"/>
          <w:color w:val="auto"/>
          <w:sz w:val="32"/>
          <w:szCs w:val="32"/>
          <w:highlight w:val="none"/>
        </w:rPr>
      </w:pPr>
    </w:p>
    <w:p>
      <w:pPr>
        <w:pStyle w:val="2"/>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711"/>
      <w:bookmarkStart w:id="1" w:name="_Toc18145"/>
      <w:bookmarkStart w:id="2" w:name="_Toc26148"/>
      <w:bookmarkStart w:id="3" w:name="_Toc17696"/>
    </w:p>
    <w:p>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sz w:val="28"/>
          <w:szCs w:val="28"/>
        </w:rPr>
      </w:pPr>
      <w:bookmarkStart w:id="4" w:name="_Toc1669"/>
      <w:bookmarkStart w:id="5" w:name="_Toc19609"/>
      <w:bookmarkStart w:id="6" w:name="_Toc11322"/>
      <w:bookmarkStart w:id="7" w:name="_Toc17801"/>
      <w:bookmarkStart w:id="8" w:name="_Toc4275"/>
      <w:bookmarkStart w:id="9" w:name="_Toc7519"/>
      <w:bookmarkStart w:id="10" w:name="_Toc31938"/>
    </w:p>
    <w:p>
      <w:pPr>
        <w:rPr>
          <w:rFonts w:hint="eastAsia" w:ascii="仿宋_GB2312" w:hAnsi="仿宋_GB2312" w:eastAsia="仿宋" w:cs="仿宋_GB2312"/>
          <w:sz w:val="28"/>
          <w:szCs w:val="28"/>
        </w:rPr>
      </w:pPr>
    </w:p>
    <w:p>
      <w:pPr>
        <w:pBdr>
          <w:bottom w:val="none" w:color="auto" w:sz="0" w:space="0"/>
        </w:pBdr>
        <w:rPr>
          <w:rFonts w:hint="eastAsia" w:ascii="仿宋_GB2312" w:hAnsi="仿宋_GB2312" w:eastAsia="仿宋" w:cs="仿宋_GB2312"/>
          <w:sz w:val="28"/>
          <w:szCs w:val="28"/>
        </w:rPr>
      </w:pPr>
    </w:p>
    <w:p>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宋体" w:eastAsia="仿宋_GB2312" w:cs="宋体"/>
          <w:kern w:val="0"/>
          <w:sz w:val="28"/>
          <w:szCs w:val="28"/>
          <w:u w:val="single"/>
          <w:lang w:val="en-US" w:eastAsia="zh-CN"/>
        </w:rPr>
        <w:t>广州市净水有限公司2024-2025年公务车辆保险采购（第四次）项目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sz w:val="28"/>
          <w:szCs w:val="28"/>
          <w:highlight w:val="none"/>
        </w:rPr>
        <w:t>现</w:t>
      </w:r>
      <w:r>
        <w:rPr>
          <w:rFonts w:hint="eastAsia" w:ascii="仿宋_GB2312" w:hAnsi="仿宋_GB2312" w:eastAsia="仿宋" w:cs="仿宋_GB2312"/>
          <w:sz w:val="28"/>
          <w:szCs w:val="28"/>
          <w:highlight w:val="none"/>
          <w:lang w:val="en-US" w:eastAsia="zh-CN"/>
        </w:rPr>
        <w:t>邀请合格</w:t>
      </w:r>
      <w:r>
        <w:rPr>
          <w:rFonts w:hint="eastAsia" w:ascii="仿宋_GB2312" w:hAnsi="仿宋_GB2312" w:eastAsia="仿宋" w:cs="仿宋_GB2312"/>
          <w:sz w:val="28"/>
          <w:szCs w:val="28"/>
          <w:highlight w:val="none"/>
          <w:u w:val="none"/>
          <w:lang w:val="en-US" w:eastAsia="zh-CN"/>
        </w:rPr>
        <w:t>单位</w:t>
      </w:r>
      <w:r>
        <w:rPr>
          <w:rFonts w:hint="eastAsia" w:ascii="仿宋_GB2312" w:hAnsi="仿宋_GB2312" w:eastAsia="仿宋" w:cs="仿宋_GB2312"/>
          <w:sz w:val="28"/>
          <w:szCs w:val="28"/>
          <w:highlight w:val="none"/>
        </w:rPr>
        <w:t>参加本</w:t>
      </w:r>
      <w:r>
        <w:rPr>
          <w:rFonts w:hint="eastAsia" w:ascii="仿宋_GB2312" w:hAnsi="仿宋_GB2312" w:eastAsia="仿宋" w:cs="仿宋_GB2312"/>
          <w:sz w:val="28"/>
          <w:szCs w:val="28"/>
          <w:highlight w:val="none"/>
          <w:u w:val="single"/>
        </w:rPr>
        <w:t xml:space="preserve">□施工  □货物 </w:t>
      </w:r>
      <w:r>
        <w:rPr>
          <w:rFonts w:hint="eastAsia" w:ascii="仿宋_GB2312" w:hAnsi="仿宋_GB2312" w:eastAsia="仿宋" w:cs="仿宋_GB2312"/>
          <w:sz w:val="28"/>
          <w:szCs w:val="28"/>
          <w:highlight w:val="none"/>
          <w:u w:val="single"/>
        </w:rPr>
        <w:sym w:font="Wingdings 2" w:char="0052"/>
      </w:r>
      <w:r>
        <w:rPr>
          <w:rFonts w:hint="eastAsia" w:ascii="仿宋_GB2312" w:hAnsi="仿宋_GB2312" w:eastAsia="仿宋" w:cs="仿宋_GB2312"/>
          <w:sz w:val="28"/>
          <w:szCs w:val="28"/>
          <w:highlight w:val="none"/>
          <w:u w:val="single"/>
        </w:rPr>
        <w:t>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lang w:val="en-US" w:eastAsia="zh-CN"/>
        </w:rPr>
        <w:t xml:space="preserve">邀请采购 </w:t>
      </w:r>
      <w:r>
        <w:rPr>
          <w:rFonts w:hint="eastAsia" w:ascii="仿宋_GB2312" w:hAnsi="仿宋_GB2312" w:eastAsia="仿宋" w:cs="仿宋_GB2312"/>
          <w:sz w:val="28"/>
          <w:szCs w:val="28"/>
          <w:highlight w:val="none"/>
          <w:u w:val="single"/>
          <w:lang w:val="en-US" w:eastAsia="zh-CN"/>
        </w:rPr>
        <w:sym w:font="Wingdings 2" w:char="0052"/>
      </w:r>
      <w:r>
        <w:rPr>
          <w:rFonts w:hint="eastAsia" w:ascii="仿宋_GB2312" w:hAnsi="仿宋_GB2312" w:eastAsia="仿宋" w:cs="仿宋_GB2312"/>
          <w:sz w:val="28"/>
          <w:szCs w:val="28"/>
          <w:highlight w:val="none"/>
          <w:u w:val="single"/>
          <w:lang w:val="en-US" w:eastAsia="zh-CN"/>
        </w:rPr>
        <w:t>公开采购</w:t>
      </w:r>
      <w:r>
        <w:rPr>
          <w:rFonts w:hint="eastAsia" w:ascii="仿宋_GB2312" w:hAnsi="仿宋_GB2312" w:eastAsia="仿宋"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lang w:val="en-US" w:eastAsia="zh-CN"/>
        </w:rPr>
        <w:t>广州市净水有限公司2024-2025年公务车辆保险采购（第四次）项目</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XJ-20241021-1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自有资金</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lang w:val="en-US"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lang w:val="en-US" w:eastAsia="zh-CN"/>
        </w:rPr>
        <w:t>495,000.00，其中交强险保费根据《</w:t>
      </w:r>
      <w:r>
        <w:rPr>
          <w:rFonts w:hint="eastAsia" w:ascii="仿宋_GB2312" w:eastAsia="仿宋"/>
          <w:color w:val="auto"/>
          <w:sz w:val="28"/>
          <w:szCs w:val="28"/>
          <w:highlight w:val="none"/>
          <w:u w:val="single"/>
        </w:rPr>
        <w:t>中国银保监会关于调整交强险责任限额和费率浮动系数的公告</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及相关文件</w:t>
      </w:r>
      <w:r>
        <w:rPr>
          <w:rFonts w:hint="eastAsia" w:ascii="仿宋_GB2312" w:eastAsia="仿宋"/>
          <w:color w:val="auto"/>
          <w:sz w:val="28"/>
          <w:szCs w:val="28"/>
          <w:highlight w:val="none"/>
          <w:u w:val="single"/>
          <w:lang w:val="en-US" w:eastAsia="zh-CN"/>
        </w:rPr>
        <w:t>据实缴纳，</w:t>
      </w:r>
      <w:r>
        <w:rPr>
          <w:rFonts w:hint="eastAsia" w:ascii="仿宋_GB2312" w:eastAsia="仿宋"/>
          <w:color w:val="auto"/>
          <w:sz w:val="28"/>
          <w:szCs w:val="28"/>
          <w:highlight w:val="none"/>
          <w:u w:val="none"/>
          <w:lang w:eastAsia="zh-CN"/>
        </w:rPr>
        <w:t>商业险保费=车型基准保费（根据车型系统精算）×无赔款优待系数（固定）×</w:t>
      </w:r>
      <w:r>
        <w:rPr>
          <w:rFonts w:hint="eastAsia" w:ascii="仿宋_GB2312" w:eastAsia="仿宋"/>
          <w:color w:val="auto"/>
          <w:sz w:val="28"/>
          <w:szCs w:val="28"/>
          <w:highlight w:val="none"/>
          <w:u w:val="none"/>
        </w:rPr>
        <w:t>商业车险自主定价系数</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rPr>
        <w:t>本采购项目对广州市净水有限公司</w:t>
      </w:r>
      <w:r>
        <w:rPr>
          <w:rFonts w:hint="eastAsia" w:ascii="仿宋_GB2312" w:eastAsia="仿宋"/>
          <w:color w:val="auto"/>
          <w:sz w:val="28"/>
          <w:szCs w:val="28"/>
          <w:highlight w:val="none"/>
          <w:u w:val="single"/>
          <w:lang w:val="en-US" w:eastAsia="zh-CN"/>
        </w:rPr>
        <w:t>110</w:t>
      </w:r>
      <w:r>
        <w:rPr>
          <w:rFonts w:hint="eastAsia" w:ascii="仿宋_GB2312" w:eastAsia="仿宋"/>
          <w:color w:val="auto"/>
          <w:sz w:val="28"/>
          <w:szCs w:val="28"/>
          <w:highlight w:val="none"/>
          <w:u w:val="single"/>
        </w:rPr>
        <w:t>台公务车</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rPr>
        <w:t>如后续新增车辆可加入投保</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rPr>
        <w:t>的机动车辆保险进行询价，报价人应对包内所有车辆和询价险种进行报价，不允许只对部分车辆和询价险种进行报价</w:t>
      </w:r>
      <w:r>
        <w:rPr>
          <w:rFonts w:hint="eastAsia" w:ascii="仿宋_GB2312" w:eastAsia="仿宋"/>
          <w:color w:val="auto"/>
          <w:sz w:val="28"/>
          <w:szCs w:val="28"/>
          <w:highlight w:val="none"/>
          <w:u w:val="none"/>
          <w:lang w:eastAsia="zh-CN"/>
        </w:rPr>
        <w:t>。交强险保费根据《中国银保监会关于调整交强险责任限额和费率浮动系数的公告》</w:t>
      </w:r>
      <w:r>
        <w:rPr>
          <w:rFonts w:hint="eastAsia" w:ascii="仿宋_GB2312" w:eastAsia="仿宋"/>
          <w:color w:val="auto"/>
          <w:sz w:val="28"/>
          <w:szCs w:val="28"/>
          <w:highlight w:val="none"/>
          <w:u w:val="none"/>
        </w:rPr>
        <w:t>及相关文件</w:t>
      </w:r>
      <w:r>
        <w:rPr>
          <w:rFonts w:hint="eastAsia" w:ascii="仿宋_GB2312" w:eastAsia="仿宋"/>
          <w:color w:val="auto"/>
          <w:sz w:val="28"/>
          <w:szCs w:val="28"/>
          <w:highlight w:val="none"/>
          <w:u w:val="none"/>
          <w:lang w:eastAsia="zh-CN"/>
        </w:rPr>
        <w:t>据实缴纳，商业险保费=车型基准保费（根据车型系统精算）×无赔款优待系数（固定）×商业车险自主定价系数。</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lang w:val="en-US" w:eastAsia="zh-CN"/>
        </w:rPr>
        <w:t>每台车辆保险时长为</w:t>
      </w:r>
      <w:r>
        <w:rPr>
          <w:rFonts w:hint="eastAsia" w:ascii="仿宋_GB2312" w:eastAsia="仿宋"/>
          <w:color w:val="auto"/>
          <w:sz w:val="28"/>
          <w:szCs w:val="28"/>
          <w:highlight w:val="none"/>
          <w:u w:val="single"/>
        </w:rPr>
        <w:t>1年，各台车辆保险期限具体起止日期待定</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lang w:val="en-US" w:eastAsia="zh-CN"/>
        </w:rPr>
        <w:t>广州市临江大道501号</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rPr>
        <w:t>满足询价文件中所有要求</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2.5其他：□安全目标如下：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供应商必须为中华人民共和国境内注册成立并合法存续的法人或其分支机构或非法人组织，持有事业单位登记管理部门核发的事业单位法人证书或工商行政管理部门核发的营业执照，且在有效期内。若分支机构参加报价的，</w:t>
      </w:r>
      <w:r>
        <w:rPr>
          <w:rFonts w:hint="eastAsia" w:ascii="仿宋_GB2312" w:eastAsia="仿宋"/>
          <w:color w:val="auto"/>
          <w:sz w:val="28"/>
          <w:szCs w:val="28"/>
          <w:highlight w:val="none"/>
          <w:lang w:val="en-US" w:eastAsia="zh-CN"/>
        </w:rPr>
        <w:t>需</w:t>
      </w:r>
      <w:r>
        <w:rPr>
          <w:rFonts w:hint="eastAsia" w:ascii="仿宋_GB2312" w:eastAsia="仿宋"/>
          <w:color w:val="auto"/>
          <w:sz w:val="28"/>
          <w:szCs w:val="28"/>
          <w:highlight w:val="none"/>
          <w:lang w:eastAsia="zh-CN"/>
        </w:rPr>
        <w:t>同时提供总公司营业执照复印件、分支机构营业执照复印件，加盖单位公章。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注：为确保保险市场的公平竞争，每个保险公司仅能通过单一机构参与报价。若发现任何保险公司通过两个或多个机构进行报价，采购人将取消该保险公司所有相关机构的报价资格。</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 w:hAnsi="仿宋" w:eastAsia="仿宋" w:cs="仿宋"/>
          <w:color w:val="auto"/>
          <w:sz w:val="28"/>
          <w:szCs w:val="28"/>
          <w:highlight w:val="none"/>
          <w:lang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lang w:eastAsia="zh-CN"/>
        </w:rPr>
        <w:t>以下</w:t>
      </w:r>
      <w:r>
        <w:rPr>
          <w:rFonts w:hint="eastAsia" w:ascii="仿宋" w:hAnsi="仿宋" w:eastAsia="仿宋" w:cs="仿宋"/>
          <w:color w:val="auto"/>
          <w:sz w:val="28"/>
          <w:szCs w:val="28"/>
          <w:highlight w:val="none"/>
        </w:rPr>
        <w:t>资质</w:t>
      </w:r>
      <w:r>
        <w:rPr>
          <w:rFonts w:hint="eastAsia" w:ascii="仿宋" w:hAnsi="仿宋" w:eastAsia="仿宋" w:cs="仿宋"/>
          <w:color w:val="auto"/>
          <w:sz w:val="28"/>
          <w:szCs w:val="28"/>
          <w:highlight w:val="none"/>
          <w:lang w:eastAsia="zh-CN"/>
        </w:rPr>
        <w:t>：</w:t>
      </w:r>
    </w:p>
    <w:p>
      <w:pPr>
        <w:pStyle w:val="28"/>
        <w:ind w:firstLine="560" w:firstLineChars="200"/>
      </w:pPr>
      <w:r>
        <w:rPr>
          <w:rFonts w:hint="eastAsia" w:ascii="仿宋" w:hAnsi="仿宋" w:eastAsia="仿宋" w:cs="仿宋"/>
          <w:color w:val="auto"/>
          <w:sz w:val="28"/>
          <w:szCs w:val="28"/>
          <w:highlight w:val="none"/>
          <w:u w:val="none"/>
        </w:rPr>
        <w:t>报价人为独立法人时，须提供中国银行保险监督管理委员会颁发的《经营保险业务许可证》；报价人为独立法人所合法成立的分支机构时，须同时提供中国银行保险监督管理委员会颁发的《分支机构经营保险业务许可证》，且证书</w:t>
      </w:r>
      <w:r>
        <w:rPr>
          <w:rFonts w:hint="eastAsia" w:ascii="仿宋" w:hAnsi="仿宋" w:eastAsia="仿宋" w:cs="仿宋"/>
          <w:color w:val="auto"/>
          <w:sz w:val="28"/>
          <w:szCs w:val="28"/>
          <w:highlight w:val="none"/>
          <w:u w:val="none"/>
          <w:lang w:val="en-US" w:eastAsia="zh-CN"/>
        </w:rPr>
        <w:t>均</w:t>
      </w:r>
      <w:r>
        <w:rPr>
          <w:rFonts w:hint="eastAsia" w:ascii="仿宋" w:hAnsi="仿宋" w:eastAsia="仿宋" w:cs="仿宋"/>
          <w:color w:val="auto"/>
          <w:sz w:val="28"/>
          <w:szCs w:val="28"/>
          <w:highlight w:val="none"/>
          <w:u w:val="none"/>
        </w:rPr>
        <w:t>处于有效期</w:t>
      </w:r>
      <w:r>
        <w:rPr>
          <w:rFonts w:hint="eastAsia" w:ascii="仿宋" w:hAnsi="仿宋" w:eastAsia="仿宋" w:cs="仿宋"/>
          <w:color w:val="auto"/>
          <w:sz w:val="28"/>
          <w:szCs w:val="28"/>
          <w:highlight w:val="none"/>
          <w:u w:val="none"/>
          <w:lang w:val="en-US" w:eastAsia="zh-CN"/>
        </w:rPr>
        <w:t>内</w:t>
      </w:r>
      <w:r>
        <w:rPr>
          <w:rFonts w:hint="eastAsia" w:ascii="仿宋" w:hAnsi="仿宋" w:eastAsia="仿宋" w:cs="仿宋"/>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 xml:space="preserve"> 单项</w:t>
      </w:r>
      <w:r>
        <w:rPr>
          <w:rFonts w:hint="eastAsia" w:ascii="仿宋_GB2312" w:eastAsia="仿宋_GB2312"/>
          <w:sz w:val="28"/>
          <w:szCs w:val="28"/>
          <w:u w:val="single"/>
        </w:rPr>
        <w:t>合同金额不低于</w:t>
      </w:r>
      <w:r>
        <w:rPr>
          <w:rFonts w:hint="eastAsia" w:ascii="仿宋_GB2312" w:eastAsia="仿宋_GB2312"/>
          <w:sz w:val="28"/>
          <w:szCs w:val="28"/>
          <w:u w:val="single"/>
          <w:lang w:eastAsia="zh-CN"/>
        </w:rPr>
        <w:t>3</w:t>
      </w:r>
      <w:r>
        <w:rPr>
          <w:rFonts w:hint="eastAsia" w:ascii="仿宋_GB2312" w:eastAsia="仿宋_GB2312"/>
          <w:sz w:val="28"/>
          <w:szCs w:val="28"/>
          <w:u w:val="single"/>
          <w:lang w:val="en-US" w:eastAsia="zh-CN"/>
        </w:rPr>
        <w:t>3</w:t>
      </w:r>
      <w:r>
        <w:rPr>
          <w:rFonts w:hint="eastAsia" w:ascii="仿宋_GB2312" w:eastAsia="仿宋_GB2312"/>
          <w:sz w:val="28"/>
          <w:szCs w:val="28"/>
          <w:u w:val="single"/>
        </w:rPr>
        <w:t>万元</w:t>
      </w:r>
      <w:r>
        <w:rPr>
          <w:rFonts w:hint="eastAsia" w:ascii="仿宋_GB2312" w:eastAsia="仿宋_GB2312"/>
          <w:sz w:val="28"/>
          <w:szCs w:val="28"/>
          <w:u w:val="single"/>
          <w:lang w:val="en-US" w:eastAsia="zh-CN"/>
        </w:rPr>
        <w:t>的</w:t>
      </w:r>
      <w:r>
        <w:rPr>
          <w:rFonts w:hint="eastAsia" w:ascii="仿宋_GB2312" w:eastAsia="仿宋_GB2312"/>
          <w:sz w:val="28"/>
          <w:szCs w:val="28"/>
          <w:u w:val="single"/>
        </w:rPr>
        <w:t>机动车辆保险承保</w:t>
      </w:r>
      <w:r>
        <w:rPr>
          <w:rFonts w:hint="eastAsia" w:ascii="仿宋_GB2312" w:eastAsia="仿宋"/>
          <w:color w:val="auto"/>
          <w:sz w:val="28"/>
          <w:szCs w:val="28"/>
          <w:highlight w:val="none"/>
        </w:rPr>
        <w:t>项目的业绩。（</w:t>
      </w:r>
      <w:r>
        <w:rPr>
          <w:rFonts w:hint="eastAsia" w:ascii="仿宋_GB2312" w:eastAsia="仿宋"/>
          <w:color w:val="auto"/>
          <w:sz w:val="28"/>
          <w:szCs w:val="28"/>
          <w:highlight w:val="none"/>
          <w:lang w:val="en-US" w:eastAsia="zh-CN"/>
        </w:rPr>
        <w:t>业绩时间以合同签订时间为准，业绩金额以合同签订金额为准，</w:t>
      </w:r>
      <w:r>
        <w:rPr>
          <w:rFonts w:hint="eastAsia" w:ascii="仿宋_GB2312" w:eastAsia="仿宋"/>
          <w:color w:val="auto"/>
          <w:sz w:val="28"/>
          <w:szCs w:val="28"/>
          <w:highlight w:val="none"/>
        </w:rPr>
        <w:t>提供合同复印件</w:t>
      </w:r>
      <w:r>
        <w:rPr>
          <w:rFonts w:hint="eastAsia" w:ascii="仿宋_GB2312" w:eastAsia="仿宋"/>
          <w:color w:val="auto"/>
          <w:sz w:val="28"/>
          <w:szCs w:val="28"/>
          <w:highlight w:val="none"/>
          <w:lang w:val="en-US" w:eastAsia="zh-CN"/>
        </w:rPr>
        <w:t>及对应发票复印件</w:t>
      </w:r>
      <w:r>
        <w:rPr>
          <w:rFonts w:hint="eastAsia" w:ascii="仿宋_GB2312" w:eastAsia="仿宋"/>
          <w:color w:val="auto"/>
          <w:sz w:val="28"/>
          <w:szCs w:val="28"/>
          <w:highlight w:val="none"/>
        </w:rPr>
        <w:t>证明，包括但不限于项目名称、金额及实施内容、合同盖章、签订日期，加盖单位公章</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同一合同存在多张发票的，提供其一即可</w:t>
      </w:r>
      <w:r>
        <w:rPr>
          <w:rFonts w:hint="eastAsia" w:ascii="仿宋_GB2312" w:eastAsia="仿宋"/>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default" w:ascii="仿宋_GB2312" w:eastAsia="仿宋"/>
          <w:color w:val="auto"/>
          <w:sz w:val="28"/>
          <w:szCs w:val="28"/>
          <w:highlight w:val="none"/>
          <w:u w:val="none"/>
          <w:lang w:val="en-US"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提供理赔服务承诺函</w:t>
      </w:r>
      <w:r>
        <w:rPr>
          <w:rFonts w:hint="default" w:ascii="仿宋_GB2312" w:eastAsia="仿宋"/>
          <w:color w:val="auto"/>
          <w:sz w:val="28"/>
          <w:szCs w:val="28"/>
          <w:highlight w:val="none"/>
          <w:u w:val="single"/>
        </w:rPr>
        <w:t>（见第七章 响应文件格式要求 6.</w:t>
      </w:r>
      <w:r>
        <w:rPr>
          <w:rFonts w:hint="eastAsia" w:ascii="仿宋_GB2312" w:eastAsia="仿宋"/>
          <w:color w:val="auto"/>
          <w:sz w:val="28"/>
          <w:szCs w:val="28"/>
          <w:highlight w:val="none"/>
          <w:u w:val="single"/>
          <w:lang w:val="en-US" w:eastAsia="zh-CN"/>
        </w:rPr>
        <w:t>1</w:t>
      </w:r>
      <w:r>
        <w:rPr>
          <w:rFonts w:hint="default"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理赔服务承诺函</w:t>
      </w:r>
      <w:r>
        <w:rPr>
          <w:rFonts w:hint="default" w:ascii="仿宋_GB2312" w:eastAsia="仿宋"/>
          <w:color w:val="auto"/>
          <w:sz w:val="28"/>
          <w:szCs w:val="28"/>
          <w:highlight w:val="none"/>
          <w:u w:val="single"/>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pPr>
        <w:adjustRightInd w:val="0"/>
        <w:snapToGrid w:val="0"/>
        <w:spacing w:line="60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4" w:name="_Toc2331"/>
      <w:bookmarkStart w:id="15" w:name="_Toc16705"/>
      <w:bookmarkStart w:id="16" w:name="_Toc16557"/>
      <w:bookmarkStart w:id="17" w:name="_Toc2324"/>
      <w:bookmarkStart w:id="18" w:name="_Toc25603"/>
      <w:bookmarkStart w:id="19" w:name="_Toc23749"/>
      <w:bookmarkStart w:id="20" w:name="_Toc19295"/>
      <w:bookmarkStart w:id="21" w:name="_Toc32588"/>
      <w:bookmarkStart w:id="22" w:name="_Toc9448"/>
      <w:bookmarkStart w:id="23" w:name="_Toc7340"/>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24" w:name="_Toc2339"/>
      <w:bookmarkStart w:id="25" w:name="_Toc3416"/>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5</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sz w:val="24"/>
                <w:szCs w:val="24"/>
              </w:rPr>
            </w:pPr>
            <w:r>
              <w:rPr>
                <w:rFonts w:hint="eastAsia" w:ascii="仿宋_GB2312" w:eastAsia="仿宋" w:hAnsiTheme="minorEastAsia"/>
                <w:sz w:val="24"/>
                <w:szCs w:val="24"/>
                <w:lang w:eastAsia="zh-CN"/>
              </w:rPr>
              <w:t>☑</w:t>
            </w:r>
            <w:r>
              <w:rPr>
                <w:rFonts w:hint="eastAsia" w:ascii="仿宋_GB2312" w:eastAsia="仿宋"/>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sz w:val="24"/>
                <w:szCs w:val="24"/>
              </w:rPr>
              <w:t>□</w:t>
            </w:r>
            <w:r>
              <w:rPr>
                <w:rFonts w:hint="eastAsia" w:ascii="仿宋_GB2312" w:eastAsia="仿宋" w:hAnsiTheme="minorEastAsia"/>
                <w:sz w:val="24"/>
                <w:szCs w:val="24"/>
                <w:u w:val="single"/>
              </w:rPr>
              <w:t>（</w:t>
            </w:r>
            <w:r>
              <w:rPr>
                <w:rFonts w:hint="eastAsia" w:ascii="仿宋_GB2312" w:eastAsia="仿宋"/>
                <w:sz w:val="24"/>
                <w:szCs w:val="24"/>
                <w:u w:val="single"/>
              </w:rPr>
              <w:t>招标采购代理费金额、支付人、支付方式等</w:t>
            </w:r>
            <w:r>
              <w:rPr>
                <w:rFonts w:hint="eastAsia" w:ascii="仿宋_GB2312" w:eastAsia="仿宋" w:hAnsiTheme="minorEastAsia"/>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7"/>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7"/>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7"/>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7"/>
        <w:rPr>
          <w:color w:val="auto"/>
          <w:highlight w:val="none"/>
        </w:rPr>
      </w:pPr>
    </w:p>
    <w:p>
      <w:pPr>
        <w:pStyle w:val="37"/>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spacing w:line="600" w:lineRule="exact"/>
        <w:ind w:firstLine="560" w:firstLineChars="200"/>
        <w:rPr>
          <w:rFonts w:hint="eastAsia" w:ascii="仿宋_GB2312" w:eastAsia="仿宋" w:hAnsiTheme="majorEastAsia"/>
          <w:color w:val="auto"/>
          <w:sz w:val="28"/>
          <w:szCs w:val="28"/>
          <w:highlight w:val="none"/>
          <w:lang w:val="en-US" w:eastAsia="zh-CN"/>
        </w:rPr>
      </w:pPr>
      <w:r>
        <w:rPr>
          <w:rFonts w:hint="eastAsia" w:ascii="仿宋_GB2312" w:eastAsia="仿宋" w:hAnsiTheme="majorEastAsia"/>
          <w:color w:val="auto"/>
          <w:sz w:val="28"/>
          <w:szCs w:val="28"/>
          <w:highlight w:val="none"/>
          <w:lang w:val="en-US" w:eastAsia="zh-CN"/>
        </w:rPr>
        <w:t>本项目最高限价</w:t>
      </w:r>
      <w:r>
        <w:rPr>
          <w:rFonts w:hint="eastAsia" w:ascii="仿宋_GB2312" w:eastAsia="仿宋" w:hAnsiTheme="majorEastAsia"/>
          <w:color w:val="auto"/>
          <w:sz w:val="28"/>
          <w:szCs w:val="28"/>
          <w:highlight w:val="none"/>
        </w:rPr>
        <w:t>495,000.00</w:t>
      </w:r>
      <w:r>
        <w:rPr>
          <w:rFonts w:hint="eastAsia" w:ascii="仿宋_GB2312" w:eastAsia="仿宋" w:hAnsiTheme="majorEastAsia"/>
          <w:color w:val="auto"/>
          <w:sz w:val="28"/>
          <w:szCs w:val="28"/>
          <w:highlight w:val="none"/>
          <w:lang w:val="en-US" w:eastAsia="zh-CN"/>
        </w:rPr>
        <w:t>元（大写：人民币肆拾玖万伍仟元整）</w:t>
      </w:r>
      <w:r>
        <w:rPr>
          <w:rFonts w:hint="eastAsia" w:ascii="仿宋_GB2312" w:eastAsia="仿宋" w:hAnsiTheme="majorEastAsia"/>
          <w:color w:val="auto"/>
          <w:sz w:val="28"/>
          <w:szCs w:val="28"/>
          <w:highlight w:val="none"/>
        </w:rPr>
        <w:t>，商业车险自主定价系数</w:t>
      </w:r>
      <w:r>
        <w:rPr>
          <w:rFonts w:hint="eastAsia" w:ascii="仿宋_GB2312" w:eastAsia="仿宋" w:hAnsiTheme="majorEastAsia"/>
          <w:color w:val="auto"/>
          <w:sz w:val="28"/>
          <w:szCs w:val="28"/>
          <w:highlight w:val="none"/>
          <w:lang w:val="en-US" w:eastAsia="zh-CN"/>
        </w:rPr>
        <w:t>为：</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lang w:val="en-US" w:eastAsia="zh-CN"/>
        </w:rPr>
        <w:t>%。</w:t>
      </w:r>
    </w:p>
    <w:p>
      <w:pPr>
        <w:spacing w:line="600" w:lineRule="exact"/>
        <w:ind w:firstLine="560" w:firstLineChars="200"/>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val="en-US" w:eastAsia="zh-CN"/>
        </w:rPr>
        <w:t>注：1.</w:t>
      </w:r>
      <w:r>
        <w:rPr>
          <w:rFonts w:hint="eastAsia" w:ascii="仿宋_GB2312" w:eastAsia="仿宋" w:hAnsiTheme="majorEastAsia"/>
          <w:color w:val="auto"/>
          <w:sz w:val="28"/>
          <w:szCs w:val="28"/>
          <w:highlight w:val="none"/>
        </w:rPr>
        <w:t>商业险保费=车型基准保费（根据车型系统精算）×无赔款优待系数（固定）×商业车险自主定价系数。</w:t>
      </w:r>
    </w:p>
    <w:p>
      <w:pPr>
        <w:spacing w:line="600" w:lineRule="exact"/>
        <w:ind w:firstLine="1120" w:firstLineChars="400"/>
        <w:rPr>
          <w:rFonts w:hint="default"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val="en-US" w:eastAsia="zh-CN"/>
        </w:rPr>
        <w:t>2.</w:t>
      </w:r>
      <w:r>
        <w:rPr>
          <w:rFonts w:hint="eastAsia" w:ascii="仿宋_GB2312" w:eastAsia="仿宋" w:hAnsiTheme="majorEastAsia"/>
          <w:color w:val="auto"/>
          <w:sz w:val="28"/>
          <w:szCs w:val="28"/>
          <w:highlight w:val="none"/>
        </w:rPr>
        <w:t>交强险保费根据《中国银保监会关于调整交强险责任限额和费率浮动系数的公告》</w:t>
      </w:r>
      <w:r>
        <w:rPr>
          <w:rFonts w:hint="eastAsia" w:ascii="仿宋_GB2312" w:eastAsia="仿宋" w:hAnsiTheme="majorEastAsia"/>
          <w:color w:val="auto"/>
          <w:sz w:val="28"/>
          <w:szCs w:val="28"/>
          <w:highlight w:val="none"/>
          <w:lang w:val="en-US" w:eastAsia="zh-CN"/>
        </w:rPr>
        <w:t>及相关文件</w:t>
      </w:r>
      <w:r>
        <w:rPr>
          <w:rFonts w:hint="eastAsia" w:ascii="仿宋_GB2312" w:eastAsia="仿宋" w:hAnsiTheme="majorEastAsia"/>
          <w:color w:val="auto"/>
          <w:sz w:val="28"/>
          <w:szCs w:val="28"/>
          <w:highlight w:val="none"/>
        </w:rPr>
        <w:t>据实缴纳，</w:t>
      </w:r>
    </w:p>
    <w:p>
      <w:pPr>
        <w:adjustRightInd w:val="0"/>
        <w:snapToGrid w:val="0"/>
        <w:spacing w:line="600" w:lineRule="exact"/>
        <w:ind w:firstLine="560" w:firstLineChars="200"/>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w:t>
      </w:r>
      <w:r>
        <w:rPr>
          <w:rFonts w:hint="eastAsia" w:hAnsi="仿宋"/>
          <w:sz w:val="24"/>
          <w:highlight w:val="none"/>
          <w:lang w:eastAsia="zh-CN"/>
        </w:rPr>
        <w:t>法定代表人/负责人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88209934"/>
      <w:bookmarkStart w:id="27" w:name="_Toc87616371"/>
      <w:bookmarkStart w:id="28" w:name="_Toc7303"/>
      <w:bookmarkStart w:id="29" w:name="_Toc7040"/>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rFonts w:hint="eastAsia" w:eastAsia="仿宋"/>
          <w:color w:val="auto"/>
          <w:highlight w:val="none"/>
          <w:lang w:eastAsia="zh-CN"/>
        </w:rPr>
      </w:pPr>
      <w:r>
        <w:rPr>
          <w:rFonts w:hint="eastAsia" w:eastAsia="仿宋"/>
          <w:color w:val="auto"/>
          <w:highlight w:val="none"/>
          <w:lang w:val="en-US" w:eastAsia="zh-CN"/>
        </w:rPr>
        <w:t>竞争性谈判</w:t>
      </w:r>
    </w:p>
    <w:p>
      <w:pPr>
        <w:adjustRightInd w:val="0"/>
        <w:snapToGrid w:val="0"/>
        <w:spacing w:line="600" w:lineRule="exact"/>
        <w:jc w:val="left"/>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
                <w:sz w:val="24"/>
                <w:szCs w:val="24"/>
              </w:rPr>
              <w:t>1.谈判准备</w:t>
            </w:r>
          </w:p>
        </w:tc>
        <w:tc>
          <w:tcPr>
            <w:tcW w:w="7938" w:type="dxa"/>
            <w:tcBorders>
              <w:top w:val="single" w:color="auto" w:sz="4" w:space="0"/>
            </w:tcBorders>
            <w:vAlign w:val="center"/>
          </w:tcPr>
          <w:p>
            <w:pPr>
              <w:adjustRightInd w:val="0"/>
              <w:snapToGrid w:val="0"/>
              <w:ind w:left="598" w:leftChars="6" w:hanging="585" w:hangingChars="244"/>
              <w:rPr>
                <w:rFonts w:hint="eastAsia" w:ascii="仿宋_GB2312" w:eastAsia="仿宋" w:hAnsiTheme="minorEastAsia"/>
                <w:sz w:val="24"/>
                <w:szCs w:val="24"/>
              </w:rPr>
            </w:pPr>
            <w:r>
              <w:rPr>
                <w:rFonts w:hint="eastAsia" w:ascii="仿宋_GB2312" w:eastAsia="仿宋" w:hAnsiTheme="minorEastAsia"/>
                <w:sz w:val="24"/>
                <w:szCs w:val="24"/>
              </w:rPr>
              <w:t xml:space="preserve">1.1 </w:t>
            </w:r>
            <w:r>
              <w:rPr>
                <w:rFonts w:hint="eastAsia" w:ascii="仿宋_GB2312" w:eastAsia="仿宋" w:hAnsiTheme="minorEastAsia"/>
                <w:color w:val="auto"/>
                <w:sz w:val="24"/>
                <w:szCs w:val="24"/>
                <w:highlight w:val="none"/>
              </w:rPr>
              <w:t>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598" w:leftChars="6" w:hanging="585" w:hangingChars="244"/>
              <w:rPr>
                <w:rFonts w:ascii="仿宋_GB2312" w:eastAsia="仿宋_GB2312"/>
                <w:sz w:val="24"/>
                <w:szCs w:val="24"/>
              </w:rPr>
            </w:pPr>
            <w:r>
              <w:rPr>
                <w:rFonts w:hint="eastAsia" w:ascii="仿宋_GB2312" w:eastAsia="仿宋" w:hAnsiTheme="minorEastAsia"/>
                <w:sz w:val="24"/>
                <w:szCs w:val="24"/>
              </w:rPr>
              <w:t>1.</w:t>
            </w:r>
            <w:r>
              <w:rPr>
                <w:rFonts w:hint="eastAsia" w:ascii="仿宋_GB2312" w:eastAsia="仿宋" w:hAnsiTheme="minorEastAsia"/>
                <w:sz w:val="24"/>
                <w:szCs w:val="24"/>
                <w:lang w:val="en-US" w:eastAsia="zh-CN"/>
              </w:rPr>
              <w:t>2</w:t>
            </w:r>
            <w:r>
              <w:rPr>
                <w:rFonts w:hint="eastAsia" w:ascii="仿宋_GB2312" w:eastAsia="仿宋" w:hAnsiTheme="minorEastAsia"/>
                <w:sz w:val="24"/>
                <w:szCs w:val="24"/>
              </w:rPr>
              <w:t xml:space="preserve"> 首次响应文件提交截止后，参加响应的供应商数量不少于2家的，采购活动可以继续进行</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
                <w:sz w:val="24"/>
                <w:szCs w:val="24"/>
              </w:rPr>
              <w:t>2.资格审查</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 w:hAnsiTheme="minorEastAsia"/>
                <w:sz w:val="24"/>
                <w:szCs w:val="24"/>
              </w:rPr>
              <w:t>采购公告/谈判邀请书对供应商提出资格要求的，供应商应按规定提供资格申请材料；采购人负责组织对供应商的资格进行审查</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
                <w:sz w:val="24"/>
                <w:szCs w:val="24"/>
              </w:rPr>
              <w:t>3.谈判程序</w:t>
            </w:r>
          </w:p>
        </w:tc>
        <w:tc>
          <w:tcPr>
            <w:tcW w:w="7938" w:type="dxa"/>
            <w:tcBorders>
              <w:bottom w:val="single" w:color="auto" w:sz="4" w:space="0"/>
            </w:tcBorders>
            <w:vAlign w:val="center"/>
          </w:tcPr>
          <w:p>
            <w:pPr>
              <w:adjustRightInd w:val="0"/>
              <w:snapToGrid w:val="0"/>
              <w:ind w:left="0" w:leftChars="0" w:firstLine="0" w:firstLineChars="0"/>
              <w:rPr>
                <w:rFonts w:hint="eastAsia" w:ascii="仿宋_GB2312" w:eastAsia="仿宋"/>
                <w:color w:val="auto"/>
                <w:sz w:val="24"/>
                <w:szCs w:val="24"/>
                <w:highlight w:val="none"/>
                <w:lang w:val="en-US" w:eastAsia="zh-CN"/>
              </w:rPr>
            </w:pPr>
            <w:r>
              <w:rPr>
                <w:rFonts w:hint="eastAsia" w:ascii="仿宋_GB2312" w:eastAsia="仿宋"/>
                <w:color w:val="auto"/>
                <w:sz w:val="24"/>
                <w:szCs w:val="24"/>
                <w:highlight w:val="none"/>
                <w:lang w:val="en-US" w:eastAsia="zh-CN"/>
              </w:rPr>
              <w:t>3.1本次采用一轮评审，两次报价形式进行。</w:t>
            </w:r>
          </w:p>
          <w:p>
            <w:pPr>
              <w:adjustRightInd w:val="0"/>
              <w:snapToGrid w:val="0"/>
              <w:ind w:left="0" w:leftChars="0" w:firstLine="0" w:firstLineChars="0"/>
              <w:rPr>
                <w:rFonts w:hint="eastAsia" w:ascii="仿宋_GB2312" w:hAnsi="Times New Roman" w:eastAsia="仿宋" w:cs="Tahoma"/>
                <w:color w:val="auto"/>
                <w:kern w:val="0"/>
                <w:sz w:val="24"/>
                <w:szCs w:val="24"/>
                <w:highlight w:val="none"/>
                <w:lang w:val="en-US" w:eastAsia="zh-CN" w:bidi="ar-SA"/>
              </w:rPr>
            </w:pPr>
            <w:r>
              <w:rPr>
                <w:rFonts w:hint="eastAsia" w:ascii="仿宋_GB2312" w:eastAsia="仿宋"/>
                <w:color w:val="auto"/>
                <w:sz w:val="24"/>
                <w:szCs w:val="24"/>
                <w:highlight w:val="none"/>
                <w:lang w:val="en-US" w:eastAsia="zh-CN"/>
              </w:rPr>
              <w:t>3.2评审小组对供应商进行资格审查，被评审小组确定为响应文件无效的，即被视为不能通过初审，评审小组宣布项目采购失败。</w:t>
            </w:r>
          </w:p>
          <w:p>
            <w:pPr>
              <w:adjustRightInd w:val="0"/>
              <w:snapToGrid w:val="0"/>
              <w:ind w:firstLine="0" w:firstLineChars="0"/>
              <w:rPr>
                <w:rFonts w:ascii="仿宋_GB2312" w:eastAsia="仿宋_GB2312"/>
                <w:sz w:val="24"/>
                <w:szCs w:val="24"/>
              </w:rPr>
            </w:pPr>
            <w:r>
              <w:rPr>
                <w:rFonts w:hint="eastAsia" w:ascii="仿宋_GB2312" w:hAnsi="Times New Roman" w:eastAsia="仿宋" w:cs="Tahoma"/>
                <w:color w:val="auto"/>
                <w:kern w:val="0"/>
                <w:sz w:val="24"/>
                <w:szCs w:val="24"/>
                <w:highlight w:val="none"/>
                <w:lang w:val="en-US" w:eastAsia="zh-CN" w:bidi="ar-SA"/>
              </w:rPr>
              <w:t>3.3完成资格性审核后，评审小组要求供应商在规定时间内提交第二次报价，供应商未在规定的时间进行二次报价的，视为其退出二次报价，其最终报价为其首次报价。在二次报价结束后，被评审委员会确定为二次报价无效的，取其初次报价为最终报价。</w:t>
            </w:r>
            <w:r>
              <w:rPr>
                <w:rFonts w:hint="eastAsia" w:ascii="仿宋_GB2312" w:hAnsi="Times New Roman" w:eastAsia="仿宋" w:cs="Tahoma"/>
                <w:color w:val="auto"/>
                <w:kern w:val="0"/>
                <w:sz w:val="24"/>
                <w:szCs w:val="24"/>
                <w:highlight w:val="none"/>
                <w:lang w:val="en-US" w:eastAsia="zh-CN" w:bidi="ar-SA"/>
              </w:rPr>
              <w:br w:type="textWrapping"/>
            </w:r>
            <w:r>
              <w:rPr>
                <w:rFonts w:hint="eastAsia" w:ascii="仿宋_GB2312" w:hAnsi="Times New Roman" w:eastAsia="仿宋" w:cs="Tahoma"/>
                <w:color w:val="auto"/>
                <w:kern w:val="0"/>
                <w:sz w:val="24"/>
                <w:szCs w:val="24"/>
                <w:highlight w:val="none"/>
                <w:lang w:val="en-US" w:eastAsia="zh-CN" w:bidi="ar-SA"/>
              </w:rPr>
              <w:t>3.4</w:t>
            </w:r>
            <w:r>
              <w:rPr>
                <w:rFonts w:hint="eastAsia" w:ascii="仿宋_GB2312" w:hAnsi="宋体" w:eastAsia="仿宋"/>
                <w:sz w:val="24"/>
                <w:highlight w:val="none"/>
              </w:rPr>
              <w:t>如评审小组没有对采购文件作实质性变动增加新的需求，</w:t>
            </w:r>
            <w:r>
              <w:rPr>
                <w:rFonts w:hint="eastAsia" w:ascii="仿宋_GB2312" w:hAnsi="宋体" w:eastAsia="仿宋"/>
                <w:sz w:val="24"/>
                <w:highlight w:val="none"/>
                <w:lang w:val="en-US" w:eastAsia="zh-CN"/>
              </w:rPr>
              <w:t>二次</w:t>
            </w:r>
            <w:r>
              <w:rPr>
                <w:rFonts w:hint="eastAsia" w:ascii="仿宋_GB2312" w:hAnsi="宋体" w:eastAsia="仿宋"/>
                <w:sz w:val="24"/>
                <w:highlight w:val="none"/>
              </w:rPr>
              <w:t>报价不得高于</w:t>
            </w:r>
            <w:r>
              <w:rPr>
                <w:rFonts w:hint="eastAsia" w:ascii="仿宋_GB2312" w:hAnsi="宋体" w:eastAsia="仿宋"/>
                <w:sz w:val="24"/>
                <w:highlight w:val="none"/>
                <w:lang w:val="en-US" w:eastAsia="zh-CN"/>
              </w:rPr>
              <w:t>或等于</w:t>
            </w:r>
            <w:r>
              <w:rPr>
                <w:rFonts w:hint="eastAsia" w:ascii="仿宋_GB2312" w:hAnsi="宋体" w:eastAsia="仿宋"/>
                <w:sz w:val="24"/>
                <w:highlight w:val="none"/>
              </w:rPr>
              <w:t>首次报价。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
                <w:sz w:val="24"/>
                <w:szCs w:val="24"/>
              </w:rPr>
              <w:t>4.评审办法</w:t>
            </w:r>
          </w:p>
        </w:tc>
        <w:tc>
          <w:tcPr>
            <w:tcW w:w="7938" w:type="dxa"/>
            <w:tcBorders>
              <w:top w:val="single" w:color="auto" w:sz="4" w:space="0"/>
              <w:bottom w:val="single" w:color="auto" w:sz="4" w:space="0"/>
            </w:tcBorders>
            <w:vAlign w:val="center"/>
          </w:tcPr>
          <w:p>
            <w:pPr>
              <w:adjustRightInd w:val="0"/>
              <w:snapToGrid w:val="0"/>
              <w:ind w:left="720" w:hanging="720" w:hangingChars="300"/>
              <w:jc w:val="left"/>
              <w:rPr>
                <w:rFonts w:ascii="仿宋_GB2312" w:eastAsia="仿宋" w:hAnsiTheme="minorEastAsia"/>
                <w:sz w:val="24"/>
                <w:szCs w:val="24"/>
              </w:rPr>
            </w:pPr>
            <w:r>
              <w:rPr>
                <w:rFonts w:hint="eastAsia" w:ascii="仿宋_GB2312" w:eastAsia="仿宋" w:hAnsiTheme="minorEastAsia"/>
                <w:sz w:val="24"/>
                <w:szCs w:val="24"/>
              </w:rPr>
              <w:t>评审小组对已经最终报价的响应文件评审拟采用</w:t>
            </w:r>
          </w:p>
          <w:p>
            <w:pPr>
              <w:adjustRightInd w:val="0"/>
              <w:snapToGrid w:val="0"/>
              <w:ind w:left="720" w:hanging="720" w:hangingChars="300"/>
              <w:jc w:val="left"/>
              <w:rPr>
                <w:rFonts w:ascii="仿宋_GB2312" w:eastAsia="仿宋" w:hAnsiTheme="minorEastAsia"/>
                <w:sz w:val="24"/>
                <w:szCs w:val="24"/>
              </w:rPr>
            </w:pPr>
            <w:r>
              <w:rPr>
                <w:rFonts w:hint="eastAsia" w:ascii="仿宋_GB2312" w:eastAsia="仿宋" w:hAnsiTheme="minorEastAsia"/>
                <w:sz w:val="24"/>
                <w:szCs w:val="24"/>
                <w:lang w:eastAsia="zh-CN"/>
              </w:rPr>
              <w:t>☑</w:t>
            </w:r>
            <w:r>
              <w:rPr>
                <w:rFonts w:hint="eastAsia" w:ascii="仿宋_GB2312" w:eastAsia="仿宋" w:hAnsiTheme="minorEastAsia"/>
                <w:sz w:val="24"/>
                <w:szCs w:val="24"/>
              </w:rPr>
              <w:t xml:space="preserve"> 经评审的最低价法</w:t>
            </w:r>
          </w:p>
          <w:p>
            <w:pPr>
              <w:adjustRightInd w:val="0"/>
              <w:snapToGrid w:val="0"/>
              <w:ind w:left="720" w:hanging="720" w:hangingChars="300"/>
              <w:jc w:val="left"/>
              <w:rPr>
                <w:rFonts w:ascii="仿宋_GB2312" w:eastAsia="仿宋" w:hAnsiTheme="minorEastAsia"/>
                <w:sz w:val="24"/>
                <w:szCs w:val="24"/>
              </w:rPr>
            </w:pPr>
            <w:r>
              <w:rPr>
                <w:rFonts w:hint="eastAsia" w:ascii="仿宋_GB2312" w:eastAsia="仿宋" w:hAnsiTheme="minorEastAsia"/>
                <w:sz w:val="24"/>
                <w:szCs w:val="24"/>
              </w:rPr>
              <w:t>□ 综合评分法</w:t>
            </w:r>
          </w:p>
          <w:p>
            <w:pPr>
              <w:adjustRightInd w:val="0"/>
              <w:snapToGrid w:val="0"/>
              <w:ind w:left="720" w:hanging="720" w:hangingChars="300"/>
              <w:jc w:val="left"/>
              <w:rPr>
                <w:rFonts w:ascii="仿宋_GB2312" w:eastAsia="仿宋_GB2312" w:hAnsiTheme="minorEastAsia"/>
                <w:sz w:val="24"/>
                <w:szCs w:val="24"/>
              </w:rPr>
            </w:pPr>
            <w:r>
              <w:rPr>
                <w:rFonts w:hint="eastAsia" w:ascii="仿宋_GB2312" w:eastAsia="仿宋" w:hAnsiTheme="minorEastAsia"/>
                <w:sz w:val="24"/>
                <w:szCs w:val="24"/>
              </w:rPr>
              <w:t>□ 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
                <w:sz w:val="24"/>
                <w:szCs w:val="24"/>
              </w:rPr>
              <w:t>5.特别规定</w:t>
            </w:r>
          </w:p>
        </w:tc>
        <w:tc>
          <w:tcPr>
            <w:tcW w:w="7938" w:type="dxa"/>
            <w:tcBorders>
              <w:bottom w:val="single" w:color="auto" w:sz="4" w:space="0"/>
            </w:tcBorders>
            <w:vAlign w:val="center"/>
          </w:tcPr>
          <w:p>
            <w:pPr>
              <w:adjustRightInd w:val="0"/>
              <w:snapToGrid w:val="0"/>
              <w:ind w:left="720" w:hanging="720" w:hangingChars="300"/>
              <w:jc w:val="left"/>
              <w:rPr>
                <w:rFonts w:hint="eastAsia" w:ascii="仿宋_GB2312" w:eastAsia="仿宋" w:hAnsiTheme="minorEastAsia"/>
                <w:sz w:val="24"/>
                <w:szCs w:val="24"/>
                <w:u w:val="single"/>
                <w:lang w:val="en-US" w:eastAsia="zh-CN"/>
              </w:rPr>
            </w:pPr>
            <w:r>
              <w:rPr>
                <w:rFonts w:hint="eastAsia" w:ascii="仿宋_GB2312" w:eastAsia="仿宋" w:hAnsiTheme="minorEastAsia"/>
                <w:sz w:val="24"/>
                <w:szCs w:val="24"/>
              </w:rPr>
              <w:t>5.1 在谈判活动中允许供应商退出谈判活动，并可以在发出成交通知书</w:t>
            </w:r>
            <w:r>
              <w:rPr>
                <w:rFonts w:hint="eastAsia" w:ascii="仿宋_GB2312" w:eastAsia="仿宋" w:hAnsiTheme="minorEastAsia"/>
                <w:sz w:val="24"/>
                <w:szCs w:val="24"/>
                <w:u w:val="single"/>
                <w:lang w:val="en-US" w:eastAsia="zh-CN"/>
              </w:rPr>
              <w:t>/</w:t>
            </w:r>
          </w:p>
          <w:p>
            <w:pPr>
              <w:adjustRightInd w:val="0"/>
              <w:snapToGrid w:val="0"/>
              <w:ind w:left="719" w:leftChars="228" w:hanging="240" w:hangingChars="100"/>
              <w:jc w:val="left"/>
              <w:rPr>
                <w:rFonts w:ascii="仿宋_GB2312" w:eastAsia="仿宋" w:hAnsiTheme="minorEastAsia"/>
                <w:sz w:val="24"/>
                <w:szCs w:val="24"/>
              </w:rPr>
            </w:pPr>
            <w:r>
              <w:rPr>
                <w:rFonts w:hint="eastAsia" w:ascii="仿宋_GB2312" w:eastAsia="仿宋" w:hAnsiTheme="minorEastAsia"/>
                <w:sz w:val="24"/>
                <w:szCs w:val="24"/>
              </w:rPr>
              <w:t>日内退还响应保证金</w:t>
            </w:r>
          </w:p>
          <w:p>
            <w:pPr>
              <w:adjustRightInd w:val="0"/>
              <w:snapToGrid w:val="0"/>
              <w:ind w:left="457" w:leftChars="6" w:hanging="444" w:hangingChars="185"/>
              <w:jc w:val="left"/>
              <w:rPr>
                <w:rFonts w:ascii="仿宋_GB2312" w:eastAsia="仿宋" w:hAnsiTheme="minorEastAsia"/>
                <w:sz w:val="24"/>
                <w:szCs w:val="24"/>
              </w:rPr>
            </w:pPr>
            <w:r>
              <w:rPr>
                <w:rFonts w:hint="eastAsia" w:ascii="仿宋_GB2312" w:eastAsia="仿宋" w:hAnsiTheme="minorEastAsia"/>
                <w:sz w:val="24"/>
                <w:szCs w:val="24"/>
              </w:rPr>
              <w:t>5.2通过发布谈判采购公告方式邀请供应商且通过初步评审的供应商过多时，谈判小组也可按照采购文件规定的选择方式和数量，从通过初步评审的供应商中选择部分供应商进行谈判</w:t>
            </w:r>
          </w:p>
          <w:p>
            <w:pPr>
              <w:adjustRightInd w:val="0"/>
              <w:snapToGrid w:val="0"/>
              <w:jc w:val="left"/>
              <w:rPr>
                <w:rFonts w:ascii="仿宋_GB2312" w:eastAsia="仿宋" w:hAnsiTheme="minorEastAsia"/>
                <w:sz w:val="24"/>
                <w:szCs w:val="24"/>
              </w:rPr>
            </w:pPr>
            <w:r>
              <w:rPr>
                <w:rFonts w:hint="eastAsia" w:ascii="仿宋_GB2312" w:eastAsia="仿宋" w:hAnsiTheme="minorEastAsia"/>
                <w:sz w:val="24"/>
                <w:szCs w:val="24"/>
              </w:rPr>
              <w:t>5.3 采购人不得就供应商提出的最终报盘或最终报价与其进行谈判</w:t>
            </w:r>
          </w:p>
          <w:p>
            <w:pPr>
              <w:adjustRightInd w:val="0"/>
              <w:snapToGrid w:val="0"/>
              <w:ind w:left="480" w:hanging="480" w:hangingChars="200"/>
              <w:jc w:val="left"/>
              <w:rPr>
                <w:rFonts w:ascii="仿宋_GB2312" w:eastAsia="仿宋" w:hAnsiTheme="minorEastAsia"/>
                <w:sz w:val="24"/>
                <w:szCs w:val="24"/>
              </w:rPr>
            </w:pPr>
            <w:r>
              <w:rPr>
                <w:rFonts w:hint="eastAsia" w:ascii="仿宋_GB2312" w:eastAsia="仿宋" w:hAnsiTheme="minorEastAsia"/>
                <w:sz w:val="24"/>
                <w:szCs w:val="24"/>
              </w:rPr>
              <w:t>5.4 经和供应商讨论需修改合同实质性内容或超过原项目预算需要批准的，采购人应当履行审批手续</w:t>
            </w:r>
          </w:p>
          <w:p>
            <w:pPr>
              <w:adjustRightInd w:val="0"/>
              <w:snapToGrid w:val="0"/>
              <w:ind w:left="480" w:hanging="480" w:hangingChars="200"/>
              <w:jc w:val="left"/>
              <w:rPr>
                <w:rFonts w:ascii="仿宋_GB2312" w:eastAsia="仿宋_GB2312" w:hAnsiTheme="minorEastAsia"/>
                <w:sz w:val="24"/>
                <w:szCs w:val="24"/>
              </w:rPr>
            </w:pPr>
            <w:r>
              <w:rPr>
                <w:rFonts w:hint="eastAsia" w:ascii="仿宋_GB2312" w:eastAsia="仿宋" w:hAnsiTheme="minorEastAsia"/>
                <w:sz w:val="24"/>
                <w:szCs w:val="24"/>
              </w:rPr>
              <w:t>5.5如评审小组没有对采购文件作实质性变动增加新的需求，最后报价不得高于首次报价。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
                <w:sz w:val="24"/>
                <w:szCs w:val="24"/>
              </w:rPr>
              <w:t>6.成交规则</w:t>
            </w:r>
          </w:p>
        </w:tc>
        <w:tc>
          <w:tcPr>
            <w:tcW w:w="7938" w:type="dxa"/>
            <w:tcBorders>
              <w:bottom w:val="single" w:color="auto" w:sz="4" w:space="0"/>
            </w:tcBorders>
            <w:vAlign w:val="center"/>
          </w:tcPr>
          <w:p>
            <w:pPr>
              <w:adjustRightInd w:val="0"/>
              <w:snapToGrid w:val="0"/>
              <w:ind w:left="353" w:hanging="352" w:hangingChars="147"/>
              <w:jc w:val="left"/>
              <w:rPr>
                <w:rFonts w:ascii="仿宋_GB2312" w:eastAsia="仿宋" w:hAnsiTheme="minorEastAsia"/>
                <w:sz w:val="24"/>
                <w:szCs w:val="24"/>
              </w:rPr>
            </w:pPr>
            <w:r>
              <w:rPr>
                <w:rFonts w:hint="eastAsia" w:ascii="仿宋_GB2312" w:eastAsia="仿宋" w:hAnsiTheme="minorEastAsia"/>
                <w:sz w:val="24"/>
                <w:szCs w:val="24"/>
              </w:rPr>
              <w:t>□ 依照评审小组提交的咨询报告，采购人决定最需要的成交供应商</w:t>
            </w:r>
          </w:p>
          <w:p>
            <w:pPr>
              <w:adjustRightInd w:val="0"/>
              <w:snapToGrid w:val="0"/>
              <w:ind w:left="353" w:hanging="352" w:hangingChars="147"/>
              <w:jc w:val="left"/>
              <w:rPr>
                <w:rFonts w:ascii="仿宋_GB2312" w:eastAsia="仿宋" w:hAnsiTheme="minorEastAsia"/>
                <w:sz w:val="24"/>
                <w:szCs w:val="24"/>
              </w:rPr>
            </w:pPr>
            <w:r>
              <w:rPr>
                <w:rFonts w:hint="eastAsia" w:ascii="仿宋_GB2312" w:eastAsia="仿宋" w:hAnsiTheme="minorEastAsia"/>
                <w:sz w:val="24"/>
                <w:szCs w:val="24"/>
              </w:rPr>
              <w:t>□ 评审小组按照采购文件确定的标准排序，采购人确定排名第一的供应商为成交供应商</w:t>
            </w:r>
          </w:p>
          <w:p>
            <w:pPr>
              <w:adjustRightInd w:val="0"/>
              <w:snapToGrid w:val="0"/>
              <w:ind w:left="240" w:hanging="240" w:hangingChars="100"/>
              <w:jc w:val="left"/>
              <w:rPr>
                <w:rFonts w:ascii="仿宋_GB2312" w:eastAsia="仿宋_GB2312" w:hAnsiTheme="minorEastAsia"/>
                <w:sz w:val="24"/>
                <w:szCs w:val="24"/>
              </w:rPr>
            </w:pPr>
            <w:r>
              <w:rPr>
                <w:rFonts w:hint="eastAsia" w:ascii="仿宋_GB2312" w:eastAsia="仿宋" w:hAnsiTheme="minorEastAsia"/>
                <w:sz w:val="24"/>
                <w:szCs w:val="24"/>
                <w:lang w:eastAsia="zh-CN"/>
              </w:rPr>
              <w:t>☑</w:t>
            </w:r>
            <w:r>
              <w:rPr>
                <w:rFonts w:hint="eastAsia" w:ascii="仿宋_GB2312" w:eastAsia="仿宋" w:hAnsiTheme="minorEastAsia"/>
                <w:sz w:val="24"/>
                <w:szCs w:val="24"/>
              </w:rPr>
              <w:t xml:space="preserve"> 采购人确定满足采购文件实质性要求，并且经评审的报价最低的为成交供应商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
                <w:sz w:val="24"/>
                <w:szCs w:val="24"/>
              </w:rPr>
              <w:t>7.成交候选人公示</w:t>
            </w:r>
          </w:p>
        </w:tc>
        <w:tc>
          <w:tcPr>
            <w:tcW w:w="7938" w:type="dxa"/>
            <w:tcBorders>
              <w:bottom w:val="single" w:color="auto" w:sz="4" w:space="0"/>
            </w:tcBorders>
            <w:vAlign w:val="center"/>
          </w:tcPr>
          <w:p>
            <w:pPr>
              <w:adjustRightInd w:val="0"/>
              <w:snapToGrid w:val="0"/>
              <w:ind w:left="0" w:firstLine="0" w:firstLineChars="0"/>
              <w:jc w:val="left"/>
              <w:rPr>
                <w:rFonts w:ascii="仿宋_GB2312" w:eastAsia="仿宋_GB2312" w:hAnsiTheme="minorEastAsia"/>
                <w:sz w:val="24"/>
                <w:szCs w:val="24"/>
              </w:rPr>
            </w:pPr>
            <w:r>
              <w:rPr>
                <w:rFonts w:hint="eastAsia" w:ascii="仿宋_GB2312" w:eastAsia="仿宋" w:hAnsiTheme="minorEastAsia"/>
                <w:sz w:val="24"/>
                <w:szCs w:val="24"/>
              </w:rPr>
              <w:t>在评审小组提交评审报告3日内，在广州市净水有限公司门户网站公示成交候选人。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
                <w:sz w:val="24"/>
                <w:szCs w:val="24"/>
              </w:rPr>
              <w:t>8.成交结果公告</w:t>
            </w:r>
          </w:p>
        </w:tc>
        <w:tc>
          <w:tcPr>
            <w:tcW w:w="7938" w:type="dxa"/>
            <w:tcBorders>
              <w:top w:val="single" w:color="auto" w:sz="4" w:space="0"/>
              <w:bottom w:val="single" w:color="auto" w:sz="4" w:space="0"/>
            </w:tcBorders>
            <w:vAlign w:val="center"/>
          </w:tcPr>
          <w:p>
            <w:pPr>
              <w:adjustRightInd w:val="0"/>
              <w:snapToGrid w:val="0"/>
              <w:jc w:val="left"/>
              <w:rPr>
                <w:rFonts w:ascii="仿宋_GB2312" w:eastAsia="仿宋" w:hAnsiTheme="minorEastAsia"/>
                <w:sz w:val="24"/>
                <w:szCs w:val="24"/>
              </w:rPr>
            </w:pPr>
            <w:r>
              <w:rPr>
                <w:rFonts w:hint="eastAsia" w:ascii="仿宋_GB2312" w:eastAsia="仿宋" w:hAnsiTheme="minorEastAsia"/>
                <w:sz w:val="24"/>
                <w:szCs w:val="24"/>
                <w:lang w:eastAsia="zh-CN"/>
              </w:rPr>
              <w:t>☑</w:t>
            </w:r>
            <w:r>
              <w:rPr>
                <w:rFonts w:hint="eastAsia" w:ascii="仿宋_GB2312" w:eastAsia="仿宋" w:hAnsiTheme="minorEastAsia"/>
                <w:sz w:val="24"/>
                <w:szCs w:val="24"/>
              </w:rPr>
              <w:t xml:space="preserve"> 在</w:t>
            </w:r>
            <w:r>
              <w:rPr>
                <w:rFonts w:hint="eastAsia" w:ascii="仿宋_GB2312" w:eastAsia="仿宋" w:hAnsiTheme="minorEastAsia"/>
                <w:sz w:val="24"/>
                <w:szCs w:val="24"/>
                <w:u w:val="single"/>
                <w:lang w:val="en-US" w:eastAsia="zh-CN"/>
              </w:rPr>
              <w:t>广州国企阳光采购信息发布</w:t>
            </w:r>
            <w:r>
              <w:rPr>
                <w:rFonts w:hint="eastAsia" w:ascii="仿宋_GB2312" w:eastAsia="仿宋" w:hAnsiTheme="minorEastAsia"/>
                <w:sz w:val="24"/>
                <w:szCs w:val="24"/>
              </w:rPr>
              <w:t>平台公告成交供应商名单</w:t>
            </w:r>
          </w:p>
          <w:p>
            <w:pPr>
              <w:adjustRightInd w:val="0"/>
              <w:snapToGrid w:val="0"/>
              <w:jc w:val="left"/>
              <w:rPr>
                <w:rFonts w:ascii="仿宋_GB2312" w:eastAsia="仿宋_GB2312" w:hAnsiTheme="minorEastAsia"/>
                <w:sz w:val="24"/>
                <w:szCs w:val="24"/>
              </w:rPr>
            </w:pPr>
            <w:r>
              <w:rPr>
                <w:rFonts w:hint="eastAsia" w:ascii="仿宋_GB2312" w:eastAsia="仿宋" w:hAnsiTheme="minorEastAsia"/>
                <w:sz w:val="24"/>
                <w:szCs w:val="24"/>
              </w:rPr>
              <w:t>□ 不在</w:t>
            </w:r>
            <w:r>
              <w:rPr>
                <w:rFonts w:hint="eastAsia" w:ascii="仿宋_GB2312" w:eastAsia="仿宋" w:hAnsiTheme="minorEastAsia"/>
                <w:sz w:val="24"/>
                <w:szCs w:val="24"/>
                <w:u w:val="single"/>
              </w:rPr>
              <w:t xml:space="preserve">            </w:t>
            </w:r>
            <w:r>
              <w:rPr>
                <w:rFonts w:hint="eastAsia" w:ascii="仿宋_GB2312" w:eastAsia="仿宋" w:hAnsiTheme="minorEastAsia"/>
                <w:sz w:val="24"/>
                <w:szCs w:val="24"/>
              </w:rPr>
              <w:t>平台公告，依规定向有关部门备案或报告</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
                <w:sz w:val="24"/>
                <w:szCs w:val="24"/>
              </w:rPr>
              <w:t>9.成交通知书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
                <w:sz w:val="24"/>
                <w:szCs w:val="24"/>
              </w:rPr>
              <w:t>10.签订采购合同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 w:hAnsiTheme="minorEastAsia"/>
                <w:sz w:val="24"/>
                <w:szCs w:val="24"/>
              </w:rPr>
            </w:pPr>
            <w:r>
              <w:rPr>
                <w:rFonts w:hint="eastAsia" w:ascii="仿宋_GB2312" w:eastAsia="仿宋" w:hAnsiTheme="minorEastAsia"/>
                <w:sz w:val="24"/>
                <w:szCs w:val="24"/>
              </w:rPr>
              <w:t>采购人在发出成交通知书后</w:t>
            </w:r>
            <w:r>
              <w:rPr>
                <w:rFonts w:hint="eastAsia" w:ascii="仿宋_GB2312" w:eastAsia="仿宋" w:hAnsiTheme="minorEastAsia"/>
                <w:sz w:val="24"/>
                <w:szCs w:val="24"/>
                <w:u w:val="single"/>
                <w:lang w:val="en-US" w:eastAsia="zh-CN"/>
              </w:rPr>
              <w:t>30</w:t>
            </w:r>
            <w:r>
              <w:rPr>
                <w:rFonts w:hint="eastAsia" w:ascii="仿宋_GB2312" w:eastAsia="仿宋" w:hAnsiTheme="minorEastAsia"/>
                <w:sz w:val="24"/>
                <w:szCs w:val="24"/>
              </w:rPr>
              <w:t>日内同成交供应商签订书面采购合同</w:t>
            </w:r>
          </w:p>
          <w:p>
            <w:pPr>
              <w:adjustRightInd w:val="0"/>
              <w:snapToGrid w:val="0"/>
              <w:ind w:left="242" w:leftChars="1" w:hanging="240" w:hangingChars="100"/>
              <w:jc w:val="left"/>
              <w:rPr>
                <w:rFonts w:ascii="仿宋_GB2312" w:eastAsia="仿宋_GB2312" w:hAnsiTheme="minorEastAsia"/>
                <w:sz w:val="24"/>
                <w:szCs w:val="24"/>
              </w:rPr>
            </w:pPr>
            <w:r>
              <w:rPr>
                <w:rFonts w:hint="eastAsia" w:ascii="仿宋_GB2312" w:eastAsia="仿宋" w:hAnsiTheme="minorEastAsia"/>
                <w:sz w:val="24"/>
                <w:szCs w:val="24"/>
              </w:rPr>
              <w:t>□采购人在谈判结束并和成交人签订书面合同</w:t>
            </w:r>
            <w:r>
              <w:rPr>
                <w:rFonts w:hint="eastAsia" w:ascii="仿宋_GB2312" w:eastAsia="仿宋" w:hAnsiTheme="minorEastAsia"/>
                <w:sz w:val="24"/>
                <w:szCs w:val="24"/>
                <w:u w:val="single"/>
              </w:rPr>
              <w:t xml:space="preserve">     </w:t>
            </w:r>
            <w:r>
              <w:rPr>
                <w:rFonts w:hint="eastAsia" w:ascii="仿宋_GB2312" w:eastAsia="仿宋" w:hAnsiTheme="minorEastAsia"/>
                <w:sz w:val="24"/>
                <w:szCs w:val="24"/>
              </w:rPr>
              <w:t>日内退还响应供应商的响应保证金</w:t>
            </w:r>
          </w:p>
        </w:tc>
      </w:tr>
    </w:tbl>
    <w:p>
      <w:pPr>
        <w:pStyle w:val="2"/>
        <w:ind w:firstLine="0"/>
      </w:pPr>
    </w:p>
    <w:p>
      <w:pPr>
        <w:adjustRightInd/>
        <w:snapToGrid/>
        <w:spacing w:line="240" w:lineRule="auto"/>
        <w:ind w:firstLine="0" w:firstLineChars="0"/>
        <w:jc w:val="left"/>
        <w:rPr>
          <w:rFonts w:ascii="仿宋_GB2312" w:eastAsia="仿宋"/>
          <w:color w:val="auto"/>
          <w:sz w:val="28"/>
          <w:szCs w:val="28"/>
          <w:highlight w:val="none"/>
        </w:rPr>
      </w:pPr>
      <w:r>
        <w:rPr>
          <w:rFonts w:ascii="仿宋_GB2312" w:eastAsia="仿宋"/>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0" w:name="_Toc12177"/>
      <w:bookmarkStart w:id="31" w:name="_Toc29484"/>
      <w:bookmarkStart w:id="32" w:name="_Toc7831"/>
      <w:bookmarkStart w:id="33" w:name="_Toc88209941"/>
      <w:bookmarkStart w:id="34" w:name="_Toc21840"/>
      <w:bookmarkStart w:id="35" w:name="_Toc6308"/>
      <w:bookmarkStart w:id="36" w:name="_Toc29345"/>
      <w:bookmarkStart w:id="37" w:name="_Toc22212"/>
      <w:bookmarkStart w:id="38" w:name="_Toc32607"/>
      <w:bookmarkStart w:id="39" w:name="_Toc30530"/>
      <w:bookmarkStart w:id="40" w:name="_Toc87616378"/>
      <w:bookmarkStart w:id="41" w:name="_Toc21079"/>
      <w:bookmarkStart w:id="42" w:name="_Toc13898"/>
      <w:r>
        <w:rPr>
          <w:rFonts w:hint="eastAsia" w:ascii="方正小标宋简体" w:hAnsi="方正小标宋简体" w:eastAsia="仿宋" w:cs="方正小标宋简体"/>
          <w:color w:val="auto"/>
          <w:sz w:val="44"/>
          <w:szCs w:val="44"/>
          <w:highlight w:val="none"/>
          <w:lang w:val="en-US" w:eastAsia="zh-CN"/>
        </w:rPr>
        <w:t>评审办法</w:t>
      </w:r>
      <w:bookmarkEnd w:id="30"/>
      <w:bookmarkEnd w:id="31"/>
      <w:bookmarkEnd w:id="32"/>
      <w:bookmarkEnd w:id="33"/>
      <w:bookmarkEnd w:id="34"/>
      <w:bookmarkEnd w:id="35"/>
      <w:bookmarkEnd w:id="36"/>
      <w:bookmarkEnd w:id="37"/>
      <w:bookmarkEnd w:id="38"/>
      <w:bookmarkEnd w:id="39"/>
      <w:bookmarkEnd w:id="40"/>
      <w:bookmarkEnd w:id="41"/>
      <w:bookmarkEnd w:id="42"/>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bookmarkStart w:id="43" w:name="_Toc26826"/>
      <w:bookmarkStart w:id="44" w:name="_Toc23033"/>
      <w:r>
        <w:rPr>
          <w:rFonts w:hint="eastAsia" w:eastAsia="仿宋"/>
          <w:color w:val="auto"/>
          <w:highlight w:val="none"/>
        </w:rPr>
        <w:sym w:font="Wingdings 2" w:char="0052"/>
      </w:r>
      <w:r>
        <w:rPr>
          <w:rFonts w:hint="eastAsia" w:eastAsia="仿宋"/>
          <w:color w:val="auto"/>
          <w:highlight w:val="none"/>
        </w:rPr>
        <w:t>经评审的最低价法</w:t>
      </w:r>
      <w:bookmarkEnd w:id="43"/>
      <w:bookmarkEnd w:id="44"/>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供应商必须为中华人民共和国境内注册成立并合法存续的法人或其分支机构或非法人组织，持有事业单位登记管理部门核发的事业单位法人证书或工商行政管理部门核发的营业执照，且在有效期内。若分支机构参加报价的，需同时提供总公司营业执照复印件、分支机构营业执照复印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3</w:t>
      </w:r>
      <w:r>
        <w:rPr>
          <w:rFonts w:hint="eastAsia" w:ascii="仿宋_GB2312" w:hAnsi="宋体" w:eastAsia="仿宋_GB2312"/>
          <w:sz w:val="28"/>
          <w:szCs w:val="28"/>
        </w:rPr>
        <w:t>评审结果评审后，</w:t>
      </w:r>
      <w:r>
        <w:rPr>
          <w:rFonts w:hint="eastAsia" w:ascii="仿宋_GB2312" w:hAnsi="宋体" w:eastAsia="仿宋_GB2312"/>
          <w:b/>
          <w:sz w:val="28"/>
          <w:szCs w:val="28"/>
        </w:rPr>
        <w:t>商业车险自主定价系数</w:t>
      </w:r>
      <w:r>
        <w:rPr>
          <w:rFonts w:hint="eastAsia" w:ascii="仿宋_GB2312" w:hAnsi="宋体" w:eastAsia="仿宋_GB2312"/>
          <w:b/>
          <w:sz w:val="28"/>
          <w:szCs w:val="28"/>
          <w:lang w:val="en-US" w:eastAsia="zh-CN"/>
        </w:rPr>
        <w:t>最低</w:t>
      </w:r>
      <w:r>
        <w:rPr>
          <w:rFonts w:hint="eastAsia" w:ascii="仿宋_GB2312" w:hAnsi="宋体" w:eastAsia="仿宋_GB2312"/>
          <w:b/>
          <w:sz w:val="28"/>
          <w:szCs w:val="28"/>
        </w:rPr>
        <w:t>的供应商为成交供应商。</w:t>
      </w:r>
      <w:r>
        <w:rPr>
          <w:rFonts w:hint="eastAsia" w:ascii="仿宋_GB2312" w:hAnsi="宋体" w:eastAsia="仿宋_GB2312"/>
          <w:sz w:val="28"/>
          <w:szCs w:val="28"/>
        </w:rPr>
        <w:t>如商业车险自主定价系数相同，依照供应商</w:t>
      </w:r>
      <w:r>
        <w:rPr>
          <w:rFonts w:hint="eastAsia" w:ascii="仿宋_GB2312" w:hAnsi="宋体" w:eastAsia="仿宋_GB2312"/>
          <w:sz w:val="28"/>
          <w:szCs w:val="28"/>
          <w:lang w:val="en-US" w:eastAsia="zh-CN"/>
        </w:rPr>
        <w:t>提供的符合要求的</w:t>
      </w:r>
      <w:r>
        <w:rPr>
          <w:rFonts w:hint="eastAsia" w:ascii="仿宋_GB2312" w:hAnsi="宋体" w:eastAsia="仿宋_GB2312"/>
          <w:sz w:val="28"/>
          <w:szCs w:val="28"/>
        </w:rPr>
        <w:t>机动车辆保险承保项目的业绩</w:t>
      </w:r>
      <w:r>
        <w:rPr>
          <w:rFonts w:hint="eastAsia" w:ascii="仿宋_GB2312" w:hAnsi="宋体" w:eastAsia="仿宋_GB2312"/>
          <w:sz w:val="28"/>
          <w:szCs w:val="28"/>
          <w:lang w:val="en-US" w:eastAsia="zh-CN"/>
        </w:rPr>
        <w:t>金额（如提供多个符合要求的</w:t>
      </w:r>
      <w:r>
        <w:rPr>
          <w:rFonts w:hint="eastAsia" w:ascii="仿宋_GB2312" w:hAnsi="宋体" w:eastAsia="仿宋_GB2312"/>
          <w:sz w:val="28"/>
          <w:szCs w:val="28"/>
        </w:rPr>
        <w:t>机动车辆保险承保项目的业绩</w:t>
      </w:r>
      <w:r>
        <w:rPr>
          <w:rFonts w:hint="eastAsia" w:ascii="仿宋_GB2312" w:hAnsi="宋体" w:eastAsia="仿宋_GB2312"/>
          <w:sz w:val="28"/>
          <w:szCs w:val="28"/>
          <w:lang w:val="en-US" w:eastAsia="zh-CN"/>
        </w:rPr>
        <w:t>的，以金额最大的计）大小</w:t>
      </w:r>
      <w:r>
        <w:rPr>
          <w:rFonts w:hint="eastAsia" w:ascii="仿宋_GB2312" w:hAnsi="宋体" w:eastAsia="仿宋_GB2312"/>
          <w:sz w:val="28"/>
          <w:szCs w:val="28"/>
        </w:rPr>
        <w:t>排序确定供应商排名。如业绩金额相同，可由评审小组根据评审情况以记名投票方式确定供应商排名，并将推荐理由写入评审报告。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5"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eastAsia="仿宋" w:hAnsiTheme="minorEastAsia"/>
          <w:color w:val="auto"/>
          <w:sz w:val="28"/>
          <w:szCs w:val="28"/>
          <w:highlight w:val="none"/>
          <w:lang w:val="en-US" w:eastAsia="zh-CN"/>
        </w:rPr>
        <w:br w:type="page"/>
      </w:r>
    </w:p>
    <w:bookmarkEnd w:id="45"/>
    <w:p>
      <w:pPr>
        <w:pStyle w:val="12"/>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1.投保标的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广州市净水有限公司现有公务车辆</w:t>
      </w:r>
      <w:r>
        <w:rPr>
          <w:rFonts w:hint="eastAsia" w:ascii="仿宋" w:hAnsi="仿宋" w:eastAsia="仿宋" w:cs="仿宋"/>
          <w:sz w:val="28"/>
          <w:szCs w:val="28"/>
          <w:u w:val="single"/>
          <w:lang w:val="en-US" w:eastAsia="zh-CN"/>
        </w:rPr>
        <w:t>110</w:t>
      </w:r>
      <w:r>
        <w:rPr>
          <w:rFonts w:hint="eastAsia" w:ascii="仿宋" w:hAnsi="仿宋" w:eastAsia="仿宋" w:cs="仿宋"/>
          <w:sz w:val="28"/>
          <w:szCs w:val="28"/>
          <w:lang w:val="zh-CN"/>
        </w:rPr>
        <w:t>台，如后续新增车辆可加入投保，现有车辆清单如下：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1719"/>
        <w:gridCol w:w="1382"/>
        <w:gridCol w:w="1152"/>
        <w:gridCol w:w="1382"/>
        <w:gridCol w:w="2007"/>
        <w:gridCol w:w="1008"/>
        <w:gridCol w:w="2064"/>
        <w:gridCol w:w="528"/>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ascii="仿宋" w:hAnsi="仿宋" w:eastAsia="仿宋" w:cs="仿宋"/>
                <w:b/>
                <w:bCs/>
                <w:sz w:val="21"/>
                <w:szCs w:val="21"/>
              </w:rPr>
              <w:t>序号</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投保人</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终保日期</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使用性质</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车牌号</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厂牌型号</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发动机号</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车架号</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座位数</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初登日期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粤A0D11B</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D321077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LMGMU1G85K1008769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粤A1NC28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D367693</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LMGMU1G84L1023877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2025-03-31</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粤A57JK9</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思威DHW6451R1ASD多用途乘用车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2092353</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LVHRM1818D5080633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2014-03-28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粤A5MP88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D369476</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LMGMU1G82L1024588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2025-01-20</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粤A00NQ5</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思威DHW6452B(CR-V 2.4)多用途乘用车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4062898</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LVHRE4875A5062928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2025-08-09</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粤A7A59B</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起亚YQZ6442A多用途乘用车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DW099997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LJDJAA149D0176171</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2013-04-28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2025-08-23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粤A5C66W</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512551</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LJNTFU5K0JN311469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粤AJ38H7</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丰田TV6461GL多用途乘用车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F844755</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LFMJV36F8C0011333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粤A99KL9</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H460939</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LMWDU1G84N1015009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粤A67A0R</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H460050</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LMWDU1G83N1015017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粤A88C0A</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H434168</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LMWDU1G83N1012537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12</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粤A38B9V</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H460053</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LMWDU1G84N1015012</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13</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粤A6H71X</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H460936</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LMWDU1G82N1015008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14</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2025-3-12</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粤A79N8R</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传祺GAC6520JDA6A多用途乘用车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H629946</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LMGMU1G50P1226292</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15</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2025-3-12</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粤A67K0C</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传祺GAC6520JDA6A多用途乘用车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H629950</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LMCWU1G51P1226298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2025-2-24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粤AD2958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TY13266</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LFMET58129S000829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17</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2025-8-8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粤A7N8Q5</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东风日产牌DFL6430VBC2</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538915T</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LGBL2AE01CS083168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18</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粤A1L80N</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H632782</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LMGMA1G54P1007697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19</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粤A75L9C</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H632753</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LMGMA1G56P1007698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2025-5-8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粤A75HQ3</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汇众SH6491G4</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16197110031560E08.8</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LSKF4BC119A001612</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2010-03-09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21</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2024-8-23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粤AGS055</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金杯SY6521G2S3BG</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8318372</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LSYHGACG9BK019540</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22</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2025-3-15</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粤A9C2H3</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别克SGM6529ATA</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123281006</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LSGUD84X6CE046729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2013-01-23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粤A18GY2</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377358D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LJNTGU5Y2JN108374</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24</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粤A75MP5</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日产ZN1035U5K5</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407074D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LJNTGU5Y5JN110717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25</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2024-11-2(交强）</w:t>
            </w:r>
            <w:r>
              <w:rPr>
                <w:rFonts w:hint="eastAsia" w:ascii="仿宋" w:hAnsi="仿宋" w:eastAsia="仿宋" w:cs="仿宋"/>
                <w:color w:val="333333"/>
                <w:sz w:val="21"/>
                <w:szCs w:val="21"/>
              </w:rPr>
              <w:t>2025-3-17（商业）</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粤A02TW6</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日产牌ZN1035UCK6A</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585478D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LJNTGUCY4MN227034</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26</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2024-11-2(交强）</w:t>
            </w:r>
            <w:r>
              <w:rPr>
                <w:rFonts w:hint="eastAsia" w:ascii="仿宋" w:hAnsi="仿宋" w:eastAsia="仿宋" w:cs="仿宋"/>
                <w:color w:val="333333"/>
                <w:sz w:val="21"/>
                <w:szCs w:val="21"/>
              </w:rPr>
              <w:t>2025-3-17（商业）</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粤A3Q5X6</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五十铃牌QL5040XXYBUHW</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KA009764</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LWLNKBUM4ML044714</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27</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2025-03-24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粤A6M9K9</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奥德赛HG6480多用途乘用车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K24A66607647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LHGRB184962007661</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2006-03-29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28</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2025-06-14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粤A2K6V7</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金杯SY6521GS1B轻型客车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3RZ3445259</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LSYAAABF77K011830</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2007-05-17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29</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2025-06-11</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粤AHN438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TY10437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LFMET58117S000138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2007-06-18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30</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2025-03-02</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粤AGH780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TY11777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LFMET58129S000619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31</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2025-12-19</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粤A28HX5</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425746D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LJNTGU5Y7JN112503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32</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2025-03-22</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粤A59CN3</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奥德赛HG6481BAA多用途乘用车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1822165</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LHGRB3866A8022153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33</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2025-12-23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粤A18CQ3</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BFSNA250031</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LSFAM11J1NA177267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34</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2025-12-23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粤A52AF8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BFSNA250042</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LSFAM11J3NA177268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35</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2025-03-08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粤A62GQ8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H632780</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LMGMA1G51P1007690</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36</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2025-03-08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粤A0M65U</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H632785</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LMGMA1G55P1007692</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37</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粤A39HH0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518532</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LJNTFU5K5JN312925</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38</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粤A77KT1</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418222D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LJNTGU5YXJN111877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39</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2024-8-14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粤A0F3V1</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思威DHW6452B(CR-V 2.4)多用途乘用车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5033045</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LVHRE4870B5033080</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40</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2025-8-10</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粤AR0U48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949726Z</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LJNTGU2G3CN046675</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41</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2025-4-22</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粤AGH245</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宇通ZK6115HT5Z客车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A5CYAK31709</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LZYTBTD6XM1001829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48</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2025-3-11</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粤A1A57K</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传祺GAC6520MDA6A多用途乘用车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H633589</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LMGMU1G52P1227587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43</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粤AHS543</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汇众SH6530G4-N轻型客车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161 971 10 039 426</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LSKF5BC13DA004470</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2014-11-20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44</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2024-09-17</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粤A6MP22</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大通牌SH6521C1GC-A</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BESM8050052</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LSKG4AC1XMA147496</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45</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2025-02-26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粤A5J25B</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429488D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LJNTGU5Y6JN113156</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46</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2025-02-26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粤AF73P7</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429311D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LJNTGU5YXJN113144</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47</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2024-10-25</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粤AG3168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柯斯达STC6703TRB53L</w:t>
            </w:r>
            <w:r>
              <w:rPr>
                <w:rFonts w:hint="eastAsia" w:ascii="仿宋" w:hAnsi="仿宋" w:eastAsia="仿宋" w:cs="仿宋"/>
                <w:color w:val="333333"/>
                <w:sz w:val="21"/>
                <w:szCs w:val="21"/>
              </w:rPr>
              <w:t>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8294633</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LFMHS5812AS005808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48</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2025-3-20</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粤A74149</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柯斯达SCT6702TRB53LEX客车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8024684</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LFMES581172000076</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2007-3-16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49</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2025-3-16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粤A6Y7K3</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339896D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LJNTGU5Y2JN105801</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2025-5-20</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粤A9312V</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丰田TV6460GL多用途乘用车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F432836</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LFMKV30F2A0037100</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2024-9-8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粤A3M5G7</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508901</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LJNTFU5KXJN104703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52</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2024-11-27</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粤A72LN1</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奥德赛HG6481BAA多用途乘用车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1019169</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LHGRB3827B8019096</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53</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2025-01-27</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粤A78293</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柯斯达SCT6703TRB53L客车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8318255</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LFMHS5815BS006551</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54</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粤AHV477</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金杯SY6521G4S3BG多用途乘用车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8360877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LSYHGACC9BK085700</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55</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粤A38GH1</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842615Z</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LJNTGU2G3AN047080</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56</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2024-07-06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粤A5D25T</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尼桑ZN1035U5K5轻型普通货车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462075D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LJNTGU5Y0KN123876</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57</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2024/12/13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粤A0L3X0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江西五十铃牌JXW1030B</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01-34010309</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LETADDE15KH012522</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58</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2024-11-05</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粤A2681G</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东风ZN6471V1K4轻型客车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000974S</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LJNMEV1N1AN019763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59</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2024-10-30</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粤AD2966</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柯斯达牌SCT6702XZB53LEX</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TY13265</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LFMET58199S000830</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2009.11.6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60</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2025-8-5</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非营运客车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粤A2V8R1</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丰田牌TV646ODLX</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F971302</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LFMKV36F3C0145297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61</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2024-11-16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粤A071CV</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尼桑牌ZN1032U2G3</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998607Y</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LJNTGU2G49N045074</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62</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2025-5-17</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粤A5Q6Z2</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511873</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LJNTFU5K8JN311283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63</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广州市净水有限公司竹料分公司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2025-6-27</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粤A9Y1U7</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512268</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LJNTFU5K4JN311412</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64</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2024-12-2</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粤ACD250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金龙XMQ6706AYD5D大型普通客车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FGFJAJ00682</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LA6S1BS54JC304769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22</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65</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粤A1S2U2</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大通SH1036D8GC轻型多用途货车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BFSLC030186</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LSFAM11J4LA145300</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66</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2024-12-2</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粤A0Q2C2</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长城CC5021XXYPS0G轻型厢式货车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SXG1869</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LGWCA3N70JB001003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67</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2025-06-23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粤A6MP28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传祺GAC6510M1F5小型普通客车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D188028</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LMGMS1G51J1029595</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68</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2025-06-23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粤A3M85R</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金杯SY6521D4S1BG2小型普通客车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S61067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LSYADAAAXJK028559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9</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69</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2025-2-21</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粤AD2548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柯斯达SCT6702TRB53L客车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8235288</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LFMHS5813AS004893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70</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2024-9-3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粤A1R1U0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394615D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LJNTGU5Y8JN109996</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71</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2024-9-3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粤A7Y1U0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399904D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LJNTGU5Y7JN110038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72</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2025-3-11</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粤A8R2X5</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传祺GAC6520MDA6A多用途乘用车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H629945</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LMGMU1G53P1226299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73</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2025-7-27</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粤AE229E</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别克SGM6527AT旅行车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95060006</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LSGUD82C59E011575</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2009-7-22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74</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粤AFY730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D368397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LMDMU1G80L1024203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75</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粤A0E6P0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大通牌SH5036XXYD8GC-1</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LSFAM11J9LA145292</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76</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粤AGH620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柯斯达牌SCT6706GRB53L</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H277052</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LFMHA5819LS001986</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2020-01-29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77</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粤A3SS10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BFSLC030191</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LSFAM11J6LA145296</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78</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粤AFB867</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柯斯达牌SCT6706GRB53L</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H277687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LFMHA5813LS002048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79</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粤AFY345</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D369467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LMGMU1G82L1024591</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80</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粤A70CK5</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大通牌SH5036XXYD8GC-1厢式货车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BFSLC030195</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LSFAM11J7LA145291</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81</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粤A7BJ60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大通牌SH1036D8GC多用途货车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BFSLC030188</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LSFAM11JXLA145298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82</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粤A6E418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D367710</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LMGMU1G89L1023891</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粤A2E8X0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大通SH5036XXYD8GC-1厢式运输车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BFSLC030165</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LSFAM11J2LA145294</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84</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粤A4F8B9</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大通SH1036D8GC多用途货车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LSFAM11J8LA145297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85</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粤AGR220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柯斯达SCT6706GRB53L客车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H276715</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LFMHA5812LS001988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86</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2025-05-19</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粤A2Z5V9</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大众汽车SVW7167QSD轿车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502778</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LSVNN618202022264</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2013-04-02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87</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2025-06-18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粤A8Q5K0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508277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LJNTFU5K1JN104718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88</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2025-08-12</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粤AR1U16</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949715Z</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LJNTGU2G7CN046677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89</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2022-12-18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粤A7B62P</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高尔夫FV7144TFATG轿车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L21890</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LFV2B21K5C3280623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90</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2022-12-06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粤A39MK7</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419491D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LJNTGU5Y2JN112134</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91</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2022-10-15</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粤AF48R6</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丰田TV6460DLX多用途乘用车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F948171</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LFMKV36F1C0141233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92</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2023-07-14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粤A6N95Y</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高尔夫FV7144TFATG轿车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K97202</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LFV2B21K6C3236792</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93</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2025.02.21</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粤A9BJ50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大通SH1036D8GC多用途货车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BFSLC030193</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LSFAM11J4LA145295</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2024.08.03</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粤A9L8N1</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东风日产牌</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655101T</w:t>
            </w:r>
          </w:p>
        </w:tc>
        <w:tc>
          <w:tcPr>
            <w:tcW w:w="2064" w:type="dxa"/>
            <w:shd w:val="clear" w:color="auto" w:fill="auto"/>
            <w:tcMar>
              <w:top w:w="0" w:type="dxa"/>
              <w:left w:w="108" w:type="dxa"/>
              <w:bottom w:w="0" w:type="dxa"/>
              <w:right w:w="108" w:type="dxa"/>
            </w:tcMar>
            <w:vAlign w:val="center"/>
          </w:tcPr>
          <w:p>
            <w:pPr>
              <w:pStyle w:val="21"/>
              <w:spacing w:before="60" w:beforeAutospacing="0" w:after="60" w:afterAutospacing="0"/>
              <w:jc w:val="center"/>
              <w:rPr>
                <w:rFonts w:hint="eastAsia" w:ascii="仿宋" w:hAnsi="仿宋" w:eastAsia="仿宋" w:cs="仿宋"/>
                <w:sz w:val="21"/>
                <w:szCs w:val="21"/>
              </w:rPr>
            </w:pPr>
            <w:r>
              <w:rPr>
                <w:rFonts w:hint="eastAsia" w:ascii="仿宋" w:hAnsi="仿宋" w:eastAsia="仿宋" w:cs="仿宋"/>
                <w:sz w:val="21"/>
                <w:szCs w:val="21"/>
              </w:rPr>
              <w:t>LGBL2AE02CS1262B5</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95</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2024.08.08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粤AR1U63</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949728Z</w:t>
            </w:r>
          </w:p>
        </w:tc>
        <w:tc>
          <w:tcPr>
            <w:tcW w:w="2064" w:type="dxa"/>
            <w:shd w:val="clear" w:color="auto" w:fill="auto"/>
            <w:tcMar>
              <w:top w:w="0" w:type="dxa"/>
              <w:left w:w="108" w:type="dxa"/>
              <w:bottom w:w="0" w:type="dxa"/>
              <w:right w:w="108" w:type="dxa"/>
            </w:tcMar>
            <w:vAlign w:val="center"/>
          </w:tcPr>
          <w:p>
            <w:pPr>
              <w:pStyle w:val="21"/>
              <w:spacing w:before="60" w:beforeAutospacing="0" w:after="60" w:afterAutospacing="0"/>
              <w:jc w:val="center"/>
              <w:rPr>
                <w:rFonts w:hint="eastAsia" w:ascii="仿宋" w:hAnsi="仿宋" w:eastAsia="仿宋" w:cs="仿宋"/>
                <w:sz w:val="21"/>
                <w:szCs w:val="21"/>
              </w:rPr>
            </w:pPr>
            <w:r>
              <w:rPr>
                <w:rFonts w:hint="eastAsia" w:ascii="仿宋" w:hAnsi="仿宋" w:eastAsia="仿宋" w:cs="仿宋"/>
                <w:sz w:val="21"/>
                <w:szCs w:val="21"/>
              </w:rPr>
              <w:t>LJN1GU2G0CN046679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96</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2025-08-24</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粤A8R9M7</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东风牌ZN1023U5N5多用途货车</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513347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LJNTFU5K0JN312038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97</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2024-8-6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粤A2C06K</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日产牌ZN5035XXYU5K5</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3857890</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LJNTGU5Y3JN108870</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98</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2024-12-29</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粤A3H10H</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大通牌SH5036XXYD8GC-1</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BFSLC030198</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LSFAM11J0LA45293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99</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2024-6-8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粤A9V2T6</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东风牌ZN1023U5N5</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511835</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LJNFU5K6JN311301</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100</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2024-9-18</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粤A35K1E</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五十铃牌</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KU002046</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LWLNKMVH8PL090658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101</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2024-12-11</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粤A1J31S</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传祺牌GAC6510MDA6C</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H496757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LMGMU1G82N1158195</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102</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2024-12-27</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粤A0919X</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雷克萨斯JTHBJ46G</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2GRA462739</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JTHBJ46G882259867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2008-12-01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103</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2025-5-16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粤A0919V</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维拉克斯KMHNU81C</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G6DA8U047038</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KMHNU81C58U078307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2009-5-21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104</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2025-3-27</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粤A1CS11</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丰田牌GTM6481ADLS</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H384929</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LVGDC46A8EG540787</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2014-04-11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105</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2025-1-16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粤AH90A1</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大通牌SH1036D8GC</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BFSLC030190</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LSFAM11J1LA145299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106</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2024-9-11</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粤A1M1W0</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日产牌ZN1035U5K5</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403319D</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JNTGU5Y8JN110212</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2018-09-27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107</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2024-8-26</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粤A83EJ1</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传牌GAC6510MDA6A</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H391976</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LMGMU1G50N1122138</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2022 -09-15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108</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2024-12-27</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粤A33KJ8</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传祺牌GAC6510MDA6A</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H322947</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LMGMU1G5XM1096033</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2021 -12-30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109</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2025-1-15</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粤AGZ476</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依维柯牌NJ6525EC</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1027672</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LNVL1CA43LV800124</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11</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110</w:t>
            </w:r>
          </w:p>
        </w:tc>
        <w:tc>
          <w:tcPr>
            <w:tcW w:w="1719"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2024-12-22</w:t>
            </w:r>
          </w:p>
        </w:tc>
        <w:tc>
          <w:tcPr>
            <w:tcW w:w="115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粤AHR161</w:t>
            </w:r>
          </w:p>
        </w:tc>
        <w:tc>
          <w:tcPr>
            <w:tcW w:w="200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柯斯达牌SCT6706GRB53L</w:t>
            </w:r>
          </w:p>
        </w:tc>
        <w:tc>
          <w:tcPr>
            <w:tcW w:w="100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H2753109</w:t>
            </w:r>
          </w:p>
        </w:tc>
        <w:tc>
          <w:tcPr>
            <w:tcW w:w="2064"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LFMHA5818LS001929</w:t>
            </w:r>
          </w:p>
        </w:tc>
        <w:tc>
          <w:tcPr>
            <w:tcW w:w="528"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23</w:t>
            </w:r>
          </w:p>
        </w:tc>
        <w:tc>
          <w:tcPr>
            <w:tcW w:w="1037" w:type="dxa"/>
            <w:shd w:val="clear" w:color="auto" w:fill="auto"/>
            <w:tcMar>
              <w:top w:w="0" w:type="dxa"/>
              <w:left w:w="108" w:type="dxa"/>
              <w:bottom w:w="0" w:type="dxa"/>
              <w:right w:w="108" w:type="dxa"/>
            </w:tcMar>
            <w:vAlign w:val="center"/>
          </w:tcPr>
          <w:p>
            <w:pPr>
              <w:pStyle w:val="21"/>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2021-01-07</w:t>
            </w:r>
          </w:p>
        </w:tc>
      </w:tr>
    </w:tbl>
    <w:p>
      <w:pPr>
        <w:autoSpaceDE w:val="0"/>
        <w:autoSpaceDN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其中，</w:t>
      </w:r>
      <w:r>
        <w:rPr>
          <w:rFonts w:hint="eastAsia" w:ascii="仿宋" w:hAnsi="仿宋" w:eastAsia="仿宋" w:cs="仿宋"/>
          <w:sz w:val="28"/>
          <w:szCs w:val="28"/>
        </w:rPr>
        <w:t>广州从化净水有限公司</w:t>
      </w:r>
      <w:r>
        <w:rPr>
          <w:rFonts w:hint="eastAsia" w:ascii="仿宋" w:hAnsi="仿宋" w:eastAsia="仿宋" w:cs="仿宋"/>
          <w:sz w:val="28"/>
          <w:szCs w:val="28"/>
          <w:lang w:eastAsia="zh-CN"/>
        </w:rPr>
        <w:t>、</w:t>
      </w:r>
      <w:r>
        <w:rPr>
          <w:rFonts w:hint="eastAsia" w:ascii="仿宋" w:hAnsi="仿宋" w:eastAsia="仿宋" w:cs="仿宋"/>
          <w:sz w:val="28"/>
          <w:szCs w:val="28"/>
        </w:rPr>
        <w:t>广州西朗污水处理有限公司</w:t>
      </w:r>
      <w:r>
        <w:rPr>
          <w:rFonts w:hint="eastAsia" w:ascii="仿宋" w:hAnsi="仿宋" w:eastAsia="仿宋" w:cs="仿宋"/>
          <w:sz w:val="28"/>
          <w:szCs w:val="28"/>
          <w:lang w:val="en-US" w:eastAsia="zh-CN"/>
        </w:rPr>
        <w:t>单独与成交单位签订合同。</w:t>
      </w:r>
    </w:p>
    <w:p>
      <w:pPr>
        <w:pStyle w:val="12"/>
        <w:adjustRightInd w:val="0"/>
        <w:snapToGrid w:val="0"/>
        <w:spacing w:line="300" w:lineRule="auto"/>
        <w:ind w:left="0" w:firstLine="281" w:firstLineChars="100"/>
        <w:rPr>
          <w:rFonts w:hint="eastAsia" w:ascii="仿宋" w:hAnsi="仿宋" w:eastAsia="仿宋" w:cs="仿宋"/>
          <w:sz w:val="28"/>
          <w:szCs w:val="28"/>
          <w:lang w:val="zh-CN"/>
        </w:rPr>
      </w:pPr>
      <w:r>
        <w:rPr>
          <w:rFonts w:hint="eastAsia" w:ascii="仿宋" w:hAnsi="仿宋" w:eastAsia="仿宋" w:cs="仿宋"/>
          <w:b/>
          <w:sz w:val="28"/>
          <w:szCs w:val="28"/>
          <w:lang w:val="zh-CN"/>
        </w:rPr>
        <w:t>2.投保险种范围</w:t>
      </w:r>
    </w:p>
    <w:tbl>
      <w:tblPr>
        <w:tblStyle w:val="2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312"/>
        <w:gridCol w:w="8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2"/>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序号</w:t>
            </w:r>
          </w:p>
        </w:tc>
        <w:tc>
          <w:tcPr>
            <w:tcW w:w="3389" w:type="dxa"/>
            <w:noWrap w:val="0"/>
            <w:vAlign w:val="center"/>
          </w:tcPr>
          <w:p>
            <w:pPr>
              <w:pStyle w:val="12"/>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保险险种</w:t>
            </w:r>
          </w:p>
        </w:tc>
        <w:tc>
          <w:tcPr>
            <w:tcW w:w="8659" w:type="dxa"/>
            <w:noWrap w:val="0"/>
            <w:vAlign w:val="center"/>
          </w:tcPr>
          <w:p>
            <w:pPr>
              <w:pStyle w:val="12"/>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涵盖内容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338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机动车交通事故责任强制保险</w:t>
            </w:r>
          </w:p>
        </w:tc>
        <w:tc>
          <w:tcPr>
            <w:tcW w:w="865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按实际车型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restart"/>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338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机动车商业保险</w:t>
            </w:r>
          </w:p>
        </w:tc>
        <w:tc>
          <w:tcPr>
            <w:tcW w:w="865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2"/>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--机动车损失保险</w:t>
            </w:r>
          </w:p>
        </w:tc>
        <w:tc>
          <w:tcPr>
            <w:tcW w:w="865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包括车损、盗抢、无法找到第三方、玻璃单独破损险、自燃、发动机涉水、指定修理厂、不计免赔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2"/>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--机动车第三者责任保险</w:t>
            </w:r>
          </w:p>
        </w:tc>
        <w:tc>
          <w:tcPr>
            <w:tcW w:w="865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2"/>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--机动车车上人员责任保险</w:t>
            </w:r>
          </w:p>
        </w:tc>
        <w:tc>
          <w:tcPr>
            <w:tcW w:w="865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每座1万（司机位+乘客位）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pPr>
              <w:pStyle w:val="12"/>
              <w:adjustRightInd w:val="0"/>
              <w:snapToGrid w:val="0"/>
              <w:jc w:val="center"/>
              <w:rPr>
                <w:rFonts w:hint="eastAsia" w:ascii="仿宋" w:hAnsi="仿宋" w:eastAsia="仿宋" w:cs="仿宋"/>
                <w:sz w:val="24"/>
                <w:szCs w:val="24"/>
                <w:lang w:val="zh-CN"/>
              </w:rPr>
            </w:pPr>
          </w:p>
        </w:tc>
        <w:tc>
          <w:tcPr>
            <w:tcW w:w="338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附加医保外医疗费用责任险</w:t>
            </w:r>
          </w:p>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(机动车第三者责任保险)</w:t>
            </w:r>
          </w:p>
        </w:tc>
        <w:tc>
          <w:tcPr>
            <w:tcW w:w="865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3</w:t>
            </w:r>
          </w:p>
        </w:tc>
        <w:tc>
          <w:tcPr>
            <w:tcW w:w="338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代缴车船税</w:t>
            </w:r>
          </w:p>
        </w:tc>
        <w:tc>
          <w:tcPr>
            <w:tcW w:w="865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按实际车型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4</w:t>
            </w:r>
          </w:p>
        </w:tc>
        <w:tc>
          <w:tcPr>
            <w:tcW w:w="338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附加机动车增值服务特约条款</w:t>
            </w:r>
          </w:p>
        </w:tc>
        <w:tc>
          <w:tcPr>
            <w:tcW w:w="8659" w:type="dxa"/>
            <w:noWrap w:val="0"/>
            <w:vAlign w:val="center"/>
          </w:tcPr>
          <w:p>
            <w:pPr>
              <w:pStyle w:val="12"/>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赠送道路救援服务7次、代为送检服务1次。</w:t>
            </w:r>
          </w:p>
        </w:tc>
      </w:tr>
    </w:tbl>
    <w:p>
      <w:pPr>
        <w:pStyle w:val="12"/>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3.保险期限</w:t>
      </w:r>
    </w:p>
    <w:p>
      <w:pPr>
        <w:pStyle w:val="12"/>
        <w:adjustRightInd w:val="0"/>
        <w:snapToGrid w:val="0"/>
        <w:spacing w:line="300" w:lineRule="auto"/>
        <w:ind w:firstLine="560" w:firstLineChars="200"/>
        <w:rPr>
          <w:rFonts w:hint="eastAsia"/>
          <w:lang w:val="en-US" w:eastAsia="zh-CN"/>
        </w:rPr>
      </w:pPr>
      <w:r>
        <w:rPr>
          <w:rFonts w:hint="eastAsia" w:ascii="仿宋" w:hAnsi="仿宋" w:eastAsia="仿宋" w:cs="仿宋"/>
          <w:sz w:val="28"/>
          <w:szCs w:val="28"/>
        </w:rPr>
        <w:t>一年期，按各车辆的实际到期时间执行。</w:t>
      </w:r>
    </w:p>
    <w:p>
      <w:pPr>
        <w:pStyle w:val="3"/>
        <w:rPr>
          <w:rFonts w:hint="eastAsia"/>
          <w:lang w:val="en-US" w:eastAsia="zh-CN"/>
        </w:rPr>
        <w:sectPr>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2"/>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4.适用保险条款</w:t>
      </w:r>
    </w:p>
    <w:p>
      <w:pPr>
        <w:pStyle w:val="12"/>
        <w:adjustRightInd w:val="0"/>
        <w:snapToGrid/>
        <w:spacing w:line="240" w:lineRule="auto"/>
        <w:ind w:firstLine="560" w:firstLineChars="200"/>
        <w:rPr>
          <w:rFonts w:hint="eastAsia" w:ascii="仿宋" w:hAnsi="仿宋" w:eastAsia="仿宋" w:cs="仿宋"/>
          <w:b/>
          <w:sz w:val="28"/>
          <w:szCs w:val="28"/>
          <w:lang w:val="zh-CN"/>
        </w:rPr>
      </w:pPr>
      <w:r>
        <w:rPr>
          <w:rFonts w:hint="eastAsia" w:ascii="仿宋" w:hAnsi="仿宋" w:eastAsia="仿宋" w:cs="仿宋"/>
          <w:sz w:val="28"/>
          <w:szCs w:val="28"/>
          <w:lang w:val="zh-CN"/>
        </w:rPr>
        <w:t>按行业统颁条款。</w:t>
      </w:r>
    </w:p>
    <w:p>
      <w:pPr>
        <w:pStyle w:val="12"/>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5.承保方式</w:t>
      </w:r>
    </w:p>
    <w:p>
      <w:pPr>
        <w:pStyle w:val="12"/>
        <w:adjustRightInd w:val="0"/>
        <w:snapToGrid w:val="0"/>
        <w:ind w:left="0" w:firstLine="560" w:firstLineChars="200"/>
        <w:rPr>
          <w:rFonts w:hint="eastAsia" w:ascii="仿宋" w:hAnsi="仿宋" w:eastAsia="仿宋" w:cs="仿宋"/>
          <w:sz w:val="28"/>
          <w:szCs w:val="28"/>
        </w:rPr>
      </w:pPr>
      <w:r>
        <w:rPr>
          <w:rFonts w:hint="eastAsia" w:ascii="仿宋" w:hAnsi="仿宋" w:eastAsia="仿宋" w:cs="仿宋"/>
          <w:sz w:val="28"/>
          <w:szCs w:val="28"/>
          <w:lang w:val="zh-CN"/>
        </w:rPr>
        <w:t>本项目通过公开询价方式确定广州市净水有限公司保险采购项目的独家承保人。报价人应对本次询价项目所包含的险种进行报价，不允许只对部分询价险种进行报价。</w:t>
      </w:r>
    </w:p>
    <w:p>
      <w:pPr>
        <w:pStyle w:val="12"/>
        <w:adjustRightInd w:val="0"/>
        <w:snapToGrid w:val="0"/>
        <w:spacing w:line="300" w:lineRule="auto"/>
        <w:ind w:left="0"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6.保险方案</w:t>
      </w:r>
    </w:p>
    <w:tbl>
      <w:tblPr>
        <w:tblStyle w:val="24"/>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67"/>
        <w:gridCol w:w="2205"/>
        <w:gridCol w:w="4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保险类别</w:t>
            </w:r>
          </w:p>
        </w:tc>
        <w:tc>
          <w:tcPr>
            <w:tcW w:w="7609" w:type="dxa"/>
            <w:gridSpan w:val="3"/>
            <w:noWrap w:val="0"/>
            <w:vAlign w:val="top"/>
          </w:tcPr>
          <w:p>
            <w:pPr>
              <w:widowControl/>
              <w:snapToGrid w:val="0"/>
              <w:spacing w:line="240" w:lineRule="auto"/>
              <w:ind w:right="0" w:rightChars="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机动车辆保险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保单形式</w:t>
            </w:r>
          </w:p>
        </w:tc>
        <w:tc>
          <w:tcPr>
            <w:tcW w:w="7609" w:type="dxa"/>
            <w:gridSpan w:val="3"/>
            <w:noWrap w:val="0"/>
            <w:vAlign w:val="top"/>
          </w:tcPr>
          <w:p>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根据保险公司标准保单条款及附加扩展条款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被保险人</w:t>
            </w:r>
          </w:p>
        </w:tc>
        <w:tc>
          <w:tcPr>
            <w:tcW w:w="7609" w:type="dxa"/>
            <w:gridSpan w:val="3"/>
            <w:noWrap w:val="0"/>
            <w:vAlign w:val="top"/>
          </w:tcPr>
          <w:p>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广州市净水有限公司和属下各个分支机构和其它相关权益人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业务性质</w:t>
            </w:r>
          </w:p>
        </w:tc>
        <w:tc>
          <w:tcPr>
            <w:tcW w:w="7609" w:type="dxa"/>
            <w:gridSpan w:val="3"/>
            <w:noWrap w:val="0"/>
            <w:vAlign w:val="top"/>
          </w:tcPr>
          <w:p>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从事污水处理、建设、运营、资产经营及研发相关业务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所在地址</w:t>
            </w:r>
          </w:p>
        </w:tc>
        <w:tc>
          <w:tcPr>
            <w:tcW w:w="7609" w:type="dxa"/>
            <w:gridSpan w:val="3"/>
            <w:noWrap w:val="0"/>
            <w:vAlign w:val="top"/>
          </w:tcPr>
          <w:p>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车辆数量</w:t>
            </w:r>
          </w:p>
        </w:tc>
        <w:tc>
          <w:tcPr>
            <w:tcW w:w="7609" w:type="dxa"/>
            <w:gridSpan w:val="3"/>
            <w:noWrap w:val="0"/>
            <w:vAlign w:val="top"/>
          </w:tcPr>
          <w:p>
            <w:pPr>
              <w:widowControl/>
              <w:snapToGrid w:val="0"/>
              <w:spacing w:line="240" w:lineRule="auto"/>
              <w:ind w:right="0" w:rightChars="0"/>
              <w:jc w:val="left"/>
              <w:rPr>
                <w:rFonts w:hint="eastAsia" w:ascii="仿宋" w:hAnsi="仿宋" w:eastAsia="仿宋" w:cs="仿宋"/>
                <w:kern w:val="0"/>
                <w:sz w:val="24"/>
                <w:szCs w:val="24"/>
              </w:rPr>
            </w:pPr>
            <w:r>
              <w:rPr>
                <w:rFonts w:hint="eastAsia" w:ascii="仿宋" w:hAnsi="仿宋" w:eastAsia="仿宋" w:cs="仿宋"/>
                <w:snapToGrid w:val="0"/>
                <w:kern w:val="24"/>
                <w:sz w:val="24"/>
                <w:szCs w:val="24"/>
              </w:rPr>
              <w:t>详见上述车辆保险清单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车辆类别</w:t>
            </w:r>
          </w:p>
        </w:tc>
        <w:tc>
          <w:tcPr>
            <w:tcW w:w="7609" w:type="dxa"/>
            <w:gridSpan w:val="3"/>
            <w:noWrap w:val="0"/>
            <w:vAlign w:val="top"/>
          </w:tcPr>
          <w:p>
            <w:pPr>
              <w:widowControl/>
              <w:snapToGrid w:val="0"/>
              <w:spacing w:line="240" w:lineRule="auto"/>
              <w:ind w:right="0" w:right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企业客车</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特种车辆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使用性质</w:t>
            </w:r>
          </w:p>
        </w:tc>
        <w:tc>
          <w:tcPr>
            <w:tcW w:w="7609" w:type="dxa"/>
            <w:gridSpan w:val="3"/>
            <w:noWrap w:val="0"/>
            <w:vAlign w:val="top"/>
          </w:tcPr>
          <w:p>
            <w:pPr>
              <w:widowControl/>
              <w:snapToGrid w:val="0"/>
              <w:spacing w:line="240" w:lineRule="auto"/>
              <w:ind w:right="0" w:rightChars="0"/>
              <w:jc w:val="left"/>
              <w:rPr>
                <w:rFonts w:hint="eastAsia" w:ascii="仿宋" w:hAnsi="仿宋" w:eastAsia="仿宋" w:cs="仿宋"/>
                <w:kern w:val="0"/>
                <w:sz w:val="24"/>
                <w:szCs w:val="24"/>
              </w:rPr>
            </w:pPr>
            <w:r>
              <w:rPr>
                <w:rFonts w:hint="eastAsia" w:ascii="仿宋" w:hAnsi="仿宋" w:eastAsia="仿宋" w:cs="仿宋"/>
                <w:kern w:val="0"/>
                <w:sz w:val="24"/>
                <w:szCs w:val="24"/>
              </w:rPr>
              <w:t>非营运货车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行驶区域</w:t>
            </w:r>
          </w:p>
        </w:tc>
        <w:tc>
          <w:tcPr>
            <w:tcW w:w="7609" w:type="dxa"/>
            <w:gridSpan w:val="3"/>
            <w:noWrap w:val="0"/>
            <w:vAlign w:val="top"/>
          </w:tcPr>
          <w:p>
            <w:pPr>
              <w:widowControl/>
              <w:snapToGrid w:val="0"/>
              <w:spacing w:line="240" w:lineRule="auto"/>
              <w:ind w:right="0" w:rightChars="0"/>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中华人民共和国境内（不含港澳地区）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保险期限</w:t>
            </w:r>
          </w:p>
        </w:tc>
        <w:tc>
          <w:tcPr>
            <w:tcW w:w="7609" w:type="dxa"/>
            <w:gridSpan w:val="3"/>
            <w:noWrap w:val="0"/>
            <w:vAlign w:val="top"/>
          </w:tcPr>
          <w:p>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一年，具体起止时间待定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restart"/>
            <w:noWrap w:val="0"/>
            <w:vAlign w:val="top"/>
          </w:tcPr>
          <w:p>
            <w:pPr>
              <w:snapToGrid w:val="0"/>
              <w:spacing w:line="240" w:lineRule="auto"/>
              <w:ind w:right="0" w:rightChars="0"/>
              <w:rPr>
                <w:rFonts w:hint="eastAsia" w:ascii="仿宋" w:hAnsi="仿宋" w:eastAsia="仿宋" w:cs="仿宋"/>
                <w:b/>
                <w:sz w:val="24"/>
                <w:szCs w:val="24"/>
              </w:rPr>
            </w:pPr>
            <w:r>
              <w:rPr>
                <w:rFonts w:hint="eastAsia" w:ascii="仿宋" w:hAnsi="仿宋" w:eastAsia="仿宋" w:cs="仿宋"/>
                <w:b/>
                <w:sz w:val="24"/>
                <w:szCs w:val="24"/>
              </w:rPr>
              <w:t>承保条件</w:t>
            </w:r>
          </w:p>
        </w:tc>
        <w:tc>
          <w:tcPr>
            <w:tcW w:w="1236" w:type="dxa"/>
            <w:noWrap w:val="0"/>
            <w:vAlign w:val="top"/>
          </w:tcPr>
          <w:p>
            <w:pPr>
              <w:snapToGrid w:val="0"/>
              <w:spacing w:line="24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205" w:type="dxa"/>
            <w:noWrap w:val="0"/>
            <w:vAlign w:val="top"/>
          </w:tcPr>
          <w:p>
            <w:pPr>
              <w:pStyle w:val="7"/>
              <w:snapToGrid w:val="0"/>
              <w:spacing w:after="0" w:line="24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险种</w:t>
            </w:r>
          </w:p>
        </w:tc>
        <w:tc>
          <w:tcPr>
            <w:tcW w:w="4168" w:type="dxa"/>
            <w:noWrap w:val="0"/>
            <w:vAlign w:val="top"/>
          </w:tcPr>
          <w:p>
            <w:pPr>
              <w:pStyle w:val="7"/>
              <w:snapToGrid w:val="0"/>
              <w:spacing w:after="0" w:line="24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snapToGrid w:val="0"/>
              <w:spacing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1</w:t>
            </w:r>
          </w:p>
        </w:tc>
        <w:tc>
          <w:tcPr>
            <w:tcW w:w="2205" w:type="dxa"/>
            <w:noWrap w:val="0"/>
            <w:vAlign w:val="top"/>
          </w:tcPr>
          <w:p>
            <w:pPr>
              <w:pStyle w:val="47"/>
              <w:snapToGrid w:val="0"/>
              <w:spacing w:before="0" w:beforeAutospacing="0" w:after="0" w:afterAutospacing="0" w:line="240" w:lineRule="auto"/>
              <w:ind w:right="0" w:rightChars="0"/>
              <w:jc w:val="both"/>
              <w:rPr>
                <w:rFonts w:hint="eastAsia" w:ascii="仿宋" w:hAnsi="仿宋" w:eastAsia="仿宋" w:cs="仿宋"/>
                <w:sz w:val="24"/>
                <w:szCs w:val="24"/>
              </w:rPr>
            </w:pPr>
            <w:r>
              <w:rPr>
                <w:rFonts w:ascii="仿宋" w:hAnsi="仿宋" w:eastAsia="仿宋" w:cs="仿宋"/>
                <w:sz w:val="24"/>
                <w:szCs w:val="24"/>
              </w:rPr>
              <w:t>机动车交通事故责任强制保险</w:t>
            </w:r>
          </w:p>
        </w:tc>
        <w:tc>
          <w:tcPr>
            <w:tcW w:w="4168" w:type="dxa"/>
            <w:noWrap w:val="0"/>
            <w:vAlign w:val="center"/>
          </w:tcPr>
          <w:p>
            <w:pPr>
              <w:snapToGrid w:val="0"/>
              <w:spacing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按照按实际车型执行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2</w:t>
            </w:r>
          </w:p>
        </w:tc>
        <w:tc>
          <w:tcPr>
            <w:tcW w:w="2205" w:type="dxa"/>
            <w:noWrap w:val="0"/>
            <w:vAlign w:val="top"/>
          </w:tcPr>
          <w:p>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rPr>
              <w:t>车辆损失险（</w:t>
            </w:r>
            <w:r>
              <w:rPr>
                <w:rFonts w:hint="eastAsia" w:ascii="仿宋" w:hAnsi="仿宋" w:eastAsia="仿宋" w:cs="仿宋"/>
                <w:sz w:val="24"/>
                <w:szCs w:val="24"/>
                <w:lang w:val="zh-CN"/>
              </w:rPr>
              <w:t>包括车损、盗抢、无法找到第三方、玻璃单独破损险、自燃、发动机涉水、指定修理厂、不计免赔</w:t>
            </w:r>
            <w:r>
              <w:rPr>
                <w:rFonts w:hint="eastAsia" w:ascii="仿宋" w:hAnsi="仿宋" w:eastAsia="仿宋" w:cs="仿宋"/>
                <w:sz w:val="24"/>
                <w:szCs w:val="24"/>
              </w:rPr>
              <w:t>）</w:t>
            </w:r>
          </w:p>
        </w:tc>
        <w:tc>
          <w:tcPr>
            <w:tcW w:w="4168"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按投保时的实际价值确定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3</w:t>
            </w:r>
          </w:p>
        </w:tc>
        <w:tc>
          <w:tcPr>
            <w:tcW w:w="2205" w:type="dxa"/>
            <w:noWrap w:val="0"/>
            <w:vAlign w:val="top"/>
          </w:tcPr>
          <w:p>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rPr>
              <w:t>第三者责任险</w:t>
            </w:r>
          </w:p>
        </w:tc>
        <w:tc>
          <w:tcPr>
            <w:tcW w:w="4168"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责任限额300万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4</w:t>
            </w:r>
          </w:p>
        </w:tc>
        <w:tc>
          <w:tcPr>
            <w:tcW w:w="2205" w:type="dxa"/>
            <w:noWrap w:val="0"/>
            <w:vAlign w:val="top"/>
          </w:tcPr>
          <w:p>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rPr>
              <w:t>车上人员责任险</w:t>
            </w:r>
          </w:p>
        </w:tc>
        <w:tc>
          <w:tcPr>
            <w:tcW w:w="4168"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1万/座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pStyle w:val="7"/>
              <w:snapToGrid w:val="0"/>
              <w:spacing w:after="0" w:line="240" w:lineRule="auto"/>
              <w:ind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205" w:type="dxa"/>
            <w:noWrap w:val="0"/>
            <w:vAlign w:val="top"/>
          </w:tcPr>
          <w:p>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lang w:val="zh-CN"/>
              </w:rPr>
              <w:t>附加医保外医疗费用责任险(机动车第三者责任保险)</w:t>
            </w:r>
          </w:p>
        </w:tc>
        <w:tc>
          <w:tcPr>
            <w:tcW w:w="4168" w:type="dxa"/>
            <w:noWrap w:val="0"/>
            <w:vAlign w:val="center"/>
          </w:tcPr>
          <w:p>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按照实际执行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pPr>
              <w:snapToGrid w:val="0"/>
              <w:spacing w:line="240" w:lineRule="auto"/>
              <w:ind w:right="0" w:rightChars="0"/>
              <w:rPr>
                <w:rFonts w:hint="eastAsia" w:ascii="仿宋" w:hAnsi="仿宋" w:eastAsia="仿宋" w:cs="仿宋"/>
                <w:b/>
                <w:sz w:val="24"/>
                <w:szCs w:val="24"/>
              </w:rPr>
            </w:pPr>
          </w:p>
        </w:tc>
        <w:tc>
          <w:tcPr>
            <w:tcW w:w="1236" w:type="dxa"/>
            <w:noWrap w:val="0"/>
            <w:vAlign w:val="center"/>
          </w:tcPr>
          <w:p>
            <w:pPr>
              <w:pStyle w:val="7"/>
              <w:snapToGrid w:val="0"/>
              <w:spacing w:after="0" w:line="240" w:lineRule="auto"/>
              <w:ind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2205" w:type="dxa"/>
            <w:noWrap w:val="0"/>
            <w:vAlign w:val="top"/>
          </w:tcPr>
          <w:p>
            <w:pPr>
              <w:pStyle w:val="47"/>
              <w:snapToGrid w:val="0"/>
              <w:spacing w:before="0" w:beforeAutospacing="0" w:after="0" w:afterAutospacing="0" w:line="240" w:lineRule="auto"/>
              <w:ind w:right="0" w:rightChars="0"/>
              <w:jc w:val="both"/>
              <w:rPr>
                <w:rFonts w:hint="eastAsia" w:ascii="仿宋" w:hAnsi="仿宋" w:eastAsia="仿宋" w:cs="仿宋"/>
                <w:sz w:val="24"/>
                <w:szCs w:val="24"/>
              </w:rPr>
            </w:pPr>
            <w:r>
              <w:rPr>
                <w:rFonts w:ascii="仿宋" w:hAnsi="仿宋" w:eastAsia="仿宋" w:cs="仿宋"/>
                <w:sz w:val="24"/>
                <w:szCs w:val="24"/>
              </w:rPr>
              <w:t>附加机动车增值服务特约条款</w:t>
            </w:r>
          </w:p>
        </w:tc>
        <w:tc>
          <w:tcPr>
            <w:tcW w:w="4168" w:type="dxa"/>
            <w:noWrap w:val="0"/>
            <w:vAlign w:val="center"/>
          </w:tcPr>
          <w:p>
            <w:pPr>
              <w:snapToGrid w:val="0"/>
              <w:spacing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赠送道路救援服务</w:t>
            </w:r>
            <w:r>
              <w:rPr>
                <w:rFonts w:hint="eastAsia" w:ascii="仿宋" w:hAnsi="仿宋" w:eastAsia="仿宋" w:cs="仿宋"/>
                <w:sz w:val="24"/>
                <w:szCs w:val="24"/>
                <w:lang w:val="en-US" w:eastAsia="zh-CN"/>
              </w:rPr>
              <w:t>不少于</w:t>
            </w:r>
            <w:r>
              <w:rPr>
                <w:rFonts w:hint="eastAsia" w:ascii="仿宋" w:hAnsi="仿宋" w:eastAsia="仿宋" w:cs="仿宋"/>
                <w:sz w:val="24"/>
                <w:szCs w:val="24"/>
              </w:rPr>
              <w:t>7次、代为送检服务</w:t>
            </w:r>
            <w:r>
              <w:rPr>
                <w:rFonts w:hint="eastAsia" w:ascii="仿宋" w:hAnsi="仿宋" w:eastAsia="仿宋" w:cs="仿宋"/>
                <w:sz w:val="24"/>
                <w:szCs w:val="24"/>
                <w:lang w:val="en-US" w:eastAsia="zh-CN"/>
              </w:rPr>
              <w:t>不少于</w:t>
            </w:r>
            <w:r>
              <w:rPr>
                <w:rFonts w:hint="eastAsia" w:ascii="仿宋" w:hAnsi="仿宋" w:eastAsia="仿宋" w:cs="仿宋"/>
                <w:sz w:val="24"/>
                <w:szCs w:val="24"/>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pPr>
              <w:widowControl/>
              <w:snapToGrid w:val="0"/>
              <w:spacing w:line="240" w:lineRule="auto"/>
              <w:ind w:right="0" w:rightChars="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免 赔 额</w:t>
            </w:r>
          </w:p>
        </w:tc>
        <w:tc>
          <w:tcPr>
            <w:tcW w:w="7609" w:type="dxa"/>
            <w:gridSpan w:val="3"/>
            <w:noWrap w:val="0"/>
            <w:vAlign w:val="top"/>
          </w:tcPr>
          <w:p>
            <w:pPr>
              <w:snapToGrid w:val="0"/>
              <w:spacing w:line="240" w:lineRule="auto"/>
              <w:ind w:right="0" w:rightChars="0"/>
              <w:rPr>
                <w:rFonts w:hint="eastAsia" w:ascii="仿宋" w:hAnsi="仿宋" w:eastAsia="仿宋" w:cs="仿宋"/>
                <w:bCs/>
                <w:sz w:val="24"/>
                <w:szCs w:val="24"/>
              </w:rPr>
            </w:pPr>
            <w:r>
              <w:rPr>
                <w:rFonts w:hint="eastAsia" w:ascii="仿宋" w:hAnsi="仿宋" w:eastAsia="仿宋" w:cs="仿宋"/>
                <w:bCs/>
                <w:sz w:val="24"/>
                <w:szCs w:val="24"/>
              </w:rPr>
              <w:t>按保险单约定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司法管辖</w:t>
            </w:r>
          </w:p>
        </w:tc>
        <w:tc>
          <w:tcPr>
            <w:tcW w:w="7609" w:type="dxa"/>
            <w:gridSpan w:val="3"/>
            <w:noWrap w:val="0"/>
            <w:vAlign w:val="top"/>
          </w:tcPr>
          <w:p>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pPr>
              <w:widowControl/>
              <w:snapToGrid w:val="0"/>
              <w:spacing w:line="240" w:lineRule="auto"/>
              <w:jc w:val="left"/>
              <w:rPr>
                <w:rFonts w:hint="eastAsia" w:ascii="仿宋" w:hAnsi="仿宋" w:eastAsia="仿宋" w:cs="仿宋"/>
                <w:b/>
                <w:kern w:val="0"/>
                <w:sz w:val="24"/>
                <w:szCs w:val="24"/>
              </w:rPr>
            </w:pPr>
          </w:p>
        </w:tc>
        <w:tc>
          <w:tcPr>
            <w:tcW w:w="7609" w:type="dxa"/>
            <w:gridSpan w:val="3"/>
            <w:noWrap w:val="0"/>
            <w:vAlign w:val="top"/>
          </w:tcPr>
          <w:p>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其它根据约定的保单条款及扩展条款内容</w:t>
            </w:r>
          </w:p>
        </w:tc>
      </w:tr>
    </w:tbl>
    <w:p>
      <w:pPr>
        <w:spacing w:line="240" w:lineRule="auto"/>
        <w:rPr>
          <w:rFonts w:hint="eastAsia" w:asciiTheme="minorEastAsia" w:hAnsiTheme="minorEastAsia"/>
          <w:sz w:val="24"/>
          <w:szCs w:val="24"/>
        </w:rPr>
      </w:pPr>
      <w:r>
        <w:rPr>
          <w:rFonts w:hint="eastAsia" w:asciiTheme="minorEastAsia" w:hAnsiTheme="minorEastAsia"/>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bookmarkStart w:id="46" w:name="_Toc12980"/>
      <w:bookmarkStart w:id="47" w:name="_Toc88209949"/>
      <w:bookmarkStart w:id="48" w:name="_Toc323"/>
      <w:bookmarkStart w:id="49" w:name="_Toc19088"/>
      <w:bookmarkStart w:id="50" w:name="_Toc13309"/>
      <w:bookmarkStart w:id="51" w:name="_Toc12968"/>
      <w:bookmarkStart w:id="52" w:name="_Toc22501"/>
      <w:bookmarkStart w:id="53" w:name="_Toc19686"/>
      <w:bookmarkStart w:id="54" w:name="_Toc87616386"/>
      <w:bookmarkStart w:id="55" w:name="_Toc22797"/>
      <w:bookmarkStart w:id="56" w:name="_Toc8183"/>
      <w:bookmarkStart w:id="57" w:name="_Toc1375"/>
      <w:bookmarkStart w:id="58" w:name="_Toc12721"/>
      <w:r>
        <w:rPr>
          <w:rFonts w:hint="eastAsia" w:eastAsia="仿宋"/>
          <w:color w:val="auto"/>
          <w:highlight w:val="none"/>
        </w:rPr>
        <w:t>合同</w:t>
      </w:r>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spacing w:line="360" w:lineRule="auto"/>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spacing w:line="360" w:lineRule="auto"/>
        <w:jc w:val="left"/>
        <w:rPr>
          <w:rFonts w:hint="eastAsia" w:ascii="仿宋_GB2312" w:eastAsia="仿宋" w:hAnsiTheme="minorEastAsia"/>
          <w:color w:val="auto"/>
          <w:sz w:val="28"/>
          <w:szCs w:val="28"/>
          <w:highlight w:val="none"/>
        </w:rPr>
      </w:pPr>
    </w:p>
    <w:p>
      <w:pPr>
        <w:adjustRightInd/>
        <w:snapToGrid/>
        <w:spacing w:beforeLines="-2147483648" w:afterLines="-2147483648" w:line="360" w:lineRule="auto"/>
        <w:jc w:val="left"/>
        <w:rPr>
          <w:rFonts w:hint="eastAsia" w:ascii="仿宋_GB2312" w:eastAsia="仿宋" w:hAnsiTheme="minorEastAsia"/>
          <w:color w:val="auto"/>
          <w:sz w:val="28"/>
          <w:szCs w:val="28"/>
          <w:highlight w:val="none"/>
        </w:rPr>
      </w:pPr>
    </w:p>
    <w:p>
      <w:pPr>
        <w:adjustRightInd/>
        <w:snapToGrid/>
        <w:spacing w:beforeLines="-2147483648" w:afterLines="-2147483648" w:line="360" w:lineRule="auto"/>
        <w:jc w:val="cente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具体以成交供应商为准。</w:t>
      </w: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方正小标宋简体" w:eastAsia="仿宋"/>
          <w:color w:val="auto"/>
          <w:sz w:val="44"/>
          <w:szCs w:val="44"/>
          <w:highlight w:val="none"/>
          <w:u w:val="single"/>
          <w:lang w:eastAsia="zh-CN"/>
        </w:rPr>
        <w:t>广州市净水有限公司2024-2025年公务车辆保险采购（第四次）项目</w:t>
      </w: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59" w:name="_Toc88209952"/>
      <w:bookmarkStart w:id="60" w:name="_Toc87616389"/>
      <w:r>
        <w:rPr>
          <w:rFonts w:hint="eastAsia" w:ascii="仿宋_GB2312" w:eastAsia="仿宋"/>
          <w:color w:val="auto"/>
          <w:sz w:val="28"/>
          <w:szCs w:val="28"/>
          <w:highlight w:val="none"/>
        </w:rPr>
        <w:t>1.响应函</w:t>
      </w:r>
      <w:bookmarkEnd w:id="59"/>
      <w:bookmarkEnd w:id="60"/>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1" w:name="_Toc87616390"/>
      <w:bookmarkStart w:id="62" w:name="_Toc88209953"/>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1"/>
      <w:bookmarkEnd w:id="62"/>
      <w:bookmarkStart w:id="63" w:name="_Toc88209956"/>
      <w:bookmarkStart w:id="64"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3"/>
      <w:bookmarkEnd w:id="64"/>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5" w:name="_Toc12665"/>
      <w:bookmarkStart w:id="66" w:name="_Toc6313"/>
      <w:bookmarkStart w:id="67" w:name="_Toc88209957"/>
      <w:bookmarkStart w:id="68" w:name="_Toc28619645"/>
      <w:bookmarkStart w:id="69" w:name="_Toc87616394"/>
      <w:r>
        <w:rPr>
          <w:rFonts w:hint="eastAsia" w:ascii="黑体" w:hAnsi="黑体" w:eastAsia="黑体" w:cs="黑体"/>
          <w:b/>
          <w:bCs/>
          <w:color w:val="auto"/>
          <w:sz w:val="32"/>
          <w:szCs w:val="32"/>
          <w:highlight w:val="none"/>
        </w:rPr>
        <w:t>1.响应函</w:t>
      </w:r>
      <w:bookmarkEnd w:id="65"/>
      <w:bookmarkEnd w:id="66"/>
      <w:bookmarkEnd w:id="67"/>
      <w:bookmarkEnd w:id="68"/>
      <w:bookmarkEnd w:id="69"/>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w:t>
      </w:r>
      <w:r>
        <w:rPr>
          <w:rFonts w:hint="eastAsia" w:ascii="仿宋_GB2312" w:hAnsi="黑体" w:eastAsia="仿宋"/>
          <w:color w:val="auto"/>
          <w:sz w:val="28"/>
          <w:szCs w:val="28"/>
          <w:highlight w:val="none"/>
          <w:lang w:val="en-US" w:eastAsia="zh-CN"/>
        </w:rPr>
        <w:t>如下</w:t>
      </w:r>
      <w:r>
        <w:rPr>
          <w:rFonts w:hint="eastAsia" w:ascii="仿宋_GB2312" w:hAnsi="黑体" w:eastAsia="仿宋"/>
          <w:color w:val="auto"/>
          <w:sz w:val="28"/>
          <w:szCs w:val="28"/>
          <w:highlight w:val="none"/>
        </w:rPr>
        <w:t>报价完成/提供本项目服务并按合同约定履行义务。</w:t>
      </w:r>
    </w:p>
    <w:tbl>
      <w:tblPr>
        <w:tblStyle w:val="24"/>
        <w:tblW w:w="906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10"/>
        <w:gridCol w:w="5026"/>
        <w:gridCol w:w="292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97" w:type="dxa"/>
            <w:noWrap w:val="0"/>
            <w:vAlign w:val="top"/>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险种</w:t>
            </w:r>
          </w:p>
        </w:tc>
        <w:tc>
          <w:tcPr>
            <w:tcW w:w="7853" w:type="dxa"/>
            <w:gridSpan w:val="2"/>
            <w:noWrap w:val="0"/>
            <w:vAlign w:val="top"/>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费率折扣报价（一年期）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97" w:type="dxa"/>
            <w:noWrap w:val="0"/>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交强险</w:t>
            </w:r>
          </w:p>
        </w:tc>
        <w:tc>
          <w:tcPr>
            <w:tcW w:w="7853" w:type="dxa"/>
            <w:gridSpan w:val="2"/>
            <w:noWrap w:val="0"/>
            <w:vAlign w:val="top"/>
          </w:tcPr>
          <w:p>
            <w:pPr>
              <w:spacing w:line="360" w:lineRule="exact"/>
              <w:rPr>
                <w:rFonts w:hint="eastAsia" w:ascii="仿宋" w:hAnsi="仿宋" w:eastAsia="仿宋" w:cs="仿宋"/>
                <w:sz w:val="24"/>
                <w:szCs w:val="24"/>
              </w:rPr>
            </w:pPr>
            <w:r>
              <w:rPr>
                <w:rFonts w:hint="eastAsia" w:ascii="仿宋" w:hAnsi="仿宋" w:eastAsia="仿宋" w:cs="仿宋"/>
                <w:sz w:val="24"/>
                <w:szCs w:val="24"/>
              </w:rPr>
              <w:t>根据《中国银保监会关于调整交强险责任限额和费率浮动系数的公告》及相关文件据实缴纳</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97" w:type="dxa"/>
            <w:noWrap w:val="0"/>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商业险</w:t>
            </w:r>
          </w:p>
        </w:tc>
        <w:tc>
          <w:tcPr>
            <w:tcW w:w="4965" w:type="dxa"/>
            <w:noWrap w:val="0"/>
            <w:vAlign w:val="top"/>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商业车险自主定价系数</w:t>
            </w:r>
          </w:p>
        </w:tc>
        <w:tc>
          <w:tcPr>
            <w:tcW w:w="2888" w:type="dxa"/>
            <w:noWrap w:val="0"/>
            <w:vAlign w:val="top"/>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tc>
      </w:tr>
    </w:tbl>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3"/>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0" w:name="_Toc22527"/>
      <w:bookmarkStart w:id="71" w:name="_Toc88209958"/>
      <w:bookmarkStart w:id="72" w:name="_Toc87616395"/>
      <w:bookmarkStart w:id="73" w:name="_Toc29833"/>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0"/>
      <w:bookmarkEnd w:id="71"/>
      <w:bookmarkEnd w:id="72"/>
      <w:bookmarkEnd w:id="73"/>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8"/>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3"/>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3"/>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7"/>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3"/>
        <w:ind w:left="0" w:leftChars="0" w:firstLine="0" w:firstLineChars="0"/>
        <w:rPr>
          <w:rFonts w:hint="eastAsia" w:ascii="仿宋_GB2312" w:hAnsi="宋体" w:eastAsia="仿宋"/>
          <w:color w:val="auto"/>
          <w:sz w:val="30"/>
          <w:szCs w:val="30"/>
          <w:highlight w:val="none"/>
        </w:rPr>
      </w:pPr>
    </w:p>
    <w:p>
      <w:pPr>
        <w:pStyle w:val="23"/>
        <w:ind w:left="0" w:leftChars="0" w:firstLine="0" w:firstLineChars="0"/>
        <w:rPr>
          <w:rFonts w:hint="eastAsia" w:ascii="仿宋_GB2312" w:hAnsi="宋体" w:eastAsia="仿宋_GB2312"/>
          <w:color w:val="auto"/>
          <w:sz w:val="30"/>
          <w:szCs w:val="3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4" w:name="_Toc88209963"/>
      <w:bookmarkStart w:id="75" w:name="_Toc87616400"/>
      <w:bookmarkStart w:id="76" w:name="_Toc19830"/>
      <w:bookmarkStart w:id="77"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4"/>
      <w:bookmarkEnd w:id="75"/>
      <w:bookmarkEnd w:id="76"/>
      <w:bookmarkEnd w:id="77"/>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78"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78"/>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 w:hAnsiTheme="minorEastAsia"/>
          <w:color w:val="auto"/>
          <w:sz w:val="28"/>
          <w:szCs w:val="28"/>
          <w:highlight w:val="none"/>
          <w:lang w:val="en-US" w:eastAsia="zh-CN"/>
        </w:rPr>
      </w:pPr>
    </w:p>
    <w:p>
      <w:pPr>
        <w:pStyle w:val="23"/>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eastAsia" w:ascii="仿宋_GB2312" w:eastAsia="仿宋" w:hAnsiTheme="minorEastAsia"/>
          <w:color w:val="auto"/>
          <w:sz w:val="28"/>
          <w:szCs w:val="28"/>
          <w:highlight w:val="none"/>
          <w:lang w:val="en-US" w:eastAsia="zh-CN"/>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79" w:name="_Toc32430"/>
      <w:bookmarkStart w:id="80" w:name="_Toc19423"/>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79"/>
      <w:bookmarkEnd w:id="80"/>
    </w:p>
    <w:p>
      <w:pPr>
        <w:spacing w:line="360" w:lineRule="exact"/>
        <w:jc w:val="center"/>
        <w:rPr>
          <w:rFonts w:ascii="仿宋" w:hAnsi="仿宋" w:eastAsia="仿宋"/>
          <w:b/>
          <w:bCs/>
          <w:sz w:val="28"/>
        </w:rPr>
      </w:pPr>
      <w:r>
        <w:rPr>
          <w:rFonts w:hint="eastAsia" w:ascii="仿宋" w:hAnsi="仿宋" w:eastAsia="仿宋"/>
          <w:b/>
          <w:bCs/>
          <w:sz w:val="28"/>
        </w:rPr>
        <w:t>机动车辆保险报价表</w:t>
      </w:r>
    </w:p>
    <w:p>
      <w:pPr>
        <w:pStyle w:val="14"/>
      </w:pPr>
    </w:p>
    <w:p>
      <w:pPr>
        <w:jc w:val="right"/>
        <w:rPr>
          <w:rFonts w:ascii="仿宋" w:hAnsi="仿宋" w:eastAsia="仿宋"/>
          <w:sz w:val="22"/>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50"/>
        <w:gridCol w:w="3412"/>
        <w:gridCol w:w="69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top"/>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险种</w:t>
            </w:r>
          </w:p>
        </w:tc>
        <w:tc>
          <w:tcPr>
            <w:tcW w:w="10321" w:type="dxa"/>
            <w:gridSpan w:val="2"/>
            <w:noWrap w:val="0"/>
            <w:vAlign w:val="top"/>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费率折扣报价（一年期）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交强险</w:t>
            </w:r>
          </w:p>
        </w:tc>
        <w:tc>
          <w:tcPr>
            <w:tcW w:w="10321" w:type="dxa"/>
            <w:gridSpan w:val="2"/>
            <w:noWrap w:val="0"/>
            <w:vAlign w:val="top"/>
          </w:tcPr>
          <w:p>
            <w:pPr>
              <w:spacing w:line="360" w:lineRule="exact"/>
              <w:rPr>
                <w:rFonts w:hint="eastAsia" w:ascii="仿宋" w:hAnsi="仿宋" w:eastAsia="仿宋" w:cs="仿宋"/>
                <w:sz w:val="24"/>
                <w:szCs w:val="24"/>
              </w:rPr>
            </w:pPr>
            <w:r>
              <w:rPr>
                <w:rFonts w:hint="eastAsia" w:ascii="仿宋" w:hAnsi="仿宋" w:eastAsia="仿宋" w:cs="仿宋"/>
                <w:sz w:val="24"/>
                <w:szCs w:val="24"/>
              </w:rPr>
              <w:t>根据《中国银保监会关于调整交强险责任限额和费率浮动系数的公告》及相关文件据实缴纳</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商业险</w:t>
            </w:r>
          </w:p>
        </w:tc>
        <w:tc>
          <w:tcPr>
            <w:tcW w:w="3412" w:type="dxa"/>
            <w:noWrap w:val="0"/>
            <w:vAlign w:val="top"/>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商业车险自主定价系数</w:t>
            </w:r>
          </w:p>
        </w:tc>
        <w:tc>
          <w:tcPr>
            <w:tcW w:w="6909" w:type="dxa"/>
            <w:noWrap w:val="0"/>
            <w:vAlign w:val="top"/>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2971" w:type="dxa"/>
            <w:gridSpan w:val="3"/>
            <w:noWrap w:val="0"/>
            <w:vAlign w:val="top"/>
          </w:tcPr>
          <w:p>
            <w:pPr>
              <w:spacing w:line="360" w:lineRule="exact"/>
              <w:rPr>
                <w:rFonts w:ascii="仿宋" w:hAnsi="仿宋" w:eastAsia="仿宋"/>
                <w:b/>
                <w:sz w:val="24"/>
                <w:szCs w:val="24"/>
              </w:rPr>
            </w:pPr>
            <w:r>
              <w:rPr>
                <w:rFonts w:hint="eastAsia" w:ascii="仿宋" w:hAnsi="仿宋" w:eastAsia="仿宋"/>
                <w:b/>
                <w:sz w:val="24"/>
                <w:szCs w:val="24"/>
              </w:rPr>
              <w:t>备注：</w:t>
            </w:r>
          </w:p>
          <w:p>
            <w:pPr>
              <w:spacing w:line="360" w:lineRule="exact"/>
              <w:rPr>
                <w:rFonts w:ascii="仿宋" w:hAnsi="仿宋" w:eastAsia="仿宋"/>
                <w:b/>
                <w:sz w:val="24"/>
                <w:szCs w:val="24"/>
              </w:rPr>
            </w:pPr>
            <w:r>
              <w:rPr>
                <w:rFonts w:hint="eastAsia" w:ascii="仿宋" w:hAnsi="仿宋" w:eastAsia="仿宋"/>
                <w:b/>
                <w:sz w:val="24"/>
                <w:szCs w:val="24"/>
              </w:rPr>
              <w:t>1、以上报价严格按照中国银保监会的规定报价，如恶意低价，将取消评审资格。</w:t>
            </w:r>
          </w:p>
          <w:p>
            <w:pPr>
              <w:spacing w:line="360" w:lineRule="exact"/>
              <w:rPr>
                <w:rFonts w:ascii="仿宋" w:hAnsi="仿宋" w:eastAsia="仿宋"/>
                <w:sz w:val="24"/>
                <w:szCs w:val="24"/>
              </w:rPr>
            </w:pPr>
            <w:r>
              <w:rPr>
                <w:rFonts w:hint="eastAsia" w:ascii="仿宋" w:hAnsi="仿宋" w:eastAsia="仿宋"/>
                <w:sz w:val="24"/>
                <w:szCs w:val="24"/>
              </w:rPr>
              <w:t>2、广州市净水有限公司及下属企业现有机动车辆数量近</w:t>
            </w:r>
            <w:r>
              <w:rPr>
                <w:rFonts w:hint="eastAsia" w:ascii="仿宋" w:hAnsi="仿宋" w:eastAsia="仿宋"/>
                <w:sz w:val="24"/>
                <w:szCs w:val="24"/>
                <w:highlight w:val="none"/>
                <w:lang w:val="en-US" w:eastAsia="zh-CN"/>
              </w:rPr>
              <w:t>110</w:t>
            </w:r>
            <w:r>
              <w:rPr>
                <w:rFonts w:hint="eastAsia" w:ascii="仿宋" w:hAnsi="仿宋" w:eastAsia="仿宋"/>
                <w:sz w:val="24"/>
                <w:szCs w:val="24"/>
              </w:rPr>
              <w:t>台，基本上为客车和货车，其中客车与货车所占比例约为2:3，详细机动车辆投保清单详见第五章；</w:t>
            </w:r>
          </w:p>
          <w:p>
            <w:pPr>
              <w:spacing w:line="360" w:lineRule="exact"/>
              <w:rPr>
                <w:rFonts w:ascii="仿宋" w:hAnsi="仿宋" w:eastAsia="仿宋"/>
                <w:sz w:val="24"/>
                <w:szCs w:val="24"/>
              </w:rPr>
            </w:pPr>
            <w:r>
              <w:rPr>
                <w:rFonts w:hint="eastAsia" w:ascii="仿宋" w:hAnsi="仿宋" w:eastAsia="仿宋"/>
                <w:sz w:val="24"/>
                <w:szCs w:val="24"/>
              </w:rPr>
              <w:t>3、以上报价是根据我司现行报备中国银行保险监督管理委员会的机动车辆保险费率规章计算得出，在此基础上，我司承诺：凡是属于广州市净水有限公司及下属企业用车的机动车辆保险，均可享受上述折扣优惠；</w:t>
            </w:r>
          </w:p>
          <w:p>
            <w:pPr>
              <w:spacing w:line="360" w:lineRule="exact"/>
              <w:rPr>
                <w:rFonts w:ascii="仿宋" w:hAnsi="仿宋" w:eastAsia="仿宋"/>
                <w:sz w:val="24"/>
                <w:szCs w:val="24"/>
              </w:rPr>
            </w:pPr>
            <w:r>
              <w:rPr>
                <w:rFonts w:hint="eastAsia" w:ascii="仿宋" w:hAnsi="仿宋" w:eastAsia="仿宋"/>
                <w:sz w:val="24"/>
                <w:szCs w:val="24"/>
              </w:rPr>
              <w:t>4、我司将配合广州市净水有限公司对企业用车统一投保管理。对于承保期限不满一年的车辆，其保费计算方法，我司将按年费率计算出年保费除以365天再乘以实际承保天数，新增车辆享受所有承保车辆的同等待遇；</w:t>
            </w:r>
          </w:p>
          <w:p>
            <w:pPr>
              <w:spacing w:line="360" w:lineRule="exact"/>
              <w:rPr>
                <w:rFonts w:hint="eastAsia" w:ascii="仿宋" w:hAnsi="仿宋" w:eastAsia="仿宋"/>
                <w:sz w:val="24"/>
                <w:szCs w:val="24"/>
                <w:lang w:eastAsia="zh-CN"/>
              </w:rPr>
            </w:pPr>
            <w:r>
              <w:rPr>
                <w:rFonts w:hint="eastAsia" w:ascii="仿宋" w:hAnsi="仿宋" w:eastAsia="仿宋"/>
                <w:sz w:val="24"/>
                <w:szCs w:val="24"/>
              </w:rPr>
              <w:t>5、广州市净水有限公司可自行选择合适的保险险种及赔偿限额，其中对于第三者责任险限额最高可按人民币500万元投保，并适用相同的折扣条件</w:t>
            </w:r>
            <w:r>
              <w:rPr>
                <w:rFonts w:hint="eastAsia" w:ascii="仿宋" w:hAnsi="仿宋" w:eastAsia="仿宋"/>
                <w:sz w:val="24"/>
                <w:szCs w:val="24"/>
                <w:lang w:eastAsia="zh-CN"/>
              </w:rPr>
              <w:t>。</w:t>
            </w:r>
          </w:p>
          <w:p>
            <w:pPr>
              <w:spacing w:line="360" w:lineRule="exact"/>
              <w:rPr>
                <w:rFonts w:hint="eastAsia"/>
                <w:lang w:eastAsia="zh-CN"/>
              </w:rPr>
            </w:pPr>
            <w:r>
              <w:rPr>
                <w:rFonts w:hint="eastAsia" w:ascii="仿宋" w:hAnsi="仿宋" w:eastAsia="仿宋"/>
                <w:sz w:val="24"/>
                <w:szCs w:val="24"/>
                <w:lang w:val="en-US" w:eastAsia="zh-CN"/>
              </w:rPr>
              <w:t>6、</w:t>
            </w:r>
            <w:r>
              <w:rPr>
                <w:rFonts w:hint="eastAsia" w:ascii="仿宋" w:hAnsi="仿宋" w:eastAsia="仿宋"/>
                <w:sz w:val="24"/>
                <w:szCs w:val="24"/>
              </w:rPr>
              <w:t>商业险保费=车型基准保费（根据车型系统精算）×无赔款优待系数（固定）×商业车险自主定价系数。</w:t>
            </w:r>
          </w:p>
        </w:tc>
      </w:tr>
    </w:tbl>
    <w:p>
      <w:pPr>
        <w:spacing w:line="360" w:lineRule="exact"/>
        <w:rPr>
          <w:sz w:val="24"/>
        </w:rPr>
      </w:pPr>
    </w:p>
    <w:p>
      <w:pPr>
        <w:pStyle w:val="2"/>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jc w:val="right"/>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adjustRightInd/>
        <w:snapToGrid/>
        <w:spacing w:line="240" w:lineRule="auto"/>
        <w:ind w:firstLine="0"/>
        <w:jc w:val="left"/>
        <w:rPr>
          <w:rFonts w:hint="eastAsia" w:ascii="方正小标宋简体" w:hAnsi="方正小标宋简体" w:eastAsia="仿宋" w:cs="方正小标宋简体"/>
          <w:color w:val="auto"/>
          <w:sz w:val="44"/>
          <w:szCs w:val="44"/>
          <w:highlight w:val="none"/>
          <w:shd w:val="clear" w:color="auto" w:fill="auto"/>
        </w:rPr>
        <w:sectPr>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方正小标宋简体" w:hAnsi="方正小标宋简体" w:eastAsia="仿宋" w:cs="方正小标宋简体"/>
          <w:color w:val="auto"/>
          <w:sz w:val="44"/>
          <w:szCs w:val="44"/>
          <w:highlight w:val="none"/>
          <w:shd w:val="clear" w:color="auto" w:fill="auto"/>
        </w:rPr>
        <w:br w:type="page"/>
      </w:r>
    </w:p>
    <w:p>
      <w:pPr>
        <w:spacing w:line="360" w:lineRule="auto"/>
        <w:rPr>
          <w:rFonts w:hint="eastAsia" w:ascii="黑体" w:hAnsi="黑体" w:eastAsia="黑体" w:cs="黑体"/>
          <w:b/>
          <w:bCs/>
          <w:color w:val="auto"/>
          <w:sz w:val="32"/>
          <w:szCs w:val="32"/>
          <w:highlight w:val="none"/>
          <w:lang w:val="en-US" w:eastAsia="zh-CN"/>
        </w:rPr>
      </w:pPr>
      <w:bookmarkStart w:id="81" w:name="_Toc87616402"/>
      <w:bookmarkStart w:id="82" w:name="_Toc88209965"/>
      <w:bookmarkStart w:id="83" w:name="_Toc16386"/>
      <w:bookmarkStart w:id="84" w:name="_Toc6058"/>
      <w:r>
        <w:rPr>
          <w:rFonts w:hint="eastAsia" w:ascii="黑体" w:hAnsi="黑体" w:eastAsia="黑体" w:cs="黑体"/>
          <w:b/>
          <w:bCs/>
          <w:color w:val="auto"/>
          <w:sz w:val="32"/>
          <w:szCs w:val="32"/>
          <w:highlight w:val="none"/>
          <w:lang w:val="en-US" w:eastAsia="zh-CN"/>
        </w:rPr>
        <w:t>6.其他资料</w:t>
      </w:r>
      <w:bookmarkEnd w:id="81"/>
      <w:bookmarkEnd w:id="82"/>
      <w:bookmarkEnd w:id="83"/>
      <w:bookmarkEnd w:id="84"/>
    </w:p>
    <w:p>
      <w:pPr>
        <w:adjustRightInd w:val="0"/>
        <w:snapToGrid w:val="0"/>
        <w:spacing w:line="600" w:lineRule="exact"/>
        <w:ind w:firstLine="570"/>
        <w:rPr>
          <w:rFonts w:hint="default"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6.1理赔服务承诺函</w:t>
      </w:r>
    </w:p>
    <w:p>
      <w:pPr>
        <w:adjustRightInd w:val="0"/>
        <w:snapToGrid w:val="0"/>
        <w:spacing w:line="600" w:lineRule="exact"/>
        <w:ind w:firstLine="0"/>
        <w:jc w:val="cente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理赔服务承诺函</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致广州市净水有限公司：</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我公司自愿响应</w:t>
      </w:r>
      <w:r>
        <w:rPr>
          <w:rFonts w:hint="eastAsia" w:ascii="仿宋" w:hAnsi="仿宋" w:eastAsia="仿宋" w:cs="仿宋"/>
          <w:sz w:val="24"/>
          <w:szCs w:val="24"/>
          <w:lang w:eastAsia="zh-CN"/>
        </w:rPr>
        <w:t>广州市净水有限公司2024-2025年公务车辆保险采购（第四次）项目，</w:t>
      </w:r>
      <w:r>
        <w:rPr>
          <w:rFonts w:hint="eastAsia" w:ascii="仿宋" w:hAnsi="仿宋" w:eastAsia="仿宋" w:cs="仿宋"/>
          <w:sz w:val="24"/>
          <w:szCs w:val="24"/>
          <w:lang w:val="en-US" w:eastAsia="zh-CN"/>
        </w:rPr>
        <w:t>并对项目服务内容做出如下承诺：</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24小时报案受理</w:t>
      </w:r>
    </w:p>
    <w:p>
      <w:pPr>
        <w:spacing w:line="360" w:lineRule="auto"/>
        <w:rPr>
          <w:rFonts w:hint="eastAsia" w:ascii="仿宋" w:hAnsi="仿宋" w:eastAsia="仿宋" w:cs="仿宋"/>
          <w:sz w:val="24"/>
          <w:szCs w:val="24"/>
        </w:rPr>
      </w:pPr>
      <w:r>
        <w:rPr>
          <w:rFonts w:hint="eastAsia" w:ascii="仿宋" w:hAnsi="仿宋" w:eastAsia="仿宋" w:cs="仿宋"/>
          <w:sz w:val="24"/>
          <w:szCs w:val="24"/>
        </w:rPr>
        <w:t>（1）以全国统一服务热线为核心的网络化、标准化理赔服务，以遍布全国的服务网络、标准化的服务模式提供高水平、全方位的服务：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①服务热线提供的理赔服务内容包括24小时报案受理、现场查勘、道路救援、举报投诉等；</w:t>
      </w:r>
    </w:p>
    <w:p>
      <w:pPr>
        <w:spacing w:line="360" w:lineRule="auto"/>
        <w:rPr>
          <w:rFonts w:hint="eastAsia" w:ascii="仿宋" w:hAnsi="仿宋" w:eastAsia="仿宋" w:cs="仿宋"/>
          <w:sz w:val="24"/>
          <w:szCs w:val="24"/>
        </w:rPr>
      </w:pPr>
      <w:r>
        <w:rPr>
          <w:rFonts w:hint="eastAsia" w:ascii="仿宋" w:hAnsi="仿宋" w:eastAsia="仿宋" w:cs="仿宋"/>
          <w:sz w:val="24"/>
          <w:szCs w:val="24"/>
        </w:rPr>
        <w:t>②采用全国统一的标准化服务，即使异地出险，拨打服务热线同样享受方便快捷的服务。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③</w:t>
      </w:r>
      <w:r>
        <w:rPr>
          <w:rFonts w:hint="eastAsia" w:ascii="仿宋" w:hAnsi="仿宋" w:eastAsia="仿宋" w:cs="仿宋"/>
          <w:sz w:val="24"/>
          <w:szCs w:val="24"/>
          <w:lang w:eastAsia="zh-CN"/>
        </w:rPr>
        <w:t>供应商</w:t>
      </w:r>
      <w:r>
        <w:rPr>
          <w:rFonts w:hint="eastAsia" w:ascii="仿宋" w:hAnsi="仿宋" w:eastAsia="仿宋" w:cs="仿宋"/>
          <w:sz w:val="24"/>
          <w:szCs w:val="24"/>
        </w:rPr>
        <w:t>在承保</w:t>
      </w:r>
      <w:r>
        <w:rPr>
          <w:rFonts w:hint="eastAsia" w:ascii="仿宋" w:hAnsi="仿宋" w:eastAsia="仿宋" w:cs="仿宋"/>
          <w:sz w:val="24"/>
          <w:szCs w:val="24"/>
          <w:lang w:eastAsia="zh-CN"/>
        </w:rPr>
        <w:t>采购人</w:t>
      </w:r>
      <w:r>
        <w:rPr>
          <w:rFonts w:hint="eastAsia" w:ascii="仿宋" w:hAnsi="仿宋" w:eastAsia="仿宋" w:cs="仿宋"/>
          <w:sz w:val="24"/>
          <w:szCs w:val="24"/>
        </w:rPr>
        <w:t>车辆时对保险车辆进行标注，接案人接到报案后，即可以知道出险车辆是</w:t>
      </w:r>
      <w:r>
        <w:rPr>
          <w:rFonts w:hint="eastAsia" w:ascii="仿宋" w:hAnsi="仿宋" w:eastAsia="仿宋" w:cs="仿宋"/>
          <w:sz w:val="24"/>
          <w:szCs w:val="24"/>
          <w:lang w:eastAsia="zh-CN"/>
        </w:rPr>
        <w:t>采购人</w:t>
      </w:r>
      <w:r>
        <w:rPr>
          <w:rFonts w:hint="eastAsia" w:ascii="仿宋" w:hAnsi="仿宋" w:eastAsia="仿宋" w:cs="仿宋"/>
          <w:sz w:val="24"/>
          <w:szCs w:val="24"/>
        </w:rPr>
        <w:t>车辆，可以立即安排出险地附近的“快速查勘小组”进行现场查勘、定损。</w:t>
      </w:r>
    </w:p>
    <w:p>
      <w:pPr>
        <w:spacing w:line="360" w:lineRule="auto"/>
        <w:rPr>
          <w:rFonts w:hint="eastAsia" w:ascii="仿宋" w:hAnsi="仿宋" w:eastAsia="仿宋" w:cs="仿宋"/>
          <w:sz w:val="24"/>
          <w:szCs w:val="24"/>
        </w:rPr>
      </w:pPr>
      <w:r>
        <w:rPr>
          <w:rFonts w:hint="eastAsia" w:ascii="仿宋" w:hAnsi="仿宋" w:eastAsia="仿宋" w:cs="仿宋"/>
          <w:sz w:val="24"/>
          <w:szCs w:val="24"/>
        </w:rPr>
        <w:t>（2）专人受理报案服务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除上述方式外，</w:t>
      </w:r>
      <w:r>
        <w:rPr>
          <w:rFonts w:hint="eastAsia" w:ascii="仿宋" w:hAnsi="仿宋" w:eastAsia="仿宋" w:cs="仿宋"/>
          <w:sz w:val="24"/>
          <w:szCs w:val="24"/>
          <w:lang w:eastAsia="zh-CN"/>
        </w:rPr>
        <w:t>供应商</w:t>
      </w:r>
      <w:r>
        <w:rPr>
          <w:rFonts w:hint="eastAsia" w:ascii="仿宋" w:hAnsi="仿宋" w:eastAsia="仿宋" w:cs="仿宋"/>
          <w:sz w:val="24"/>
          <w:szCs w:val="24"/>
        </w:rPr>
        <w:t>还</w:t>
      </w:r>
      <w:r>
        <w:rPr>
          <w:rFonts w:hint="eastAsia" w:ascii="仿宋" w:hAnsi="仿宋" w:eastAsia="仿宋" w:cs="仿宋"/>
          <w:sz w:val="24"/>
          <w:szCs w:val="24"/>
          <w:lang w:val="en-US" w:eastAsia="zh-CN"/>
        </w:rPr>
        <w:t>应</w:t>
      </w:r>
      <w:r>
        <w:rPr>
          <w:rFonts w:hint="eastAsia" w:ascii="仿宋" w:hAnsi="仿宋" w:eastAsia="仿宋" w:cs="仿宋"/>
          <w:sz w:val="24"/>
          <w:szCs w:val="24"/>
        </w:rPr>
        <w:t>指定上述服务小组中各出单公司的理赔服务经理受理</w:t>
      </w:r>
      <w:r>
        <w:rPr>
          <w:rFonts w:hint="eastAsia" w:ascii="仿宋" w:hAnsi="仿宋" w:eastAsia="仿宋" w:cs="仿宋"/>
          <w:sz w:val="24"/>
          <w:szCs w:val="24"/>
          <w:lang w:eastAsia="zh-CN"/>
        </w:rPr>
        <w:t>采购人</w:t>
      </w:r>
      <w:r>
        <w:rPr>
          <w:rFonts w:hint="eastAsia" w:ascii="仿宋" w:hAnsi="仿宋" w:eastAsia="仿宋" w:cs="仿宋"/>
          <w:sz w:val="24"/>
          <w:szCs w:val="24"/>
        </w:rPr>
        <w:t>报案，确保科学、便捷、及时进行现场查勘。</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24小时现场查勘</w:t>
      </w:r>
    </w:p>
    <w:p>
      <w:pPr>
        <w:spacing w:line="360" w:lineRule="auto"/>
        <w:rPr>
          <w:rFonts w:hint="eastAsia" w:ascii="仿宋" w:hAnsi="仿宋" w:eastAsia="仿宋" w:cs="仿宋"/>
          <w:sz w:val="24"/>
          <w:szCs w:val="24"/>
        </w:rPr>
      </w:pPr>
      <w:r>
        <w:rPr>
          <w:rFonts w:hint="eastAsia" w:ascii="仿宋" w:hAnsi="仿宋" w:eastAsia="仿宋" w:cs="仿宋"/>
          <w:sz w:val="24"/>
          <w:szCs w:val="24"/>
        </w:rPr>
        <w:t>（1）对本项目出险车辆的查勘工作应按以下标准执行：</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服务热线查勘队伍以快速的反应能力、专业化的查勘定损水平提供全天24小时现场查勘服务；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只需拨打服务热线现场报案，市区环城高速路以内30分钟内到达现场，市区环城高速路以外60分钟内到达现场；</w:t>
      </w:r>
    </w:p>
    <w:p>
      <w:pPr>
        <w:spacing w:line="360" w:lineRule="auto"/>
        <w:rPr>
          <w:rFonts w:hint="eastAsia" w:ascii="仿宋" w:hAnsi="仿宋" w:eastAsia="仿宋" w:cs="仿宋"/>
          <w:sz w:val="24"/>
          <w:szCs w:val="24"/>
        </w:rPr>
      </w:pPr>
      <w:r>
        <w:rPr>
          <w:rFonts w:hint="eastAsia" w:ascii="仿宋" w:hAnsi="仿宋" w:eastAsia="仿宋" w:cs="仿宋"/>
          <w:sz w:val="24"/>
          <w:szCs w:val="24"/>
        </w:rPr>
        <w:t>广东省以外立即委托当地</w:t>
      </w:r>
      <w:r>
        <w:rPr>
          <w:rFonts w:hint="eastAsia" w:ascii="仿宋" w:hAnsi="仿宋" w:eastAsia="仿宋" w:cs="仿宋"/>
          <w:sz w:val="24"/>
          <w:szCs w:val="24"/>
          <w:lang w:eastAsia="zh-CN"/>
        </w:rPr>
        <w:t>供应商</w:t>
      </w:r>
      <w:r>
        <w:rPr>
          <w:rFonts w:hint="eastAsia" w:ascii="仿宋" w:hAnsi="仿宋" w:eastAsia="仿宋" w:cs="仿宋"/>
          <w:sz w:val="24"/>
          <w:szCs w:val="24"/>
        </w:rPr>
        <w:t>的分支机构代理查勘现场，市区30分钟内到达现场，市郊60分钟内到达现场，必要时</w:t>
      </w:r>
      <w:r>
        <w:rPr>
          <w:rFonts w:hint="eastAsia" w:ascii="仿宋" w:hAnsi="仿宋" w:eastAsia="仿宋" w:cs="仿宋"/>
          <w:sz w:val="24"/>
          <w:szCs w:val="24"/>
          <w:lang w:eastAsia="zh-CN"/>
        </w:rPr>
        <w:t>供应商</w:t>
      </w:r>
      <w:r>
        <w:rPr>
          <w:rFonts w:hint="eastAsia" w:ascii="仿宋" w:hAnsi="仿宋" w:eastAsia="仿宋" w:cs="仿宋"/>
          <w:sz w:val="24"/>
          <w:szCs w:val="24"/>
        </w:rPr>
        <w:t>在4小时内到达现场。</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将对出险车辆给与明确处理指引，并派专人协助被保险人全程办理相关索赔手续。如</w:t>
      </w:r>
      <w:r>
        <w:rPr>
          <w:rFonts w:hint="eastAsia" w:ascii="仿宋" w:hAnsi="仿宋" w:eastAsia="仿宋" w:cs="仿宋"/>
          <w:sz w:val="24"/>
          <w:szCs w:val="24"/>
          <w:lang w:eastAsia="zh-CN"/>
        </w:rPr>
        <w:t>供应商</w:t>
      </w:r>
      <w:r>
        <w:rPr>
          <w:rFonts w:hint="eastAsia" w:ascii="仿宋" w:hAnsi="仿宋" w:eastAsia="仿宋" w:cs="仿宋"/>
          <w:sz w:val="24"/>
          <w:szCs w:val="24"/>
        </w:rPr>
        <w:t>没有按照上述约定时间到达事故现场，以被保险人提供的现场照片、损失清单、事故说明、修理发票及其他证明材料作为赔付理算依据，如当事人当时无法拍照，可不提供现场照片。</w:t>
      </w:r>
    </w:p>
    <w:p>
      <w:pPr>
        <w:spacing w:line="360" w:lineRule="auto"/>
        <w:rPr>
          <w:rFonts w:hint="eastAsia" w:ascii="仿宋" w:hAnsi="仿宋" w:eastAsia="仿宋" w:cs="仿宋"/>
          <w:sz w:val="24"/>
          <w:szCs w:val="24"/>
        </w:rPr>
      </w:pPr>
      <w:r>
        <w:rPr>
          <w:rFonts w:hint="eastAsia" w:ascii="仿宋" w:hAnsi="仿宋" w:eastAsia="仿宋" w:cs="仿宋"/>
          <w:sz w:val="24"/>
          <w:szCs w:val="24"/>
        </w:rPr>
        <w:t>（2）以下事故，</w:t>
      </w:r>
      <w:r>
        <w:rPr>
          <w:rFonts w:hint="eastAsia" w:ascii="仿宋" w:hAnsi="仿宋" w:eastAsia="仿宋" w:cs="仿宋"/>
          <w:sz w:val="24"/>
          <w:szCs w:val="24"/>
          <w:lang w:eastAsia="zh-CN"/>
        </w:rPr>
        <w:t>供应商</w:t>
      </w:r>
      <w:r>
        <w:rPr>
          <w:rFonts w:hint="eastAsia" w:ascii="仿宋" w:hAnsi="仿宋" w:eastAsia="仿宋" w:cs="仿宋"/>
          <w:sz w:val="24"/>
          <w:szCs w:val="24"/>
        </w:rPr>
        <w:t>同意在向服务热线报案后免现场查勘，凭相关证明索赔：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①经过交警部门查勘的案件免现场查勘，凭据交警部门出具的事故证明索赔；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②经过公安机关查勘的案件免现场查勘，凭据公安机关出具的事故证明索赔；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③盗抢案件免现场查勘，凭据出险地县级以上公安机关出具的全车盗抢案件证明索赔；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④车身划痕案件免现场查勘，凭据被保人出具的事故证明索赔；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⑤单独玻璃破碎案件免现场查勘；</w:t>
      </w:r>
    </w:p>
    <w:p>
      <w:pPr>
        <w:spacing w:line="360" w:lineRule="auto"/>
        <w:rPr>
          <w:rFonts w:hint="eastAsia" w:ascii="仿宋" w:hAnsi="仿宋" w:eastAsia="仿宋" w:cs="仿宋"/>
          <w:sz w:val="24"/>
          <w:szCs w:val="24"/>
        </w:rPr>
      </w:pPr>
      <w:r>
        <w:rPr>
          <w:rFonts w:hint="eastAsia" w:ascii="仿宋" w:hAnsi="仿宋" w:eastAsia="仿宋" w:cs="仿宋"/>
          <w:sz w:val="24"/>
          <w:szCs w:val="24"/>
        </w:rPr>
        <w:t>⑥火灾、爆炸、自燃事故，经过消防、公安机关查勘的免现场查勘，凭据相应的消防、公安机关出具的事故证明索赔；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⑦暴风、龙卷风、雷击、雹灾、暴雨、洪水、海啸等自然灾害造成保险车辆损失的案件免现场查勘，凭据气象部门出具的证明或当天报纸所载气象信息索赔；</w:t>
      </w:r>
    </w:p>
    <w:p>
      <w:pPr>
        <w:spacing w:line="360" w:lineRule="auto"/>
        <w:rPr>
          <w:rFonts w:hint="eastAsia" w:ascii="仿宋" w:hAnsi="仿宋" w:eastAsia="仿宋" w:cs="仿宋"/>
          <w:sz w:val="24"/>
          <w:szCs w:val="24"/>
        </w:rPr>
      </w:pPr>
      <w:r>
        <w:rPr>
          <w:rFonts w:hint="eastAsia" w:ascii="仿宋" w:hAnsi="仿宋" w:eastAsia="仿宋" w:cs="仿宋"/>
          <w:sz w:val="24"/>
          <w:szCs w:val="24"/>
        </w:rPr>
        <w:t>⑧对于未造成第三者人员伤亡和财产损失、且单次事故损失金额在10000元以下的单方责任事故，可以不报交警并免除现场查勘。但驾驶员应对事故现场拍照作为日后索赔依据，并在撤离事故现场后及时与</w:t>
      </w:r>
      <w:r>
        <w:rPr>
          <w:rFonts w:hint="eastAsia" w:ascii="仿宋" w:hAnsi="仿宋" w:eastAsia="仿宋" w:cs="仿宋"/>
          <w:sz w:val="24"/>
          <w:szCs w:val="24"/>
          <w:lang w:eastAsia="zh-CN"/>
        </w:rPr>
        <w:t>供应商</w:t>
      </w:r>
      <w:r>
        <w:rPr>
          <w:rFonts w:hint="eastAsia" w:ascii="仿宋" w:hAnsi="仿宋" w:eastAsia="仿宋" w:cs="仿宋"/>
          <w:sz w:val="24"/>
          <w:szCs w:val="24"/>
        </w:rPr>
        <w:t>联系进行车辆定损。索赔时，被保险人需向</w:t>
      </w:r>
      <w:r>
        <w:rPr>
          <w:rFonts w:hint="eastAsia" w:ascii="仿宋" w:hAnsi="仿宋" w:eastAsia="仿宋" w:cs="仿宋"/>
          <w:sz w:val="24"/>
          <w:szCs w:val="24"/>
          <w:lang w:eastAsia="zh-CN"/>
        </w:rPr>
        <w:t>供应商</w:t>
      </w:r>
      <w:r>
        <w:rPr>
          <w:rFonts w:hint="eastAsia" w:ascii="仿宋" w:hAnsi="仿宋" w:eastAsia="仿宋" w:cs="仿宋"/>
          <w:sz w:val="24"/>
          <w:szCs w:val="24"/>
        </w:rPr>
        <w:t>提供向服务热线报案所取得的报案号码、现场照片（可接受手机现场拍照）、损失清单、事故说明、修理发票及其他证明材料作为赔付理算依据；</w:t>
      </w:r>
    </w:p>
    <w:p>
      <w:pPr>
        <w:spacing w:line="360" w:lineRule="auto"/>
        <w:rPr>
          <w:rFonts w:hint="eastAsia" w:ascii="仿宋" w:hAnsi="仿宋" w:eastAsia="仿宋" w:cs="仿宋"/>
          <w:sz w:val="24"/>
          <w:szCs w:val="24"/>
        </w:rPr>
      </w:pPr>
      <w:r>
        <w:rPr>
          <w:rFonts w:hint="eastAsia" w:ascii="仿宋" w:hAnsi="仿宋" w:eastAsia="仿宋" w:cs="仿宋"/>
          <w:sz w:val="24"/>
          <w:szCs w:val="24"/>
        </w:rPr>
        <w:t>⑨双方事先约定的特殊车辆（如领导用车）免现场查勘。驾驶员撤离事故现场后应及时与</w:t>
      </w:r>
      <w:r>
        <w:rPr>
          <w:rFonts w:hint="eastAsia" w:ascii="仿宋" w:hAnsi="仿宋" w:eastAsia="仿宋" w:cs="仿宋"/>
          <w:sz w:val="24"/>
          <w:szCs w:val="24"/>
          <w:lang w:eastAsia="zh-CN"/>
        </w:rPr>
        <w:t>供应商</w:t>
      </w:r>
      <w:r>
        <w:rPr>
          <w:rFonts w:hint="eastAsia" w:ascii="仿宋" w:hAnsi="仿宋" w:eastAsia="仿宋" w:cs="仿宋"/>
          <w:sz w:val="24"/>
          <w:szCs w:val="24"/>
        </w:rPr>
        <w:t>联系进行车辆定损。索赔时，被保险人应提供现场照片（可接受手机现场拍照）、损失清单、事故说明、修理发票及其他证明材料作为赔付理算依据。</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快速定损和维修</w:t>
      </w:r>
    </w:p>
    <w:p>
      <w:pPr>
        <w:spacing w:line="360" w:lineRule="auto"/>
        <w:rPr>
          <w:rFonts w:hint="eastAsia" w:ascii="仿宋" w:hAnsi="仿宋" w:eastAsia="仿宋" w:cs="仿宋"/>
          <w:sz w:val="24"/>
          <w:szCs w:val="24"/>
        </w:rPr>
      </w:pPr>
      <w:r>
        <w:rPr>
          <w:rFonts w:hint="eastAsia" w:ascii="仿宋" w:hAnsi="仿宋" w:eastAsia="仿宋" w:cs="仿宋"/>
          <w:sz w:val="24"/>
          <w:szCs w:val="24"/>
        </w:rPr>
        <w:t>（1）一般处理原则</w:t>
      </w:r>
    </w:p>
    <w:p>
      <w:pPr>
        <w:spacing w:line="360" w:lineRule="auto"/>
        <w:rPr>
          <w:rFonts w:hint="eastAsia" w:ascii="仿宋" w:hAnsi="仿宋" w:eastAsia="仿宋" w:cs="仿宋"/>
          <w:sz w:val="24"/>
          <w:szCs w:val="24"/>
        </w:rPr>
      </w:pPr>
      <w:r>
        <w:rPr>
          <w:rFonts w:hint="eastAsia" w:ascii="仿宋" w:hAnsi="仿宋" w:eastAsia="仿宋" w:cs="仿宋"/>
          <w:sz w:val="24"/>
          <w:szCs w:val="24"/>
        </w:rPr>
        <w:t>根据广东地区交通事故的特点，</w:t>
      </w:r>
      <w:r>
        <w:rPr>
          <w:rFonts w:hint="eastAsia" w:ascii="仿宋" w:hAnsi="仿宋" w:eastAsia="仿宋" w:cs="仿宋"/>
          <w:sz w:val="24"/>
          <w:szCs w:val="24"/>
          <w:lang w:eastAsia="zh-CN"/>
        </w:rPr>
        <w:t>供应商</w:t>
      </w:r>
      <w:r>
        <w:rPr>
          <w:rFonts w:hint="eastAsia" w:ascii="仿宋" w:hAnsi="仿宋" w:eastAsia="仿宋" w:cs="仿宋"/>
          <w:sz w:val="24"/>
          <w:szCs w:val="24"/>
        </w:rPr>
        <w:t>在广东省各地市设立过百个定损点，</w:t>
      </w:r>
      <w:r>
        <w:rPr>
          <w:rFonts w:hint="eastAsia" w:ascii="仿宋" w:hAnsi="仿宋" w:eastAsia="仿宋" w:cs="仿宋"/>
          <w:sz w:val="24"/>
          <w:szCs w:val="24"/>
          <w:lang w:eastAsia="zh-CN"/>
        </w:rPr>
        <w:t>供应商</w:t>
      </w:r>
      <w:r>
        <w:rPr>
          <w:rFonts w:hint="eastAsia" w:ascii="仿宋" w:hAnsi="仿宋" w:eastAsia="仿宋" w:cs="仿宋"/>
          <w:sz w:val="24"/>
          <w:szCs w:val="24"/>
        </w:rPr>
        <w:t>接报案后，根据就近定损的原则，安排</w:t>
      </w:r>
      <w:r>
        <w:rPr>
          <w:rFonts w:hint="eastAsia" w:ascii="仿宋" w:hAnsi="仿宋" w:eastAsia="仿宋" w:cs="仿宋"/>
          <w:sz w:val="24"/>
          <w:szCs w:val="24"/>
          <w:lang w:eastAsia="zh-CN"/>
        </w:rPr>
        <w:t>采购人</w:t>
      </w:r>
      <w:r>
        <w:rPr>
          <w:rFonts w:hint="eastAsia" w:ascii="仿宋" w:hAnsi="仿宋" w:eastAsia="仿宋" w:cs="仿宋"/>
          <w:sz w:val="24"/>
          <w:szCs w:val="24"/>
        </w:rPr>
        <w:t>出险车辆到出险地附近的定损点进行定损，</w:t>
      </w:r>
      <w:r>
        <w:rPr>
          <w:rFonts w:hint="eastAsia" w:ascii="仿宋" w:hAnsi="仿宋" w:eastAsia="仿宋" w:cs="仿宋"/>
          <w:sz w:val="24"/>
          <w:szCs w:val="24"/>
          <w:lang w:eastAsia="zh-CN"/>
        </w:rPr>
        <w:t>采购人</w:t>
      </w:r>
      <w:r>
        <w:rPr>
          <w:rFonts w:hint="eastAsia" w:ascii="仿宋" w:hAnsi="仿宋" w:eastAsia="仿宋" w:cs="仿宋"/>
          <w:sz w:val="24"/>
          <w:szCs w:val="24"/>
        </w:rPr>
        <w:t>出险车辆定损后可自行选择修理厂（包括</w:t>
      </w:r>
      <w:r>
        <w:rPr>
          <w:rFonts w:hint="eastAsia" w:ascii="仿宋" w:hAnsi="仿宋" w:eastAsia="仿宋" w:cs="仿宋"/>
          <w:sz w:val="24"/>
          <w:szCs w:val="24"/>
          <w:lang w:eastAsia="zh-CN"/>
        </w:rPr>
        <w:t>采购人</w:t>
      </w:r>
      <w:r>
        <w:rPr>
          <w:rFonts w:hint="eastAsia" w:ascii="仿宋" w:hAnsi="仿宋" w:eastAsia="仿宋" w:cs="仿宋"/>
          <w:sz w:val="24"/>
          <w:szCs w:val="24"/>
        </w:rPr>
        <w:t>下属修理厂）进行修理,也可由</w:t>
      </w:r>
      <w:r>
        <w:rPr>
          <w:rFonts w:hint="eastAsia" w:ascii="仿宋" w:hAnsi="仿宋" w:eastAsia="仿宋" w:cs="仿宋"/>
          <w:sz w:val="24"/>
          <w:szCs w:val="24"/>
          <w:lang w:eastAsia="zh-CN"/>
        </w:rPr>
        <w:t>供应商</w:t>
      </w:r>
      <w:r>
        <w:rPr>
          <w:rFonts w:hint="eastAsia" w:ascii="仿宋" w:hAnsi="仿宋" w:eastAsia="仿宋" w:cs="仿宋"/>
          <w:sz w:val="24"/>
          <w:szCs w:val="24"/>
        </w:rPr>
        <w:t>推荐修理厂进行修理。</w:t>
      </w:r>
    </w:p>
    <w:p>
      <w:pPr>
        <w:spacing w:line="360" w:lineRule="auto"/>
        <w:rPr>
          <w:rFonts w:hint="eastAsia"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sz w:val="24"/>
          <w:szCs w:val="24"/>
          <w:lang w:eastAsia="zh-CN"/>
        </w:rPr>
        <w:t>供应商</w:t>
      </w:r>
      <w:r>
        <w:rPr>
          <w:rFonts w:hint="eastAsia" w:ascii="仿宋" w:hAnsi="仿宋" w:eastAsia="仿宋" w:cs="仿宋"/>
          <w:sz w:val="24"/>
          <w:szCs w:val="24"/>
        </w:rPr>
        <w:t>上述指定的定损点外，在</w:t>
      </w:r>
      <w:r>
        <w:rPr>
          <w:rFonts w:hint="eastAsia" w:ascii="仿宋" w:hAnsi="仿宋" w:eastAsia="仿宋" w:cs="仿宋"/>
          <w:sz w:val="24"/>
          <w:szCs w:val="24"/>
          <w:lang w:eastAsia="zh-CN"/>
        </w:rPr>
        <w:t>采购人</w:t>
      </w:r>
      <w:r>
        <w:rPr>
          <w:rFonts w:hint="eastAsia" w:ascii="仿宋" w:hAnsi="仿宋" w:eastAsia="仿宋" w:cs="仿宋"/>
          <w:sz w:val="24"/>
          <w:szCs w:val="24"/>
        </w:rPr>
        <w:t>车辆发生保险责任事故后，</w:t>
      </w:r>
      <w:r>
        <w:rPr>
          <w:rFonts w:hint="eastAsia" w:ascii="仿宋" w:hAnsi="仿宋" w:eastAsia="仿宋" w:cs="仿宋"/>
          <w:sz w:val="24"/>
          <w:szCs w:val="24"/>
          <w:lang w:eastAsia="zh-CN"/>
        </w:rPr>
        <w:t>供应商</w:t>
      </w:r>
      <w:r>
        <w:rPr>
          <w:rFonts w:hint="eastAsia" w:ascii="仿宋" w:hAnsi="仿宋" w:eastAsia="仿宋" w:cs="仿宋"/>
          <w:sz w:val="24"/>
          <w:szCs w:val="24"/>
        </w:rPr>
        <w:t>同意</w:t>
      </w:r>
      <w:r>
        <w:rPr>
          <w:rFonts w:hint="eastAsia" w:ascii="仿宋" w:hAnsi="仿宋" w:eastAsia="仿宋" w:cs="仿宋"/>
          <w:sz w:val="24"/>
          <w:szCs w:val="24"/>
          <w:lang w:eastAsia="zh-CN"/>
        </w:rPr>
        <w:t>采购人</w:t>
      </w:r>
      <w:r>
        <w:rPr>
          <w:rFonts w:hint="eastAsia" w:ascii="仿宋" w:hAnsi="仿宋" w:eastAsia="仿宋" w:cs="仿宋"/>
          <w:sz w:val="24"/>
          <w:szCs w:val="24"/>
        </w:rPr>
        <w:t>事故车辆和第三者事故车辆到已经</w:t>
      </w:r>
      <w:r>
        <w:rPr>
          <w:rFonts w:hint="eastAsia" w:ascii="仿宋" w:hAnsi="仿宋" w:eastAsia="仿宋" w:cs="仿宋"/>
          <w:sz w:val="24"/>
          <w:szCs w:val="24"/>
          <w:lang w:eastAsia="zh-CN"/>
        </w:rPr>
        <w:t>供应商</w:t>
      </w:r>
      <w:r>
        <w:rPr>
          <w:rFonts w:hint="eastAsia" w:ascii="仿宋" w:hAnsi="仿宋" w:eastAsia="仿宋" w:cs="仿宋"/>
          <w:sz w:val="24"/>
          <w:szCs w:val="24"/>
        </w:rPr>
        <w:t>认可的</w:t>
      </w:r>
      <w:r>
        <w:rPr>
          <w:rFonts w:hint="eastAsia" w:ascii="仿宋" w:hAnsi="仿宋" w:eastAsia="仿宋" w:cs="仿宋"/>
          <w:sz w:val="24"/>
          <w:szCs w:val="24"/>
          <w:lang w:eastAsia="zh-CN"/>
        </w:rPr>
        <w:t>采购人</w:t>
      </w:r>
      <w:r>
        <w:rPr>
          <w:rFonts w:hint="eastAsia" w:ascii="仿宋" w:hAnsi="仿宋" w:eastAsia="仿宋" w:cs="仿宋"/>
          <w:sz w:val="24"/>
          <w:szCs w:val="24"/>
        </w:rPr>
        <w:t>下属修理厂进行定损，也同意推荐、调度</w:t>
      </w:r>
      <w:r>
        <w:rPr>
          <w:rFonts w:hint="eastAsia" w:ascii="仿宋" w:hAnsi="仿宋" w:eastAsia="仿宋" w:cs="仿宋"/>
          <w:sz w:val="24"/>
          <w:szCs w:val="24"/>
          <w:lang w:eastAsia="zh-CN"/>
        </w:rPr>
        <w:t>采购人</w:t>
      </w:r>
      <w:r>
        <w:rPr>
          <w:rFonts w:hint="eastAsia" w:ascii="仿宋" w:hAnsi="仿宋" w:eastAsia="仿宋" w:cs="仿宋"/>
          <w:sz w:val="24"/>
          <w:szCs w:val="24"/>
        </w:rPr>
        <w:t>事故车辆（营运车辆除外）和第三者事故车辆到签约车行进行定损，直接享受</w:t>
      </w:r>
      <w:r>
        <w:rPr>
          <w:rFonts w:hint="eastAsia" w:ascii="仿宋" w:hAnsi="仿宋" w:eastAsia="仿宋" w:cs="仿宋"/>
          <w:sz w:val="24"/>
          <w:szCs w:val="24"/>
          <w:lang w:eastAsia="zh-CN"/>
        </w:rPr>
        <w:t>供应商</w:t>
      </w:r>
      <w:r>
        <w:rPr>
          <w:rFonts w:hint="eastAsia" w:ascii="仿宋" w:hAnsi="仿宋" w:eastAsia="仿宋" w:cs="仿宋"/>
          <w:sz w:val="24"/>
          <w:szCs w:val="24"/>
        </w:rPr>
        <w:t>4S车行无差异服务（4S车行清单详见附件，签约合作车行如有修改以出险时实际合作车行为准）。</w:t>
      </w:r>
    </w:p>
    <w:p>
      <w:pPr>
        <w:spacing w:line="360" w:lineRule="auto"/>
        <w:rPr>
          <w:rFonts w:hint="eastAsia" w:ascii="仿宋" w:hAnsi="仿宋" w:eastAsia="仿宋" w:cs="仿宋"/>
          <w:sz w:val="24"/>
          <w:szCs w:val="24"/>
        </w:rPr>
      </w:pPr>
      <w:r>
        <w:rPr>
          <w:rFonts w:hint="eastAsia" w:ascii="仿宋" w:hAnsi="仿宋" w:eastAsia="仿宋" w:cs="仿宋"/>
          <w:sz w:val="24"/>
          <w:szCs w:val="24"/>
        </w:rPr>
        <w:t>（2）车辆定损估价</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发生自身或第三者车辆损失的交通事故，</w:t>
      </w:r>
      <w:r>
        <w:rPr>
          <w:rFonts w:hint="eastAsia" w:ascii="仿宋" w:hAnsi="仿宋" w:eastAsia="仿宋" w:cs="仿宋"/>
          <w:sz w:val="24"/>
          <w:szCs w:val="24"/>
          <w:lang w:eastAsia="zh-CN"/>
        </w:rPr>
        <w:t>供应商</w:t>
      </w:r>
      <w:r>
        <w:rPr>
          <w:rFonts w:hint="eastAsia" w:ascii="仿宋" w:hAnsi="仿宋" w:eastAsia="仿宋" w:cs="仿宋"/>
          <w:sz w:val="24"/>
          <w:szCs w:val="24"/>
        </w:rPr>
        <w:t>对于</w:t>
      </w:r>
      <w:r>
        <w:rPr>
          <w:rFonts w:hint="eastAsia" w:ascii="仿宋" w:hAnsi="仿宋" w:eastAsia="仿宋" w:cs="仿宋"/>
          <w:sz w:val="24"/>
          <w:szCs w:val="24"/>
          <w:lang w:eastAsia="zh-CN"/>
        </w:rPr>
        <w:t>采购人</w:t>
      </w:r>
      <w:r>
        <w:rPr>
          <w:rFonts w:hint="eastAsia" w:ascii="仿宋" w:hAnsi="仿宋" w:eastAsia="仿宋" w:cs="仿宋"/>
          <w:sz w:val="24"/>
          <w:szCs w:val="24"/>
        </w:rPr>
        <w:t>或第三者的车辆定损本着公平、公正、公开的原则至少按照一类修理厂的标准进行定损。对于受损零部件，</w:t>
      </w:r>
      <w:r>
        <w:rPr>
          <w:rFonts w:hint="eastAsia" w:ascii="仿宋" w:hAnsi="仿宋" w:eastAsia="仿宋" w:cs="仿宋"/>
          <w:sz w:val="24"/>
          <w:szCs w:val="24"/>
          <w:lang w:eastAsia="zh-CN"/>
        </w:rPr>
        <w:t>供应商</w:t>
      </w:r>
      <w:r>
        <w:rPr>
          <w:rFonts w:hint="eastAsia" w:ascii="仿宋" w:hAnsi="仿宋" w:eastAsia="仿宋" w:cs="仿宋"/>
          <w:sz w:val="24"/>
          <w:szCs w:val="24"/>
        </w:rPr>
        <w:t>原则上予以更换原厂件处理，如无法更换原厂件的，应提前告知</w:t>
      </w:r>
      <w:r>
        <w:rPr>
          <w:rFonts w:hint="eastAsia" w:ascii="仿宋" w:hAnsi="仿宋" w:eastAsia="仿宋" w:cs="仿宋"/>
          <w:sz w:val="24"/>
          <w:szCs w:val="24"/>
          <w:lang w:eastAsia="zh-CN"/>
        </w:rPr>
        <w:t>采购人</w:t>
      </w:r>
      <w:r>
        <w:rPr>
          <w:rFonts w:hint="eastAsia" w:ascii="仿宋" w:hAnsi="仿宋" w:eastAsia="仿宋" w:cs="仿宋"/>
          <w:sz w:val="24"/>
          <w:szCs w:val="24"/>
        </w:rPr>
        <w:t>并征得</w:t>
      </w:r>
      <w:r>
        <w:rPr>
          <w:rFonts w:hint="eastAsia" w:ascii="仿宋" w:hAnsi="仿宋" w:eastAsia="仿宋" w:cs="仿宋"/>
          <w:sz w:val="24"/>
          <w:szCs w:val="24"/>
          <w:lang w:eastAsia="zh-CN"/>
        </w:rPr>
        <w:t>采购人</w:t>
      </w:r>
      <w:r>
        <w:rPr>
          <w:rFonts w:hint="eastAsia" w:ascii="仿宋" w:hAnsi="仿宋" w:eastAsia="仿宋" w:cs="仿宋"/>
          <w:sz w:val="24"/>
          <w:szCs w:val="24"/>
        </w:rPr>
        <w:t>同意。如遇到较难处理案件，为避免事态扩大，</w:t>
      </w:r>
      <w:r>
        <w:rPr>
          <w:rFonts w:hint="eastAsia" w:ascii="仿宋" w:hAnsi="仿宋" w:eastAsia="仿宋" w:cs="仿宋"/>
          <w:sz w:val="24"/>
          <w:szCs w:val="24"/>
          <w:lang w:eastAsia="zh-CN"/>
        </w:rPr>
        <w:t>供应商</w:t>
      </w:r>
      <w:r>
        <w:rPr>
          <w:rFonts w:hint="eastAsia" w:ascii="仿宋" w:hAnsi="仿宋" w:eastAsia="仿宋" w:cs="仿宋"/>
          <w:sz w:val="24"/>
          <w:szCs w:val="24"/>
        </w:rPr>
        <w:t>将协助</w:t>
      </w:r>
      <w:r>
        <w:rPr>
          <w:rFonts w:hint="eastAsia" w:ascii="仿宋" w:hAnsi="仿宋" w:eastAsia="仿宋" w:cs="仿宋"/>
          <w:sz w:val="24"/>
          <w:szCs w:val="24"/>
          <w:lang w:eastAsia="zh-CN"/>
        </w:rPr>
        <w:t>采购人</w:t>
      </w:r>
      <w:r>
        <w:rPr>
          <w:rFonts w:hint="eastAsia" w:ascii="仿宋" w:hAnsi="仿宋" w:eastAsia="仿宋" w:cs="仿宋"/>
          <w:sz w:val="24"/>
          <w:szCs w:val="24"/>
        </w:rPr>
        <w:t>与第三者方协商处理。如经过协商仍无法处理，可通过物价评估部门进行评估。</w:t>
      </w:r>
    </w:p>
    <w:p>
      <w:pPr>
        <w:spacing w:line="360" w:lineRule="auto"/>
        <w:rPr>
          <w:rFonts w:hint="eastAsia" w:ascii="仿宋" w:hAnsi="仿宋" w:eastAsia="仿宋" w:cs="仿宋"/>
          <w:sz w:val="24"/>
          <w:szCs w:val="24"/>
        </w:rPr>
      </w:pPr>
      <w:r>
        <w:rPr>
          <w:rFonts w:hint="eastAsia" w:ascii="仿宋" w:hAnsi="仿宋" w:eastAsia="仿宋" w:cs="仿宋"/>
          <w:sz w:val="24"/>
          <w:szCs w:val="24"/>
        </w:rPr>
        <w:t>（3）第三方物损定损估价</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因保险责任事故造成第三者财产损失（有赔偿标准的财产损失中：如市政、路政方面的护栏、路基、灯柱、绿化园林方面的树木，草地等），对于损失属实的，</w:t>
      </w:r>
      <w:r>
        <w:rPr>
          <w:rFonts w:hint="eastAsia" w:ascii="仿宋" w:hAnsi="仿宋" w:eastAsia="仿宋" w:cs="仿宋"/>
          <w:sz w:val="24"/>
          <w:szCs w:val="24"/>
          <w:lang w:eastAsia="zh-CN"/>
        </w:rPr>
        <w:t>供应商</w:t>
      </w:r>
      <w:r>
        <w:rPr>
          <w:rFonts w:hint="eastAsia" w:ascii="仿宋" w:hAnsi="仿宋" w:eastAsia="仿宋" w:cs="仿宋"/>
          <w:sz w:val="24"/>
          <w:szCs w:val="24"/>
        </w:rPr>
        <w:t>按国家政府相关部门的赔偿标准赔付；如属于无赔偿标准的财产损失如：铁门、房屋、牲畜、宠物等，在较小损失内提供依据和证明（铁门购买发票，房屋鉴定，工程预算书，牲畜，宠物的市场行情等）协商解决。在较大损失内，可委托中介机构物价局、公估公司、鉴定中心进行损失评估。</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预付赔款服务</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将根据已有证明和资料可以确定的最低损失金额范围内预付赔款；最终确定赔偿或给付保险金的数额后，再支付相应的差额。</w:t>
      </w:r>
    </w:p>
    <w:p>
      <w:pPr>
        <w:spacing w:line="360" w:lineRule="auto"/>
        <w:rPr>
          <w:rFonts w:hint="eastAsia" w:ascii="仿宋" w:hAnsi="仿宋" w:eastAsia="仿宋" w:cs="仿宋"/>
          <w:sz w:val="24"/>
          <w:szCs w:val="24"/>
        </w:rPr>
      </w:pPr>
      <w:r>
        <w:rPr>
          <w:rFonts w:hint="eastAsia" w:ascii="仿宋" w:hAnsi="仿宋" w:eastAsia="仿宋" w:cs="仿宋"/>
          <w:sz w:val="24"/>
          <w:szCs w:val="24"/>
        </w:rPr>
        <w:t>当投保单位发生预计事故损失金额在5万元及以上的重大保险责任事故时，在保险责任明确的情况下，可凭事故责任认定书、涉及人伤时提供县级以上医院出示的诊断书及医疗收据向</w:t>
      </w:r>
      <w:r>
        <w:rPr>
          <w:rFonts w:hint="eastAsia" w:ascii="仿宋" w:hAnsi="仿宋" w:eastAsia="仿宋" w:cs="仿宋"/>
          <w:sz w:val="24"/>
          <w:szCs w:val="24"/>
          <w:lang w:eastAsia="zh-CN"/>
        </w:rPr>
        <w:t>供应商</w:t>
      </w:r>
      <w:r>
        <w:rPr>
          <w:rFonts w:hint="eastAsia" w:ascii="仿宋" w:hAnsi="仿宋" w:eastAsia="仿宋" w:cs="仿宋"/>
          <w:sz w:val="24"/>
          <w:szCs w:val="24"/>
        </w:rPr>
        <w:t>申请预付赔款，</w:t>
      </w:r>
      <w:r>
        <w:rPr>
          <w:rFonts w:hint="eastAsia" w:ascii="仿宋" w:hAnsi="仿宋" w:eastAsia="仿宋" w:cs="仿宋"/>
          <w:sz w:val="24"/>
          <w:szCs w:val="24"/>
          <w:lang w:eastAsia="zh-CN"/>
        </w:rPr>
        <w:t>供应商</w:t>
      </w:r>
      <w:r>
        <w:rPr>
          <w:rFonts w:hint="eastAsia" w:ascii="仿宋" w:hAnsi="仿宋" w:eastAsia="仿宋" w:cs="仿宋"/>
          <w:sz w:val="24"/>
          <w:szCs w:val="24"/>
        </w:rPr>
        <w:t>将在5个工作日内在双方确定的损失金额范围内预付50%的赔款。</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服务团队提前介入，提高服务效率）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先予赔付、代位追偿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对于保险责任内的事故，涉及向第三方追偿的。</w:t>
      </w:r>
      <w:r>
        <w:rPr>
          <w:rFonts w:hint="eastAsia" w:ascii="仿宋" w:hAnsi="仿宋" w:eastAsia="仿宋" w:cs="仿宋"/>
          <w:sz w:val="24"/>
          <w:szCs w:val="24"/>
          <w:lang w:eastAsia="zh-CN"/>
        </w:rPr>
        <w:t>采购人</w:t>
      </w:r>
      <w:r>
        <w:rPr>
          <w:rFonts w:hint="eastAsia" w:ascii="仿宋" w:hAnsi="仿宋" w:eastAsia="仿宋" w:cs="仿宋"/>
          <w:sz w:val="24"/>
          <w:szCs w:val="24"/>
        </w:rPr>
        <w:t>向第三方追偿未果的情况下，</w:t>
      </w:r>
      <w:r>
        <w:rPr>
          <w:rFonts w:hint="eastAsia" w:ascii="仿宋" w:hAnsi="仿宋" w:eastAsia="仿宋" w:cs="仿宋"/>
          <w:sz w:val="24"/>
          <w:szCs w:val="24"/>
          <w:lang w:eastAsia="zh-CN"/>
        </w:rPr>
        <w:t>采购人</w:t>
      </w:r>
      <w:r>
        <w:rPr>
          <w:rFonts w:hint="eastAsia" w:ascii="仿宋" w:hAnsi="仿宋" w:eastAsia="仿宋" w:cs="仿宋"/>
          <w:sz w:val="24"/>
          <w:szCs w:val="24"/>
        </w:rPr>
        <w:t>将向第三方代位追偿权转给</w:t>
      </w:r>
      <w:r>
        <w:rPr>
          <w:rFonts w:hint="eastAsia" w:ascii="仿宋" w:hAnsi="仿宋" w:eastAsia="仿宋" w:cs="仿宋"/>
          <w:sz w:val="24"/>
          <w:szCs w:val="24"/>
          <w:lang w:eastAsia="zh-CN"/>
        </w:rPr>
        <w:t>供应商</w:t>
      </w:r>
      <w:r>
        <w:rPr>
          <w:rFonts w:hint="eastAsia" w:ascii="仿宋" w:hAnsi="仿宋" w:eastAsia="仿宋" w:cs="仿宋"/>
          <w:sz w:val="24"/>
          <w:szCs w:val="24"/>
        </w:rPr>
        <w:t>后，</w:t>
      </w:r>
      <w:r>
        <w:rPr>
          <w:rFonts w:hint="eastAsia" w:ascii="仿宋" w:hAnsi="仿宋" w:eastAsia="仿宋" w:cs="仿宋"/>
          <w:sz w:val="24"/>
          <w:szCs w:val="24"/>
          <w:lang w:eastAsia="zh-CN"/>
        </w:rPr>
        <w:t>供应商</w:t>
      </w:r>
      <w:r>
        <w:rPr>
          <w:rFonts w:hint="eastAsia" w:ascii="仿宋" w:hAnsi="仿宋" w:eastAsia="仿宋" w:cs="仿宋"/>
          <w:sz w:val="24"/>
          <w:szCs w:val="24"/>
        </w:rPr>
        <w:t>可先予赔付，再由</w:t>
      </w:r>
      <w:r>
        <w:rPr>
          <w:rFonts w:hint="eastAsia" w:ascii="仿宋" w:hAnsi="仿宋" w:eastAsia="仿宋" w:cs="仿宋"/>
          <w:sz w:val="24"/>
          <w:szCs w:val="24"/>
          <w:lang w:eastAsia="zh-CN"/>
        </w:rPr>
        <w:t>采购人</w:t>
      </w:r>
      <w:r>
        <w:rPr>
          <w:rFonts w:hint="eastAsia" w:ascii="仿宋" w:hAnsi="仿宋" w:eastAsia="仿宋" w:cs="仿宋"/>
          <w:sz w:val="24"/>
          <w:szCs w:val="24"/>
        </w:rPr>
        <w:t>协助</w:t>
      </w:r>
      <w:r>
        <w:rPr>
          <w:rFonts w:hint="eastAsia" w:ascii="仿宋" w:hAnsi="仿宋" w:eastAsia="仿宋" w:cs="仿宋"/>
          <w:sz w:val="24"/>
          <w:szCs w:val="24"/>
          <w:lang w:eastAsia="zh-CN"/>
        </w:rPr>
        <w:t>供应商</w:t>
      </w:r>
      <w:r>
        <w:rPr>
          <w:rFonts w:hint="eastAsia" w:ascii="仿宋" w:hAnsi="仿宋" w:eastAsia="仿宋" w:cs="仿宋"/>
          <w:sz w:val="24"/>
          <w:szCs w:val="24"/>
        </w:rPr>
        <w:t>向第三方追偿。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服务团队提前介入，提高服务效率）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人伤案件快速理赔服务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对于一般人伤事故，</w:t>
      </w:r>
      <w:r>
        <w:rPr>
          <w:rFonts w:hint="eastAsia" w:ascii="仿宋" w:hAnsi="仿宋" w:eastAsia="仿宋" w:cs="仿宋"/>
          <w:sz w:val="24"/>
          <w:szCs w:val="24"/>
          <w:lang w:eastAsia="zh-CN"/>
        </w:rPr>
        <w:t>供应商</w:t>
      </w:r>
      <w:r>
        <w:rPr>
          <w:rFonts w:hint="eastAsia" w:ascii="仿宋" w:hAnsi="仿宋" w:eastAsia="仿宋" w:cs="仿宋"/>
          <w:sz w:val="24"/>
          <w:szCs w:val="24"/>
        </w:rPr>
        <w:t>同时提供以下绿色预付通道，具体指引如下：</w:t>
      </w:r>
    </w:p>
    <w:p>
      <w:pPr>
        <w:spacing w:line="360" w:lineRule="auto"/>
        <w:rPr>
          <w:rFonts w:hint="eastAsia" w:ascii="仿宋" w:hAnsi="仿宋" w:eastAsia="仿宋" w:cs="仿宋"/>
          <w:sz w:val="24"/>
          <w:szCs w:val="24"/>
        </w:rPr>
      </w:pPr>
      <w:r>
        <w:rPr>
          <w:rFonts w:hint="eastAsia" w:ascii="仿宋" w:hAnsi="仿宋" w:eastAsia="仿宋" w:cs="仿宋"/>
          <w:sz w:val="24"/>
          <w:szCs w:val="24"/>
        </w:rPr>
        <w:t>（1）关于交强险垫付第三者伤者抢救费操作指引：</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发生涉及人员伤亡的保险责任事故，只需提供以下资料，</w:t>
      </w:r>
      <w:r>
        <w:rPr>
          <w:rFonts w:hint="eastAsia" w:ascii="仿宋" w:hAnsi="仿宋" w:eastAsia="仿宋" w:cs="仿宋"/>
          <w:sz w:val="24"/>
          <w:szCs w:val="24"/>
          <w:lang w:eastAsia="zh-CN"/>
        </w:rPr>
        <w:t>供应商</w:t>
      </w:r>
      <w:r>
        <w:rPr>
          <w:rFonts w:hint="eastAsia" w:ascii="仿宋" w:hAnsi="仿宋" w:eastAsia="仿宋" w:cs="仿宋"/>
          <w:sz w:val="24"/>
          <w:szCs w:val="24"/>
        </w:rPr>
        <w:t>将在交强险范围内垫付伤者医疗费（被保险人有责：1.8万元；被保险人无责：1800元），并于3个工作日内完成垫付操作。</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①交警部门出具的《垫付通知书》</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②抢救费用清单和诊断证明</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③伤者诊疗的医院名称和账号</w:t>
      </w:r>
    </w:p>
    <w:p>
      <w:pPr>
        <w:spacing w:line="360" w:lineRule="auto"/>
        <w:rPr>
          <w:rFonts w:hint="eastAsia" w:ascii="仿宋" w:hAnsi="仿宋" w:eastAsia="仿宋" w:cs="仿宋"/>
          <w:sz w:val="24"/>
          <w:szCs w:val="24"/>
        </w:rPr>
      </w:pPr>
      <w:r>
        <w:rPr>
          <w:rFonts w:hint="eastAsia" w:ascii="仿宋" w:hAnsi="仿宋" w:eastAsia="仿宋" w:cs="仿宋"/>
          <w:sz w:val="24"/>
          <w:szCs w:val="24"/>
        </w:rPr>
        <w:t>（2）关于预付赔款的操作指引</w:t>
      </w:r>
    </w:p>
    <w:p>
      <w:pPr>
        <w:spacing w:line="360" w:lineRule="auto"/>
        <w:rPr>
          <w:rFonts w:hint="eastAsia" w:ascii="仿宋" w:hAnsi="仿宋" w:eastAsia="仿宋" w:cs="仿宋"/>
          <w:sz w:val="24"/>
          <w:szCs w:val="24"/>
        </w:rPr>
      </w:pPr>
      <w:r>
        <w:rPr>
          <w:rFonts w:hint="eastAsia" w:ascii="仿宋" w:hAnsi="仿宋" w:eastAsia="仿宋" w:cs="仿宋"/>
          <w:sz w:val="24"/>
          <w:szCs w:val="24"/>
        </w:rPr>
        <w:t>①交强险满限额提前结案处理机制</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发生涉及人员伤亡的保险事故，医疗费用支出已超过交强险医疗费用赔偿限额（1.8万元）或估计死亡伤残费用明显超过交强险死亡伤残赔偿限额（18万元），</w:t>
      </w:r>
      <w:r>
        <w:rPr>
          <w:rFonts w:hint="eastAsia" w:ascii="仿宋" w:hAnsi="仿宋" w:eastAsia="仿宋" w:cs="仿宋"/>
          <w:sz w:val="24"/>
          <w:szCs w:val="24"/>
          <w:lang w:eastAsia="zh-CN"/>
        </w:rPr>
        <w:t>供应商</w:t>
      </w:r>
      <w:r>
        <w:rPr>
          <w:rFonts w:hint="eastAsia" w:ascii="仿宋" w:hAnsi="仿宋" w:eastAsia="仿宋" w:cs="仿宋"/>
          <w:sz w:val="24"/>
          <w:szCs w:val="24"/>
        </w:rPr>
        <w:t>可根据</w:t>
      </w:r>
      <w:r>
        <w:rPr>
          <w:rFonts w:hint="eastAsia" w:ascii="仿宋" w:hAnsi="仿宋" w:eastAsia="仿宋" w:cs="仿宋"/>
          <w:sz w:val="24"/>
          <w:szCs w:val="24"/>
          <w:lang w:eastAsia="zh-CN"/>
        </w:rPr>
        <w:t>采购人</w:t>
      </w:r>
      <w:r>
        <w:rPr>
          <w:rFonts w:hint="eastAsia" w:ascii="仿宋" w:hAnsi="仿宋" w:eastAsia="仿宋" w:cs="仿宋"/>
          <w:sz w:val="24"/>
          <w:szCs w:val="24"/>
        </w:rPr>
        <w:t>的申请及相关材料，在交强险保险限额内先予赔偿结案，待损失金额确定后，再对剩余部分在商业险项下赔偿。</w:t>
      </w:r>
    </w:p>
    <w:p>
      <w:pPr>
        <w:spacing w:line="360" w:lineRule="auto"/>
        <w:rPr>
          <w:rFonts w:hint="eastAsia" w:ascii="仿宋" w:hAnsi="仿宋" w:eastAsia="仿宋" w:cs="仿宋"/>
          <w:sz w:val="24"/>
          <w:szCs w:val="24"/>
        </w:rPr>
      </w:pPr>
      <w:r>
        <w:rPr>
          <w:rFonts w:hint="eastAsia" w:ascii="仿宋" w:hAnsi="仿宋" w:eastAsia="仿宋" w:cs="仿宋"/>
          <w:sz w:val="24"/>
          <w:szCs w:val="24"/>
        </w:rPr>
        <w:t>②超过交强险垫付的医疗费用，根据医院的诊断证明、交警部门出具的《事故责任认定书》和</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人伤查勘医生的查勘结果，在已确定的损失范围内，由</w:t>
      </w:r>
      <w:r>
        <w:rPr>
          <w:rFonts w:hint="eastAsia" w:ascii="仿宋" w:hAnsi="仿宋" w:eastAsia="仿宋" w:cs="仿宋"/>
          <w:sz w:val="24"/>
          <w:szCs w:val="24"/>
          <w:lang w:eastAsia="zh-CN"/>
        </w:rPr>
        <w:t>供应商</w:t>
      </w:r>
      <w:r>
        <w:rPr>
          <w:rFonts w:hint="eastAsia" w:ascii="仿宋" w:hAnsi="仿宋" w:eastAsia="仿宋" w:cs="仿宋"/>
          <w:sz w:val="24"/>
          <w:szCs w:val="24"/>
        </w:rPr>
        <w:t>在商业险中进行50%预付（保险限额内）；</w:t>
      </w:r>
    </w:p>
    <w:p>
      <w:pPr>
        <w:spacing w:line="360" w:lineRule="auto"/>
        <w:rPr>
          <w:rFonts w:hint="eastAsia" w:ascii="仿宋" w:hAnsi="仿宋" w:eastAsia="仿宋" w:cs="仿宋"/>
          <w:sz w:val="24"/>
          <w:szCs w:val="24"/>
        </w:rPr>
      </w:pPr>
      <w:r>
        <w:rPr>
          <w:rFonts w:hint="eastAsia" w:ascii="仿宋" w:hAnsi="仿宋" w:eastAsia="仿宋" w:cs="仿宋"/>
          <w:sz w:val="24"/>
          <w:szCs w:val="24"/>
        </w:rPr>
        <w:t>③根据</w:t>
      </w:r>
      <w:r>
        <w:rPr>
          <w:rFonts w:hint="eastAsia" w:ascii="仿宋" w:hAnsi="仿宋" w:eastAsia="仿宋" w:cs="仿宋"/>
          <w:sz w:val="24"/>
          <w:szCs w:val="24"/>
          <w:lang w:eastAsia="zh-CN"/>
        </w:rPr>
        <w:t>采购人</w:t>
      </w:r>
      <w:r>
        <w:rPr>
          <w:rFonts w:hint="eastAsia" w:ascii="仿宋" w:hAnsi="仿宋" w:eastAsia="仿宋" w:cs="仿宋"/>
          <w:sz w:val="24"/>
          <w:szCs w:val="24"/>
        </w:rPr>
        <w:t>提供的相关证明材料以及</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人伤查勘医生确定的损失情况，对于超出交强险伤残赔偿限额的，</w:t>
      </w:r>
      <w:r>
        <w:rPr>
          <w:rFonts w:hint="eastAsia" w:ascii="仿宋" w:hAnsi="仿宋" w:eastAsia="仿宋" w:cs="仿宋"/>
          <w:sz w:val="24"/>
          <w:szCs w:val="24"/>
          <w:lang w:eastAsia="zh-CN"/>
        </w:rPr>
        <w:t>供应商</w:t>
      </w:r>
      <w:r>
        <w:rPr>
          <w:rFonts w:hint="eastAsia" w:ascii="仿宋" w:hAnsi="仿宋" w:eastAsia="仿宋" w:cs="仿宋"/>
          <w:sz w:val="24"/>
          <w:szCs w:val="24"/>
        </w:rPr>
        <w:t>在商业险范围内进行50%预付（保险限额内）。</w:t>
      </w:r>
    </w:p>
    <w:p>
      <w:pPr>
        <w:spacing w:line="360" w:lineRule="auto"/>
        <w:rPr>
          <w:rFonts w:hint="eastAsia" w:ascii="仿宋" w:hAnsi="仿宋" w:eastAsia="仿宋" w:cs="仿宋"/>
          <w:sz w:val="24"/>
          <w:szCs w:val="24"/>
        </w:rPr>
      </w:pPr>
      <w:r>
        <w:rPr>
          <w:rFonts w:hint="eastAsia" w:ascii="仿宋" w:hAnsi="仿宋" w:eastAsia="仿宋" w:cs="仿宋"/>
          <w:sz w:val="24"/>
          <w:szCs w:val="24"/>
        </w:rPr>
        <w:t>④预付时效</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对于符合预付赔款或提前结案条件的事故，</w:t>
      </w:r>
      <w:r>
        <w:rPr>
          <w:rFonts w:hint="eastAsia" w:ascii="仿宋" w:hAnsi="仿宋" w:eastAsia="仿宋" w:cs="仿宋"/>
          <w:sz w:val="24"/>
          <w:szCs w:val="24"/>
          <w:lang w:eastAsia="zh-CN"/>
        </w:rPr>
        <w:t>供应商</w:t>
      </w:r>
      <w:r>
        <w:rPr>
          <w:rFonts w:hint="eastAsia" w:ascii="仿宋" w:hAnsi="仿宋" w:eastAsia="仿宋" w:cs="仿宋"/>
          <w:sz w:val="24"/>
          <w:szCs w:val="24"/>
        </w:rPr>
        <w:t>在收到</w:t>
      </w:r>
      <w:r>
        <w:rPr>
          <w:rFonts w:hint="eastAsia" w:ascii="仿宋" w:hAnsi="仿宋" w:eastAsia="仿宋" w:cs="仿宋"/>
          <w:sz w:val="24"/>
          <w:szCs w:val="24"/>
          <w:lang w:eastAsia="zh-CN"/>
        </w:rPr>
        <w:t>采购人</w:t>
      </w:r>
      <w:r>
        <w:rPr>
          <w:rFonts w:hint="eastAsia" w:ascii="仿宋" w:hAnsi="仿宋" w:eastAsia="仿宋" w:cs="仿宋"/>
          <w:sz w:val="24"/>
          <w:szCs w:val="24"/>
        </w:rPr>
        <w:t>预付赔款的申请以及提交的相关证明后，3个工作日内支付赔款。</w:t>
      </w:r>
    </w:p>
    <w:p>
      <w:pPr>
        <w:spacing w:line="360" w:lineRule="auto"/>
        <w:rPr>
          <w:rFonts w:hint="eastAsia" w:ascii="仿宋" w:hAnsi="仿宋" w:eastAsia="仿宋" w:cs="仿宋"/>
          <w:sz w:val="24"/>
          <w:szCs w:val="24"/>
        </w:rPr>
      </w:pPr>
      <w:r>
        <w:rPr>
          <w:rFonts w:hint="eastAsia" w:ascii="仿宋" w:hAnsi="仿宋" w:eastAsia="仿宋" w:cs="仿宋"/>
          <w:sz w:val="24"/>
          <w:szCs w:val="24"/>
        </w:rPr>
        <w:t>⑤在无交警部门出具的《事故责任认定书》的情况下，可根据</w:t>
      </w:r>
      <w:r>
        <w:rPr>
          <w:rFonts w:hint="eastAsia" w:ascii="仿宋" w:hAnsi="仿宋" w:eastAsia="仿宋" w:cs="仿宋"/>
          <w:sz w:val="24"/>
          <w:szCs w:val="24"/>
          <w:lang w:eastAsia="zh-CN"/>
        </w:rPr>
        <w:t>采购人</w:t>
      </w:r>
      <w:r>
        <w:rPr>
          <w:rFonts w:hint="eastAsia" w:ascii="仿宋" w:hAnsi="仿宋" w:eastAsia="仿宋" w:cs="仿宋"/>
          <w:sz w:val="24"/>
          <w:szCs w:val="24"/>
        </w:rPr>
        <w:t>提供的相关证明材料以及</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人伤查勘医生对事故的现场查勘、跟踪了解情况，在</w:t>
      </w:r>
      <w:r>
        <w:rPr>
          <w:rFonts w:hint="eastAsia" w:ascii="仿宋" w:hAnsi="仿宋" w:eastAsia="仿宋" w:cs="仿宋"/>
          <w:sz w:val="24"/>
          <w:szCs w:val="24"/>
          <w:lang w:eastAsia="zh-CN"/>
        </w:rPr>
        <w:t>采购人</w:t>
      </w:r>
      <w:r>
        <w:rPr>
          <w:rFonts w:hint="eastAsia" w:ascii="仿宋" w:hAnsi="仿宋" w:eastAsia="仿宋" w:cs="仿宋"/>
          <w:sz w:val="24"/>
          <w:szCs w:val="24"/>
        </w:rPr>
        <w:t>明确有责任的情况下进行预付，预付比例为已确定损失金额的50%（保险限额内）。</w:t>
      </w:r>
    </w:p>
    <w:p>
      <w:pPr>
        <w:spacing w:line="360" w:lineRule="auto"/>
        <w:rPr>
          <w:rFonts w:hint="eastAsia" w:ascii="仿宋" w:hAnsi="仿宋" w:eastAsia="仿宋" w:cs="仿宋"/>
          <w:sz w:val="24"/>
          <w:szCs w:val="24"/>
        </w:rPr>
      </w:pPr>
      <w:r>
        <w:rPr>
          <w:rFonts w:hint="eastAsia" w:ascii="仿宋" w:hAnsi="仿宋" w:eastAsia="仿宋" w:cs="仿宋"/>
          <w:sz w:val="24"/>
          <w:szCs w:val="24"/>
        </w:rPr>
        <w:t>（3）追偿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对于所有垫付、预付的案件，</w:t>
      </w:r>
      <w:r>
        <w:rPr>
          <w:rFonts w:hint="eastAsia" w:ascii="仿宋" w:hAnsi="仿宋" w:eastAsia="仿宋" w:cs="仿宋"/>
          <w:sz w:val="24"/>
          <w:szCs w:val="24"/>
          <w:lang w:eastAsia="zh-CN"/>
        </w:rPr>
        <w:t>供应商</w:t>
      </w:r>
      <w:r>
        <w:rPr>
          <w:rFonts w:hint="eastAsia" w:ascii="仿宋" w:hAnsi="仿宋" w:eastAsia="仿宋" w:cs="仿宋"/>
          <w:sz w:val="24"/>
          <w:szCs w:val="24"/>
        </w:rPr>
        <w:t>垫付、预付后有权根据最终事故情况向致害人追偿。</w:t>
      </w:r>
    </w:p>
    <w:p>
      <w:pPr>
        <w:spacing w:line="360" w:lineRule="auto"/>
        <w:rPr>
          <w:rFonts w:hint="eastAsia" w:ascii="仿宋" w:hAnsi="仿宋" w:eastAsia="仿宋" w:cs="仿宋"/>
          <w:sz w:val="24"/>
          <w:szCs w:val="24"/>
        </w:rPr>
      </w:pPr>
      <w:r>
        <w:rPr>
          <w:rFonts w:hint="eastAsia" w:ascii="仿宋" w:hAnsi="仿宋" w:eastAsia="仿宋" w:cs="仿宋"/>
          <w:sz w:val="24"/>
          <w:szCs w:val="24"/>
        </w:rPr>
        <w:t>（4）其他</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对于两车或多车碰撞的人伤事故，人伤医疗费用由事故车辆的</w:t>
      </w:r>
      <w:r>
        <w:rPr>
          <w:rFonts w:hint="eastAsia" w:ascii="仿宋" w:hAnsi="仿宋" w:eastAsia="仿宋" w:cs="仿宋"/>
          <w:sz w:val="24"/>
          <w:szCs w:val="24"/>
          <w:lang w:eastAsia="zh-CN"/>
        </w:rPr>
        <w:t>供应商</w:t>
      </w:r>
      <w:r>
        <w:rPr>
          <w:rFonts w:hint="eastAsia" w:ascii="仿宋" w:hAnsi="仿宋" w:eastAsia="仿宋" w:cs="仿宋"/>
          <w:sz w:val="24"/>
          <w:szCs w:val="24"/>
        </w:rPr>
        <w:t>协商处理。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（5）对于涉及到人伤的重大交通事故，若为责任明确、双方有意愿提前结案，且赔偿费用能够核定的案件，</w:t>
      </w:r>
      <w:r>
        <w:rPr>
          <w:rFonts w:hint="eastAsia" w:ascii="仿宋" w:hAnsi="仿宋" w:eastAsia="仿宋" w:cs="仿宋"/>
          <w:sz w:val="24"/>
          <w:szCs w:val="24"/>
          <w:lang w:eastAsia="zh-CN"/>
        </w:rPr>
        <w:t>供应商</w:t>
      </w:r>
      <w:r>
        <w:rPr>
          <w:rFonts w:hint="eastAsia" w:ascii="仿宋" w:hAnsi="仿宋" w:eastAsia="仿宋" w:cs="仿宋"/>
          <w:sz w:val="24"/>
          <w:szCs w:val="24"/>
        </w:rPr>
        <w:t>将出面与当事双方进行调解，共同签订赔偿合同，无须再通过交警调解、法院诉讼程序，从而提前结案。在征得第三方同意的基础上，可以于5 个工作日内将赔款直接支付给第三方，以达到</w:t>
      </w:r>
      <w:r>
        <w:rPr>
          <w:rFonts w:hint="eastAsia" w:ascii="仿宋" w:hAnsi="仿宋" w:eastAsia="仿宋" w:cs="仿宋"/>
          <w:sz w:val="24"/>
          <w:szCs w:val="24"/>
          <w:lang w:eastAsia="zh-CN"/>
        </w:rPr>
        <w:t>采购人</w:t>
      </w:r>
      <w:r>
        <w:rPr>
          <w:rFonts w:hint="eastAsia" w:ascii="仿宋" w:hAnsi="仿宋" w:eastAsia="仿宋" w:cs="仿宋"/>
          <w:sz w:val="24"/>
          <w:szCs w:val="24"/>
        </w:rPr>
        <w:t>“零支付”的目的，无需</w:t>
      </w:r>
      <w:r>
        <w:rPr>
          <w:rFonts w:hint="eastAsia" w:ascii="仿宋" w:hAnsi="仿宋" w:eastAsia="仿宋" w:cs="仿宋"/>
          <w:sz w:val="24"/>
          <w:szCs w:val="24"/>
          <w:lang w:eastAsia="zh-CN"/>
        </w:rPr>
        <w:t>采购人</w:t>
      </w:r>
      <w:r>
        <w:rPr>
          <w:rFonts w:hint="eastAsia" w:ascii="仿宋" w:hAnsi="仿宋" w:eastAsia="仿宋" w:cs="仿宋"/>
          <w:sz w:val="24"/>
          <w:szCs w:val="24"/>
        </w:rPr>
        <w:t>垫付赔款。</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“理赔服务经理”上门贴身服务</w:t>
      </w:r>
    </w:p>
    <w:p>
      <w:pPr>
        <w:snapToGrid w:val="0"/>
        <w:spacing w:line="360" w:lineRule="auto"/>
        <w:rPr>
          <w:rFonts w:hint="eastAsia" w:ascii="仿宋" w:hAnsi="仿宋" w:eastAsia="仿宋" w:cs="仿宋"/>
          <w:bCs/>
          <w:sz w:val="24"/>
          <w:szCs w:val="24"/>
        </w:rPr>
      </w:pPr>
      <w:r>
        <w:rPr>
          <w:rFonts w:hint="eastAsia" w:ascii="仿宋" w:hAnsi="仿宋" w:eastAsia="仿宋" w:cs="仿宋"/>
          <w:sz w:val="24"/>
          <w:szCs w:val="24"/>
        </w:rPr>
        <w:t xml:space="preserve">    </w:t>
      </w:r>
      <w:r>
        <w:rPr>
          <w:rFonts w:hint="eastAsia" w:ascii="仿宋" w:hAnsi="仿宋" w:eastAsia="仿宋" w:cs="仿宋"/>
          <w:bCs/>
          <w:sz w:val="24"/>
          <w:szCs w:val="24"/>
          <w:lang w:eastAsia="zh-CN"/>
        </w:rPr>
        <w:t>供应商</w:t>
      </w:r>
      <w:r>
        <w:rPr>
          <w:rFonts w:hint="eastAsia" w:ascii="仿宋" w:hAnsi="仿宋" w:eastAsia="仿宋" w:cs="仿宋"/>
          <w:bCs/>
          <w:sz w:val="24"/>
          <w:szCs w:val="24"/>
        </w:rPr>
        <w:t>各地市分公司为</w:t>
      </w:r>
      <w:r>
        <w:rPr>
          <w:rFonts w:hint="eastAsia" w:ascii="仿宋" w:hAnsi="仿宋" w:eastAsia="仿宋" w:cs="仿宋"/>
          <w:bCs/>
          <w:sz w:val="24"/>
          <w:szCs w:val="24"/>
          <w:lang w:eastAsia="zh-CN"/>
        </w:rPr>
        <w:t>采购人</w:t>
      </w:r>
      <w:r>
        <w:rPr>
          <w:rFonts w:hint="eastAsia" w:ascii="仿宋" w:hAnsi="仿宋" w:eastAsia="仿宋" w:cs="仿宋"/>
          <w:bCs/>
          <w:sz w:val="24"/>
          <w:szCs w:val="24"/>
        </w:rPr>
        <w:t>选派一名“理赔服务经理”，“理赔服务经理”以丰富的事故处理经验提供赔案全程跟踪服务：</w:t>
      </w:r>
    </w:p>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接到“出险报案”后，</w:t>
      </w:r>
      <w:r>
        <w:rPr>
          <w:rFonts w:hint="eastAsia" w:ascii="仿宋" w:hAnsi="仿宋" w:eastAsia="仿宋" w:cs="仿宋"/>
          <w:sz w:val="24"/>
          <w:szCs w:val="24"/>
          <w:lang w:eastAsia="zh-CN"/>
        </w:rPr>
        <w:t>供应商</w:t>
      </w:r>
      <w:r>
        <w:rPr>
          <w:rFonts w:hint="eastAsia" w:ascii="仿宋" w:hAnsi="仿宋" w:eastAsia="仿宋" w:cs="仿宋"/>
          <w:sz w:val="24"/>
          <w:szCs w:val="24"/>
        </w:rPr>
        <w:t>通知“</w:t>
      </w:r>
      <w:r>
        <w:rPr>
          <w:rFonts w:hint="eastAsia" w:ascii="仿宋" w:hAnsi="仿宋" w:eastAsia="仿宋" w:cs="仿宋"/>
          <w:bCs/>
          <w:sz w:val="24"/>
          <w:szCs w:val="24"/>
        </w:rPr>
        <w:t>理赔服务经理</w:t>
      </w:r>
      <w:r>
        <w:rPr>
          <w:rFonts w:hint="eastAsia" w:ascii="仿宋" w:hAnsi="仿宋" w:eastAsia="仿宋" w:cs="仿宋"/>
          <w:sz w:val="24"/>
          <w:szCs w:val="24"/>
        </w:rPr>
        <w:t>”</w:t>
      </w:r>
    </w:p>
    <w:p>
      <w:pPr>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w:t>
      </w:r>
    </w:p>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“理赔服务经理”协助被保险人进行现场施救、事故处理协调</w:t>
      </w:r>
    </w:p>
    <w:p>
      <w:pPr>
        <w:snapToGrid w:val="0"/>
        <w:spacing w:line="360" w:lineRule="auto"/>
        <w:jc w:val="center"/>
        <w:rPr>
          <w:rFonts w:hint="eastAsia" w:ascii="仿宋" w:hAnsi="仿宋" w:eastAsia="仿宋" w:cs="仿宋"/>
          <w:sz w:val="24"/>
          <w:szCs w:val="24"/>
        </w:rPr>
      </w:pPr>
      <w:r>
        <w:rPr>
          <w:rFonts w:hint="eastAsia" w:ascii="仿宋" w:hAnsi="仿宋" w:eastAsia="仿宋" w:cs="仿宋"/>
          <w:b/>
          <w:sz w:val="24"/>
          <w:szCs w:val="24"/>
        </w:rPr>
        <w:t>↓</w:t>
      </w:r>
    </w:p>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“理赔服务经理”对被保险人索赔指导、送赔款上门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Cs/>
          <w:sz w:val="24"/>
          <w:szCs w:val="24"/>
        </w:rPr>
        <w:t>理赔服务经理</w:t>
      </w:r>
      <w:r>
        <w:rPr>
          <w:rFonts w:hint="eastAsia" w:ascii="仿宋" w:hAnsi="仿宋" w:eastAsia="仿宋" w:cs="仿宋"/>
          <w:sz w:val="24"/>
          <w:szCs w:val="24"/>
        </w:rPr>
        <w:t>”将以周到的服务、丰富的事故处理经验协助被保险人在最短时间内办理完毕理赔手续。如果对“</w:t>
      </w:r>
      <w:r>
        <w:rPr>
          <w:rFonts w:hint="eastAsia" w:ascii="仿宋" w:hAnsi="仿宋" w:eastAsia="仿宋" w:cs="仿宋"/>
          <w:bCs/>
          <w:sz w:val="24"/>
          <w:szCs w:val="24"/>
        </w:rPr>
        <w:t>理赔服务经理</w:t>
      </w:r>
      <w:r>
        <w:rPr>
          <w:rFonts w:hint="eastAsia" w:ascii="仿宋" w:hAnsi="仿宋" w:eastAsia="仿宋" w:cs="仿宋"/>
          <w:sz w:val="24"/>
          <w:szCs w:val="24"/>
        </w:rPr>
        <w:t>”的服务不满意，可以拨打服务热线。</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提供拖车和停车等施救服务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发生保险责任范围内的事故，被保险人向95518报案后，可要求提供拖车等施救服务，出险地在市区内的，拖车在30分钟内到达事故现场；出险地在郊县地区的，拖车在60分钟内到达事故现场，拖车费用由保险人支付。如</w:t>
      </w:r>
      <w:r>
        <w:rPr>
          <w:rFonts w:hint="eastAsia" w:ascii="仿宋" w:hAnsi="仿宋" w:eastAsia="仿宋" w:cs="仿宋"/>
          <w:sz w:val="24"/>
          <w:szCs w:val="24"/>
          <w:lang w:eastAsia="zh-CN"/>
        </w:rPr>
        <w:t>供应商</w:t>
      </w:r>
      <w:r>
        <w:rPr>
          <w:rFonts w:hint="eastAsia" w:ascii="仿宋" w:hAnsi="仿宋" w:eastAsia="仿宋" w:cs="仿宋"/>
          <w:sz w:val="24"/>
          <w:szCs w:val="24"/>
        </w:rPr>
        <w:t>无法或不能及时提供拖车等施救服务的，对于被保险人提供的必要、合理的拖车施救费用（包括空驶费），</w:t>
      </w:r>
      <w:r>
        <w:rPr>
          <w:rFonts w:hint="eastAsia" w:ascii="仿宋" w:hAnsi="仿宋" w:eastAsia="仿宋" w:cs="仿宋"/>
          <w:sz w:val="24"/>
          <w:szCs w:val="24"/>
          <w:lang w:eastAsia="zh-CN"/>
        </w:rPr>
        <w:t>供应商</w:t>
      </w:r>
      <w:r>
        <w:rPr>
          <w:rFonts w:hint="eastAsia" w:ascii="仿宋" w:hAnsi="仿宋" w:eastAsia="仿宋" w:cs="仿宋"/>
          <w:sz w:val="24"/>
          <w:szCs w:val="24"/>
        </w:rPr>
        <w:t>予以赔偿。每次事故的拖车次数从发生事故至事故完毕不得超过两次。</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机动车辆法律咨询服务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负责对事故原因、责任认定、伤亡者治疗情况、医药费支出、伤残等级认定等方面进行代理调查、取证、核实，在引起诉讼纠纷时提供代理诉讼服务。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（1）法律咨询小组为客户提供有关机动车辆保险方面的法律咨询；</w:t>
      </w:r>
    </w:p>
    <w:p>
      <w:pPr>
        <w:spacing w:line="360" w:lineRule="auto"/>
        <w:rPr>
          <w:rFonts w:hint="eastAsia" w:ascii="仿宋" w:hAnsi="仿宋" w:eastAsia="仿宋" w:cs="仿宋"/>
          <w:sz w:val="24"/>
          <w:szCs w:val="24"/>
        </w:rPr>
      </w:pPr>
      <w:r>
        <w:rPr>
          <w:rFonts w:hint="eastAsia" w:ascii="仿宋" w:hAnsi="仿宋" w:eastAsia="仿宋" w:cs="仿宋"/>
          <w:sz w:val="24"/>
          <w:szCs w:val="24"/>
        </w:rPr>
        <w:t>（2）对涉及人员伤亡的保险事故，有专业人员及时了解病情，向伤者和医疗机构告知保险赔偿医疗费的范围，监督医药费的开支，并在法定交强险医疗赔偿限额范围内予以垫付，将被保险人因交通事故为工作带来的不便减至最低。</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特别服务条款</w:t>
      </w:r>
    </w:p>
    <w:p>
      <w:pPr>
        <w:spacing w:line="360" w:lineRule="auto"/>
        <w:rPr>
          <w:rFonts w:hint="eastAsia" w:ascii="仿宋" w:hAnsi="仿宋" w:eastAsia="仿宋" w:cs="仿宋"/>
          <w:sz w:val="24"/>
          <w:szCs w:val="24"/>
        </w:rPr>
      </w:pPr>
      <w:r>
        <w:rPr>
          <w:rFonts w:hint="eastAsia" w:ascii="仿宋" w:hAnsi="仿宋" w:eastAsia="仿宋" w:cs="仿宋"/>
          <w:sz w:val="24"/>
          <w:szCs w:val="24"/>
        </w:rPr>
        <w:t>（1）为保持信息通畅，</w:t>
      </w:r>
      <w:r>
        <w:rPr>
          <w:rFonts w:hint="eastAsia" w:ascii="仿宋" w:hAnsi="仿宋" w:eastAsia="仿宋" w:cs="仿宋"/>
          <w:sz w:val="24"/>
          <w:szCs w:val="24"/>
          <w:lang w:eastAsia="zh-CN"/>
        </w:rPr>
        <w:t>供应商</w:t>
      </w:r>
      <w:r>
        <w:rPr>
          <w:rFonts w:hint="eastAsia" w:ascii="仿宋" w:hAnsi="仿宋" w:eastAsia="仿宋" w:cs="仿宋"/>
          <w:sz w:val="24"/>
          <w:szCs w:val="24"/>
        </w:rPr>
        <w:t>将绑定</w:t>
      </w:r>
      <w:r>
        <w:rPr>
          <w:rFonts w:hint="eastAsia" w:ascii="仿宋" w:hAnsi="仿宋" w:eastAsia="仿宋" w:cs="仿宋"/>
          <w:sz w:val="24"/>
          <w:szCs w:val="24"/>
          <w:lang w:eastAsia="zh-CN"/>
        </w:rPr>
        <w:t>采购人</w:t>
      </w:r>
      <w:r>
        <w:rPr>
          <w:rFonts w:hint="eastAsia" w:ascii="仿宋" w:hAnsi="仿宋" w:eastAsia="仿宋" w:cs="仿宋"/>
          <w:sz w:val="24"/>
          <w:szCs w:val="24"/>
        </w:rPr>
        <w:t>指定服务人员手机号码，将发送</w:t>
      </w:r>
      <w:r>
        <w:rPr>
          <w:rFonts w:hint="eastAsia" w:ascii="仿宋" w:hAnsi="仿宋" w:eastAsia="仿宋" w:cs="仿宋"/>
          <w:sz w:val="24"/>
          <w:szCs w:val="24"/>
          <w:lang w:eastAsia="zh-CN"/>
        </w:rPr>
        <w:t>采购人</w:t>
      </w:r>
      <w:r>
        <w:rPr>
          <w:rFonts w:hint="eastAsia" w:ascii="仿宋" w:hAnsi="仿宋" w:eastAsia="仿宋" w:cs="仿宋"/>
          <w:sz w:val="24"/>
          <w:szCs w:val="24"/>
        </w:rPr>
        <w:t>各被保险人的车险报案处理和理赔等信息同时发送</w:t>
      </w:r>
      <w:r>
        <w:rPr>
          <w:rFonts w:hint="eastAsia" w:ascii="仿宋" w:hAnsi="仿宋" w:eastAsia="仿宋" w:cs="仿宋"/>
          <w:sz w:val="24"/>
          <w:szCs w:val="24"/>
          <w:lang w:eastAsia="zh-CN"/>
        </w:rPr>
        <w:t>采购人</w:t>
      </w:r>
      <w:r>
        <w:rPr>
          <w:rFonts w:hint="eastAsia" w:ascii="仿宋" w:hAnsi="仿宋" w:eastAsia="仿宋" w:cs="仿宋"/>
          <w:sz w:val="24"/>
          <w:szCs w:val="24"/>
        </w:rPr>
        <w:t>指定服务人员手机号码。</w:t>
      </w:r>
    </w:p>
    <w:p>
      <w:pPr>
        <w:spacing w:line="360" w:lineRule="auto"/>
        <w:rPr>
          <w:rFonts w:hint="eastAsia" w:ascii="仿宋" w:hAnsi="仿宋" w:eastAsia="仿宋" w:cs="仿宋"/>
          <w:sz w:val="24"/>
          <w:szCs w:val="24"/>
        </w:rPr>
      </w:pPr>
      <w:r>
        <w:rPr>
          <w:rFonts w:hint="eastAsia" w:ascii="仿宋" w:hAnsi="仿宋" w:eastAsia="仿宋" w:cs="仿宋"/>
          <w:sz w:val="24"/>
          <w:szCs w:val="24"/>
        </w:rPr>
        <w:t>（2）对于交强险一方无责、一方全责案件，目前通常由全责方垫付损失、但未要求无责方提供相应资料（各证件复印件等），导致全责方索赔出现较大困难。通过</w:t>
      </w:r>
      <w:r>
        <w:rPr>
          <w:rFonts w:hint="eastAsia" w:ascii="仿宋" w:hAnsi="仿宋" w:eastAsia="仿宋" w:cs="仿宋"/>
          <w:sz w:val="24"/>
          <w:szCs w:val="24"/>
          <w:lang w:eastAsia="zh-CN"/>
        </w:rPr>
        <w:t>供应商</w:t>
      </w:r>
      <w:r>
        <w:rPr>
          <w:rFonts w:hint="eastAsia" w:ascii="仿宋" w:hAnsi="仿宋" w:eastAsia="仿宋" w:cs="仿宋"/>
          <w:sz w:val="24"/>
          <w:szCs w:val="24"/>
        </w:rPr>
        <w:t>向广东省保监局争取，本合同项下上述情况相关单证可简化如下：</w:t>
      </w:r>
    </w:p>
    <w:p>
      <w:pPr>
        <w:spacing w:line="360" w:lineRule="auto"/>
        <w:rPr>
          <w:rFonts w:hint="eastAsia" w:ascii="仿宋" w:hAnsi="仿宋" w:eastAsia="仿宋" w:cs="仿宋"/>
          <w:sz w:val="24"/>
          <w:szCs w:val="24"/>
        </w:rPr>
      </w:pPr>
      <w:r>
        <w:rPr>
          <w:rFonts w:hint="eastAsia" w:ascii="仿宋" w:hAnsi="仿宋" w:eastAsia="仿宋" w:cs="仿宋"/>
          <w:sz w:val="24"/>
          <w:szCs w:val="24"/>
        </w:rPr>
        <w:t>简化方式主要为用手机拍摄对方车辆的交强险标志、现场查勘人员或者交警在处理事故中在简易事故合同书上或者道路交通事故判决书中注明对方车辆的交强险保单号、投保</w:t>
      </w:r>
      <w:r>
        <w:rPr>
          <w:rFonts w:hint="eastAsia" w:ascii="仿宋" w:hAnsi="仿宋" w:eastAsia="仿宋" w:cs="仿宋"/>
          <w:sz w:val="24"/>
          <w:szCs w:val="24"/>
          <w:lang w:eastAsia="zh-CN"/>
        </w:rPr>
        <w:t>供应商</w:t>
      </w:r>
      <w:r>
        <w:rPr>
          <w:rFonts w:hint="eastAsia" w:ascii="仿宋" w:hAnsi="仿宋" w:eastAsia="仿宋" w:cs="仿宋"/>
          <w:sz w:val="24"/>
          <w:szCs w:val="24"/>
        </w:rPr>
        <w:t>名后，均不再扣除100元。</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对于具体无责案件中已经</w:t>
      </w:r>
      <w:r>
        <w:rPr>
          <w:rFonts w:hint="eastAsia" w:ascii="仿宋" w:hAnsi="仿宋" w:eastAsia="仿宋" w:cs="仿宋"/>
          <w:sz w:val="24"/>
          <w:szCs w:val="24"/>
          <w:lang w:eastAsia="zh-CN"/>
        </w:rPr>
        <w:t>采购人</w:t>
      </w:r>
      <w:r>
        <w:rPr>
          <w:rFonts w:hint="eastAsia" w:ascii="仿宋" w:hAnsi="仿宋" w:eastAsia="仿宋" w:cs="仿宋"/>
          <w:sz w:val="24"/>
          <w:szCs w:val="24"/>
        </w:rPr>
        <w:t>反复协调做第三方工作仍无法解决好相关单证问题的，</w:t>
      </w:r>
      <w:r>
        <w:rPr>
          <w:rFonts w:hint="eastAsia" w:ascii="仿宋" w:hAnsi="仿宋" w:eastAsia="仿宋" w:cs="仿宋"/>
          <w:sz w:val="24"/>
          <w:szCs w:val="24"/>
          <w:lang w:eastAsia="zh-CN"/>
        </w:rPr>
        <w:t>供应商</w:t>
      </w:r>
      <w:r>
        <w:rPr>
          <w:rFonts w:hint="eastAsia" w:ascii="仿宋" w:hAnsi="仿宋" w:eastAsia="仿宋" w:cs="仿宋"/>
          <w:sz w:val="24"/>
          <w:szCs w:val="24"/>
        </w:rPr>
        <w:t>将根据实际情况解决索赔问题。</w:t>
      </w:r>
    </w:p>
    <w:p>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采购人</w:t>
      </w:r>
      <w:r>
        <w:rPr>
          <w:rFonts w:hint="eastAsia" w:ascii="仿宋" w:hAnsi="仿宋" w:eastAsia="仿宋" w:cs="仿宋"/>
          <w:sz w:val="24"/>
          <w:szCs w:val="24"/>
        </w:rPr>
        <w:t>发生双方车辆交通事故，如发生与外地车辆碰撞，外地车辆不理赔直接离开导致无法明确责任或者是在主干道上为避免交通阻塞会将双方车辆转移去路边，无法复勘现场的，</w:t>
      </w:r>
      <w:r>
        <w:rPr>
          <w:rFonts w:hint="eastAsia" w:ascii="仿宋" w:hAnsi="仿宋" w:eastAsia="仿宋" w:cs="仿宋"/>
          <w:sz w:val="24"/>
          <w:szCs w:val="24"/>
          <w:lang w:eastAsia="zh-CN"/>
        </w:rPr>
        <w:t>采购人</w:t>
      </w:r>
      <w:r>
        <w:rPr>
          <w:rFonts w:hint="eastAsia" w:ascii="仿宋" w:hAnsi="仿宋" w:eastAsia="仿宋" w:cs="仿宋"/>
          <w:sz w:val="24"/>
          <w:szCs w:val="24"/>
        </w:rPr>
        <w:t>需配合提供事发现场照片及对方车损照片等，</w:t>
      </w:r>
      <w:r>
        <w:rPr>
          <w:rFonts w:hint="eastAsia" w:ascii="仿宋" w:hAnsi="仿宋" w:eastAsia="仿宋" w:cs="仿宋"/>
          <w:sz w:val="24"/>
          <w:szCs w:val="24"/>
          <w:lang w:eastAsia="zh-CN"/>
        </w:rPr>
        <w:t>供应商</w:t>
      </w:r>
      <w:r>
        <w:rPr>
          <w:rFonts w:hint="eastAsia" w:ascii="仿宋" w:hAnsi="仿宋" w:eastAsia="仿宋" w:cs="仿宋"/>
          <w:sz w:val="24"/>
          <w:szCs w:val="24"/>
        </w:rPr>
        <w:t>予以协商处理。</w:t>
      </w:r>
    </w:p>
    <w:p>
      <w:pPr>
        <w:spacing w:line="360" w:lineRule="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采购人</w:t>
      </w:r>
      <w:r>
        <w:rPr>
          <w:rFonts w:hint="eastAsia" w:ascii="仿宋" w:hAnsi="仿宋" w:eastAsia="仿宋" w:cs="仿宋"/>
          <w:sz w:val="24"/>
          <w:szCs w:val="24"/>
        </w:rPr>
        <w:t>所属车辆发生互碰事故，同时提供交警证明，视同</w:t>
      </w:r>
      <w:r>
        <w:rPr>
          <w:rFonts w:hint="eastAsia" w:ascii="仿宋" w:hAnsi="仿宋" w:eastAsia="仿宋" w:cs="仿宋"/>
          <w:sz w:val="24"/>
          <w:szCs w:val="24"/>
          <w:lang w:eastAsia="zh-CN"/>
        </w:rPr>
        <w:t>采购人</w:t>
      </w:r>
      <w:r>
        <w:rPr>
          <w:rFonts w:hint="eastAsia" w:ascii="仿宋" w:hAnsi="仿宋" w:eastAsia="仿宋" w:cs="仿宋"/>
          <w:sz w:val="24"/>
          <w:szCs w:val="24"/>
        </w:rPr>
        <w:t>车辆为第三者车辆，参照第三者责任险责任给予赔偿。</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将在保险法的框架下做好理赔服务）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5）当发生涉及第三者人员伤亡和财产损失的事故时，一次性协商赔偿在3,000元（含3000元）内，保险人可根据被保险人与当事人签定的经济协商赔偿书或收条据实赔付。但被保险人必须将领款人员的姓名、身份证号码和电话联系方式登记在经济协商赔偿书或收条内。本类案件处理宗数在一个合同年度内不得超过10宗。</w:t>
      </w:r>
    </w:p>
    <w:p>
      <w:pPr>
        <w:spacing w:line="360" w:lineRule="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采购人</w:t>
      </w:r>
      <w:r>
        <w:rPr>
          <w:rFonts w:hint="eastAsia" w:ascii="仿宋" w:hAnsi="仿宋" w:eastAsia="仿宋" w:cs="仿宋"/>
          <w:sz w:val="24"/>
          <w:szCs w:val="24"/>
        </w:rPr>
        <w:t>保险车辆及第三者车辆维修需要更换配件的，配件价格在3000元以下，旧件无需回收；配件价格在3000元以上的，只回收300元以上的配件（单件）。</w:t>
      </w:r>
    </w:p>
    <w:p>
      <w:pPr>
        <w:spacing w:line="360" w:lineRule="auto"/>
        <w:rPr>
          <w:rFonts w:hint="eastAsia" w:ascii="仿宋" w:hAnsi="仿宋" w:eastAsia="仿宋" w:cs="仿宋"/>
          <w:sz w:val="24"/>
          <w:szCs w:val="24"/>
        </w:rPr>
      </w:pPr>
      <w:r>
        <w:rPr>
          <w:rFonts w:hint="eastAsia" w:ascii="仿宋" w:hAnsi="仿宋" w:eastAsia="仿宋" w:cs="仿宋"/>
          <w:sz w:val="24"/>
          <w:szCs w:val="24"/>
        </w:rPr>
        <w:t>（7）精神损害费用赔偿</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的车辆在发生保险责任范围内的事故造成第三者伤亡，经交警调解不能达成合同，入禀法院，法院按《中华人民共和国道路交通安全法》和最高人民法院《关于审理人身损害赔偿案件适用法律若干问题的解释》作出判决的赔偿，其中精神损害费用经双方协商处理赔付，每宗案件赔偿金额在机动车交通事故责任强制保险中死亡伤残保险限额内赔付。</w:t>
      </w:r>
    </w:p>
    <w:p>
      <w:pPr>
        <w:spacing w:line="360" w:lineRule="auto"/>
        <w:rPr>
          <w:rFonts w:hint="eastAsia" w:ascii="仿宋" w:hAnsi="仿宋" w:eastAsia="仿宋" w:cs="仿宋"/>
          <w:sz w:val="24"/>
          <w:szCs w:val="24"/>
        </w:rPr>
      </w:pPr>
      <w:r>
        <w:rPr>
          <w:rFonts w:hint="eastAsia" w:ascii="仿宋" w:hAnsi="仿宋" w:eastAsia="仿宋" w:cs="仿宋"/>
          <w:sz w:val="24"/>
          <w:szCs w:val="24"/>
        </w:rPr>
        <w:t>（8）自费药赔偿</w:t>
      </w:r>
    </w:p>
    <w:p>
      <w:pPr>
        <w:spacing w:line="360" w:lineRule="auto"/>
        <w:rPr>
          <w:rFonts w:hint="eastAsia" w:ascii="仿宋" w:hAnsi="仿宋" w:eastAsia="仿宋" w:cs="仿宋"/>
          <w:sz w:val="24"/>
          <w:szCs w:val="24"/>
        </w:rPr>
      </w:pPr>
      <w:r>
        <w:rPr>
          <w:rFonts w:hint="eastAsia" w:ascii="仿宋" w:hAnsi="仿宋" w:eastAsia="仿宋" w:cs="仿宋"/>
          <w:sz w:val="24"/>
          <w:szCs w:val="24"/>
        </w:rPr>
        <w:t>对于涉及人伤的保险事故，</w:t>
      </w:r>
      <w:r>
        <w:rPr>
          <w:rFonts w:hint="eastAsia" w:ascii="仿宋" w:hAnsi="仿宋" w:eastAsia="仿宋" w:cs="仿宋"/>
          <w:sz w:val="24"/>
          <w:szCs w:val="24"/>
          <w:lang w:eastAsia="zh-CN"/>
        </w:rPr>
        <w:t>采购人</w:t>
      </w:r>
      <w:r>
        <w:rPr>
          <w:rFonts w:hint="eastAsia" w:ascii="仿宋" w:hAnsi="仿宋" w:eastAsia="仿宋" w:cs="仿宋"/>
          <w:sz w:val="24"/>
          <w:szCs w:val="24"/>
        </w:rPr>
        <w:t>可享受在人伤医疗费用方面的赔付优待，确保在发生人伤事故时可以获得最充分的保障。</w:t>
      </w:r>
    </w:p>
    <w:p>
      <w:pPr>
        <w:spacing w:line="360" w:lineRule="auto"/>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rPr>
        <w:tab/>
      </w:r>
      <w:r>
        <w:rPr>
          <w:rFonts w:hint="eastAsia" w:ascii="仿宋" w:hAnsi="仿宋" w:eastAsia="仿宋" w:cs="仿宋"/>
          <w:sz w:val="24"/>
          <w:szCs w:val="24"/>
        </w:rPr>
        <w:t>对于事故伤者在ICU病房施救、且住院时间不超过7天（含）的， ICU病房内所产生的医疗费用可以按100%全额赔付；对于事故伤者在ICU病房住院7天以上的，ICU病房内所产生的超医保费用统一按100%赔付，以保险限额为限。</w:t>
      </w:r>
    </w:p>
    <w:p>
      <w:pPr>
        <w:spacing w:line="360" w:lineRule="auto"/>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sz w:val="24"/>
          <w:szCs w:val="24"/>
        </w:rPr>
        <w:tab/>
      </w:r>
      <w:r>
        <w:rPr>
          <w:rFonts w:hint="eastAsia" w:ascii="仿宋" w:hAnsi="仿宋" w:eastAsia="仿宋" w:cs="仿宋"/>
          <w:sz w:val="24"/>
          <w:szCs w:val="24"/>
        </w:rPr>
        <w:t>对于伤者在住院期间治疗所产生的医疗费用，已使用医保记账（或其他主体已报销）的，自费部分</w:t>
      </w:r>
      <w:r>
        <w:rPr>
          <w:rFonts w:hint="eastAsia" w:ascii="仿宋" w:hAnsi="仿宋" w:eastAsia="仿宋" w:cs="仿宋"/>
          <w:sz w:val="24"/>
          <w:szCs w:val="24"/>
          <w:lang w:eastAsia="zh-CN"/>
        </w:rPr>
        <w:t>供应商</w:t>
      </w:r>
      <w:r>
        <w:rPr>
          <w:rFonts w:hint="eastAsia" w:ascii="仿宋" w:hAnsi="仿宋" w:eastAsia="仿宋" w:cs="仿宋"/>
          <w:sz w:val="24"/>
          <w:szCs w:val="24"/>
        </w:rPr>
        <w:t>同意全额赔付，未使用医保记账的，超医保费用，自费部分</w:t>
      </w:r>
      <w:r>
        <w:rPr>
          <w:rFonts w:hint="eastAsia" w:ascii="仿宋" w:hAnsi="仿宋" w:eastAsia="仿宋" w:cs="仿宋"/>
          <w:sz w:val="24"/>
          <w:szCs w:val="24"/>
          <w:lang w:eastAsia="zh-CN"/>
        </w:rPr>
        <w:t>供应商</w:t>
      </w:r>
      <w:r>
        <w:rPr>
          <w:rFonts w:hint="eastAsia" w:ascii="仿宋" w:hAnsi="仿宋" w:eastAsia="仿宋" w:cs="仿宋"/>
          <w:sz w:val="24"/>
          <w:szCs w:val="24"/>
        </w:rPr>
        <w:t>同意按100%赔付。</w:t>
      </w:r>
    </w:p>
    <w:p>
      <w:pPr>
        <w:pStyle w:val="2"/>
        <w:keepNext w:val="0"/>
        <w:keepLines w:val="0"/>
        <w:pageBreakBefore w:val="0"/>
        <w:kinsoku/>
        <w:overflowPunct/>
        <w:topLinePunct w:val="0"/>
        <w:autoSpaceDE/>
        <w:autoSpaceDN/>
        <w:bidi w:val="0"/>
        <w:adjustRightInd/>
        <w:snapToGrid/>
        <w:spacing w:after="0" w:line="360" w:lineRule="auto"/>
        <w:textAlignment w:val="auto"/>
        <w:rPr>
          <w:rFonts w:hint="eastAsia" w:ascii="仿宋_GB2312" w:hAnsi="仿宋_GB2312" w:eastAsia="仿宋" w:cs="仿宋_GB2312"/>
          <w:color w:val="auto"/>
          <w:sz w:val="24"/>
          <w:szCs w:val="24"/>
          <w:highlight w:val="none"/>
          <w:shd w:val="clear" w:color="auto" w:fill="auto"/>
          <w:lang w:val="en-US" w:eastAsia="zh-CN"/>
        </w:rPr>
      </w:pPr>
    </w:p>
    <w:p>
      <w:pPr>
        <w:pStyle w:val="2"/>
        <w:keepNext w:val="0"/>
        <w:keepLines w:val="0"/>
        <w:pageBreakBefore w:val="0"/>
        <w:kinsoku/>
        <w:overflowPunct/>
        <w:topLinePunct w:val="0"/>
        <w:autoSpaceDE/>
        <w:autoSpaceDN/>
        <w:bidi w:val="0"/>
        <w:adjustRightInd/>
        <w:snapToGrid/>
        <w:spacing w:after="0" w:line="360" w:lineRule="auto"/>
        <w:textAlignment w:val="auto"/>
        <w:rPr>
          <w:rFonts w:hint="eastAsia" w:ascii="仿宋_GB2312" w:hAnsi="仿宋_GB2312" w:eastAsia="仿宋" w:cs="仿宋_GB2312"/>
          <w:color w:val="auto"/>
          <w:sz w:val="24"/>
          <w:szCs w:val="24"/>
          <w:highlight w:val="none"/>
          <w:shd w:val="clear" w:color="auto" w:fill="auto"/>
          <w:lang w:val="en-US" w:eastAsia="zh-CN"/>
        </w:rPr>
      </w:pPr>
    </w:p>
    <w:p>
      <w:pPr>
        <w:pStyle w:val="2"/>
        <w:keepNext w:val="0"/>
        <w:keepLines w:val="0"/>
        <w:pageBreakBefore w:val="0"/>
        <w:kinsoku/>
        <w:wordWrap w:val="0"/>
        <w:overflowPunct/>
        <w:topLinePunct w:val="0"/>
        <w:autoSpaceDE/>
        <w:autoSpaceDN/>
        <w:bidi w:val="0"/>
        <w:adjustRightInd/>
        <w:snapToGrid/>
        <w:spacing w:after="0" w:line="360" w:lineRule="auto"/>
        <w:ind w:left="0" w:leftChars="0" w:firstLine="0" w:firstLineChars="0"/>
        <w:jc w:val="right"/>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 xml:space="preserve">供应商名称（加盖公章）：       </w:t>
      </w:r>
    </w:p>
    <w:p>
      <w:pPr>
        <w:wordWrap w:val="0"/>
        <w:adjustRightInd/>
        <w:snapToGrid/>
        <w:spacing w:line="360" w:lineRule="auto"/>
        <w:jc w:val="right"/>
        <w:rPr>
          <w:rFonts w:hint="default" w:ascii="仿宋_GB2312" w:eastAsia="仿宋" w:hAnsiTheme="minorEastAsia"/>
          <w:color w:val="auto"/>
          <w:sz w:val="24"/>
          <w:szCs w:val="24"/>
          <w:highlight w:val="none"/>
          <w:lang w:val="en-US" w:eastAsia="zh-CN"/>
        </w:rPr>
      </w:pPr>
      <w:r>
        <w:rPr>
          <w:rFonts w:hint="eastAsia" w:ascii="仿宋_GB2312" w:hAnsi="仿宋_GB2312" w:eastAsia="仿宋" w:cs="仿宋_GB2312"/>
          <w:color w:val="auto"/>
          <w:sz w:val="24"/>
          <w:szCs w:val="24"/>
          <w:highlight w:val="none"/>
          <w:shd w:val="clear" w:color="auto" w:fill="auto"/>
          <w:lang w:val="en-US" w:eastAsia="zh-CN"/>
        </w:rPr>
        <w:t xml:space="preserve">    年  月  日        </w:t>
      </w:r>
    </w:p>
    <w:p>
      <w:pPr>
        <w:adjustRightInd/>
        <w:snapToGrid/>
        <w:spacing w:line="240" w:lineRule="auto"/>
        <w:ind w:firstLine="0"/>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adjustRightInd w:val="0"/>
        <w:snapToGrid w:val="0"/>
        <w:spacing w:line="600" w:lineRule="exact"/>
        <w:ind w:firstLine="570"/>
        <w:rPr>
          <w:color w:val="auto"/>
          <w:highlight w:val="none"/>
        </w:rPr>
      </w:pPr>
      <w:r>
        <w:rPr>
          <w:rFonts w:hint="eastAsia" w:ascii="仿宋_GB2312" w:eastAsia="仿宋" w:hAnsiTheme="minorEastAsia"/>
          <w:color w:val="auto"/>
          <w:sz w:val="28"/>
          <w:szCs w:val="28"/>
          <w:highlight w:val="none"/>
          <w:lang w:val="en-US" w:eastAsia="zh-CN"/>
        </w:rPr>
        <w:t>6.2</w:t>
      </w: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0F2F2F"/>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1E2292"/>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566B08"/>
    <w:rsid w:val="116B4A05"/>
    <w:rsid w:val="11877731"/>
    <w:rsid w:val="119B53FC"/>
    <w:rsid w:val="11CE7001"/>
    <w:rsid w:val="1215733B"/>
    <w:rsid w:val="12424CDC"/>
    <w:rsid w:val="129A2738"/>
    <w:rsid w:val="12B56BF1"/>
    <w:rsid w:val="12CB1A89"/>
    <w:rsid w:val="131840FB"/>
    <w:rsid w:val="13467417"/>
    <w:rsid w:val="136E76CF"/>
    <w:rsid w:val="1424395D"/>
    <w:rsid w:val="145F08C6"/>
    <w:rsid w:val="14E43F59"/>
    <w:rsid w:val="15776308"/>
    <w:rsid w:val="15973CBB"/>
    <w:rsid w:val="15A773CE"/>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AB5F64"/>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84754B"/>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CA3252"/>
    <w:rsid w:val="33133EB9"/>
    <w:rsid w:val="3391569E"/>
    <w:rsid w:val="33A07A40"/>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333A87"/>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BBA2895"/>
    <w:rsid w:val="4C90086E"/>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6A05EF"/>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183CF1"/>
    <w:rsid w:val="62280D20"/>
    <w:rsid w:val="62750D4A"/>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897BA3"/>
    <w:rsid w:val="6BDD7B4D"/>
    <w:rsid w:val="6D52013C"/>
    <w:rsid w:val="6DA94CE6"/>
    <w:rsid w:val="6EBC0B3A"/>
    <w:rsid w:val="6EED597D"/>
    <w:rsid w:val="6EF51C7D"/>
    <w:rsid w:val="6F8363E5"/>
    <w:rsid w:val="6F841DCF"/>
    <w:rsid w:val="6FA80CCD"/>
    <w:rsid w:val="6FAC3CC5"/>
    <w:rsid w:val="6FC746F5"/>
    <w:rsid w:val="6FE33EF5"/>
    <w:rsid w:val="70317AC6"/>
    <w:rsid w:val="704B26F7"/>
    <w:rsid w:val="70697B21"/>
    <w:rsid w:val="70863262"/>
    <w:rsid w:val="70A76ED3"/>
    <w:rsid w:val="716637FC"/>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627AC"/>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next w:val="10"/>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2">
    <w:name w:val="Body Text First Indent"/>
    <w:basedOn w:val="7"/>
    <w:unhideWhenUsed/>
    <w:qFormat/>
    <w:uiPriority w:val="99"/>
    <w:pPr>
      <w:ind w:firstLine="420" w:firstLineChars="100"/>
    </w:pPr>
  </w:style>
  <w:style w:type="paragraph" w:styleId="23">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6"/>
    <w:link w:val="18"/>
    <w:semiHidden/>
    <w:qFormat/>
    <w:uiPriority w:val="99"/>
    <w:rPr>
      <w:sz w:val="18"/>
      <w:szCs w:val="18"/>
    </w:rPr>
  </w:style>
  <w:style w:type="character" w:customStyle="1" w:styleId="30">
    <w:name w:val="页脚 Char"/>
    <w:basedOn w:val="26"/>
    <w:link w:val="17"/>
    <w:qFormat/>
    <w:uiPriority w:val="99"/>
    <w:rPr>
      <w:sz w:val="18"/>
      <w:szCs w:val="18"/>
    </w:rPr>
  </w:style>
  <w:style w:type="character" w:customStyle="1" w:styleId="31">
    <w:name w:val="标题 1 Char"/>
    <w:basedOn w:val="26"/>
    <w:link w:val="3"/>
    <w:qFormat/>
    <w:uiPriority w:val="9"/>
    <w:rPr>
      <w:rFonts w:eastAsia="方正小标宋简体"/>
      <w:bCs/>
      <w:kern w:val="44"/>
      <w:sz w:val="44"/>
      <w:szCs w:val="44"/>
    </w:rPr>
  </w:style>
  <w:style w:type="character" w:customStyle="1" w:styleId="32">
    <w:name w:val="标题 2 Char"/>
    <w:basedOn w:val="26"/>
    <w:link w:val="4"/>
    <w:qFormat/>
    <w:uiPriority w:val="9"/>
    <w:rPr>
      <w:rFonts w:eastAsia="方正小标宋简体" w:asciiTheme="majorHAnsi" w:hAnsiTheme="majorHAnsi" w:cstheme="majorBidi"/>
      <w:bCs/>
      <w:sz w:val="36"/>
      <w:szCs w:val="32"/>
    </w:rPr>
  </w:style>
  <w:style w:type="character" w:customStyle="1" w:styleId="33">
    <w:name w:val="标题 3 Char"/>
    <w:basedOn w:val="26"/>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6"/>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character" w:customStyle="1" w:styleId="48">
    <w:name w:val="font01"/>
    <w:basedOn w:val="26"/>
    <w:qFormat/>
    <w:uiPriority w:val="0"/>
    <w:rPr>
      <w:rFonts w:hint="eastAsia" w:ascii="黑体" w:hAnsi="宋体" w:eastAsia="黑体" w:cs="黑体"/>
      <w:b/>
      <w:bCs/>
      <w:color w:val="000000"/>
      <w:sz w:val="28"/>
      <w:szCs w:val="28"/>
      <w:u w:val="none"/>
    </w:rPr>
  </w:style>
  <w:style w:type="character" w:customStyle="1" w:styleId="49">
    <w:name w:val="font51"/>
    <w:basedOn w:val="26"/>
    <w:qFormat/>
    <w:uiPriority w:val="0"/>
    <w:rPr>
      <w:rFonts w:hint="eastAsia" w:ascii="黑体" w:hAnsi="宋体" w:eastAsia="黑体" w:cs="黑体"/>
      <w:b/>
      <w:bCs/>
      <w:color w:val="000000"/>
      <w:sz w:val="24"/>
      <w:szCs w:val="24"/>
      <w:u w:val="none"/>
    </w:rPr>
  </w:style>
  <w:style w:type="character" w:customStyle="1" w:styleId="50">
    <w:name w:val="font61"/>
    <w:basedOn w:val="26"/>
    <w:qFormat/>
    <w:uiPriority w:val="0"/>
    <w:rPr>
      <w:rFonts w:hint="eastAsia" w:ascii="宋体" w:hAnsi="宋体" w:eastAsia="宋体" w:cs="宋体"/>
      <w:b/>
      <w:bCs/>
      <w:color w:val="000000"/>
      <w:sz w:val="22"/>
      <w:szCs w:val="22"/>
      <w:u w:val="none"/>
    </w:rPr>
  </w:style>
  <w:style w:type="character" w:customStyle="1" w:styleId="51">
    <w:name w:val="font1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21464</Words>
  <Characters>28305</Characters>
  <Lines>300</Lines>
  <Paragraphs>84</Paragraphs>
  <TotalTime>6</TotalTime>
  <ScaleCrop>false</ScaleCrop>
  <LinksUpToDate>false</LinksUpToDate>
  <CharactersWithSpaces>29452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2024-10-21T07:43:26Z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139169093D734A8EA74D3061AF3D53F3_13</vt:lpwstr>
  </property>
</Properties>
</file>