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2024年龙归分公司电能管理系统维修项目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20"/>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4"/>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4"/>
        <w:numPr>
          <w:ilvl w:val="0"/>
          <w:numId w:val="1"/>
        </w:numPr>
        <w:tabs>
          <w:tab w:val="right" w:pos="8844"/>
        </w:tabs>
        <w:rPr>
          <w:color w:val="auto"/>
          <w:highlight w:val="none"/>
        </w:rPr>
      </w:pPr>
      <w:r>
        <w:rPr>
          <w:rFonts w:hint="eastAsia"/>
          <w:color w:val="auto"/>
          <w:highlight w:val="none"/>
          <w:lang w:val="en-US" w:eastAsia="zh-CN"/>
        </w:rPr>
        <w:t>供应商须知</w:t>
      </w:r>
    </w:p>
    <w:p>
      <w:pPr>
        <w:pStyle w:val="14"/>
        <w:numPr>
          <w:ilvl w:val="0"/>
          <w:numId w:val="1"/>
        </w:numPr>
        <w:tabs>
          <w:tab w:val="right" w:pos="8844"/>
        </w:tabs>
        <w:rPr>
          <w:color w:val="auto"/>
          <w:highlight w:val="none"/>
        </w:rPr>
      </w:pPr>
      <w:r>
        <w:rPr>
          <w:rFonts w:hint="eastAsia"/>
          <w:color w:val="auto"/>
          <w:highlight w:val="none"/>
          <w:lang w:val="en-US" w:eastAsia="zh-CN"/>
        </w:rPr>
        <w:t>采购方法</w:t>
      </w:r>
    </w:p>
    <w:p>
      <w:pPr>
        <w:pStyle w:val="14"/>
        <w:numPr>
          <w:ilvl w:val="0"/>
          <w:numId w:val="1"/>
        </w:numPr>
        <w:tabs>
          <w:tab w:val="right" w:pos="8844"/>
        </w:tabs>
        <w:rPr>
          <w:color w:val="auto"/>
          <w:highlight w:val="none"/>
        </w:rPr>
      </w:pPr>
      <w:r>
        <w:rPr>
          <w:rFonts w:hint="eastAsia"/>
          <w:color w:val="auto"/>
          <w:highlight w:val="none"/>
          <w:lang w:val="en-US" w:eastAsia="zh-CN"/>
        </w:rPr>
        <w:t>评审方法</w:t>
      </w:r>
    </w:p>
    <w:p>
      <w:pPr>
        <w:pStyle w:val="14"/>
        <w:numPr>
          <w:ilvl w:val="0"/>
          <w:numId w:val="1"/>
        </w:numPr>
        <w:tabs>
          <w:tab w:val="right" w:pos="8844"/>
        </w:tabs>
        <w:rPr>
          <w:color w:val="auto"/>
          <w:highlight w:val="none"/>
        </w:rPr>
      </w:pPr>
      <w:r>
        <w:rPr>
          <w:rFonts w:hint="eastAsia"/>
          <w:color w:val="auto"/>
          <w:highlight w:val="none"/>
          <w:lang w:val="en-US" w:eastAsia="zh-CN"/>
        </w:rPr>
        <w:t>采购需求</w:t>
      </w:r>
    </w:p>
    <w:p>
      <w:pPr>
        <w:pStyle w:val="14"/>
        <w:numPr>
          <w:ilvl w:val="0"/>
          <w:numId w:val="1"/>
        </w:numPr>
        <w:tabs>
          <w:tab w:val="right" w:pos="8844"/>
        </w:tabs>
        <w:rPr>
          <w:color w:val="auto"/>
          <w:highlight w:val="none"/>
        </w:rPr>
      </w:pPr>
      <w:r>
        <w:rPr>
          <w:rFonts w:hint="eastAsia"/>
          <w:color w:val="auto"/>
          <w:highlight w:val="none"/>
        </w:rPr>
        <w:t>合同草案</w:t>
      </w:r>
    </w:p>
    <w:p>
      <w:pPr>
        <w:pStyle w:val="14"/>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4"/>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4"/>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16"/>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3"/>
        <w:rPr>
          <w:rFonts w:hint="eastAsia"/>
          <w:color w:val="auto"/>
          <w:highlight w:val="none"/>
        </w:rPr>
      </w:pPr>
      <w:bookmarkStart w:id="4" w:name="_Toc7519"/>
      <w:bookmarkStart w:id="5" w:name="_Toc1669"/>
      <w:bookmarkStart w:id="6" w:name="_Toc4275"/>
      <w:bookmarkStart w:id="7" w:name="_Toc11322"/>
      <w:bookmarkStart w:id="8" w:name="_Toc17801"/>
      <w:bookmarkStart w:id="9" w:name="_Toc31938"/>
      <w:bookmarkStart w:id="10" w:name="_Toc1960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052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1"/>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6"/>
        <w:rPr>
          <w:rFonts w:ascii="方正小标宋简体" w:eastAsia="方正小标宋简体"/>
          <w:color w:val="auto"/>
          <w:sz w:val="44"/>
          <w:szCs w:val="44"/>
          <w:highlight w:val="none"/>
        </w:rPr>
      </w:pPr>
    </w:p>
    <w:p>
      <w:pPr>
        <w:pStyle w:val="16"/>
        <w:rPr>
          <w:rFonts w:ascii="方正小标宋简体" w:eastAsia="方正小标宋简体"/>
          <w:color w:val="auto"/>
          <w:sz w:val="44"/>
          <w:szCs w:val="44"/>
          <w:highlight w:val="none"/>
        </w:rPr>
      </w:pPr>
    </w:p>
    <w:p>
      <w:pPr>
        <w:pStyle w:val="16"/>
        <w:rPr>
          <w:rFonts w:ascii="方正小标宋简体" w:eastAsia="方正小标宋简体"/>
          <w:color w:val="auto"/>
          <w:sz w:val="44"/>
          <w:szCs w:val="44"/>
          <w:highlight w:val="none"/>
        </w:rPr>
      </w:pPr>
    </w:p>
    <w:p>
      <w:pPr>
        <w:pStyle w:val="16"/>
        <w:rPr>
          <w:rFonts w:ascii="方正小标宋简体" w:eastAsia="方正小标宋简体"/>
          <w:color w:val="auto"/>
          <w:sz w:val="44"/>
          <w:szCs w:val="44"/>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广州市净水有限公司2024年</w:t>
      </w:r>
      <w:r>
        <w:rPr>
          <w:rFonts w:hint="eastAsia" w:ascii="仿宋_GB2312" w:eastAsia="仿宋_GB2312"/>
          <w:color w:val="auto"/>
          <w:sz w:val="28"/>
          <w:szCs w:val="28"/>
          <w:highlight w:val="none"/>
          <w:u w:val="single"/>
          <w:lang w:val="en-US" w:eastAsia="zh-CN"/>
        </w:rPr>
        <w:t>龙归分公司电能管理系统维修</w:t>
      </w:r>
      <w:r>
        <w:rPr>
          <w:rFonts w:hint="eastAsia" w:ascii="仿宋_GB2312" w:eastAsia="仿宋_GB2312"/>
          <w:color w:val="auto"/>
          <w:sz w:val="28"/>
          <w:szCs w:val="28"/>
          <w:highlight w:val="none"/>
          <w:u w:val="single"/>
        </w:rPr>
        <w:t xml:space="preserve">项目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color w:val="auto"/>
          <w:sz w:val="28"/>
          <w:szCs w:val="28"/>
          <w:highlight w:val="none"/>
        </w:rPr>
        <w:sym w:font="Wingdings" w:char="00A8"/>
      </w:r>
      <w:r>
        <w:rPr>
          <w:rFonts w:hint="eastAsia" w:ascii="仿宋_GB2312" w:eastAsia="仿宋_GB2312"/>
          <w:sz w:val="28"/>
          <w:szCs w:val="28"/>
        </w:rPr>
        <w:t>施工</w:t>
      </w:r>
      <w:r>
        <w:rPr>
          <w:rFonts w:hint="eastAsia" w:ascii="仿宋_GB2312" w:eastAsia="仿宋_GB2312"/>
          <w:sz w:val="28"/>
          <w:szCs w:val="28"/>
          <w:lang w:val="en-US" w:eastAsia="zh-CN"/>
        </w:rPr>
        <w:t xml:space="preserve"> </w:t>
      </w:r>
      <w:r>
        <w:rPr>
          <w:rFonts w:hint="eastAsia" w:ascii="仿宋_GB2312" w:eastAsia="仿宋_GB2312"/>
          <w:color w:val="auto"/>
          <w:sz w:val="28"/>
          <w:szCs w:val="28"/>
          <w:highlight w:val="none"/>
        </w:rPr>
        <w:sym w:font="Wingdings" w:char="00A8"/>
      </w:r>
      <w:r>
        <w:rPr>
          <w:rFonts w:hint="eastAsia" w:ascii="仿宋_GB2312" w:eastAsia="仿宋_GB2312"/>
          <w:sz w:val="28"/>
          <w:szCs w:val="28"/>
        </w:rPr>
        <w:t>货物</w:t>
      </w:r>
      <w:r>
        <w:rPr>
          <w:rFonts w:hint="eastAsia" w:ascii="仿宋_GB2312" w:eastAsia="仿宋_GB2312"/>
          <w:sz w:val="28"/>
          <w:szCs w:val="28"/>
          <w:lang w:val="en-US" w:eastAsia="zh-CN"/>
        </w:rPr>
        <w:t xml:space="preserve"> </w:t>
      </w:r>
      <w:r>
        <w:rPr>
          <w:rFonts w:hint="eastAsia" w:ascii="仿宋_GB2312" w:eastAsia="仿宋_GB2312"/>
          <w:color w:val="auto"/>
          <w:sz w:val="28"/>
          <w:szCs w:val="28"/>
          <w:highlight w:val="none"/>
        </w:rPr>
        <w:sym w:font="Wingdings" w:char="00FE"/>
      </w:r>
      <w:r>
        <w:rPr>
          <w:rFonts w:hint="eastAsia" w:ascii="仿宋_GB2312" w:eastAsia="仿宋_GB2312"/>
          <w:sz w:val="28"/>
          <w:szCs w:val="28"/>
        </w:rPr>
        <w:t>服务项目采购活动，采用</w:t>
      </w:r>
      <w:r>
        <w:rPr>
          <w:rFonts w:hint="eastAsia" w:ascii="仿宋_GB2312" w:eastAsia="仿宋_GB2312"/>
          <w:color w:val="auto"/>
          <w:sz w:val="28"/>
          <w:szCs w:val="28"/>
          <w:highlight w:val="none"/>
        </w:rPr>
        <w:sym w:font="Wingdings" w:char="00A8"/>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color w:val="auto"/>
          <w:sz w:val="28"/>
          <w:szCs w:val="28"/>
          <w:highlight w:val="none"/>
        </w:rPr>
        <w:sym w:font="Wingdings" w:char="00FE"/>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pPr>
      <w:r>
        <w:rPr>
          <w:rFonts w:hint="eastAsia"/>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广州市净水有限公司2024年</w:t>
      </w:r>
      <w:r>
        <w:rPr>
          <w:rFonts w:hint="eastAsia" w:ascii="仿宋_GB2312" w:eastAsia="仿宋_GB2312"/>
          <w:color w:val="auto"/>
          <w:sz w:val="28"/>
          <w:szCs w:val="28"/>
          <w:highlight w:val="none"/>
          <w:u w:val="single"/>
          <w:lang w:val="en-US" w:eastAsia="zh-CN"/>
        </w:rPr>
        <w:t>龙归分公司电能管理系统维修</w:t>
      </w:r>
      <w:r>
        <w:rPr>
          <w:rFonts w:hint="eastAsia" w:ascii="仿宋_GB2312" w:eastAsia="仿宋_GB2312"/>
          <w:color w:val="auto"/>
          <w:sz w:val="28"/>
          <w:szCs w:val="28"/>
          <w:highlight w:val="none"/>
          <w:u w:val="single"/>
        </w:rPr>
        <w:t xml:space="preserve">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25000元</w:t>
      </w:r>
      <w:r>
        <w:rPr>
          <w:rFonts w:hint="eastAsia" w:ascii="仿宋_GB2312" w:eastAsia="仿宋_GB2312"/>
          <w:color w:val="auto"/>
          <w:sz w:val="28"/>
          <w:szCs w:val="28"/>
          <w:highlight w:val="none"/>
          <w:u w:val="single"/>
        </w:rPr>
        <w:t>（其中不含税工程造价为</w:t>
      </w:r>
      <w:r>
        <w:rPr>
          <w:rFonts w:hint="eastAsia" w:ascii="仿宋_GB2312" w:eastAsia="仿宋_GB2312"/>
          <w:color w:val="auto"/>
          <w:sz w:val="28"/>
          <w:szCs w:val="28"/>
          <w:highlight w:val="none"/>
          <w:u w:val="single"/>
          <w:lang w:val="en-US" w:eastAsia="zh-CN"/>
        </w:rPr>
        <w:t>23584.90</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税率为</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龙归分公司使用的电能管理系统是安科瑞Acre1-3000WEB，由于数据文件丢失无法对现场电表进行数据采集，需对电能管理系统进行重新安装配置数据进行修复</w:t>
      </w:r>
      <w:r>
        <w:rPr>
          <w:rFonts w:hint="eastAsia" w:ascii="仿宋_GB2312" w:eastAsia="仿宋_GB2312"/>
          <w:color w:val="auto"/>
          <w:sz w:val="28"/>
          <w:szCs w:val="28"/>
          <w:highlight w:val="none"/>
          <w:u w:val="single"/>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备注：</w:t>
      </w:r>
      <w:r>
        <w:rPr>
          <w:rFonts w:hint="eastAsia" w:ascii="仿宋_GB2312" w:eastAsia="仿宋_GB2312"/>
          <w:color w:val="auto"/>
          <w:sz w:val="28"/>
          <w:szCs w:val="28"/>
          <w:highlight w:val="none"/>
          <w:u w:val="single"/>
          <w:lang w:val="en-US" w:eastAsia="zh-CN"/>
        </w:rPr>
        <w:t>修复原有电能管理系统不能更换系统</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w:char="00FE"/>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30个日历日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w:char="00FE"/>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广州市净水有限公司龙归分公司                                 </w:t>
      </w:r>
      <w:r>
        <w:rPr>
          <w:rFonts w:hint="eastAsia" w:ascii="仿宋_GB2312" w:eastAsia="仿宋_GB2312"/>
          <w:color w:val="auto"/>
          <w:sz w:val="28"/>
          <w:szCs w:val="28"/>
          <w:highlight w:val="none"/>
          <w:u w:val="single"/>
        </w:rPr>
        <w:t xml:space="preserve">        </w:t>
      </w:r>
    </w:p>
    <w:p>
      <w:pPr>
        <w:pStyle w:val="15"/>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施工质量要求</w:t>
      </w: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lang w:val="en-US" w:eastAsia="zh-CN"/>
        </w:rPr>
        <w:t>详见第五章采购需求</w:t>
      </w:r>
    </w:p>
    <w:p>
      <w:pPr>
        <w:adjustRightInd w:val="0"/>
        <w:snapToGrid w:val="0"/>
        <w:spacing w:line="600" w:lineRule="exact"/>
        <w:ind w:left="0" w:right="-370"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hAnsiTheme="minorHAnsi" w:cstheme="minorBidi"/>
          <w:color w:val="auto"/>
          <w:sz w:val="28"/>
          <w:szCs w:val="28"/>
          <w:highlight w:val="none"/>
          <w:u w:val="none"/>
        </w:rPr>
        <w:t>安科瑞Acre1-3000WEB电能管理软件</w:t>
      </w:r>
      <w:r>
        <w:rPr>
          <w:rFonts w:hint="eastAsia" w:ascii="仿宋_GB2312" w:eastAsia="仿宋_GB2312" w:cstheme="minorBidi"/>
          <w:color w:val="auto"/>
          <w:sz w:val="28"/>
          <w:szCs w:val="28"/>
          <w:highlight w:val="none"/>
          <w:u w:val="none"/>
          <w:lang w:val="en-US" w:eastAsia="zh-CN"/>
        </w:rPr>
        <w:t>授权。</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 w:hAnsi="仿宋" w:eastAsia="仿宋" w:cs="仿宋"/>
          <w:color w:val="000000"/>
          <w:kern w:val="0"/>
          <w:sz w:val="28"/>
          <w:szCs w:val="28"/>
          <w:highlight w:val="none"/>
          <w:u w:val="none"/>
        </w:rPr>
        <w:t>20</w:t>
      </w:r>
      <w:r>
        <w:rPr>
          <w:rFonts w:hint="eastAsia" w:ascii="仿宋" w:hAnsi="仿宋" w:eastAsia="仿宋" w:cs="仿宋"/>
          <w:color w:val="000000"/>
          <w:kern w:val="0"/>
          <w:sz w:val="28"/>
          <w:szCs w:val="28"/>
          <w:highlight w:val="none"/>
          <w:u w:val="none"/>
          <w:lang w:val="en-US" w:eastAsia="zh-CN"/>
        </w:rPr>
        <w:t>22</w:t>
      </w:r>
      <w:r>
        <w:rPr>
          <w:rFonts w:hint="eastAsia" w:ascii="仿宋" w:hAnsi="仿宋" w:eastAsia="仿宋" w:cs="仿宋"/>
          <w:color w:val="000000"/>
          <w:kern w:val="0"/>
          <w:sz w:val="28"/>
          <w:szCs w:val="28"/>
          <w:highlight w:val="none"/>
          <w:u w:val="none"/>
        </w:rPr>
        <w:t>年1月1日至今</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lang w:val="en-US" w:eastAsia="zh-CN"/>
        </w:rPr>
        <w:t>最少</w:t>
      </w:r>
      <w:r>
        <w:rPr>
          <w:rFonts w:hint="eastAsia" w:ascii="仿宋" w:hAnsi="仿宋" w:eastAsia="仿宋" w:cs="仿宋"/>
          <w:color w:val="000000"/>
          <w:kern w:val="0"/>
          <w:sz w:val="28"/>
          <w:szCs w:val="28"/>
          <w:highlight w:val="none"/>
          <w:u w:val="none"/>
        </w:rPr>
        <w:t>具有</w:t>
      </w:r>
      <w:r>
        <w:rPr>
          <w:rFonts w:hint="eastAsia" w:ascii="仿宋" w:hAnsi="仿宋" w:eastAsia="仿宋" w:cs="仿宋"/>
          <w:color w:val="000000"/>
          <w:kern w:val="0"/>
          <w:sz w:val="28"/>
          <w:szCs w:val="28"/>
          <w:highlight w:val="none"/>
          <w:u w:val="none"/>
          <w:lang w:val="en-US" w:eastAsia="zh-CN"/>
        </w:rPr>
        <w:t>一项电力系统软件的安装或维修</w:t>
      </w:r>
      <w:r>
        <w:rPr>
          <w:rFonts w:hint="eastAsia" w:ascii="仿宋" w:hAnsi="仿宋" w:eastAsia="仿宋" w:cs="仿宋"/>
          <w:color w:val="000000"/>
          <w:kern w:val="0"/>
          <w:sz w:val="28"/>
          <w:szCs w:val="28"/>
          <w:highlight w:val="none"/>
          <w:u w:val="none"/>
        </w:rPr>
        <w:t>业绩</w:t>
      </w:r>
      <w:r>
        <w:rPr>
          <w:rFonts w:hint="eastAsia" w:ascii="仿宋_GB2312" w:eastAsia="仿宋_GB2312"/>
          <w:color w:val="auto"/>
          <w:sz w:val="28"/>
          <w:szCs w:val="28"/>
          <w:highlight w:val="none"/>
        </w:rPr>
        <w:t>。（提供合同复印件证明，包括但不限于项目名称、金额及实施内容、合同盖章、签订日期，加盖单位公章）</w:t>
      </w:r>
    </w:p>
    <w:p>
      <w:pPr>
        <w:pStyle w:val="16"/>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 xml:space="preserve">无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color w:val="auto"/>
          <w:sz w:val="28"/>
          <w:szCs w:val="28"/>
          <w:highlight w:val="none"/>
          <w:lang w:val="zh-CN"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w:t>
      </w:r>
      <w:r>
        <w:rPr>
          <w:rFonts w:hint="eastAsia" w:ascii="仿宋_GB2312" w:eastAsia="仿宋_GB2312"/>
          <w:color w:val="auto"/>
          <w:sz w:val="28"/>
          <w:szCs w:val="28"/>
          <w:highlight w:val="none"/>
          <w:lang w:val="zh-CN" w:eastAsia="zh-CN"/>
        </w:rPr>
        <w:t>自行</w:t>
      </w:r>
      <w:r>
        <w:rPr>
          <w:rFonts w:hint="eastAsia" w:ascii="仿宋_GB2312" w:eastAsia="仿宋_GB2312"/>
          <w:color w:val="auto"/>
          <w:sz w:val="28"/>
          <w:szCs w:val="28"/>
          <w:highlight w:val="none"/>
          <w:lang w:val="en-US" w:eastAsia="zh-CN"/>
        </w:rPr>
        <w:t>选择是否前往现场踏勘</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val="en-US" w:eastAsia="zh-CN"/>
        </w:rPr>
        <w:t>若前往现场踏勘须在规定时间内到达集中地点，逾期不再接待</w:t>
      </w:r>
      <w:r>
        <w:rPr>
          <w:rFonts w:hint="eastAsia" w:ascii="仿宋_GB2312" w:eastAsia="仿宋_GB2312"/>
          <w:color w:val="auto"/>
          <w:sz w:val="28"/>
          <w:szCs w:val="28"/>
          <w:highlight w:val="none"/>
          <w:lang w:val="zh-CN" w:eastAsia="zh-CN"/>
        </w:rPr>
        <w:t>。</w:t>
      </w:r>
    </w:p>
    <w:p>
      <w:pPr>
        <w:snapToGrid w:val="0"/>
        <w:spacing w:line="600" w:lineRule="exac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w:t>
      </w:r>
    </w:p>
    <w:p>
      <w:pPr>
        <w:snapToGrid w:val="0"/>
        <w:spacing w:line="600" w:lineRule="exac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踏勘现场联系人联系方式：</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lang w:val="en-US" w:eastAsia="zh-CN"/>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广州市白云区太和镇南岭龙岗北路20号</w:t>
      </w:r>
      <w:r>
        <w:rPr>
          <w:rFonts w:hint="eastAsia" w:ascii="仿宋_GB2312" w:eastAsia="仿宋_GB2312"/>
          <w:color w:val="auto"/>
          <w:sz w:val="28"/>
          <w:szCs w:val="28"/>
          <w:highlight w:val="none"/>
          <w:u w:val="single"/>
          <w:lang w:val="en-US" w:eastAsia="zh-CN"/>
        </w:rPr>
        <w:t>广州市净水有限公司龙归分公司</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w:t>
      </w:r>
      <w:r>
        <w:rPr>
          <w:rFonts w:hint="eastAsia" w:ascii="仿宋_GB2312" w:eastAsia="仿宋_GB2312" w:hAnsiTheme="minorHAnsi" w:cstheme="minorBidi"/>
          <w:color w:val="auto"/>
          <w:kern w:val="2"/>
          <w:sz w:val="28"/>
          <w:szCs w:val="28"/>
          <w:highlight w:val="none"/>
          <w:lang w:val="en-US" w:eastAsia="zh-CN"/>
        </w:rPr>
        <w:t>龙归分公司</w:t>
      </w:r>
      <w:r>
        <w:rPr>
          <w:rFonts w:hint="eastAsia" w:ascii="仿宋_GB2312" w:eastAsia="仿宋_GB2312" w:hAnsiTheme="minorHAnsi" w:cstheme="minorBidi"/>
          <w:color w:val="auto"/>
          <w:kern w:val="2"/>
          <w:sz w:val="28"/>
          <w:szCs w:val="28"/>
          <w:highlight w:val="none"/>
        </w:rPr>
        <w:t>”，“部门”选择“</w:t>
      </w:r>
      <w:r>
        <w:rPr>
          <w:rFonts w:hint="eastAsia" w:ascii="仿宋_GB2312" w:eastAsia="仿宋_GB2312" w:hAnsiTheme="minorHAnsi" w:cstheme="minorBidi"/>
          <w:color w:val="auto"/>
          <w:kern w:val="2"/>
          <w:sz w:val="28"/>
          <w:szCs w:val="28"/>
          <w:highlight w:val="none"/>
          <w:lang w:val="en-US" w:eastAsia="zh-CN"/>
        </w:rPr>
        <w:t>生产部</w:t>
      </w:r>
      <w:r>
        <w:rPr>
          <w:rFonts w:hint="eastAsia" w:ascii="仿宋_GB2312" w:eastAsia="仿宋_GB2312" w:hAnsiTheme="minorHAnsi" w:cstheme="minorBidi"/>
          <w:color w:val="auto"/>
          <w:kern w:val="2"/>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w:t>
      </w:r>
      <w:r>
        <w:rPr>
          <w:rFonts w:hint="eastAsia" w:ascii="仿宋_GB2312" w:eastAsia="仿宋_GB2312" w:hAnsiTheme="minorHAnsi" w:cstheme="minorBidi"/>
          <w:color w:val="auto"/>
          <w:kern w:val="2"/>
          <w:sz w:val="28"/>
          <w:szCs w:val="28"/>
          <w:highlight w:val="none"/>
          <w:lang w:val="en-US" w:eastAsia="zh-CN"/>
        </w:rPr>
        <w:t>生产</w:t>
      </w:r>
      <w:r>
        <w:rPr>
          <w:rFonts w:hint="eastAsia" w:ascii="仿宋_GB2312" w:eastAsia="仿宋_GB2312" w:hAnsiTheme="minorHAnsi" w:cstheme="minorBidi"/>
          <w:color w:val="auto"/>
          <w:kern w:val="2"/>
          <w:sz w:val="28"/>
          <w:szCs w:val="28"/>
          <w:highlight w:val="none"/>
        </w:rPr>
        <w:t>部”，“手机号”：“</w:t>
      </w:r>
      <w:r>
        <w:rPr>
          <w:rFonts w:hint="eastAsia" w:ascii="仿宋_GB2312" w:eastAsia="仿宋_GB2312" w:hAnsiTheme="minorHAnsi" w:cstheme="minorBidi"/>
          <w:color w:val="auto"/>
          <w:kern w:val="2"/>
          <w:sz w:val="28"/>
          <w:szCs w:val="28"/>
          <w:highlight w:val="none"/>
          <w:lang w:val="en-US" w:eastAsia="zh-CN"/>
        </w:rPr>
        <w:t>18344310897</w:t>
      </w:r>
      <w:r>
        <w:rPr>
          <w:rFonts w:hint="eastAsia" w:ascii="仿宋_GB2312" w:eastAsia="仿宋_GB2312" w:hAnsiTheme="minorHAnsi" w:cstheme="minorBidi"/>
          <w:color w:val="auto"/>
          <w:kern w:val="2"/>
          <w:sz w:val="28"/>
          <w:szCs w:val="28"/>
          <w:highlight w:val="none"/>
        </w:rPr>
        <w:t>”。</w:t>
      </w:r>
    </w:p>
    <w:p>
      <w:pPr>
        <w:pStyle w:val="7"/>
        <w:rPr>
          <w:rFonts w:hint="default" w:eastAsia="仿宋_GB2312"/>
          <w:color w:val="auto"/>
          <w:highlight w:val="none"/>
          <w:lang w:val="en-US" w:eastAsia="zh-CN"/>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广州市净水有限公司龙归分公司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18344310897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广州市白云区太和镇南岭龙岗北路20号广州市净水有限公司龙归分公司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联系方式</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广州市净水有限公司龙归分公司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hAnsi="仿宋" w:eastAsia="仿宋_GB2312"/>
                <w:color w:val="auto"/>
                <w:sz w:val="28"/>
                <w:szCs w:val="28"/>
                <w:highlight w:val="none"/>
                <w:u w:val="single"/>
                <w:lang w:val="en-US" w:eastAsia="zh-CN"/>
              </w:rPr>
              <w:t>广州市白云区太和镇南岭龙岗北路20号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18344310897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7340"/>
      <w:bookmarkStart w:id="15" w:name="_Toc16557"/>
      <w:bookmarkStart w:id="16" w:name="_Toc25603"/>
      <w:bookmarkStart w:id="17" w:name="_Toc2324"/>
      <w:bookmarkStart w:id="18" w:name="_Toc32588"/>
      <w:bookmarkStart w:id="19" w:name="_Toc2331"/>
      <w:bookmarkStart w:id="20" w:name="_Toc16705"/>
      <w:bookmarkStart w:id="21" w:name="_Toc19295"/>
      <w:bookmarkStart w:id="22" w:name="_Toc9448"/>
      <w:bookmarkStart w:id="23" w:name="_Toc23749"/>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rFonts w:hint="eastAsia"/>
          <w:color w:val="auto"/>
          <w:highlight w:val="none"/>
        </w:rPr>
      </w:pPr>
      <w:bookmarkStart w:id="24" w:name="_Toc2339"/>
      <w:bookmarkStart w:id="25" w:name="_Toc3416"/>
      <w:r>
        <w:rPr>
          <w:rFonts w:hint="eastAsia"/>
          <w:color w:val="auto"/>
          <w:highlight w:val="none"/>
        </w:rPr>
        <w:t>供应商须知</w:t>
      </w:r>
      <w:bookmarkEnd w:id="24"/>
      <w:bookmarkEnd w:id="25"/>
    </w:p>
    <w:p>
      <w:pPr>
        <w:rPr>
          <w:rFonts w:hint="eastAsia"/>
          <w:color w:val="auto"/>
          <w:highlight w:val="none"/>
        </w:rPr>
      </w:pPr>
    </w:p>
    <w:p>
      <w:pPr>
        <w:pStyle w:val="16"/>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6"/>
        <w:rPr>
          <w:rFonts w:hint="eastAsia" w:asciiTheme="minorEastAsia" w:hAnsiTheme="minorEastAsia"/>
          <w:b/>
          <w:color w:val="auto"/>
          <w:sz w:val="32"/>
          <w:szCs w:val="32"/>
          <w:highlight w:val="none"/>
        </w:rPr>
      </w:pPr>
    </w:p>
    <w:p>
      <w:pPr>
        <w:pStyle w:val="16"/>
        <w:rPr>
          <w:rFonts w:hint="eastAsia" w:asciiTheme="minorEastAsia" w:hAnsiTheme="minorEastAsia"/>
          <w:b/>
          <w:color w:val="auto"/>
          <w:sz w:val="32"/>
          <w:szCs w:val="32"/>
          <w:highlight w:val="none"/>
        </w:rPr>
      </w:pPr>
    </w:p>
    <w:p>
      <w:pPr>
        <w:pStyle w:val="16"/>
        <w:rPr>
          <w:rFonts w:hint="eastAsia" w:asciiTheme="minorEastAsia" w:hAnsiTheme="minorEastAsia"/>
          <w:b/>
          <w:color w:val="auto"/>
          <w:sz w:val="32"/>
          <w:szCs w:val="32"/>
          <w:highlight w:val="none"/>
        </w:rPr>
      </w:pPr>
    </w:p>
    <w:p>
      <w:pPr>
        <w:pStyle w:val="16"/>
        <w:rPr>
          <w:rFonts w:hint="eastAsia" w:asciiTheme="minorEastAsia" w:hAnsiTheme="minorEastAsia"/>
          <w:b/>
          <w:color w:val="auto"/>
          <w:sz w:val="32"/>
          <w:szCs w:val="32"/>
          <w:highlight w:val="none"/>
        </w:rPr>
      </w:pPr>
    </w:p>
    <w:p>
      <w:pPr>
        <w:pStyle w:val="16"/>
        <w:rPr>
          <w:rFonts w:hint="eastAsia" w:asciiTheme="minorEastAsia" w:hAnsiTheme="minorEastAsia"/>
          <w:b/>
          <w:color w:val="auto"/>
          <w:sz w:val="32"/>
          <w:szCs w:val="32"/>
          <w:highlight w:val="none"/>
        </w:rPr>
      </w:pPr>
    </w:p>
    <w:p>
      <w:pPr>
        <w:pStyle w:val="16"/>
        <w:rPr>
          <w:rFonts w:hint="eastAsia" w:asciiTheme="minorEastAsia" w:hAnsiTheme="minorEastAsia"/>
          <w:b/>
          <w:color w:val="auto"/>
          <w:sz w:val="32"/>
          <w:szCs w:val="32"/>
          <w:highlight w:val="none"/>
        </w:rPr>
      </w:pPr>
    </w:p>
    <w:p>
      <w:pPr>
        <w:pStyle w:val="16"/>
        <w:ind w:left="0" w:leftChars="0" w:firstLine="0" w:firstLineChars="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16"/>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1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6"/>
        <w:rPr>
          <w:rFonts w:asciiTheme="majorEastAsia" w:hAnsiTheme="majorEastAsia" w:eastAsiaTheme="majorEastAsia"/>
          <w:b/>
          <w:color w:val="auto"/>
          <w:sz w:val="28"/>
          <w:szCs w:val="28"/>
          <w:highlight w:val="none"/>
        </w:rPr>
      </w:pPr>
    </w:p>
    <w:p>
      <w:pPr>
        <w:pStyle w:val="16"/>
        <w:rPr>
          <w:rFonts w:asciiTheme="majorEastAsia" w:hAnsiTheme="majorEastAsia" w:eastAsiaTheme="majorEastAsia"/>
          <w:b/>
          <w:color w:val="auto"/>
          <w:sz w:val="28"/>
          <w:szCs w:val="28"/>
          <w:highlight w:val="none"/>
        </w:rPr>
      </w:pPr>
    </w:p>
    <w:p>
      <w:pPr>
        <w:pStyle w:val="16"/>
        <w:rPr>
          <w:rFonts w:asciiTheme="majorEastAsia" w:hAnsiTheme="majorEastAsia" w:eastAsiaTheme="majorEastAsia"/>
          <w:b/>
          <w:color w:val="auto"/>
          <w:sz w:val="28"/>
          <w:szCs w:val="28"/>
          <w:highlight w:val="none"/>
        </w:rPr>
      </w:pPr>
    </w:p>
    <w:p>
      <w:pPr>
        <w:pStyle w:val="16"/>
        <w:rPr>
          <w:rFonts w:asciiTheme="majorEastAsia" w:hAnsiTheme="majorEastAsia" w:eastAsiaTheme="majorEastAsia"/>
          <w:b/>
          <w:color w:val="auto"/>
          <w:sz w:val="28"/>
          <w:szCs w:val="28"/>
          <w:highlight w:val="none"/>
        </w:rPr>
      </w:pPr>
      <w:bookmarkStart w:id="135" w:name="_GoBack"/>
      <w:bookmarkEnd w:id="135"/>
    </w:p>
    <w:p>
      <w:pPr>
        <w:pStyle w:val="16"/>
        <w:ind w:firstLine="0"/>
        <w:rPr>
          <w:rFonts w:asciiTheme="majorEastAsia" w:hAnsiTheme="majorEastAsia" w:eastAsiaTheme="majorEastAsia"/>
          <w:b/>
          <w:color w:val="auto"/>
          <w:sz w:val="28"/>
          <w:szCs w:val="28"/>
          <w:highlight w:val="none"/>
        </w:rPr>
      </w:pPr>
    </w:p>
    <w:p>
      <w:pPr>
        <w:pStyle w:val="16"/>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18"/>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6"/>
        <w:rPr>
          <w:rFonts w:ascii="仿宋_GB2312" w:eastAsia="仿宋_GB2312" w:hAnsiTheme="majorEastAsia"/>
          <w:color w:val="auto"/>
          <w:sz w:val="28"/>
          <w:szCs w:val="28"/>
          <w:highlight w:val="none"/>
        </w:rPr>
      </w:pPr>
    </w:p>
    <w:p>
      <w:pPr>
        <w:pStyle w:val="16"/>
        <w:rPr>
          <w:rFonts w:ascii="仿宋_GB2312" w:eastAsia="仿宋_GB2312" w:hAnsiTheme="majorEastAsia"/>
          <w:color w:val="auto"/>
          <w:sz w:val="28"/>
          <w:szCs w:val="28"/>
          <w:highlight w:val="none"/>
        </w:rPr>
      </w:pPr>
    </w:p>
    <w:p>
      <w:pPr>
        <w:pStyle w:val="16"/>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6"/>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16"/>
        <w:rPr>
          <w:rFonts w:ascii="仿宋_GB2312" w:eastAsia="仿宋_GB2312" w:hAnsiTheme="majorEastAsia"/>
          <w:color w:val="auto"/>
          <w:sz w:val="28"/>
          <w:szCs w:val="28"/>
          <w:highlight w:val="none"/>
        </w:rPr>
      </w:pPr>
    </w:p>
    <w:p>
      <w:pPr>
        <w:pStyle w:val="16"/>
        <w:rPr>
          <w:rFonts w:ascii="仿宋_GB2312" w:eastAsia="仿宋_GB2312" w:hAnsiTheme="majorEastAsia"/>
          <w:color w:val="auto"/>
          <w:sz w:val="28"/>
          <w:szCs w:val="28"/>
          <w:highlight w:val="none"/>
        </w:rPr>
      </w:pPr>
    </w:p>
    <w:p>
      <w:pPr>
        <w:pStyle w:val="16"/>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1"/>
        <w:rPr>
          <w:color w:val="auto"/>
          <w:highlight w:val="none"/>
        </w:rPr>
      </w:pPr>
    </w:p>
    <w:p>
      <w:pPr>
        <w:pStyle w:val="2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4760" w:firstLineChars="17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0" w:leftChars="0" w:firstLine="0" w:firstLineChars="0"/>
        <w:jc w:val="left"/>
        <w:rPr>
          <w:rFonts w:hAnsi="宋体" w:cs="仿宋_GB2312"/>
          <w:kern w:val="0"/>
          <w:sz w:val="28"/>
          <w:szCs w:val="28"/>
          <w:highlight w:val="none"/>
        </w:rPr>
      </w:pPr>
    </w:p>
    <w:p>
      <w:pPr>
        <w:widowControl/>
        <w:ind w:left="99" w:leftChars="47" w:firstLine="3920" w:firstLineChars="14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16"/>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21"/>
        <w:rPr>
          <w:color w:val="auto"/>
          <w:highlight w:val="none"/>
        </w:rPr>
      </w:pPr>
    </w:p>
    <w:p>
      <w:pPr>
        <w:pStyle w:val="4"/>
        <w:rPr>
          <w:color w:val="auto"/>
          <w:highlight w:val="none"/>
        </w:rPr>
      </w:pPr>
      <w:bookmarkStart w:id="28" w:name="_Toc88209934"/>
      <w:bookmarkStart w:id="29" w:name="_Toc7040"/>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6"/>
        <w:rPr>
          <w:rFonts w:ascii="方正小标宋简体" w:eastAsia="方正小标宋简体"/>
          <w:color w:val="auto"/>
          <w:sz w:val="44"/>
          <w:szCs w:val="44"/>
          <w:highlight w:val="none"/>
        </w:rPr>
      </w:pPr>
    </w:p>
    <w:p>
      <w:pPr>
        <w:pStyle w:val="16"/>
        <w:rPr>
          <w:rFonts w:ascii="方正小标宋简体" w:eastAsia="方正小标宋简体"/>
          <w:color w:val="auto"/>
          <w:sz w:val="44"/>
          <w:szCs w:val="44"/>
          <w:highlight w:val="none"/>
        </w:rPr>
      </w:pPr>
    </w:p>
    <w:p>
      <w:pPr>
        <w:pStyle w:val="16"/>
        <w:ind w:firstLine="0"/>
        <w:rPr>
          <w:rFonts w:ascii="方正小标宋简体" w:eastAsia="方正小标宋简体"/>
          <w:color w:val="auto"/>
          <w:sz w:val="44"/>
          <w:szCs w:val="44"/>
          <w:highlight w:val="none"/>
        </w:rPr>
      </w:pPr>
    </w:p>
    <w:p>
      <w:pPr>
        <w:pStyle w:val="16"/>
        <w:ind w:firstLine="0"/>
        <w:rPr>
          <w:rFonts w:ascii="方正小标宋简体" w:eastAsia="方正小标宋简体"/>
          <w:color w:val="auto"/>
          <w:sz w:val="44"/>
          <w:szCs w:val="44"/>
          <w:highlight w:val="none"/>
        </w:rPr>
      </w:pPr>
    </w:p>
    <w:p>
      <w:pPr>
        <w:pStyle w:val="16"/>
        <w:ind w:firstLine="0"/>
        <w:rPr>
          <w:rFonts w:ascii="方正小标宋简体" w:eastAsia="方正小标宋简体"/>
          <w:color w:val="auto"/>
          <w:sz w:val="44"/>
          <w:szCs w:val="44"/>
          <w:highlight w:val="none"/>
        </w:rPr>
      </w:pPr>
    </w:p>
    <w:p>
      <w:pPr>
        <w:pStyle w:val="4"/>
        <w:rPr>
          <w:rFonts w:hint="eastAsia"/>
          <w:color w:val="auto"/>
          <w:highlight w:val="none"/>
        </w:rPr>
      </w:pPr>
      <w:bookmarkStart w:id="32" w:name="_Toc24895"/>
      <w:bookmarkStart w:id="33" w:name="_Toc3789"/>
    </w:p>
    <w:p>
      <w:pPr>
        <w:pStyle w:val="4"/>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18"/>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广州市白云区太和镇南岭龙岗北路20号广州市净水有限公司龙归分公司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9759"/>
      <w:bookmarkStart w:id="35" w:name="_Toc3156"/>
      <w:bookmarkStart w:id="36" w:name="_Toc20594"/>
      <w:bookmarkStart w:id="37" w:name="_Toc7437"/>
      <w:bookmarkStart w:id="38" w:name="_Toc4952"/>
      <w:bookmarkStart w:id="39" w:name="_Toc19050"/>
      <w:bookmarkStart w:id="40" w:name="_Toc10930"/>
      <w:bookmarkStart w:id="41" w:name="_Toc7118"/>
      <w:bookmarkStart w:id="42" w:name="_Toc23581"/>
      <w:bookmarkStart w:id="43" w:name="_Toc14870"/>
      <w:bookmarkStart w:id="44" w:name="_Toc14552"/>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21"/>
        <w:rPr>
          <w:color w:val="auto"/>
          <w:highlight w:val="none"/>
        </w:rPr>
      </w:pPr>
    </w:p>
    <w:p>
      <w:pPr>
        <w:pStyle w:val="3"/>
        <w:rPr>
          <w:color w:val="auto"/>
          <w:highlight w:val="none"/>
        </w:rPr>
      </w:pPr>
      <w:bookmarkStart w:id="45" w:name="_Toc7831"/>
      <w:bookmarkStart w:id="46" w:name="_Toc21079"/>
      <w:bookmarkStart w:id="47" w:name="_Toc21840"/>
      <w:bookmarkStart w:id="48" w:name="_Toc29345"/>
      <w:bookmarkStart w:id="49" w:name="_Toc22212"/>
      <w:bookmarkStart w:id="50" w:name="_Toc6308"/>
      <w:bookmarkStart w:id="51" w:name="_Toc29484"/>
      <w:bookmarkStart w:id="52" w:name="_Toc87616378"/>
      <w:bookmarkStart w:id="53" w:name="_Toc12177"/>
      <w:bookmarkStart w:id="54" w:name="_Toc13898"/>
      <w:bookmarkStart w:id="55" w:name="_Toc32607"/>
      <w:bookmarkStart w:id="56" w:name="_Toc30530"/>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6"/>
        <w:rPr>
          <w:rFonts w:ascii="方正小标宋简体" w:eastAsia="方正小标宋简体"/>
          <w:color w:val="auto"/>
          <w:sz w:val="44"/>
          <w:szCs w:val="44"/>
          <w:highlight w:val="none"/>
        </w:rPr>
      </w:pPr>
    </w:p>
    <w:p>
      <w:pPr>
        <w:pStyle w:val="16"/>
        <w:ind w:firstLine="0"/>
        <w:rPr>
          <w:rFonts w:ascii="方正小标宋简体" w:eastAsia="方正小标宋简体"/>
          <w:color w:val="auto"/>
          <w:sz w:val="44"/>
          <w:szCs w:val="44"/>
          <w:highlight w:val="none"/>
        </w:rPr>
      </w:pPr>
    </w:p>
    <w:p>
      <w:pPr>
        <w:pStyle w:val="16"/>
        <w:ind w:firstLine="0"/>
        <w:rPr>
          <w:rFonts w:ascii="方正小标宋简体" w:eastAsia="方正小标宋简体"/>
          <w:color w:val="auto"/>
          <w:sz w:val="44"/>
          <w:szCs w:val="44"/>
          <w:highlight w:val="none"/>
        </w:rPr>
      </w:pPr>
    </w:p>
    <w:p>
      <w:pPr>
        <w:pStyle w:val="16"/>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1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16"/>
        <w:rPr>
          <w:rFonts w:ascii="仿宋_GB2312" w:eastAsia="仿宋_GB2312" w:hAnsiTheme="minorEastAsia"/>
          <w:color w:val="auto"/>
          <w:szCs w:val="21"/>
          <w:highlight w:val="none"/>
        </w:rPr>
      </w:pPr>
    </w:p>
    <w:p>
      <w:pPr>
        <w:pStyle w:val="16"/>
        <w:rPr>
          <w:rFonts w:ascii="仿宋_GB2312" w:eastAsia="仿宋_GB2312" w:hAnsiTheme="minorEastAsia"/>
          <w:color w:val="auto"/>
          <w:szCs w:val="21"/>
          <w:highlight w:val="none"/>
        </w:rPr>
      </w:pPr>
    </w:p>
    <w:p>
      <w:pPr>
        <w:pStyle w:val="16"/>
        <w:rPr>
          <w:rFonts w:ascii="仿宋_GB2312" w:eastAsia="仿宋_GB2312" w:hAnsiTheme="minorEastAsia"/>
          <w:color w:val="auto"/>
          <w:szCs w:val="21"/>
          <w:highlight w:val="none"/>
        </w:rPr>
      </w:pPr>
    </w:p>
    <w:p>
      <w:pPr>
        <w:pStyle w:val="16"/>
        <w:rPr>
          <w:rFonts w:ascii="仿宋_GB2312" w:eastAsia="仿宋_GB2312" w:hAnsiTheme="minorEastAsia"/>
          <w:color w:val="auto"/>
          <w:szCs w:val="21"/>
          <w:highlight w:val="none"/>
        </w:rPr>
      </w:pPr>
    </w:p>
    <w:p>
      <w:pPr>
        <w:pStyle w:val="16"/>
        <w:rPr>
          <w:rFonts w:ascii="仿宋_GB2312" w:eastAsia="仿宋_GB2312" w:hAnsiTheme="minorEastAsia"/>
          <w:color w:val="auto"/>
          <w:szCs w:val="21"/>
          <w:highlight w:val="none"/>
        </w:rPr>
      </w:pPr>
    </w:p>
    <w:p>
      <w:pPr>
        <w:pStyle w:val="16"/>
        <w:rPr>
          <w:rFonts w:ascii="仿宋_GB2312" w:eastAsia="仿宋_GB2312" w:hAnsiTheme="minorEastAsia"/>
          <w:color w:val="auto"/>
          <w:szCs w:val="21"/>
          <w:highlight w:val="none"/>
        </w:rPr>
      </w:pPr>
    </w:p>
    <w:p>
      <w:pPr>
        <w:pStyle w:val="16"/>
        <w:rPr>
          <w:rFonts w:ascii="仿宋_GB2312" w:eastAsia="仿宋_GB2312" w:hAnsiTheme="minorEastAsia"/>
          <w:color w:val="auto"/>
          <w:szCs w:val="21"/>
          <w:highlight w:val="none"/>
        </w:rPr>
      </w:pPr>
    </w:p>
    <w:p>
      <w:pPr>
        <w:pStyle w:val="16"/>
        <w:rPr>
          <w:rFonts w:ascii="仿宋_GB2312" w:eastAsia="仿宋_GB2312" w:hAnsiTheme="minorEastAsia"/>
          <w:color w:val="auto"/>
          <w:szCs w:val="21"/>
          <w:highlight w:val="none"/>
        </w:rPr>
      </w:pPr>
    </w:p>
    <w:p>
      <w:pPr>
        <w:pStyle w:val="16"/>
        <w:rPr>
          <w:rFonts w:ascii="仿宋_GB2312" w:eastAsia="仿宋_GB2312" w:hAnsiTheme="minorEastAsia"/>
          <w:color w:val="auto"/>
          <w:szCs w:val="21"/>
          <w:highlight w:val="none"/>
        </w:rPr>
      </w:pPr>
    </w:p>
    <w:p>
      <w:pPr>
        <w:pStyle w:val="16"/>
        <w:rPr>
          <w:rFonts w:ascii="仿宋_GB2312" w:eastAsia="仿宋_GB2312" w:hAnsiTheme="minorEastAsia"/>
          <w:color w:val="auto"/>
          <w:szCs w:val="21"/>
          <w:highlight w:val="none"/>
        </w:rPr>
      </w:pPr>
    </w:p>
    <w:p>
      <w:pPr>
        <w:pStyle w:val="16"/>
        <w:rPr>
          <w:rFonts w:ascii="仿宋_GB2312" w:eastAsia="仿宋_GB2312" w:hAnsiTheme="minorEastAsia"/>
          <w:color w:val="auto"/>
          <w:szCs w:val="21"/>
          <w:highlight w:val="none"/>
        </w:rPr>
      </w:pPr>
    </w:p>
    <w:p>
      <w:pPr>
        <w:pStyle w:val="16"/>
        <w:rPr>
          <w:rFonts w:ascii="仿宋_GB2312" w:eastAsia="仿宋_GB2312" w:hAnsiTheme="minorEastAsia"/>
          <w:color w:val="auto"/>
          <w:szCs w:val="21"/>
          <w:highlight w:val="none"/>
        </w:rPr>
      </w:pPr>
    </w:p>
    <w:p>
      <w:pPr>
        <w:pStyle w:val="16"/>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16"/>
        <w:rPr>
          <w:rFonts w:ascii="仿宋_GB2312" w:eastAsia="仿宋_GB2312" w:hAnsiTheme="minorEastAsia"/>
          <w:color w:val="auto"/>
          <w:szCs w:val="21"/>
          <w:highlight w:val="none"/>
        </w:rPr>
      </w:pPr>
    </w:p>
    <w:p>
      <w:pPr>
        <w:pStyle w:val="3"/>
        <w:jc w:val="both"/>
        <w:rPr>
          <w:rFonts w:hint="eastAsia"/>
          <w:color w:val="auto"/>
          <w:highlight w:val="none"/>
        </w:rPr>
      </w:pPr>
      <w:bookmarkStart w:id="60" w:name="_Toc88209947"/>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16"/>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rPr>
          <w:rFonts w:hint="eastAsia" w:ascii="仿宋" w:hAnsi="仿宋" w:eastAsia="仿宋" w:cs="仿宋"/>
          <w:b/>
          <w:sz w:val="28"/>
          <w:szCs w:val="28"/>
          <w:lang w:val="en-US" w:eastAsia="zh-CN"/>
        </w:rPr>
      </w:pPr>
      <w:r>
        <w:rPr>
          <w:rFonts w:hint="eastAsia" w:ascii="仿宋" w:hAnsi="仿宋" w:eastAsia="仿宋" w:cs="仿宋"/>
          <w:b/>
          <w:sz w:val="36"/>
          <w:szCs w:val="36"/>
          <w:lang w:val="en-US" w:eastAsia="zh-CN"/>
        </w:rPr>
        <w:t>技术要求：</w:t>
      </w:r>
    </w:p>
    <w:p>
      <w:pPr>
        <w:pStyle w:val="2"/>
        <w:rPr>
          <w:rFonts w:hint="default" w:hAnsi="宋体" w:cs="宋体" w:eastAsiaTheme="minorEastAsia"/>
          <w:sz w:val="28"/>
          <w:szCs w:val="28"/>
          <w:highlight w:val="none"/>
          <w:lang w:val="en-US" w:eastAsia="zh-CN"/>
        </w:rPr>
      </w:pPr>
      <w:r>
        <w:rPr>
          <w:rFonts w:hint="eastAsia" w:ascii="仿宋_GB2312" w:eastAsia="仿宋_GB2312"/>
          <w:color w:val="auto"/>
          <w:sz w:val="28"/>
          <w:szCs w:val="28"/>
          <w:highlight w:val="none"/>
          <w:u w:val="none"/>
          <w:lang w:val="en-US" w:eastAsia="zh-CN"/>
        </w:rPr>
        <w:t>龙归分公司目前使用的电能管理系统是安科瑞Acre1-3000WEB，由于数据文件丢失无法对现场电表进行数据采集，需对电能管理系统进行重新安装配置数据进行修复</w:t>
      </w:r>
      <w:r>
        <w:rPr>
          <w:rFonts w:hint="eastAsia" w:ascii="仿宋_GB2312" w:eastAsia="仿宋_GB2312"/>
          <w:color w:val="auto"/>
          <w:sz w:val="28"/>
          <w:szCs w:val="28"/>
          <w:highlight w:val="none"/>
          <w:u w:val="none"/>
        </w:rPr>
        <w:t>。</w:t>
      </w:r>
      <w:r>
        <w:rPr>
          <w:rFonts w:hint="eastAsia" w:ascii="仿宋_GB2312" w:eastAsia="仿宋_GB2312" w:hAnsiTheme="minorHAnsi" w:cstheme="minorBidi"/>
          <w:color w:val="auto"/>
          <w:sz w:val="28"/>
          <w:szCs w:val="28"/>
          <w:highlight w:val="none"/>
          <w:u w:val="none"/>
          <w:lang w:val="en-US" w:eastAsia="zh-CN"/>
        </w:rPr>
        <w:t>修复后需恢复原有功能，不能更换电能管理系统软件</w:t>
      </w:r>
    </w:p>
    <w:p>
      <w:pPr>
        <w:pStyle w:val="22"/>
        <w:rPr>
          <w:rFonts w:hint="eastAsia" w:hAnsi="宋体" w:cs="宋体" w:asciiTheme="minorHAnsi" w:eastAsiaTheme="minorEastAsia"/>
          <w:kern w:val="2"/>
          <w:sz w:val="28"/>
          <w:szCs w:val="28"/>
          <w:highlight w:val="none"/>
        </w:rPr>
      </w:pPr>
    </w:p>
    <w:p>
      <w:pPr>
        <w:pStyle w:val="16"/>
        <w:rPr>
          <w:rFonts w:hint="default" w:ascii="仿宋_GB2312" w:eastAsia="仿宋_GB2312"/>
          <w:color w:val="auto"/>
          <w:sz w:val="28"/>
          <w:szCs w:val="28"/>
          <w:highlight w:val="none"/>
          <w:lang w:val="en-US" w:eastAsia="zh-CN"/>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pStyle w:val="16"/>
        <w:rPr>
          <w:color w:val="auto"/>
          <w:highlight w:val="none"/>
        </w:rPr>
      </w:pPr>
    </w:p>
    <w:p>
      <w:pPr>
        <w:pStyle w:val="16"/>
        <w:ind w:firstLine="0"/>
        <w:rPr>
          <w:color w:val="auto"/>
          <w:highlight w:val="none"/>
        </w:rPr>
      </w:pPr>
    </w:p>
    <w:p>
      <w:pPr>
        <w:pStyle w:val="16"/>
        <w:rPr>
          <w:color w:val="auto"/>
          <w:highlight w:val="none"/>
        </w:rPr>
      </w:pPr>
    </w:p>
    <w:p>
      <w:pPr>
        <w:pStyle w:val="16"/>
        <w:ind w:firstLine="0"/>
        <w:rPr>
          <w:color w:val="auto"/>
          <w:highlight w:val="none"/>
        </w:rPr>
      </w:pPr>
    </w:p>
    <w:p>
      <w:pPr>
        <w:pStyle w:val="3"/>
        <w:rPr>
          <w:color w:val="auto"/>
          <w:highlight w:val="none"/>
        </w:rPr>
      </w:pPr>
      <w:bookmarkStart w:id="61" w:name="_Toc1284"/>
      <w:bookmarkStart w:id="62" w:name="_Toc1496"/>
      <w:bookmarkStart w:id="63" w:name="_Toc15570"/>
      <w:bookmarkStart w:id="64" w:name="_Toc25925"/>
      <w:bookmarkStart w:id="65" w:name="_Toc29835"/>
      <w:bookmarkStart w:id="66" w:name="_Toc12135"/>
      <w:bookmarkStart w:id="67" w:name="_Toc537"/>
      <w:bookmarkStart w:id="68" w:name="_Toc18538"/>
      <w:bookmarkStart w:id="69" w:name="_Toc23330"/>
      <w:bookmarkStart w:id="70" w:name="_Toc23353"/>
      <w:bookmarkStart w:id="71" w:name="_Toc4680"/>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21"/>
        <w:rPr>
          <w:color w:val="auto"/>
          <w:highlight w:val="none"/>
        </w:rPr>
      </w:pPr>
    </w:p>
    <w:p>
      <w:pPr>
        <w:pStyle w:val="3"/>
        <w:rPr>
          <w:color w:val="auto"/>
          <w:highlight w:val="none"/>
        </w:rPr>
      </w:pPr>
      <w:bookmarkStart w:id="72" w:name="_Toc12980"/>
      <w:bookmarkStart w:id="73" w:name="_Toc1375"/>
      <w:bookmarkStart w:id="74" w:name="_Toc22797"/>
      <w:bookmarkStart w:id="75" w:name="_Toc13309"/>
      <w:bookmarkStart w:id="76" w:name="_Toc323"/>
      <w:bookmarkStart w:id="77" w:name="_Toc88209949"/>
      <w:bookmarkStart w:id="78" w:name="_Toc12968"/>
      <w:bookmarkStart w:id="79" w:name="_Toc19686"/>
      <w:bookmarkStart w:id="80" w:name="_Toc19088"/>
      <w:bookmarkStart w:id="81" w:name="_Toc8183"/>
      <w:bookmarkStart w:id="82" w:name="_Toc12721"/>
      <w:bookmarkStart w:id="83" w:name="_Toc87616386"/>
      <w:bookmarkStart w:id="84" w:name="_Toc2250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spacing w:line="400" w:lineRule="atLeast"/>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广州市净水有限公司</w:t>
      </w:r>
    </w:p>
    <w:p>
      <w:pPr>
        <w:spacing w:line="400" w:lineRule="atLeast"/>
        <w:jc w:val="center"/>
        <w:rPr>
          <w:rFonts w:cs="Times New Roman" w:asciiTheme="majorHAnsi" w:hAnsiTheme="majorHAnsi" w:eastAsiaTheme="majorEastAsia"/>
          <w:b/>
          <w:bCs/>
          <w:color w:val="auto"/>
          <w:sz w:val="52"/>
          <w:szCs w:val="52"/>
          <w:highlight w:val="none"/>
        </w:rPr>
      </w:pPr>
      <w:r>
        <w:rPr>
          <w:rFonts w:hint="eastAsia" w:ascii="宋体" w:hAnsi="宋体" w:eastAsia="宋体" w:cs="宋体"/>
          <w:b/>
          <w:bCs/>
          <w:color w:val="auto"/>
          <w:sz w:val="48"/>
          <w:szCs w:val="48"/>
          <w:highlight w:val="none"/>
        </w:rPr>
        <w:t>设备维修维护/技改项目合同</w:t>
      </w:r>
    </w:p>
    <w:p>
      <w:pPr>
        <w:ind w:left="1449" w:leftChars="690" w:firstLine="4785" w:firstLineChars="1994"/>
        <w:rPr>
          <w:rFonts w:hint="eastAsia"/>
          <w:color w:val="auto"/>
          <w:sz w:val="24"/>
          <w:highlight w:val="none"/>
        </w:rPr>
      </w:pPr>
    </w:p>
    <w:p>
      <w:pPr>
        <w:pStyle w:val="2"/>
        <w:rPr>
          <w:rFonts w:hint="eastAsia"/>
          <w:color w:val="auto"/>
          <w:highlight w:val="none"/>
        </w:rPr>
      </w:pPr>
    </w:p>
    <w:p>
      <w:pPr>
        <w:pStyle w:val="9"/>
        <w:snapToGrid w:val="0"/>
        <w:spacing w:line="400" w:lineRule="exact"/>
        <w:ind w:right="84" w:rightChars="40" w:firstLine="193" w:firstLineChars="80"/>
        <w:rPr>
          <w:rFonts w:hint="eastAsia" w:hAnsi="宋体" w:eastAsia="宋体"/>
          <w:b/>
          <w:color w:val="auto"/>
          <w:sz w:val="24"/>
          <w:highlight w:val="none"/>
        </w:rPr>
      </w:pPr>
    </w:p>
    <w:p>
      <w:pPr>
        <w:pStyle w:val="9"/>
        <w:snapToGrid w:val="0"/>
        <w:spacing w:line="400" w:lineRule="exact"/>
        <w:ind w:right="84" w:rightChars="40" w:firstLine="192" w:firstLineChars="80"/>
        <w:rPr>
          <w:rFonts w:hint="eastAsia" w:hAnsi="宋体" w:eastAsia="宋体"/>
          <w:bCs/>
          <w:color w:val="auto"/>
          <w:sz w:val="24"/>
          <w:highlight w:val="none"/>
        </w:rPr>
      </w:pPr>
    </w:p>
    <w:p>
      <w:pPr>
        <w:jc w:val="center"/>
        <w:rPr>
          <w:rFonts w:hint="eastAsia" w:ascii="方正小标宋简体" w:eastAsia="方正小标宋简体"/>
          <w:color w:val="auto"/>
          <w:sz w:val="52"/>
          <w:szCs w:val="52"/>
          <w:highlight w:val="none"/>
          <w:lang w:val="en-US" w:eastAsia="zh-CN"/>
        </w:rPr>
      </w:pPr>
      <w:r>
        <w:rPr>
          <w:rFonts w:hint="eastAsia" w:hAnsi="宋体" w:eastAsia="宋体" w:cs="宋体"/>
          <w:b/>
          <w:color w:val="auto"/>
          <w:sz w:val="30"/>
          <w:szCs w:val="30"/>
          <w:highlight w:val="none"/>
        </w:rPr>
        <w:t>项目名称：</w:t>
      </w:r>
      <w:r>
        <w:rPr>
          <w:rFonts w:hint="eastAsia" w:ascii="宋体" w:hAnsi="宋体" w:cs="宋体"/>
          <w:b/>
          <w:color w:val="auto"/>
          <w:sz w:val="30"/>
          <w:szCs w:val="30"/>
          <w:highlight w:val="none"/>
          <w:lang w:val="en-US" w:eastAsia="zh-CN"/>
        </w:rPr>
        <w:t>广州市净水有限公司</w:t>
      </w:r>
      <w:r>
        <w:rPr>
          <w:rFonts w:hint="eastAsia" w:ascii="宋体" w:hAnsi="宋体" w:cs="宋体" w:eastAsiaTheme="minorEastAsia"/>
          <w:b/>
          <w:color w:val="auto"/>
          <w:sz w:val="30"/>
          <w:szCs w:val="30"/>
          <w:highlight w:val="none"/>
          <w:lang w:val="en-US" w:eastAsia="zh-CN"/>
        </w:rPr>
        <w:t>2024年龙归分公司电能管理系统维修项目</w:t>
      </w:r>
    </w:p>
    <w:p>
      <w:pPr>
        <w:spacing w:line="0" w:lineRule="atLeast"/>
        <w:ind w:left="638" w:leftChars="304" w:firstLine="0" w:firstLineChars="0"/>
        <w:rPr>
          <w:rFonts w:ascii="宋体" w:hAnsi="宋体" w:cs="宋体"/>
          <w:b/>
          <w:color w:val="auto"/>
          <w:sz w:val="30"/>
          <w:szCs w:val="30"/>
          <w:highlight w:val="none"/>
        </w:rPr>
      </w:pPr>
    </w:p>
    <w:p>
      <w:pPr>
        <w:pStyle w:val="9"/>
        <w:snapToGrid w:val="0"/>
        <w:spacing w:line="400" w:lineRule="exact"/>
        <w:ind w:right="84" w:rightChars="40" w:firstLine="1569"/>
        <w:rPr>
          <w:rFonts w:hint="eastAsia" w:hAnsi="宋体" w:eastAsia="宋体" w:cs="宋体"/>
          <w:b/>
          <w:color w:val="auto"/>
          <w:sz w:val="30"/>
          <w:szCs w:val="30"/>
          <w:highlight w:val="none"/>
        </w:rPr>
      </w:pPr>
    </w:p>
    <w:p>
      <w:pPr>
        <w:pStyle w:val="9"/>
        <w:snapToGrid w:val="0"/>
        <w:ind w:right="84" w:rightChars="40"/>
        <w:rPr>
          <w:rFonts w:hint="eastAsia" w:hAnsi="宋体" w:eastAsia="宋体" w:cs="宋体"/>
          <w:b/>
          <w:color w:val="auto"/>
          <w:sz w:val="30"/>
          <w:szCs w:val="30"/>
          <w:highlight w:val="none"/>
        </w:rPr>
      </w:pPr>
    </w:p>
    <w:p>
      <w:pPr>
        <w:pStyle w:val="9"/>
        <w:snapToGrid w:val="0"/>
        <w:ind w:right="84" w:rightChars="40"/>
        <w:rPr>
          <w:rFonts w:hint="eastAsia" w:hAnsi="宋体" w:eastAsia="宋体" w:cs="宋体"/>
          <w:b/>
          <w:color w:val="auto"/>
          <w:sz w:val="30"/>
          <w:szCs w:val="30"/>
          <w:highlight w:val="none"/>
        </w:rPr>
      </w:pPr>
    </w:p>
    <w:p>
      <w:pPr>
        <w:pStyle w:val="9"/>
        <w:snapToGrid w:val="0"/>
        <w:ind w:right="84" w:rightChars="40"/>
        <w:rPr>
          <w:rFonts w:hint="eastAsia" w:hAnsi="宋体" w:eastAsia="宋体" w:cs="宋体"/>
          <w:b/>
          <w:color w:val="auto"/>
          <w:sz w:val="30"/>
          <w:szCs w:val="30"/>
          <w:highlight w:val="none"/>
        </w:rPr>
      </w:pPr>
    </w:p>
    <w:p>
      <w:pPr>
        <w:pStyle w:val="9"/>
        <w:snapToGrid w:val="0"/>
        <w:ind w:right="84" w:rightChars="40"/>
        <w:rPr>
          <w:rFonts w:hint="eastAsia" w:hAnsi="宋体" w:eastAsia="宋体" w:cs="宋体"/>
          <w:b/>
          <w:color w:val="auto"/>
          <w:sz w:val="30"/>
          <w:szCs w:val="30"/>
          <w:highlight w:val="none"/>
        </w:rPr>
      </w:pPr>
    </w:p>
    <w:p>
      <w:pPr>
        <w:pStyle w:val="9"/>
        <w:snapToGrid w:val="0"/>
        <w:ind w:right="84" w:rightChars="40" w:firstLine="602" w:firstLineChars="200"/>
        <w:jc w:val="left"/>
        <w:rPr>
          <w:rFonts w:hAnsi="宋体" w:eastAsia="宋体" w:cs="宋体"/>
          <w:b/>
          <w:color w:val="auto"/>
          <w:sz w:val="30"/>
          <w:szCs w:val="30"/>
          <w:highlight w:val="none"/>
        </w:rPr>
      </w:pPr>
      <w:r>
        <w:rPr>
          <w:rFonts w:hint="eastAsia" w:hAnsi="宋体" w:eastAsia="宋体" w:cs="宋体"/>
          <w:b/>
          <w:color w:val="auto"/>
          <w:sz w:val="30"/>
          <w:szCs w:val="30"/>
          <w:highlight w:val="none"/>
        </w:rPr>
        <w:t>合同编号：穗净水合[    ]    号</w:t>
      </w:r>
    </w:p>
    <w:p>
      <w:pPr>
        <w:pStyle w:val="9"/>
        <w:snapToGrid w:val="0"/>
        <w:spacing w:line="400" w:lineRule="exact"/>
        <w:ind w:right="84" w:rightChars="40" w:firstLine="602" w:firstLineChars="200"/>
        <w:jc w:val="left"/>
        <w:rPr>
          <w:rFonts w:hint="default" w:hAnsi="宋体" w:eastAsia="宋体" w:cs="宋体"/>
          <w:b/>
          <w:color w:val="auto"/>
          <w:sz w:val="30"/>
          <w:szCs w:val="30"/>
          <w:highlight w:val="none"/>
          <w:lang w:val="en-US" w:eastAsia="zh-CN"/>
        </w:rPr>
      </w:pPr>
      <w:r>
        <w:rPr>
          <w:rFonts w:hint="eastAsia" w:hAnsi="宋体" w:eastAsia="宋体" w:cs="宋体"/>
          <w:b/>
          <w:color w:val="auto"/>
          <w:sz w:val="30"/>
          <w:szCs w:val="30"/>
          <w:highlight w:val="none"/>
        </w:rPr>
        <w:t>项目编号：</w:t>
      </w:r>
      <w:r>
        <w:rPr>
          <w:rFonts w:hint="eastAsia" w:hAnsi="宋体" w:eastAsia="宋体" w:cs="宋体"/>
          <w:b/>
          <w:color w:val="auto"/>
          <w:sz w:val="30"/>
          <w:szCs w:val="30"/>
          <w:highlight w:val="none"/>
          <w:lang w:val="en-US" w:eastAsia="zh-CN"/>
        </w:rPr>
        <w:t>03082024X00011</w:t>
      </w:r>
    </w:p>
    <w:p>
      <w:pPr>
        <w:pStyle w:val="9"/>
        <w:snapToGrid w:val="0"/>
        <w:ind w:right="84" w:rightChars="40" w:firstLine="1569"/>
        <w:rPr>
          <w:rFonts w:hint="eastAsia" w:hAnsi="宋体" w:eastAsia="宋体" w:cs="宋体"/>
          <w:b/>
          <w:color w:val="auto"/>
          <w:sz w:val="30"/>
          <w:szCs w:val="30"/>
          <w:highlight w:val="none"/>
        </w:rPr>
      </w:pPr>
    </w:p>
    <w:p>
      <w:pPr>
        <w:pStyle w:val="9"/>
        <w:snapToGrid w:val="0"/>
        <w:ind w:right="84" w:rightChars="40" w:firstLine="1569"/>
        <w:rPr>
          <w:rFonts w:hint="eastAsia" w:hAnsi="宋体" w:eastAsia="宋体" w:cs="宋体"/>
          <w:b/>
          <w:color w:val="auto"/>
          <w:sz w:val="30"/>
          <w:szCs w:val="30"/>
          <w:highlight w:val="none"/>
        </w:rPr>
      </w:pPr>
    </w:p>
    <w:p>
      <w:pPr>
        <w:pStyle w:val="9"/>
        <w:snapToGrid w:val="0"/>
        <w:ind w:right="84" w:rightChars="40" w:firstLine="1569"/>
        <w:rPr>
          <w:rFonts w:hint="eastAsia" w:hAnsi="宋体" w:eastAsia="宋体" w:cs="宋体"/>
          <w:b/>
          <w:color w:val="auto"/>
          <w:sz w:val="30"/>
          <w:szCs w:val="30"/>
          <w:highlight w:val="none"/>
        </w:rPr>
      </w:pPr>
    </w:p>
    <w:p>
      <w:pPr>
        <w:pStyle w:val="9"/>
        <w:snapToGrid w:val="0"/>
        <w:ind w:right="84" w:rightChars="40" w:firstLine="1569"/>
        <w:rPr>
          <w:rFonts w:hint="eastAsia" w:hAnsi="宋体" w:eastAsia="宋体" w:cs="宋体"/>
          <w:b/>
          <w:color w:val="auto"/>
          <w:sz w:val="30"/>
          <w:szCs w:val="30"/>
          <w:highlight w:val="none"/>
        </w:rPr>
      </w:pPr>
    </w:p>
    <w:p>
      <w:pPr>
        <w:pStyle w:val="9"/>
        <w:snapToGrid w:val="0"/>
        <w:ind w:right="84" w:rightChars="40" w:firstLine="602" w:firstLineChars="200"/>
        <w:rPr>
          <w:rFonts w:hint="eastAsia" w:hAnsi="宋体" w:eastAsia="宋体" w:cs="宋体"/>
          <w:b/>
          <w:color w:val="auto"/>
          <w:sz w:val="30"/>
          <w:szCs w:val="30"/>
          <w:highlight w:val="none"/>
        </w:rPr>
      </w:pPr>
      <w:r>
        <w:rPr>
          <w:rFonts w:hint="eastAsia" w:hAnsi="宋体" w:eastAsia="宋体" w:cs="宋体"/>
          <w:b/>
          <w:color w:val="auto"/>
          <w:sz w:val="30"/>
          <w:szCs w:val="30"/>
          <w:highlight w:val="none"/>
        </w:rPr>
        <w:t>甲方：广州市净水有限公司</w:t>
      </w:r>
    </w:p>
    <w:p>
      <w:pPr>
        <w:pStyle w:val="9"/>
        <w:snapToGrid w:val="0"/>
        <w:ind w:right="84" w:rightChars="40" w:firstLine="1569" w:firstLineChars="521"/>
        <w:rPr>
          <w:rFonts w:hint="eastAsia" w:hAnsi="宋体" w:eastAsia="宋体" w:cs="宋体"/>
          <w:b/>
          <w:color w:val="auto"/>
          <w:sz w:val="30"/>
          <w:szCs w:val="30"/>
          <w:highlight w:val="none"/>
        </w:rPr>
      </w:pPr>
    </w:p>
    <w:p>
      <w:pPr>
        <w:pStyle w:val="9"/>
        <w:snapToGrid w:val="0"/>
        <w:ind w:right="84" w:rightChars="40" w:firstLine="1569"/>
        <w:rPr>
          <w:rFonts w:hint="eastAsia" w:hAnsi="宋体" w:eastAsia="宋体" w:cs="宋体"/>
          <w:b/>
          <w:color w:val="auto"/>
          <w:sz w:val="30"/>
          <w:szCs w:val="30"/>
          <w:highlight w:val="none"/>
        </w:rPr>
      </w:pPr>
    </w:p>
    <w:p>
      <w:pPr>
        <w:pStyle w:val="9"/>
        <w:snapToGrid w:val="0"/>
        <w:ind w:right="84" w:rightChars="40" w:firstLine="602" w:firstLineChars="200"/>
        <w:rPr>
          <w:rFonts w:hint="eastAsia" w:hAnsi="宋体" w:eastAsia="宋体" w:cs="宋体"/>
          <w:b/>
          <w:color w:val="auto"/>
          <w:sz w:val="30"/>
          <w:szCs w:val="30"/>
          <w:highlight w:val="none"/>
        </w:rPr>
      </w:pPr>
      <w:r>
        <w:rPr>
          <w:rFonts w:hint="eastAsia" w:hAnsi="宋体" w:eastAsia="宋体" w:cs="宋体"/>
          <w:b/>
          <w:color w:val="auto"/>
          <w:sz w:val="30"/>
          <w:szCs w:val="30"/>
          <w:highlight w:val="none"/>
        </w:rPr>
        <w:t>乙方：</w:t>
      </w:r>
    </w:p>
    <w:p>
      <w:pPr>
        <w:pStyle w:val="9"/>
        <w:snapToGrid w:val="0"/>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 xml:space="preserve"> </w:t>
      </w:r>
    </w:p>
    <w:p>
      <w:pPr>
        <w:pStyle w:val="9"/>
        <w:snapToGrid w:val="0"/>
        <w:spacing w:line="400" w:lineRule="exact"/>
        <w:ind w:right="84" w:rightChars="40" w:firstLine="1569" w:firstLineChars="521"/>
        <w:rPr>
          <w:rFonts w:hint="eastAsia" w:hAnsi="宋体" w:eastAsia="宋体" w:cs="宋体"/>
          <w:b/>
          <w:color w:val="auto"/>
          <w:sz w:val="30"/>
          <w:szCs w:val="30"/>
          <w:highlight w:val="none"/>
        </w:rPr>
      </w:pPr>
    </w:p>
    <w:p>
      <w:pPr>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签订日期：       年   月   日</w:t>
      </w:r>
    </w:p>
    <w:p>
      <w:pPr>
        <w:ind w:firstLine="602" w:firstLineChars="200"/>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rPr>
        <w:t>签订地点：广州市</w:t>
      </w:r>
    </w:p>
    <w:p>
      <w:pPr>
        <w:pStyle w:val="23"/>
        <w:spacing w:line="500" w:lineRule="exact"/>
        <w:jc w:val="both"/>
        <w:rPr>
          <w:rFonts w:hint="eastAsia" w:ascii="宋体" w:hAnsi="宋体" w:eastAsia="宋体" w:cs="宋体"/>
          <w:b/>
          <w:color w:val="auto"/>
          <w:sz w:val="30"/>
          <w:szCs w:val="30"/>
          <w:highlight w:val="none"/>
          <w:lang w:val="zh-CN" w:eastAsia="zh-CN"/>
        </w:rPr>
        <w:sectPr>
          <w:pgSz w:w="11906" w:h="16838"/>
          <w:pgMar w:top="1644" w:right="1588" w:bottom="1644" w:left="1588" w:header="851" w:footer="992" w:gutter="0"/>
          <w:pgNumType w:fmt="numberInDash"/>
          <w:cols w:space="720" w:num="1"/>
          <w:docGrid w:type="lines" w:linePitch="312" w:charSpace="0"/>
        </w:sectPr>
      </w:pPr>
    </w:p>
    <w:p>
      <w:pPr>
        <w:spacing w:before="93" w:beforeLines="30" w:line="384" w:lineRule="auto"/>
        <w:ind w:left="210" w:leftChars="100"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 xml:space="preserve"> （以下简称“甲方”）与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（以下简称“乙方”）就</w:t>
      </w:r>
      <w:r>
        <w:rPr>
          <w:rFonts w:hint="eastAsia" w:ascii="宋体" w:hAnsi="宋体" w:eastAsia="宋体" w:cs="宋体"/>
          <w:color w:val="auto"/>
          <w:sz w:val="24"/>
          <w:szCs w:val="24"/>
          <w:highlight w:val="none"/>
          <w:lang w:val="en-US" w:eastAsia="zh-CN"/>
        </w:rPr>
        <w:t>龙归分公司2024年厂区网络系统及视频监控系统改造</w:t>
      </w:r>
      <w:r>
        <w:rPr>
          <w:rFonts w:hint="eastAsia" w:ascii="宋体" w:hAnsi="宋体" w:eastAsia="宋体" w:cs="宋体"/>
          <w:color w:val="auto"/>
          <w:sz w:val="24"/>
          <w:szCs w:val="24"/>
          <w:highlight w:val="none"/>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组成合同的文件及优先顺序</w:t>
      </w:r>
    </w:p>
    <w:p>
      <w:pPr>
        <w:spacing w:line="384" w:lineRule="auto"/>
        <w:ind w:firstLine="482"/>
        <w:rPr>
          <w:rFonts w:ascii="宋体" w:hAnsi="宋体" w:eastAsia="宋体" w:cs="宋体"/>
          <w:bCs/>
          <w:color w:val="auto"/>
          <w:sz w:val="24"/>
          <w:szCs w:val="24"/>
          <w:highlight w:val="none"/>
        </w:rPr>
      </w:pPr>
      <w:r>
        <w:rPr>
          <w:rFonts w:hint="eastAsia" w:ascii="Times New Roman"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中标通知书/发包通知书/成交通知书/委托函；</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工程报价单或预算书；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⑼ 本合同其他附件；</w:t>
      </w:r>
    </w:p>
    <w:p>
      <w:pPr>
        <w:spacing w:line="384"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项目概况、项目承包范围</w:t>
      </w:r>
    </w:p>
    <w:p>
      <w:pPr>
        <w:spacing w:line="384"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2.1项目名称：</w:t>
      </w:r>
      <w:r>
        <w:rPr>
          <w:rFonts w:hint="eastAsia" w:ascii="宋体" w:hAnsi="宋体" w:eastAsia="宋体" w:cs="宋体"/>
          <w:b w:val="0"/>
          <w:color w:val="auto"/>
          <w:sz w:val="24"/>
          <w:szCs w:val="24"/>
          <w:highlight w:val="none"/>
          <w:u w:val="single"/>
          <w:lang w:val="en-US" w:eastAsia="zh-CN"/>
        </w:rPr>
        <w:t>广州市净水有限公司2024年龙归分公司电能管理系统维修项目</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2.2项目地点：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广州市净水有限公司龙归分公司</w:t>
      </w:r>
    </w:p>
    <w:p>
      <w:pPr>
        <w:spacing w:line="384" w:lineRule="auto"/>
        <w:ind w:firstLine="480" w:firstLineChars="200"/>
        <w:rPr>
          <w:rFonts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2.3项目内容：</w:t>
      </w:r>
      <w:r>
        <w:rPr>
          <w:rFonts w:hint="eastAsia" w:ascii="宋体" w:hAnsi="宋体" w:cs="宋体" w:eastAsiaTheme="minorEastAsia"/>
          <w:color w:val="auto"/>
          <w:sz w:val="24"/>
          <w:szCs w:val="22"/>
          <w:highlight w:val="none"/>
          <w:u w:val="single"/>
          <w:lang w:val="en-US" w:eastAsia="zh-CN"/>
        </w:rPr>
        <w:t>龙归分公司使用的电能管理系统是安科瑞Acre1-3000WEB，由于数据文件丢失无法对现场电表进行数据采集，需对电能管理系统进行重新安装配置数据进行修复</w:t>
      </w:r>
      <w:r>
        <w:rPr>
          <w:rFonts w:hint="eastAsia" w:ascii="宋体" w:hAnsi="宋体" w:cs="宋体" w:eastAsiaTheme="minorEastAsia"/>
          <w:color w:val="auto"/>
          <w:sz w:val="24"/>
          <w:szCs w:val="22"/>
          <w:highlight w:val="none"/>
          <w:u w:val="single"/>
        </w:rPr>
        <w:t>。</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pStyle w:val="16"/>
        <w:rPr>
          <w:rFonts w:hint="eastAsia"/>
          <w:color w:val="auto"/>
          <w:highlight w:val="none"/>
        </w:rPr>
      </w:pP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项目承包方式</w:t>
      </w:r>
    </w:p>
    <w:p>
      <w:pPr>
        <w:spacing w:line="384"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 w:val="24"/>
          <w:szCs w:val="24"/>
          <w:highlight w:val="none"/>
        </w:rPr>
        <w:t>包工、包料、包工期、包质量、包安全、包文明施工。综合单价包干、项目措施费</w:t>
      </w:r>
      <w:r>
        <w:rPr>
          <w:rFonts w:hint="eastAsia" w:ascii="宋体" w:hAnsi="宋体" w:eastAsia="宋体" w:cs="宋体"/>
          <w:color w:val="auto"/>
          <w:sz w:val="24"/>
          <w:szCs w:val="24"/>
          <w:highlight w:val="none"/>
          <w:lang w:val="en-US" w:eastAsia="zh-CN"/>
        </w:rPr>
        <w:t>按实结算</w:t>
      </w:r>
      <w:r>
        <w:rPr>
          <w:rFonts w:hint="eastAsia" w:ascii="宋体" w:hAnsi="宋体" w:eastAsia="宋体" w:cs="宋体"/>
          <w:color w:val="auto"/>
          <w:sz w:val="24"/>
          <w:szCs w:val="24"/>
          <w:highlight w:val="none"/>
        </w:rPr>
        <w:t>。（单价包干要求附工程量报价</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工程预算书）</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bCs/>
          <w:color w:val="auto"/>
          <w:sz w:val="24"/>
          <w:highlight w:val="none"/>
        </w:rPr>
        <w:sym w:font="Wingdings" w:char="00A8"/>
      </w:r>
      <w:r>
        <w:rPr>
          <w:rFonts w:hint="eastAsia" w:ascii="宋体" w:hAnsi="宋体" w:eastAsia="宋体" w:cs="宋体"/>
          <w:color w:val="auto"/>
          <w:sz w:val="24"/>
          <w:szCs w:val="24"/>
          <w:highlight w:val="none"/>
        </w:rPr>
        <w:t>包工、包料、包质量、包工期、包安全、包文明施工、包设计、包调试、包验收的施工图纸，以总价包干形式。</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第四条合同价款</w:t>
      </w:r>
    </w:p>
    <w:p>
      <w:pPr>
        <w:spacing w:line="384" w:lineRule="auto"/>
        <w:ind w:firstLine="480" w:firstLineChars="200"/>
        <w:rPr>
          <w:rFonts w:ascii="宋体" w:hAnsi="宋体" w:eastAsia="宋体" w:cs="宋体"/>
          <w:bCs/>
          <w:color w:val="auto"/>
          <w:sz w:val="24"/>
          <w:szCs w:val="24"/>
          <w:highlight w:val="none"/>
          <w:bdr w:val="single" w:color="auto" w:sz="4" w:space="0"/>
        </w:rPr>
      </w:pPr>
      <w:r>
        <w:rPr>
          <w:rFonts w:ascii="宋体" w:hAnsi="宋体" w:eastAsia="宋体" w:cs="宋体"/>
          <w:color w:val="auto"/>
          <w:sz w:val="24"/>
          <w:szCs w:val="24"/>
          <w:highlight w:val="none"/>
        </w:rPr>
        <w:t>4.1</w:t>
      </w:r>
      <w:r>
        <w:rPr>
          <w:rFonts w:hint="eastAsia" w:ascii="宋体" w:hAnsi="宋体" w:eastAsia="宋体" w:cs="宋体"/>
          <w:color w:val="auto"/>
          <w:sz w:val="24"/>
          <w:szCs w:val="24"/>
          <w:highlight w:val="none"/>
        </w:rPr>
        <w:t>合同价款按以下（</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人民币…元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综合单价为：</w:t>
      </w:r>
      <w:r>
        <w:rPr>
          <w:rFonts w:hint="eastAsia" w:ascii="宋体" w:hAnsi="宋体" w:eastAsia="宋体" w:cs="宋体"/>
          <w:color w:val="auto"/>
          <w:sz w:val="24"/>
          <w:szCs w:val="24"/>
          <w:highlight w:val="none"/>
          <w:u w:val="single"/>
          <w:lang w:val="en-US" w:eastAsia="zh-CN"/>
        </w:rPr>
        <w:t>详见附件工程量清单/报价</w:t>
      </w:r>
      <w:r>
        <w:rPr>
          <w:rFonts w:hint="eastAsia" w:ascii="宋体" w:hAnsi="宋体" w:eastAsia="宋体" w:cs="宋体"/>
          <w:color w:val="auto"/>
          <w:sz w:val="24"/>
          <w:szCs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eastAsia="宋体" w:cs="宋体"/>
          <w:color w:val="auto"/>
          <w:sz w:val="24"/>
          <w:szCs w:val="24"/>
          <w:highlight w:val="none"/>
        </w:rPr>
      </w:pP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合同以总价包干形式，合同暂定总价为：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val="zh-CN"/>
        </w:rPr>
        <w:t>4.2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lang w:val="en-US" w:eastAsia="zh-CN"/>
        </w:rPr>
        <w:t>6</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w:t>
      </w:r>
      <w:r>
        <w:rPr>
          <w:rFonts w:hint="eastAsia" w:ascii="宋体" w:hAnsi="宋体" w:eastAsia="宋体" w:cs="宋体"/>
          <w:color w:val="auto"/>
          <w:kern w:val="0"/>
          <w:sz w:val="24"/>
          <w:szCs w:val="24"/>
          <w:highlight w:val="none"/>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4.4合同中没有适用于变更工程项目的单价的，按新增单价执行。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autoSpaceDE w:val="0"/>
        <w:autoSpaceDN w:val="0"/>
        <w:adjustRightInd w:val="0"/>
        <w:jc w:val="left"/>
        <w:rPr>
          <w:rFonts w:ascii="宋体" w:hAnsi="Times New Roman"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（4）通过市场询价双方协商确定。</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p>
    <w:p>
      <w:pPr>
        <w:widowControl/>
        <w:tabs>
          <w:tab w:val="left" w:pos="851"/>
        </w:tabs>
        <w:adjustRightInd w:val="0"/>
        <w:snapToGrid w:val="0"/>
        <w:spacing w:line="384"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第五条工期及要求</w:t>
      </w:r>
    </w:p>
    <w:p>
      <w:pPr>
        <w:widowControl/>
        <w:spacing w:line="384"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5.1</w:t>
      </w:r>
      <w:r>
        <w:rPr>
          <w:rFonts w:hint="eastAsia" w:ascii="宋体" w:hAnsi="宋体" w:eastAsia="宋体" w:cs="宋体"/>
          <w:color w:val="auto"/>
          <w:sz w:val="24"/>
          <w:szCs w:val="24"/>
          <w:highlight w:val="none"/>
        </w:rPr>
        <w:t>开工日期暂定为：</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，具体日期以甲方发出的开工报告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通知为准。乙方不能按时开工，应当于开工报告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通知载明的开工日期</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天前，以书面形式向甲方提出延期开工的理由。甲方应当在接到延期开工申请后的</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小时内以书面形式答复乙方。甲方在接到延期开工申请后</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小时内不答复，视为同意乙方要求，工期相应顺延。甲方不同意延期要求或乙方未在规定时间内提出延期开工，工期不予顺延。合同工期总日历天数</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天。乙方未能按合同工期竣工验收的，每逾期一天，甲方有权要求乙方按</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支付违约金，逾期达到</w:t>
      </w:r>
      <w:r>
        <w:rPr>
          <w:rFonts w:hint="eastAsia" w:ascii="宋体" w:hAnsi="宋体" w:eastAsia="宋体" w:cs="宋体"/>
          <w:color w:val="auto"/>
          <w:sz w:val="24"/>
          <w:szCs w:val="24"/>
          <w:highlight w:val="none"/>
          <w:u w:val="single"/>
        </w:rPr>
        <w:t xml:space="preserve">  3</w:t>
      </w:r>
      <w:r>
        <w:rPr>
          <w:rFonts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天及以上的，甲方有权解除合同并要求乙方支付</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20%</w:t>
      </w:r>
      <w:r>
        <w:rPr>
          <w:rFonts w:ascii="宋体" w:hAnsi="宋体" w:eastAsia="宋体" w:cs="宋体"/>
          <w:color w:val="auto"/>
          <w:sz w:val="24"/>
          <w:szCs w:val="24"/>
          <w:highlight w:val="none"/>
        </w:rPr>
        <w:t>作为违约金。</w:t>
      </w:r>
    </w:p>
    <w:p>
      <w:pPr>
        <w:widowControl/>
        <w:spacing w:line="384" w:lineRule="auto"/>
        <w:ind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5.2</w:t>
      </w:r>
      <w:r>
        <w:rPr>
          <w:rFonts w:hint="eastAsia" w:ascii="宋体" w:hAnsi="宋体" w:eastAsia="宋体" w:cs="宋体"/>
          <w:bCs/>
          <w:color w:val="auto"/>
          <w:sz w:val="24"/>
          <w:szCs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5%/</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作为违约金，超过三次（含三次）的，甲方有权解除合同，要求乙方支付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20%</w:t>
      </w:r>
      <w:r>
        <w:rPr>
          <w:rFonts w:hint="eastAsia" w:ascii="宋体" w:hAnsi="宋体" w:eastAsia="宋体" w:cs="宋体"/>
          <w:bCs/>
          <w:color w:val="auto"/>
          <w:sz w:val="24"/>
          <w:szCs w:val="24"/>
          <w:highlight w:val="none"/>
        </w:rPr>
        <w:t>作为违约金。由此造成的经济和法律责任，均由乙方负责。</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5.3</w:t>
      </w:r>
      <w:r>
        <w:rPr>
          <w:rFonts w:hint="eastAsia" w:ascii="宋体" w:hAnsi="宋体" w:eastAsia="宋体" w:cs="宋体"/>
          <w:bCs/>
          <w:color w:val="auto"/>
          <w:sz w:val="24"/>
          <w:szCs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rPr>
        <w:t>日内将全部图纸退还给甲方。</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5.4</w:t>
      </w:r>
      <w:r>
        <w:rPr>
          <w:rFonts w:hint="eastAsia" w:ascii="宋体" w:hAnsi="宋体" w:eastAsia="宋体" w:cs="宋体"/>
          <w:bCs/>
          <w:color w:val="auto"/>
          <w:sz w:val="24"/>
          <w:szCs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eastAsia="宋体" w:cs="宋体"/>
          <w:bCs/>
          <w:color w:val="auto"/>
          <w:sz w:val="24"/>
          <w:szCs w:val="24"/>
          <w:highlight w:val="none"/>
          <w:u w:val="single"/>
        </w:rPr>
        <w:t>1万元</w:t>
      </w:r>
      <w:r>
        <w:rPr>
          <w:rFonts w:ascii="宋体" w:hAnsi="宋体" w:eastAsia="宋体" w:cs="宋体"/>
          <w:bCs/>
          <w:color w:val="auto"/>
          <w:sz w:val="24"/>
          <w:szCs w:val="24"/>
          <w:highlight w:val="none"/>
        </w:rPr>
        <w:t>，超过_</w:t>
      </w:r>
      <w:r>
        <w:rPr>
          <w:rFonts w:hint="eastAsia" w:ascii="宋体" w:hAnsi="宋体" w:eastAsia="宋体" w:cs="宋体"/>
          <w:bCs/>
          <w:color w:val="auto"/>
          <w:sz w:val="24"/>
          <w:szCs w:val="24"/>
          <w:highlight w:val="none"/>
          <w:u w:val="single"/>
        </w:rPr>
        <w:t>1</w:t>
      </w:r>
      <w:r>
        <w:rPr>
          <w:rFonts w:ascii="宋体" w:hAnsi="宋体" w:eastAsia="宋体" w:cs="宋体"/>
          <w:bCs/>
          <w:color w:val="auto"/>
          <w:sz w:val="24"/>
          <w:szCs w:val="24"/>
          <w:highlight w:val="none"/>
          <w:u w:val="single"/>
        </w:rPr>
        <w:t>5</w:t>
      </w:r>
      <w:r>
        <w:rPr>
          <w:rFonts w:ascii="宋体" w:hAnsi="宋体" w:eastAsia="宋体" w:cs="宋体"/>
          <w:bCs/>
          <w:color w:val="auto"/>
          <w:sz w:val="24"/>
          <w:szCs w:val="24"/>
          <w:highlight w:val="none"/>
        </w:rPr>
        <w:t>_日，甲方有权解除合同并要求乙方支付</w:t>
      </w:r>
      <w:r>
        <w:rPr>
          <w:rFonts w:ascii="宋体" w:hAnsi="宋体" w:eastAsia="宋体" w:cs="宋体"/>
          <w:bCs/>
          <w:color w:val="auto"/>
          <w:sz w:val="24"/>
          <w:szCs w:val="24"/>
          <w:highlight w:val="none"/>
          <w:u w:val="single"/>
        </w:rPr>
        <w:t>合同暂定总价的20%</w:t>
      </w:r>
      <w:r>
        <w:rPr>
          <w:rFonts w:ascii="宋体" w:hAnsi="宋体" w:eastAsia="宋体" w:cs="宋体"/>
          <w:bCs/>
          <w:color w:val="auto"/>
          <w:sz w:val="24"/>
          <w:szCs w:val="24"/>
          <w:highlight w:val="none"/>
        </w:rPr>
        <w:t>作为违约金</w:t>
      </w:r>
      <w:r>
        <w:rPr>
          <w:rFonts w:hint="eastAsia" w:cs="Times New Roman" w:asciiTheme="minorEastAsia" w:hAnsiTheme="minorEastAsia"/>
          <w:bCs/>
          <w:color w:val="auto"/>
          <w:sz w:val="24"/>
          <w:szCs w:val="24"/>
          <w:highlight w:val="none"/>
        </w:rPr>
        <w:t>（</w:t>
      </w:r>
      <w:r>
        <w:rPr>
          <w:rFonts w:hint="eastAsia" w:ascii="Times New Roman" w:hAnsi="Times New Roman" w:eastAsia="宋体" w:cs="宋体"/>
          <w:color w:val="auto"/>
          <w:sz w:val="24"/>
          <w:szCs w:val="24"/>
          <w:highlight w:val="none"/>
        </w:rPr>
        <w:t>如合同另行约定违约责任，从其约定</w:t>
      </w:r>
      <w:r>
        <w:rPr>
          <w:rFonts w:hint="eastAsia" w:cs="Times New Roman" w:asciiTheme="minorEastAsia" w:hAnsiTheme="minorEastAsia"/>
          <w:bCs/>
          <w:color w:val="auto"/>
          <w:sz w:val="24"/>
          <w:szCs w:val="24"/>
          <w:highlight w:val="none"/>
        </w:rPr>
        <w:t>）</w:t>
      </w:r>
      <w:r>
        <w:rPr>
          <w:rFonts w:ascii="宋体" w:hAnsi="宋体" w:eastAsia="宋体" w:cs="宋体"/>
          <w:bCs/>
          <w:color w:val="auto"/>
          <w:sz w:val="24"/>
          <w:szCs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5.6乙方不得随意更换项目负责人及附件5中的相关人员</w:t>
      </w:r>
      <w:r>
        <w:rPr>
          <w:rFonts w:hint="eastAsia" w:asciiTheme="minorEastAsia" w:hAnsiTheme="minorEastAsia" w:cstheme="minorEastAsia"/>
          <w:color w:val="auto"/>
          <w:sz w:val="24"/>
          <w:szCs w:val="24"/>
          <w:highlight w:val="none"/>
          <w:lang w:val="en-US" w:eastAsia="zh-CN"/>
        </w:rPr>
        <w:t>(人员名单应与乙方在响应文件中所载明的人员一致)</w:t>
      </w:r>
      <w:r>
        <w:rPr>
          <w:rFonts w:hint="eastAsia" w:asciiTheme="minorEastAsia" w:hAnsiTheme="minorEastAsia" w:cstheme="minorEastAsia"/>
          <w:color w:val="auto"/>
          <w:sz w:val="24"/>
          <w:szCs w:val="24"/>
          <w:highlight w:val="none"/>
        </w:rPr>
        <w:t>，如确须更换，应提前征得甲方同意。如有违反，甲方有权解除合同并要求乙方支付</w:t>
      </w:r>
      <w:r>
        <w:rPr>
          <w:rFonts w:hint="eastAsia"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5.7施工过程中，项目负责人应驻场管理，否则甲方有权要求乙方支付违约</w:t>
      </w:r>
      <w:r>
        <w:rPr>
          <w:rFonts w:hint="eastAsia"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autoSpaceDE w:val="0"/>
        <w:autoSpaceDN w:val="0"/>
        <w:adjustRightInd w:val="0"/>
        <w:ind w:firstLine="480" w:firstLineChars="200"/>
        <w:jc w:val="left"/>
        <w:rPr>
          <w:rFonts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5.8施工过程中，乙方应负责配备现场的应急物资。具体应急物资配备详见附件应急救援物资清单。</w:t>
      </w:r>
    </w:p>
    <w:p>
      <w:pPr>
        <w:autoSpaceDE w:val="0"/>
        <w:autoSpaceDN w:val="0"/>
        <w:adjustRightInd w:val="0"/>
        <w:jc w:val="left"/>
        <w:rPr>
          <w:rFonts w:ascii="宋体" w:hAnsi="Times New Roman" w:eastAsia="仿宋_GB2312" w:cs="宋体"/>
          <w:color w:val="auto"/>
          <w:kern w:val="0"/>
          <w:sz w:val="24"/>
          <w:szCs w:val="24"/>
          <w:highlight w:val="none"/>
        </w:rPr>
      </w:pPr>
    </w:p>
    <w:p>
      <w:pPr>
        <w:pStyle w:val="2"/>
        <w:rPr>
          <w:rFonts w:ascii="宋体" w:hAnsi="Times New Roman" w:eastAsia="仿宋_GB2312" w:cs="宋体"/>
          <w:color w:val="auto"/>
          <w:kern w:val="0"/>
          <w:sz w:val="24"/>
          <w:szCs w:val="24"/>
          <w:highlight w:val="none"/>
        </w:rPr>
      </w:pPr>
    </w:p>
    <w:p>
      <w:pPr>
        <w:pStyle w:val="2"/>
        <w:rPr>
          <w:rFonts w:ascii="宋体" w:hAnsi="Times New Roman" w:eastAsia="仿宋_GB2312" w:cs="宋体"/>
          <w:color w:val="auto"/>
          <w:kern w:val="0"/>
          <w:sz w:val="24"/>
          <w:szCs w:val="24"/>
          <w:highlight w:val="none"/>
        </w:rPr>
      </w:pPr>
    </w:p>
    <w:p>
      <w:pPr>
        <w:pStyle w:val="2"/>
        <w:rPr>
          <w:rFonts w:ascii="宋体" w:hAnsi="Times New Roman" w:eastAsia="仿宋_GB2312" w:cs="宋体"/>
          <w:color w:val="auto"/>
          <w:kern w:val="0"/>
          <w:sz w:val="24"/>
          <w:szCs w:val="24"/>
          <w:highlight w:val="none"/>
        </w:rPr>
      </w:pPr>
    </w:p>
    <w:p>
      <w:pPr>
        <w:pStyle w:val="2"/>
        <w:rPr>
          <w:rFonts w:ascii="宋体" w:hAnsi="Times New Roman" w:eastAsia="仿宋_GB2312" w:cs="宋体"/>
          <w:color w:val="auto"/>
          <w:kern w:val="0"/>
          <w:sz w:val="24"/>
          <w:szCs w:val="24"/>
          <w:highlight w:val="none"/>
        </w:rPr>
      </w:pPr>
    </w:p>
    <w:p>
      <w:pPr>
        <w:pStyle w:val="2"/>
        <w:rPr>
          <w:rFonts w:ascii="宋体" w:hAnsi="Times New Roman" w:eastAsia="仿宋_GB2312" w:cs="宋体"/>
          <w:color w:val="auto"/>
          <w:kern w:val="0"/>
          <w:sz w:val="24"/>
          <w:szCs w:val="24"/>
          <w:highlight w:val="none"/>
        </w:rPr>
      </w:pPr>
    </w:p>
    <w:p>
      <w:pPr>
        <w:tabs>
          <w:tab w:val="left" w:pos="851"/>
        </w:tabs>
        <w:adjustRightInd w:val="0"/>
        <w:snapToGrid w:val="0"/>
        <w:spacing w:line="360" w:lineRule="auto"/>
        <w:ind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第六条实施条件及管理要求</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6.1</w:t>
      </w:r>
      <w:r>
        <w:rPr>
          <w:rFonts w:hint="eastAsia" w:ascii="宋体" w:hAnsi="宋体" w:eastAsia="宋体" w:cs="宋体"/>
          <w:color w:val="auto"/>
          <w:sz w:val="24"/>
          <w:szCs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6.2</w:t>
      </w:r>
      <w:r>
        <w:rPr>
          <w:rFonts w:hint="eastAsia" w:ascii="宋体" w:hAnsi="宋体" w:eastAsia="宋体" w:cs="宋体"/>
          <w:color w:val="auto"/>
          <w:sz w:val="24"/>
          <w:szCs w:val="24"/>
          <w:highlight w:val="none"/>
        </w:rPr>
        <w:t>施工用水用电采用以下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（1）由甲方提供施工用水用电接口，水电费按合同综合单价水电含量计算，从甲方支付的工程款中直接扣回。</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6.3</w:t>
      </w:r>
      <w:r>
        <w:rPr>
          <w:rFonts w:hint="eastAsia" w:ascii="宋体" w:hAnsi="宋体" w:eastAsia="宋体" w:cs="宋体"/>
          <w:color w:val="auto"/>
          <w:sz w:val="24"/>
          <w:szCs w:val="24"/>
          <w:highlight w:val="none"/>
        </w:rPr>
        <w:t>施工时间安排：上午</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00-12</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，下午</w:t>
      </w:r>
      <w:r>
        <w:rPr>
          <w:rFonts w:ascii="宋体" w:hAnsi="宋体" w:eastAsia="宋体" w:cs="宋体"/>
          <w:color w:val="auto"/>
          <w:sz w:val="24"/>
          <w:szCs w:val="24"/>
          <w:highlight w:val="none"/>
        </w:rPr>
        <w:t>14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00-18</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，施工时间如需变动，以甲方的书面或口头通知为准。</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6.4</w:t>
      </w:r>
      <w:r>
        <w:rPr>
          <w:rFonts w:hint="eastAsia" w:ascii="宋体" w:hAnsi="宋体" w:eastAsia="宋体" w:cs="宋体"/>
          <w:color w:val="auto"/>
          <w:sz w:val="24"/>
          <w:szCs w:val="24"/>
          <w:highlight w:val="none"/>
        </w:rPr>
        <w:t>进场施工人员必须严格遵守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6.5</w:t>
      </w:r>
      <w:r>
        <w:rPr>
          <w:rFonts w:hint="eastAsia" w:ascii="宋体" w:hAnsi="宋体" w:eastAsia="宋体" w:cs="宋体"/>
          <w:color w:val="auto"/>
          <w:sz w:val="24"/>
          <w:szCs w:val="24"/>
          <w:highlight w:val="none"/>
        </w:rPr>
        <w:t>环境保护要求：</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）做好施工噪声、废气、废水等控制；</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）按照国家及广州市相关规定做好建筑垃圾的处理。</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6.6</w:t>
      </w:r>
      <w:r>
        <w:rPr>
          <w:rFonts w:hint="eastAsia" w:ascii="宋体" w:hAnsi="宋体" w:eastAsia="宋体" w:cs="宋体"/>
          <w:color w:val="auto"/>
          <w:sz w:val="24"/>
          <w:szCs w:val="24"/>
          <w:highlight w:val="none"/>
        </w:rPr>
        <w:t>按相关法律法规及甲方相关作业施工管理要求执行。</w:t>
      </w:r>
    </w:p>
    <w:p>
      <w:pPr>
        <w:spacing w:line="384"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材料及设备供应</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7.1</w:t>
      </w:r>
      <w:r>
        <w:rPr>
          <w:rFonts w:hint="eastAsia" w:ascii="宋体" w:hAnsi="宋体" w:eastAsia="宋体" w:cs="宋体"/>
          <w:color w:val="auto"/>
          <w:sz w:val="24"/>
          <w:szCs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eastAsia="宋体" w:cs="宋体"/>
          <w:color w:val="auto"/>
          <w:sz w:val="24"/>
          <w:szCs w:val="24"/>
          <w:highlight w:val="none"/>
        </w:rPr>
      </w:pPr>
      <w:r>
        <w:rPr>
          <w:rFonts w:ascii="宋体" w:hAnsi="宋体" w:eastAsia="宋体" w:cs="宋体"/>
          <w:color w:val="auto"/>
          <w:sz w:val="24"/>
          <w:szCs w:val="24"/>
          <w:highlight w:val="none"/>
        </w:rPr>
        <w:t>7.2</w:t>
      </w:r>
      <w:r>
        <w:rPr>
          <w:rFonts w:hint="eastAsia" w:ascii="宋体" w:hAnsi="宋体" w:eastAsia="宋体" w:cs="宋体"/>
          <w:color w:val="auto"/>
          <w:sz w:val="24"/>
          <w:szCs w:val="24"/>
          <w:highlight w:val="none"/>
        </w:rPr>
        <w:t>所有材料必须具备合格证明，并保证产品的有效性。</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7.3</w:t>
      </w:r>
      <w:r>
        <w:rPr>
          <w:rFonts w:hint="eastAsia" w:ascii="宋体" w:hAnsi="宋体" w:eastAsia="宋体" w:cs="宋体"/>
          <w:color w:val="auto"/>
          <w:sz w:val="24"/>
          <w:szCs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7.4</w:t>
      </w:r>
      <w:r>
        <w:rPr>
          <w:rFonts w:hint="eastAsia" w:ascii="宋体" w:hAnsi="宋体" w:eastAsia="宋体" w:cs="宋体"/>
          <w:color w:val="auto"/>
          <w:sz w:val="24"/>
          <w:szCs w:val="24"/>
          <w:highlight w:val="none"/>
        </w:rPr>
        <w:t>乙方必须根据投标文件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7.5 </w:t>
      </w:r>
      <w:r>
        <w:rPr>
          <w:rFonts w:hint="eastAsia" w:ascii="宋体" w:hAnsi="宋体" w:eastAsia="宋体" w:cs="宋体"/>
          <w:color w:val="auto"/>
          <w:sz w:val="24"/>
          <w:szCs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7.6 </w:t>
      </w:r>
      <w:r>
        <w:rPr>
          <w:rFonts w:hint="eastAsia" w:ascii="宋体" w:hAnsi="宋体" w:eastAsia="宋体" w:cs="宋体"/>
          <w:color w:val="auto"/>
          <w:sz w:val="24"/>
          <w:szCs w:val="24"/>
          <w:highlight w:val="none"/>
        </w:rPr>
        <w:t>承包范围之内工程所用之设备，由乙方提供。</w:t>
      </w:r>
    </w:p>
    <w:p>
      <w:pPr>
        <w:spacing w:line="384"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第八条付</w:t>
      </w:r>
      <w:r>
        <w:rPr>
          <w:rFonts w:hint="eastAsia" w:ascii="宋体" w:hAnsi="宋体" w:eastAsia="宋体" w:cs="宋体"/>
          <w:b/>
          <w:color w:val="auto"/>
          <w:sz w:val="24"/>
          <w:szCs w:val="24"/>
          <w:highlight w:val="none"/>
        </w:rPr>
        <w:t>款及履约担保</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8.1</w:t>
      </w:r>
      <w:r>
        <w:rPr>
          <w:rFonts w:hint="eastAsia" w:ascii="宋体" w:hAnsi="宋体" w:eastAsia="宋体" w:cs="宋体"/>
          <w:bCs/>
          <w:color w:val="auto"/>
          <w:sz w:val="24"/>
          <w:szCs w:val="24"/>
          <w:highlight w:val="none"/>
        </w:rPr>
        <w:t>预付款的支付：</w:t>
      </w:r>
      <w:r>
        <w:rPr>
          <w:rFonts w:ascii="宋体" w:hAnsi="宋体" w:eastAsia="宋体" w:cs="宋体"/>
          <w:bCs/>
          <w:color w:val="auto"/>
          <w:sz w:val="24"/>
          <w:highlight w:val="none"/>
        </w:rPr>
        <w:sym w:font="Wingdings" w:char="00FE"/>
      </w:r>
      <w:r>
        <w:rPr>
          <w:rFonts w:hint="eastAsia" w:ascii="宋体" w:hAnsi="宋体" w:eastAsia="宋体" w:cs="宋体"/>
          <w:bCs/>
          <w:color w:val="auto"/>
          <w:sz w:val="24"/>
          <w:szCs w:val="24"/>
          <w:highlight w:val="none"/>
        </w:rPr>
        <w:t>无；</w:t>
      </w:r>
      <w:r>
        <w:rPr>
          <w:rFonts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有,合同签订后，乙方开具等额的增值税专用发票及提交</w:t>
      </w:r>
      <w:r>
        <w:rPr>
          <w:rFonts w:hint="eastAsia" w:ascii="宋体" w:hAnsi="宋体" w:eastAsia="宋体" w:cs="宋体"/>
          <w:bCs/>
          <w:color w:val="auto"/>
          <w:sz w:val="24"/>
          <w:szCs w:val="24"/>
          <w:highlight w:val="none"/>
          <w:lang w:val="en-US" w:eastAsia="zh-CN"/>
        </w:rPr>
        <w:t>履约</w:t>
      </w:r>
      <w:r>
        <w:rPr>
          <w:rFonts w:hint="eastAsia" w:ascii="宋体" w:hAnsi="宋体" w:eastAsia="宋体" w:cs="宋体"/>
          <w:bCs/>
          <w:color w:val="auto"/>
          <w:sz w:val="24"/>
          <w:szCs w:val="24"/>
          <w:highlight w:val="none"/>
        </w:rPr>
        <w:t>担保后</w:t>
      </w:r>
      <w:r>
        <w:rPr>
          <w:rFonts w:ascii="宋体" w:hAnsi="宋体" w:eastAsia="宋体" w:cs="宋体"/>
          <w:bCs/>
          <w:color w:val="auto"/>
          <w:sz w:val="24"/>
          <w:szCs w:val="24"/>
          <w:highlight w:val="none"/>
          <w:u w:val="single"/>
        </w:rPr>
        <w:t xml:space="preserve"> 10 </w:t>
      </w:r>
      <w:r>
        <w:rPr>
          <w:rFonts w:hint="eastAsia" w:ascii="宋体" w:hAnsi="宋体" w:eastAsia="宋体" w:cs="宋体"/>
          <w:bCs/>
          <w:color w:val="auto"/>
          <w:sz w:val="24"/>
          <w:szCs w:val="24"/>
          <w:highlight w:val="none"/>
        </w:rPr>
        <w:t>个工作日内，甲方支付合同</w:t>
      </w:r>
      <w:r>
        <w:rPr>
          <w:rFonts w:hint="eastAsia" w:ascii="宋体" w:hAnsi="宋体" w:eastAsia="宋体" w:cs="宋体"/>
          <w:color w:val="auto"/>
          <w:sz w:val="24"/>
          <w:szCs w:val="24"/>
          <w:highlight w:val="none"/>
        </w:rPr>
        <w:t>暂定总价</w:t>
      </w:r>
      <w:r>
        <w:rPr>
          <w:rFonts w:hint="eastAsia" w:ascii="宋体" w:hAnsi="宋体" w:eastAsia="宋体" w:cs="宋体"/>
          <w:bCs/>
          <w:color w:val="auto"/>
          <w:sz w:val="24"/>
          <w:szCs w:val="24"/>
          <w:highlight w:val="none"/>
        </w:rPr>
        <w:t>的</w:t>
      </w:r>
      <w:r>
        <w:rPr>
          <w:rFonts w:ascii="宋体" w:hAnsi="宋体" w:eastAsia="宋体" w:cs="宋体"/>
          <w:bCs/>
          <w:color w:val="auto"/>
          <w:sz w:val="24"/>
          <w:szCs w:val="24"/>
          <w:highlight w:val="none"/>
          <w:u w:val="single"/>
        </w:rPr>
        <w:t>30%</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元，（大写：…）</w:t>
      </w:r>
      <w:r>
        <w:rPr>
          <w:rFonts w:hint="eastAsia" w:ascii="宋体" w:hAnsi="宋体" w:eastAsia="宋体" w:cs="宋体"/>
          <w:bCs/>
          <w:color w:val="auto"/>
          <w:sz w:val="24"/>
          <w:szCs w:val="24"/>
          <w:highlight w:val="none"/>
        </w:rPr>
        <w:t>作为预付款。</w:t>
      </w:r>
      <w:r>
        <w:rPr>
          <w:rFonts w:hint="eastAsia" w:ascii="宋体" w:hAnsi="宋体" w:eastAsia="宋体" w:cs="宋体"/>
          <w:color w:val="auto"/>
          <w:sz w:val="24"/>
          <w:szCs w:val="24"/>
          <w:highlight w:val="none"/>
        </w:rPr>
        <w:t>若合同解除或终止，乙方在</w:t>
      </w:r>
      <w:r>
        <w:rPr>
          <w:rFonts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个工作日内返还预付款（无息）。</w:t>
      </w:r>
      <w:r>
        <w:rPr>
          <w:rFonts w:hint="eastAsia" w:ascii="宋体" w:hAnsi="宋体" w:eastAsia="宋体" w:cs="宋体"/>
          <w:bCs/>
          <w:color w:val="auto"/>
          <w:kern w:val="0"/>
          <w:sz w:val="24"/>
          <w:szCs w:val="24"/>
          <w:highlight w:val="none"/>
        </w:rPr>
        <w:t>逾期未返还，每逾期一天，乙方应按合同暂定总价的</w:t>
      </w:r>
      <w:r>
        <w:rPr>
          <w:rFonts w:hint="eastAsia" w:ascii="宋体" w:hAnsi="宋体" w:eastAsia="宋体" w:cs="宋体"/>
          <w:bCs/>
          <w:color w:val="auto"/>
          <w:kern w:val="0"/>
          <w:sz w:val="24"/>
          <w:szCs w:val="24"/>
          <w:highlight w:val="none"/>
          <w:u w:val="single"/>
        </w:rPr>
        <w:t>万分之五</w:t>
      </w:r>
      <w:r>
        <w:rPr>
          <w:rFonts w:ascii="宋体" w:hAnsi="宋体" w:eastAsia="宋体" w:cs="宋体"/>
          <w:bCs/>
          <w:color w:val="auto"/>
          <w:kern w:val="0"/>
          <w:sz w:val="24"/>
          <w:szCs w:val="24"/>
          <w:highlight w:val="none"/>
          <w:u w:val="single"/>
        </w:rPr>
        <w:t>/</w:t>
      </w:r>
      <w:r>
        <w:rPr>
          <w:rFonts w:hint="eastAsia" w:ascii="宋体" w:hAnsi="宋体" w:eastAsia="宋体" w:cs="宋体"/>
          <w:bCs/>
          <w:color w:val="auto"/>
          <w:kern w:val="0"/>
          <w:sz w:val="24"/>
          <w:szCs w:val="24"/>
          <w:highlight w:val="none"/>
          <w:u w:val="single"/>
        </w:rPr>
        <w:t>天</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sz w:val="24"/>
          <w:szCs w:val="24"/>
          <w:highlight w:val="none"/>
        </w:rPr>
        <w:t>。</w:t>
      </w:r>
    </w:p>
    <w:p>
      <w:pPr>
        <w:tabs>
          <w:tab w:val="left" w:pos="0"/>
        </w:tabs>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项目验收合格后，</w:t>
      </w:r>
      <w:r>
        <w:rPr>
          <w:rFonts w:hint="eastAsia" w:ascii="宋体" w:hAnsi="宋体" w:eastAsia="宋体" w:cs="宋体"/>
          <w:color w:val="auto"/>
          <w:sz w:val="24"/>
          <w:szCs w:val="24"/>
          <w:highlight w:val="none"/>
        </w:rPr>
        <w:t>经甲方或甲方委托有资质第三方机构审核后，由乙方提交申请支付资料</w:t>
      </w:r>
      <w:r>
        <w:rPr>
          <w:rFonts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rPr>
        <w:t>个工作日内，甲方支付至合同结算价的</w:t>
      </w:r>
      <w:r>
        <w:rPr>
          <w:rFonts w:hint="eastAsia" w:ascii="宋体" w:hAnsi="宋体" w:eastAsia="宋体" w:cs="宋体"/>
          <w:color w:val="auto"/>
          <w:sz w:val="24"/>
          <w:szCs w:val="24"/>
          <w:highlight w:val="none"/>
          <w:lang w:val="en-US" w:eastAsia="zh-CN"/>
        </w:rPr>
        <w:t>100</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w:t>
      </w:r>
    </w:p>
    <w:p>
      <w:pPr>
        <w:spacing w:line="384" w:lineRule="auto"/>
        <w:ind w:firstLine="480" w:firstLineChars="200"/>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本项目工程款的支付单位为：</w:t>
      </w:r>
      <w:r>
        <w:rPr>
          <w:rFonts w:hint="eastAsia" w:ascii="宋体" w:hAnsi="宋体" w:eastAsia="宋体" w:cs="宋体"/>
          <w:color w:val="auto"/>
          <w:sz w:val="24"/>
          <w:szCs w:val="24"/>
          <w:highlight w:val="none"/>
          <w:u w:val="single"/>
        </w:rPr>
        <w:t xml:space="preserve"> 广州市净水有限公司</w:t>
      </w:r>
      <w:r>
        <w:rPr>
          <w:rFonts w:hint="eastAsia" w:ascii="宋体" w:hAnsi="宋体" w:eastAsia="宋体" w:cs="宋体"/>
          <w:color w:val="auto"/>
          <w:sz w:val="24"/>
          <w:szCs w:val="24"/>
          <w:highlight w:val="none"/>
          <w:u w:val="single"/>
          <w:lang w:val="en-US" w:eastAsia="zh-CN"/>
        </w:rPr>
        <w:t>龙归分公司</w:t>
      </w:r>
      <w:r>
        <w:rPr>
          <w:rFonts w:hint="eastAsia" w:ascii="宋体" w:hAnsi="宋体" w:eastAsia="宋体" w:cs="宋体"/>
          <w:color w:val="auto"/>
          <w:sz w:val="24"/>
          <w:szCs w:val="24"/>
          <w:highlight w:val="none"/>
          <w:u w:val="single"/>
        </w:rPr>
        <w:t xml:space="preserve"> </w:t>
      </w:r>
    </w:p>
    <w:p>
      <w:pPr>
        <w:spacing w:line="384" w:lineRule="auto"/>
        <w:ind w:firstLine="480" w:firstLineChars="20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乙方收款账户：</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乙方在收款前需提交等额增值税专用发票给甲方。增值税专用发票信息：</w:t>
      </w:r>
    </w:p>
    <w:p>
      <w:pPr>
        <w:spacing w:line="384" w:lineRule="auto"/>
        <w:ind w:firstLine="960" w:firstLineChars="400"/>
        <w:rPr>
          <w:rFonts w:ascii="宋体" w:hAnsi="宋体" w:cs="宋体"/>
          <w:color w:val="auto"/>
          <w:sz w:val="24"/>
          <w:highlight w:val="none"/>
          <w:u w:val="single"/>
        </w:rPr>
      </w:pPr>
      <w:r>
        <w:rPr>
          <w:rFonts w:hint="eastAsia" w:ascii="宋体" w:hAnsi="宋体" w:cs="宋体"/>
          <w:color w:val="auto"/>
          <w:sz w:val="24"/>
          <w:highlight w:val="none"/>
        </w:rPr>
        <w:t>名称：</w:t>
      </w:r>
      <w:r>
        <w:rPr>
          <w:rFonts w:hint="eastAsia" w:ascii="宋体" w:hAnsi="宋体" w:cs="宋体"/>
          <w:color w:val="auto"/>
          <w:sz w:val="24"/>
          <w:highlight w:val="none"/>
          <w:u w:val="single"/>
        </w:rPr>
        <w:t>广州市净水有限公司</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 xml:space="preserve"> </w:t>
      </w:r>
      <w:r>
        <w:rPr>
          <w:rFonts w:ascii="宋体" w:hAnsi="宋体"/>
          <w:color w:val="auto"/>
          <w:sz w:val="24"/>
          <w:highlight w:val="none"/>
          <w:u w:val="single"/>
        </w:rPr>
        <w:t>91440101755584729Q</w:t>
      </w:r>
      <w:r>
        <w:rPr>
          <w:rFonts w:hint="eastAsia" w:ascii="宋体" w:hAnsi="宋体"/>
          <w:color w:val="auto"/>
          <w:sz w:val="24"/>
          <w:highlight w:val="none"/>
          <w:u w:val="single"/>
          <w:lang w:val="en-US" w:eastAsia="zh-CN"/>
        </w:rPr>
        <w:t xml:space="preserve"> </w:t>
      </w:r>
      <w:r>
        <w:rPr>
          <w:rFonts w:ascii="宋体" w:hAnsi="宋体" w:cs="宋体"/>
          <w:color w:val="auto"/>
          <w:sz w:val="24"/>
          <w:highlight w:val="none"/>
          <w:u w:val="single"/>
        </w:rPr>
        <w:t xml:space="preserve">      </w:t>
      </w:r>
    </w:p>
    <w:p>
      <w:pPr>
        <w:spacing w:line="384" w:lineRule="auto"/>
        <w:ind w:firstLine="960" w:firstLineChars="400"/>
        <w:rPr>
          <w:rFonts w:ascii="宋体" w:hAnsi="宋体" w:cs="宋体"/>
          <w:color w:val="auto"/>
          <w:sz w:val="24"/>
          <w:highlight w:val="none"/>
          <w:u w:val="single"/>
        </w:rPr>
      </w:pPr>
      <w:r>
        <w:rPr>
          <w:rFonts w:hint="eastAsia" w:ascii="宋体" w:hAnsi="宋体" w:cs="宋体"/>
          <w:color w:val="auto"/>
          <w:sz w:val="24"/>
          <w:highlight w:val="none"/>
        </w:rPr>
        <w:t>地址：</w:t>
      </w:r>
      <w:r>
        <w:rPr>
          <w:rFonts w:ascii="宋体" w:hAnsi="宋体" w:cs="宋体"/>
          <w:color w:val="auto"/>
          <w:sz w:val="24"/>
          <w:highlight w:val="none"/>
          <w:u w:val="single"/>
        </w:rPr>
        <w:t xml:space="preserve">  </w:t>
      </w:r>
      <w:r>
        <w:rPr>
          <w:rFonts w:hint="eastAsia" w:ascii="宋体" w:hAnsi="宋体"/>
          <w:color w:val="auto"/>
          <w:sz w:val="24"/>
          <w:highlight w:val="none"/>
          <w:u w:val="single"/>
        </w:rPr>
        <w:t>广州市天河区临江大道501号</w:t>
      </w:r>
      <w:r>
        <w:rPr>
          <w:rFonts w:ascii="宋体" w:hAnsi="宋体" w:cs="宋体"/>
          <w:color w:val="auto"/>
          <w:sz w:val="24"/>
          <w:highlight w:val="none"/>
          <w:u w:val="single"/>
        </w:rPr>
        <w:t xml:space="preserve">     </w:t>
      </w:r>
    </w:p>
    <w:p>
      <w:pPr>
        <w:spacing w:line="384" w:lineRule="auto"/>
        <w:ind w:firstLine="480" w:firstLineChars="200"/>
        <w:outlineLvl w:val="0"/>
        <w:rPr>
          <w:rFonts w:ascii="宋体" w:hAnsi="宋体" w:eastAsia="宋体" w:cs="宋体"/>
          <w:color w:val="auto"/>
          <w:sz w:val="24"/>
          <w:szCs w:val="24"/>
          <w:highlight w:val="none"/>
        </w:rPr>
      </w:pPr>
      <w:r>
        <w:rPr>
          <w:rFonts w:hint="eastAsia" w:ascii="宋体" w:hAnsi="宋体"/>
          <w:color w:val="auto"/>
          <w:sz w:val="24"/>
          <w:highlight w:val="none"/>
          <w:u w:val="none"/>
        </w:rPr>
        <w:t>开户银行及账号：</w:t>
      </w:r>
      <w:r>
        <w:rPr>
          <w:rFonts w:hint="eastAsia" w:ascii="宋体" w:hAnsi="宋体"/>
          <w:color w:val="auto"/>
          <w:sz w:val="24"/>
          <w:highlight w:val="none"/>
          <w:u w:val="single"/>
        </w:rPr>
        <w:t>民生银行广州支行；账号：0301014140006932</w:t>
      </w:r>
      <w:r>
        <w:rPr>
          <w:rFonts w:hint="eastAsia" w:ascii="宋体" w:hAnsi="宋体" w:eastAsia="宋体" w:cs="宋体"/>
          <w:color w:val="auto"/>
          <w:sz w:val="24"/>
          <w:szCs w:val="24"/>
          <w:highlight w:val="none"/>
          <w:u w:val="single"/>
        </w:rPr>
        <w:t xml:space="preserve">   。</w:t>
      </w:r>
    </w:p>
    <w:p>
      <w:pPr>
        <w:spacing w:line="384" w:lineRule="auto"/>
        <w:ind w:firstLine="480" w:firstLineChars="200"/>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履约担保：</w:t>
      </w:r>
      <w:r>
        <w:rPr>
          <w:rFonts w:ascii="宋体" w:hAnsi="宋体" w:eastAsia="宋体" w:cs="宋体"/>
          <w:bCs/>
          <w:color w:val="auto"/>
          <w:sz w:val="24"/>
          <w:highlight w:val="none"/>
        </w:rPr>
        <w:sym w:font="Wingdings" w:char="00FE"/>
      </w:r>
      <w:r>
        <w:rPr>
          <w:rFonts w:hint="eastAsia" w:ascii="宋体" w:hAnsi="宋体" w:eastAsia="宋体" w:cs="宋体"/>
          <w:bCs/>
          <w:color w:val="auto"/>
          <w:sz w:val="24"/>
          <w:szCs w:val="24"/>
          <w:highlight w:val="none"/>
        </w:rPr>
        <w:t>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w:t>
      </w:r>
      <w:r>
        <w:rPr>
          <w:rFonts w:hint="eastAsia" w:ascii="宋体" w:hAnsi="宋体" w:eastAsia="宋体" w:cs="宋体"/>
          <w:color w:val="auto"/>
          <w:sz w:val="24"/>
          <w:szCs w:val="24"/>
          <w:highlight w:val="none"/>
        </w:rPr>
        <w:t>本合同签订后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rPr>
        <w:t>以合同暂定总价的</w:t>
      </w:r>
      <w:r>
        <w:rPr>
          <w:rFonts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u w:val="single"/>
        </w:rPr>
        <w:t>作为履约保证金，</w:t>
      </w:r>
      <w:r>
        <w:rPr>
          <w:rFonts w:hint="eastAsia" w:ascii="宋体" w:hAnsi="宋体" w:eastAsia="宋体" w:cs="宋体"/>
          <w:color w:val="auto"/>
          <w:sz w:val="24"/>
          <w:szCs w:val="24"/>
          <w:highlight w:val="none"/>
        </w:rPr>
        <w:t>金额为：…</w:t>
      </w:r>
      <w:r>
        <w:rPr>
          <w:rFonts w:hint="eastAsia" w:ascii="宋体" w:hAnsi="宋体" w:eastAsia="宋体" w:cs="宋体"/>
          <w:color w:val="auto"/>
          <w:sz w:val="24"/>
          <w:szCs w:val="24"/>
          <w:highlight w:val="none"/>
          <w:u w:val="single"/>
        </w:rPr>
        <w:t>（大写人民币：…），</w:t>
      </w:r>
      <w:r>
        <w:rPr>
          <w:rFonts w:hint="eastAsia" w:ascii="宋体" w:hAnsi="宋体" w:eastAsia="宋体" w:cs="宋体"/>
          <w:color w:val="auto"/>
          <w:sz w:val="24"/>
          <w:szCs w:val="24"/>
          <w:highlight w:val="none"/>
        </w:rPr>
        <w:t>未按时提供的，甲方有权解除合同并要求乙方支付</w:t>
      </w:r>
      <w:r>
        <w:rPr>
          <w:rFonts w:hint="eastAsia" w:ascii="宋体" w:hAnsi="宋体" w:eastAsia="宋体" w:cs="宋体"/>
          <w:color w:val="auto"/>
          <w:sz w:val="24"/>
          <w:szCs w:val="24"/>
          <w:highlight w:val="none"/>
          <w:u w:val="single"/>
        </w:rPr>
        <w:t>合同暂定总价</w:t>
      </w:r>
      <w:r>
        <w:rPr>
          <w:rFonts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作为违约金。</w:t>
      </w:r>
    </w:p>
    <w:p>
      <w:pPr>
        <w:widowControl/>
        <w:spacing w:line="384"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.1</w:t>
      </w:r>
      <w:r>
        <w:rPr>
          <w:rFonts w:ascii="宋体" w:hAnsi="宋体" w:eastAsia="宋体" w:cs="Times New Roman"/>
          <w:color w:val="auto"/>
          <w:kern w:val="0"/>
          <w:sz w:val="24"/>
          <w:szCs w:val="24"/>
          <w:highlight w:val="none"/>
        </w:rPr>
        <w:t>履约担保</w:t>
      </w:r>
      <w:r>
        <w:rPr>
          <w:rFonts w:hint="eastAsia" w:ascii="宋体" w:hAnsi="宋体" w:eastAsia="宋体" w:cs="Times New Roman"/>
          <w:color w:val="auto"/>
          <w:kern w:val="0"/>
          <w:sz w:val="24"/>
          <w:szCs w:val="24"/>
          <w:highlight w:val="none"/>
        </w:rPr>
        <w:t>按以下任一种形式提供</w:t>
      </w:r>
      <w:r>
        <w:rPr>
          <w:rFonts w:ascii="宋体" w:hAnsi="宋体" w:eastAsia="宋体" w:cs="Times New Roman"/>
          <w:color w:val="auto"/>
          <w:kern w:val="0"/>
          <w:sz w:val="24"/>
          <w:szCs w:val="24"/>
          <w:highlight w:val="none"/>
        </w:rPr>
        <w:t>：</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（1）符合甲方要求（详见附件</w:t>
      </w:r>
      <w:r>
        <w:rPr>
          <w:rFonts w:hint="eastAsia" w:ascii="宋体" w:hAnsi="宋体" w:eastAsia="宋体" w:cs="Times New Roman"/>
          <w:color w:val="auto"/>
          <w:kern w:val="0"/>
          <w:sz w:val="24"/>
          <w:szCs w:val="24"/>
          <w:highlight w:val="none"/>
          <w:lang w:val="en-US" w:eastAsia="zh-CN"/>
        </w:rPr>
        <w:t>6</w:t>
      </w:r>
      <w:r>
        <w:rPr>
          <w:rFonts w:hint="eastAsia" w:ascii="宋体" w:hAnsi="宋体" w:eastAsia="宋体" w:cs="Times New Roman"/>
          <w:color w:val="auto"/>
          <w:kern w:val="0"/>
          <w:sz w:val="24"/>
          <w:szCs w:val="24"/>
          <w:highlight w:val="none"/>
        </w:rPr>
        <w:t>保函格式）的银行独立保函，</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（2）现金转账至甲方以下指定账户：</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w:t>
      </w:r>
      <w:r>
        <w:rPr>
          <w:rFonts w:ascii="宋体" w:hAnsi="宋体" w:eastAsia="宋体" w:cs="宋体"/>
          <w:bCs/>
          <w:color w:val="auto"/>
          <w:sz w:val="24"/>
          <w:szCs w:val="24"/>
          <w:highlight w:val="none"/>
        </w:rPr>
        <w:t>82010154900000342</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pPr>
        <w:spacing w:line="384" w:lineRule="auto"/>
        <w:ind w:firstLine="480" w:firstLineChars="200"/>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履约担保的担保期限和返还</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⑵履约银行保函在合同履行完成后，由乙方提出申请，甲方在28日内返还，不支付利息：</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⑶延长担保期限。乙方以履约银行保函形式提交履约保证金的，在银行保函到期前，乙方应提前</w:t>
      </w:r>
      <w:r>
        <w:rPr>
          <w:rFonts w:ascii="宋体" w:hAnsi="宋体" w:eastAsia="宋体" w:cs="宋体"/>
          <w:color w:val="auto"/>
          <w:sz w:val="24"/>
          <w:szCs w:val="24"/>
          <w:highlight w:val="none"/>
        </w:rPr>
        <w:t xml:space="preserve"> 7 </w:t>
      </w:r>
      <w:r>
        <w:rPr>
          <w:rFonts w:hint="eastAsia" w:ascii="宋体" w:hAnsi="宋体" w:eastAsia="宋体" w:cs="宋体"/>
          <w:color w:val="auto"/>
          <w:sz w:val="24"/>
          <w:szCs w:val="24"/>
          <w:highlight w:val="none"/>
        </w:rPr>
        <w:t>日向甲方提交新的保函以替换即将到期的保函。如乙方未及时提交的，甲方有权直接要求担保银行支付其担保的全部金额并解除合同。</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⑷现金履约保证金的退还：合同履行完成后，由乙方提出申请，甲方在28日内将剩余保证金（无息）返还。</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甲方按本合同规定提取履约担保金额后，乙方应在收到甲方通知后</w:t>
      </w:r>
      <w:r>
        <w:rPr>
          <w:rFonts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color w:val="auto"/>
          <w:sz w:val="24"/>
          <w:szCs w:val="24"/>
          <w:highlight w:val="none"/>
          <w:bdr w:val="single" w:color="auto" w:sz="4" w:space="0"/>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6</w:t>
      </w:r>
      <w:r>
        <w:rPr>
          <w:rFonts w:hint="eastAsia" w:asciiTheme="minorEastAsia" w:hAnsiTheme="minorEastAsia" w:cstheme="minorEastAsia"/>
          <w:color w:val="auto"/>
          <w:sz w:val="24"/>
          <w:szCs w:val="24"/>
          <w:highlight w:val="none"/>
        </w:rPr>
        <w:t xml:space="preserve">付款方式： </w:t>
      </w:r>
      <w:r>
        <w:rPr>
          <w:rFonts w:ascii="宋体" w:hAnsi="宋体" w:eastAsia="宋体" w:cs="宋体"/>
          <w:bCs/>
          <w:color w:val="auto"/>
          <w:sz w:val="24"/>
          <w:highlight w:val="none"/>
        </w:rPr>
        <w:sym w:font="Wingdings" w:char="00FE"/>
      </w:r>
      <w:r>
        <w:rPr>
          <w:rFonts w:hint="eastAsia" w:asciiTheme="minorEastAsia" w:hAnsiTheme="minorEastAsia" w:cstheme="minorEastAsia"/>
          <w:color w:val="auto"/>
          <w:sz w:val="24"/>
          <w:szCs w:val="24"/>
          <w:highlight w:val="none"/>
        </w:rPr>
        <w:t xml:space="preserve">网银支付；  </w:t>
      </w:r>
      <w:r>
        <w:rPr>
          <w:rFonts w:hint="eastAsia" w:asciiTheme="minorEastAsia" w:hAnsiTheme="minorEastAsia" w:cstheme="minorEastAsia"/>
          <w:color w:val="auto"/>
          <w:sz w:val="24"/>
          <w:szCs w:val="24"/>
          <w:highlight w:val="none"/>
        </w:rPr>
        <w:sym w:font="Wingdings" w:char="00A8"/>
      </w:r>
      <w:r>
        <w:rPr>
          <w:rFonts w:hint="eastAsia" w:asciiTheme="minorEastAsia" w:hAnsiTheme="minorEastAsia" w:cstheme="minorEastAsia"/>
          <w:color w:val="auto"/>
          <w:sz w:val="24"/>
          <w:szCs w:val="24"/>
          <w:highlight w:val="none"/>
        </w:rPr>
        <w:t xml:space="preserve">支票；   </w:t>
      </w:r>
      <w:r>
        <w:rPr>
          <w:rFonts w:hint="eastAsia" w:asciiTheme="minorEastAsia" w:hAnsiTheme="minorEastAsia" w:cstheme="minorEastAsia"/>
          <w:color w:val="auto"/>
          <w:sz w:val="24"/>
          <w:szCs w:val="24"/>
          <w:highlight w:val="none"/>
        </w:rPr>
        <w:sym w:font="Wingdings" w:char="00A8"/>
      </w:r>
      <w:r>
        <w:rPr>
          <w:rFonts w:hint="eastAsia" w:asciiTheme="minorEastAsia" w:hAnsiTheme="minorEastAsia" w:cstheme="minorEastAsia"/>
          <w:color w:val="auto"/>
          <w:sz w:val="24"/>
          <w:szCs w:val="24"/>
          <w:highlight w:val="none"/>
        </w:rPr>
        <w:t>其他：</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第九条竣工验收</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9.1</w:t>
      </w:r>
      <w:r>
        <w:rPr>
          <w:rFonts w:hint="eastAsia" w:ascii="宋体" w:hAnsi="宋体" w:eastAsia="宋体" w:cs="宋体"/>
          <w:color w:val="auto"/>
          <w:sz w:val="24"/>
          <w:szCs w:val="24"/>
          <w:highlight w:val="none"/>
        </w:rPr>
        <w:t>乙方应在工程完工后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天内将经甲方审核的完整竣工资料（含竣工图）和竣工验收报告各</w:t>
      </w:r>
      <w:r>
        <w:rPr>
          <w:rFonts w:hint="eastAsia" w:ascii="宋体" w:hAnsi="宋体" w:eastAsia="宋体" w:cs="宋体"/>
          <w:color w:val="auto"/>
          <w:sz w:val="24"/>
          <w:szCs w:val="24"/>
          <w:highlight w:val="none"/>
          <w:u w:val="single"/>
        </w:rPr>
        <w:t>一式四份</w:t>
      </w:r>
      <w:r>
        <w:rPr>
          <w:rFonts w:hint="eastAsia" w:ascii="宋体" w:hAnsi="宋体" w:eastAsia="宋体" w:cs="宋体"/>
          <w:color w:val="auto"/>
          <w:sz w:val="24"/>
          <w:szCs w:val="24"/>
          <w:highlight w:val="none"/>
        </w:rPr>
        <w:t>交甲方，不按时报送工程竣工资料的，每逾期一天，甲方要求乙方支付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，并在支付合同款时抵扣。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9.2</w:t>
      </w:r>
      <w:r>
        <w:rPr>
          <w:rFonts w:hint="eastAsia" w:ascii="宋体" w:hAnsi="宋体" w:eastAsia="宋体" w:cs="宋体"/>
          <w:color w:val="auto"/>
          <w:sz w:val="24"/>
          <w:szCs w:val="24"/>
          <w:highlight w:val="none"/>
        </w:rPr>
        <w:t>甲方收到完整的竣工验收资料（完整的竣工验收资料：施工方案、开工</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竣工报告、安全备案整套资料、本合同书、询价文件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响应文件、中标通知书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委托书、工程预算送审报告、工程结算书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签证记录、备件开箱记录表或送货单、竣工图等，如有必须提供）和竣工验收报告后</w:t>
      </w:r>
      <w:r>
        <w:rPr>
          <w:rFonts w:ascii="宋体" w:hAnsi="宋体" w:eastAsia="宋体" w:cs="宋体"/>
          <w:color w:val="auto"/>
          <w:sz w:val="24"/>
          <w:szCs w:val="24"/>
          <w:highlight w:val="none"/>
        </w:rPr>
        <w:t>20</w:t>
      </w:r>
      <w:r>
        <w:rPr>
          <w:rFonts w:hint="eastAsia" w:ascii="宋体" w:hAnsi="宋体" w:eastAsia="宋体" w:cs="宋体"/>
          <w:color w:val="auto"/>
          <w:sz w:val="24"/>
          <w:szCs w:val="24"/>
          <w:highlight w:val="none"/>
        </w:rPr>
        <w:t>天内组织有关单位进行验收，工程竣工验收严格按国家、省、市、部门有关文件执行，并在验收后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天内给予认可或提出修改意见。乙方按要求修改，并承担修改的费用。</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9.3</w:t>
      </w:r>
      <w:r>
        <w:rPr>
          <w:rFonts w:hint="eastAsia" w:ascii="宋体" w:hAnsi="宋体" w:eastAsia="宋体" w:cs="宋体"/>
          <w:color w:val="auto"/>
          <w:sz w:val="24"/>
          <w:szCs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9.4</w:t>
      </w:r>
      <w:r>
        <w:rPr>
          <w:rFonts w:hint="eastAsia" w:ascii="宋体" w:hAnsi="宋体" w:eastAsia="宋体" w:cs="宋体"/>
          <w:color w:val="auto"/>
          <w:sz w:val="24"/>
          <w:szCs w:val="24"/>
          <w:highlight w:val="none"/>
        </w:rPr>
        <w:t>竣工档案的整理和移交</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）竣工文件资料、竣工图档案（原件）各一式四份；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）与本款（</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）项内容相同的电子版档案一式二份；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）乙方移交竣工档案的时限：乙方应于工程竣工验收后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天内将竣工档案提交甲方签认。乙方应于甲方签认后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天内将竣工档案移交给甲方归档并同时移交有关归档的证明文件。甲方经审查合格的，应在收到竣工档案后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天内签署档案验收意见；不合格的，乙方应按甲方要求限期补正，直至合格为止。乙方超过本条规定的时限，每逾期一天支付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违约金。</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autoSpaceDE w:val="0"/>
        <w:autoSpaceDN w:val="0"/>
        <w:adjustRightInd w:val="0"/>
        <w:ind w:firstLine="480" w:firstLineChars="200"/>
        <w:jc w:val="left"/>
        <w:rPr>
          <w:rFonts w:asciiTheme="minorEastAsia" w:hAnsiTheme="minorEastAsia" w:cstheme="minorEastAsia"/>
          <w:color w:val="auto"/>
          <w:kern w:val="0"/>
          <w:sz w:val="24"/>
          <w:szCs w:val="24"/>
          <w:highlight w:val="none"/>
          <w:u w:val="single"/>
        </w:rPr>
      </w:pPr>
      <w:r>
        <w:rPr>
          <w:rFonts w:hint="eastAsia" w:asciiTheme="minorEastAsia" w:hAnsiTheme="minorEastAsia" w:cstheme="minorEastAsia"/>
          <w:color w:val="auto"/>
          <w:kern w:val="0"/>
          <w:sz w:val="24"/>
          <w:szCs w:val="24"/>
          <w:highlight w:val="none"/>
        </w:rPr>
        <w:t>9.5本合同竣工验收结算单位为</w:t>
      </w:r>
      <w:r>
        <w:rPr>
          <w:rFonts w:hint="eastAsia" w:asciiTheme="minorEastAsia" w:hAnsiTheme="minorEastAsia" w:cstheme="minorEastAsia"/>
          <w:color w:val="auto"/>
          <w:kern w:val="0"/>
          <w:sz w:val="24"/>
          <w:szCs w:val="24"/>
          <w:highlight w:val="none"/>
          <w:u w:val="single"/>
        </w:rPr>
        <w:t>：</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u w:val="single"/>
          <w:lang w:val="en-US" w:eastAsia="zh-CN"/>
        </w:rPr>
        <w:t>龙归分公司</w:t>
      </w:r>
      <w:r>
        <w:rPr>
          <w:rFonts w:hint="eastAsia" w:ascii="宋体" w:hAnsi="宋体" w:eastAsia="宋体" w:cs="宋体"/>
          <w:color w:val="auto"/>
          <w:sz w:val="24"/>
          <w:szCs w:val="24"/>
          <w:highlight w:val="none"/>
          <w:u w:val="single"/>
        </w:rPr>
        <w:t xml:space="preserve"> </w:t>
      </w:r>
      <w:r>
        <w:rPr>
          <w:rFonts w:hint="eastAsia" w:asciiTheme="minorEastAsia" w:hAnsiTheme="minorEastAsia" w:cstheme="minorEastAsia"/>
          <w:color w:val="auto"/>
          <w:kern w:val="0"/>
          <w:sz w:val="24"/>
          <w:szCs w:val="24"/>
          <w:highlight w:val="none"/>
          <w:u w:val="single"/>
        </w:rPr>
        <w:t xml:space="preserve"> </w:t>
      </w:r>
    </w:p>
    <w:p>
      <w:pPr>
        <w:numPr>
          <w:ilvl w:val="0"/>
          <w:numId w:val="4"/>
        </w:numPr>
        <w:spacing w:before="120" w:after="156" w:afterLines="50" w:line="384"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质量保证</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10.1</w:t>
      </w:r>
      <w:r>
        <w:rPr>
          <w:rFonts w:hint="eastAsia" w:ascii="宋体" w:hAnsi="宋体" w:eastAsia="宋体" w:cs="宋体"/>
          <w:color w:val="auto"/>
          <w:sz w:val="24"/>
          <w:szCs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eastAsia="宋体" w:cs="宋体"/>
          <w:color w:val="auto"/>
          <w:kern w:val="0"/>
          <w:sz w:val="24"/>
          <w:szCs w:val="24"/>
          <w:highlight w:val="none"/>
          <w:lang w:val="zh-CN"/>
        </w:rPr>
      </w:pPr>
      <w:r>
        <w:rPr>
          <w:rFonts w:ascii="宋体" w:hAnsi="宋体" w:eastAsia="宋体" w:cs="宋体"/>
          <w:bCs/>
          <w:color w:val="auto"/>
          <w:sz w:val="24"/>
          <w:szCs w:val="24"/>
          <w:highlight w:val="none"/>
        </w:rPr>
        <w:t xml:space="preserve">10.2 </w:t>
      </w:r>
      <w:r>
        <w:rPr>
          <w:rFonts w:hint="eastAsia" w:ascii="宋体" w:hAnsi="宋体" w:eastAsia="宋体" w:cs="宋体"/>
          <w:bCs/>
          <w:color w:val="auto"/>
          <w:sz w:val="24"/>
          <w:szCs w:val="24"/>
          <w:highlight w:val="none"/>
        </w:rPr>
        <w:t>本项目质量保修期为</w:t>
      </w:r>
      <w:r>
        <w:rPr>
          <w:rFonts w:hint="eastAsia" w:ascii="宋体" w:hAnsi="宋体" w:eastAsia="宋体" w:cs="宋体"/>
          <w:color w:val="auto"/>
          <w:kern w:val="0"/>
          <w:sz w:val="24"/>
          <w:szCs w:val="24"/>
          <w:highlight w:val="none"/>
          <w:lang w:val="zh-CN"/>
        </w:rPr>
        <w:t>自验收合格之日起</w:t>
      </w:r>
      <w:r>
        <w:rPr>
          <w:rFonts w:hint="eastAsia" w:ascii="宋体" w:hAnsi="宋体" w:eastAsia="宋体" w:cs="宋体"/>
          <w:color w:val="auto"/>
          <w:kern w:val="0"/>
          <w:sz w:val="24"/>
          <w:szCs w:val="24"/>
          <w:highlight w:val="none"/>
          <w:u w:val="single"/>
          <w:lang w:val="en-US" w:eastAsia="zh-CN"/>
        </w:rPr>
        <w:t>壹</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且不得低于法定保修期限</w:t>
      </w:r>
      <w:r>
        <w:rPr>
          <w:rFonts w:hint="eastAsia" w:ascii="宋体" w:hAnsi="宋体" w:eastAsia="宋体" w:cs="宋体"/>
          <w:color w:val="auto"/>
          <w:kern w:val="0"/>
          <w:sz w:val="24"/>
          <w:szCs w:val="24"/>
          <w:highlight w:val="none"/>
          <w:lang w:val="zh-CN"/>
        </w:rPr>
        <w:t>。</w:t>
      </w:r>
    </w:p>
    <w:p>
      <w:pPr>
        <w:spacing w:line="384" w:lineRule="auto"/>
        <w:ind w:firstLine="420" w:firstLineChars="175"/>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10.3</w:t>
      </w:r>
      <w:r>
        <w:rPr>
          <w:rFonts w:hint="eastAsia" w:ascii="宋体" w:hAnsi="宋体" w:eastAsia="宋体" w:cs="宋体"/>
          <w:bCs/>
          <w:color w:val="auto"/>
          <w:sz w:val="24"/>
          <w:szCs w:val="24"/>
          <w:highlight w:val="none"/>
        </w:rPr>
        <w:t>质量保修期期间，本项目的质量问题由乙方免费提供保修服务，乙方应在收到甲方通知后</w:t>
      </w:r>
      <w:r>
        <w:rPr>
          <w:rFonts w:hint="eastAsia" w:ascii="宋体" w:hAnsi="宋体" w:eastAsia="宋体" w:cs="宋体"/>
          <w:bCs/>
          <w:color w:val="auto"/>
          <w:sz w:val="24"/>
          <w:szCs w:val="24"/>
          <w:highlight w:val="none"/>
          <w:u w:val="single"/>
          <w:lang w:val="en-US" w:eastAsia="zh-CN"/>
        </w:rPr>
        <w:t xml:space="preserve"> 7</w:t>
      </w:r>
      <w:r>
        <w:rPr>
          <w:rFonts w:hint="eastAsia" w:ascii="宋体" w:hAnsi="宋体" w:eastAsia="宋体" w:cs="宋体"/>
          <w:bCs/>
          <w:color w:val="auto"/>
          <w:sz w:val="24"/>
          <w:szCs w:val="24"/>
          <w:highlight w:val="none"/>
        </w:rPr>
        <w:t>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10%/</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w:t>
      </w:r>
    </w:p>
    <w:p>
      <w:pPr>
        <w:spacing w:before="156" w:beforeLines="50" w:after="156" w:afterLines="50" w:line="384" w:lineRule="auto"/>
        <w:ind w:firstLine="422" w:firstLineChars="175"/>
        <w:jc w:val="lef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第十一条不可抗力</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11.1 </w:t>
      </w:r>
      <w:r>
        <w:rPr>
          <w:rFonts w:hint="eastAsia" w:ascii="宋体" w:hAnsi="宋体" w:eastAsia="宋体" w:cs="宋体"/>
          <w:bCs/>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⑴地震、火山爆发、滑坡、暴雨（橙色预警及以上）、台风（黄色预警及以上）、海啸、龙卷风、大面积流行病</w:t>
      </w:r>
      <w:r>
        <w:rPr>
          <w:rFonts w:ascii="宋体" w:hAnsi="宋体" w:eastAsia="宋体" w:cs="宋体"/>
          <w:bCs/>
          <w:color w:val="auto"/>
          <w:sz w:val="24"/>
          <w:szCs w:val="24"/>
          <w:highlight w:val="none"/>
        </w:rPr>
        <w:t>(如：非典型性肺炎等)或瘟疫；</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11.2 </w:t>
      </w:r>
      <w:r>
        <w:rPr>
          <w:rFonts w:hint="eastAsia" w:ascii="宋体" w:hAnsi="宋体" w:eastAsia="宋体" w:cs="宋体"/>
          <w:bCs/>
          <w:color w:val="auto"/>
          <w:sz w:val="24"/>
          <w:szCs w:val="24"/>
          <w:highlight w:val="none"/>
        </w:rPr>
        <w:t>声称受到不可抗力影响的一方，应在发生不可抗力或知道发生不可抗力之后</w:t>
      </w:r>
      <w:r>
        <w:rPr>
          <w:rFonts w:ascii="宋体" w:hAnsi="宋体" w:eastAsia="宋体" w:cs="宋体"/>
          <w:bCs/>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11.3 </w:t>
      </w:r>
      <w:r>
        <w:rPr>
          <w:rFonts w:hint="eastAsia" w:ascii="宋体" w:hAnsi="宋体" w:eastAsia="宋体" w:cs="宋体"/>
          <w:bCs/>
          <w:color w:val="auto"/>
          <w:sz w:val="24"/>
          <w:szCs w:val="24"/>
          <w:highlight w:val="none"/>
        </w:rPr>
        <w:t>因不可抗力导致合同无法履行的时间自该不可抗力发生日起连续超过玖拾</w:t>
      </w:r>
      <w:r>
        <w:rPr>
          <w:rFonts w:ascii="宋体" w:hAnsi="宋体" w:eastAsia="宋体" w:cs="宋体"/>
          <w:bCs/>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11.4 </w:t>
      </w:r>
      <w:r>
        <w:rPr>
          <w:rFonts w:hint="eastAsia" w:ascii="宋体" w:hAnsi="宋体" w:eastAsia="宋体" w:cs="宋体"/>
          <w:bCs/>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十二条争议解决</w:t>
      </w:r>
    </w:p>
    <w:p>
      <w:pPr>
        <w:spacing w:line="384" w:lineRule="auto"/>
        <w:ind w:firstLine="482"/>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12.1 </w:t>
      </w:r>
      <w:r>
        <w:rPr>
          <w:rFonts w:hint="eastAsia" w:ascii="宋体" w:hAnsi="宋体" w:eastAsia="宋体" w:cs="宋体"/>
          <w:bCs/>
          <w:color w:val="auto"/>
          <w:sz w:val="24"/>
          <w:szCs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eastAsia="宋体" w:cs="宋体"/>
          <w:color w:val="auto"/>
          <w:sz w:val="24"/>
          <w:szCs w:val="24"/>
          <w:highlight w:val="none"/>
        </w:rPr>
      </w:pPr>
      <w:r>
        <w:rPr>
          <w:rFonts w:ascii="宋体" w:hAnsi="宋体" w:eastAsia="宋体" w:cs="宋体"/>
          <w:bCs/>
          <w:color w:val="auto"/>
          <w:sz w:val="24"/>
          <w:szCs w:val="24"/>
          <w:highlight w:val="none"/>
        </w:rPr>
        <w:t xml:space="preserve">12.2 </w:t>
      </w:r>
      <w:r>
        <w:rPr>
          <w:rFonts w:hint="eastAsia" w:ascii="宋体" w:hAnsi="宋体" w:eastAsia="宋体" w:cs="宋体"/>
          <w:color w:val="auto"/>
          <w:sz w:val="24"/>
          <w:szCs w:val="24"/>
          <w:highlight w:val="none"/>
        </w:rPr>
        <w:t>在甲方同意的情况下，除有争端之外的合同其它部分在争端解决前应继续执行。</w:t>
      </w:r>
    </w:p>
    <w:p>
      <w:pPr>
        <w:spacing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第十三条合同生效及其他</w:t>
      </w:r>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13.1</w:t>
      </w:r>
      <w:r>
        <w:rPr>
          <w:rFonts w:hint="eastAsia" w:ascii="宋体" w:hAnsi="宋体" w:eastAsia="宋体" w:cs="宋体"/>
          <w:color w:val="auto"/>
          <w:sz w:val="24"/>
          <w:szCs w:val="24"/>
          <w:highlight w:val="none"/>
        </w:rPr>
        <w:t>本合同经双方法定代表人或授权代表签字并加盖双方公章后生效</w:t>
      </w:r>
      <w:r>
        <w:rPr>
          <w:rFonts w:ascii="宋体" w:hAnsi="宋体" w:eastAsia="宋体" w:cs="宋体"/>
          <w:color w:val="auto"/>
          <w:sz w:val="24"/>
          <w:szCs w:val="24"/>
          <w:highlight w:val="none"/>
        </w:rPr>
        <w:t>.</w:t>
      </w:r>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13.2</w:t>
      </w:r>
      <w:r>
        <w:rPr>
          <w:rFonts w:hint="eastAsia" w:ascii="宋体" w:hAnsi="宋体" w:eastAsia="宋体" w:cs="宋体"/>
          <w:color w:val="auto"/>
          <w:sz w:val="24"/>
          <w:szCs w:val="24"/>
          <w:highlight w:val="none"/>
        </w:rPr>
        <w:t>本合同正文一式六份，其中：甲方四份，乙方二份。</w:t>
      </w:r>
    </w:p>
    <w:p>
      <w:pPr>
        <w:spacing w:line="384" w:lineRule="auto"/>
        <w:ind w:firstLine="480"/>
        <w:rPr>
          <w:rFonts w:hint="default" w:ascii="宋体" w:hAnsi="宋体" w:eastAsia="宋体" w:cs="宋体"/>
          <w:color w:val="auto"/>
          <w:sz w:val="24"/>
          <w:szCs w:val="24"/>
          <w:highlight w:val="none"/>
          <w:u w:val="single"/>
          <w:lang w:val="en-US" w:eastAsia="zh-CN"/>
        </w:rPr>
      </w:pP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rPr>
        <w:t>3补充条款</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rPr>
          <w:rFonts w:ascii="宋体" w:hAnsi="宋体" w:eastAsia="宋体" w:cs="宋体"/>
          <w:color w:val="auto"/>
          <w:sz w:val="24"/>
          <w:szCs w:val="24"/>
          <w:highlight w:val="none"/>
        </w:rPr>
      </w:pPr>
    </w:p>
    <w:p>
      <w:pPr>
        <w:pStyle w:val="2"/>
        <w:rPr>
          <w:rFonts w:ascii="宋体" w:hAnsi="宋体" w:eastAsia="宋体" w:cs="宋体"/>
          <w:color w:val="auto"/>
          <w:sz w:val="24"/>
          <w:szCs w:val="24"/>
          <w:highlight w:val="none"/>
        </w:rPr>
      </w:pPr>
    </w:p>
    <w:p>
      <w:pPr>
        <w:pStyle w:val="2"/>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成交通知书/委托函（如有）</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2.廉洁协议</w:t>
      </w:r>
    </w:p>
    <w:p>
      <w:pPr>
        <w:spacing w:line="384" w:lineRule="auto"/>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营运场所施工安全协议书</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工程量清单</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报价</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项目投入人员架构表</w:t>
      </w:r>
      <w:r>
        <w:rPr>
          <w:rFonts w:ascii="宋体" w:hAnsi="宋体" w:eastAsia="宋体" w:cs="宋体"/>
          <w:color w:val="auto"/>
          <w:sz w:val="24"/>
          <w:szCs w:val="24"/>
          <w:highlight w:val="none"/>
        </w:rPr>
        <w:t xml:space="preserve"> </w:t>
      </w:r>
    </w:p>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履约</w:t>
      </w:r>
      <w:r>
        <w:rPr>
          <w:rFonts w:hint="eastAsia" w:ascii="宋体" w:hAnsi="宋体" w:eastAsia="宋体" w:cs="宋体"/>
          <w:color w:val="auto"/>
          <w:sz w:val="24"/>
          <w:szCs w:val="24"/>
          <w:highlight w:val="none"/>
        </w:rPr>
        <w:t>保函（模板）</w:t>
      </w:r>
    </w:p>
    <w:p>
      <w:pPr>
        <w:spacing w:line="360" w:lineRule="auto"/>
        <w:ind w:firstLine="720" w:firstLineChars="300"/>
        <w:rPr>
          <w:rFonts w:asciiTheme="minorEastAsia" w:hAnsiTheme="minorEastAsia" w:cstheme="minorEastAsia"/>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Theme="minorEastAsia" w:hAnsiTheme="minorEastAsia" w:cstheme="minorEastAsia"/>
          <w:color w:val="auto"/>
          <w:sz w:val="24"/>
          <w:szCs w:val="24"/>
          <w:highlight w:val="none"/>
        </w:rPr>
        <w:t>应急救援物资清单</w:t>
      </w:r>
    </w:p>
    <w:p>
      <w:pPr>
        <w:spacing w:line="360" w:lineRule="auto"/>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.授权委托证明（如需）</w:t>
      </w:r>
    </w:p>
    <w:p>
      <w:pPr>
        <w:adjustRightInd w:val="0"/>
        <w:snapToGrid w:val="0"/>
        <w:ind w:firstLine="720" w:firstLineChars="300"/>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 或                         法定代表人或</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                         授权代理人：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spacing w:line="384" w:lineRule="auto"/>
        <w:ind w:left="6360" w:hanging="6360" w:hangingChars="2650"/>
        <w:rPr>
          <w:rFonts w:ascii="宋体" w:hAnsi="宋体" w:eastAsia="宋体" w:cs="宋体"/>
          <w:b/>
          <w:bCs/>
          <w:color w:val="auto"/>
          <w:szCs w:val="21"/>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签署日期：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  中标通知书/发包通知书/委托函（如有）</w:t>
      </w: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spacing w:after="120" w:line="560" w:lineRule="exact"/>
        <w:ind w:left="420" w:left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1、扣除主合同的全部履约保证金；</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2、解除主合同；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3、追究乙方其他违约责任；</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4、根据甲方的有关规章制度，在一定时间内暂停乙方参与甲方及下属单位所有项目的交易资格；</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5、根据甲方的有关规章制度，将乙方清退出甲方相关企业库；</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6、根据甲方上级单位、行政主管部门的意见、决定执行；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tabs>
          <w:tab w:val="left" w:pos="5100"/>
        </w:tabs>
        <w:spacing w:line="560" w:lineRule="exact"/>
        <w:ind w:left="720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rPr>
          <w:rFonts w:ascii="仿宋_GB2312" w:hAnsi="仿宋_GB2312" w:eastAsia="仿宋_GB2312" w:cs="仿宋_GB2312"/>
          <w:bCs/>
          <w:color w:val="auto"/>
          <w:sz w:val="28"/>
          <w:szCs w:val="28"/>
          <w:highlight w:val="none"/>
        </w:rPr>
      </w:pPr>
    </w:p>
    <w:p>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：安全管理协议书</w:t>
      </w:r>
    </w:p>
    <w:p>
      <w:pPr>
        <w:spacing w:line="360" w:lineRule="auto"/>
        <w:jc w:val="center"/>
        <w:rPr>
          <w:rFonts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lang w:val="en-US" w:eastAsia="zh-CN"/>
        </w:rPr>
      </w:pPr>
      <w:r>
        <w:rPr>
          <w:rFonts w:hint="eastAsia" w:ascii="黑体" w:hAnsi="Batang" w:eastAsia="黑体" w:cs="Batang"/>
          <w:bCs/>
          <w:color w:val="auto"/>
          <w:kern w:val="0"/>
          <w:sz w:val="44"/>
          <w:szCs w:val="44"/>
          <w:highlight w:val="none"/>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spacing w:line="560" w:lineRule="exact"/>
        <w:rPr>
          <w:rFonts w:hint="eastAsia" w:ascii="宋体" w:hAnsi="宋体" w:eastAsia="宋体" w:cs="Arial"/>
          <w:bCs w:val="0"/>
          <w:color w:val="auto"/>
          <w:kern w:val="0"/>
          <w:sz w:val="24"/>
          <w:szCs w:val="24"/>
          <w:highlight w:val="none"/>
        </w:rPr>
      </w:pPr>
      <w:r>
        <w:rPr>
          <w:rFonts w:hint="eastAsia" w:ascii="宋体" w:hAnsi="宋体" w:eastAsia="宋体" w:cs="Arial"/>
          <w:bCs w:val="0"/>
          <w:color w:val="auto"/>
          <w:kern w:val="0"/>
          <w:sz w:val="24"/>
          <w:szCs w:val="24"/>
          <w:highlight w:val="none"/>
        </w:rPr>
        <w:t>甲方：广州市净水有限公司</w:t>
      </w:r>
    </w:p>
    <w:p>
      <w:pPr>
        <w:spacing w:line="560" w:lineRule="exact"/>
        <w:rPr>
          <w:rFonts w:hint="eastAsia" w:ascii="宋体" w:hAnsi="宋体" w:eastAsia="宋体" w:cs="Arial"/>
          <w:bCs w:val="0"/>
          <w:color w:val="auto"/>
          <w:kern w:val="0"/>
          <w:sz w:val="24"/>
          <w:szCs w:val="24"/>
          <w:highlight w:val="none"/>
        </w:rPr>
      </w:pPr>
      <w:r>
        <w:rPr>
          <w:rFonts w:hint="eastAsia" w:ascii="宋体" w:hAnsi="宋体" w:eastAsia="宋体" w:cs="Arial"/>
          <w:bCs w:val="0"/>
          <w:color w:val="auto"/>
          <w:kern w:val="0"/>
          <w:sz w:val="24"/>
          <w:szCs w:val="24"/>
          <w:highlight w:val="none"/>
        </w:rPr>
        <w:t xml:space="preserve">乙方： </w:t>
      </w:r>
    </w:p>
    <w:p>
      <w:pPr>
        <w:spacing w:line="560" w:lineRule="exact"/>
        <w:rPr>
          <w:rFonts w:hint="eastAsia" w:ascii="宋体" w:hAnsi="宋体" w:eastAsia="宋体" w:cs="Arial"/>
          <w:bCs w:val="0"/>
          <w:color w:val="auto"/>
          <w:kern w:val="0"/>
          <w:sz w:val="24"/>
          <w:szCs w:val="24"/>
          <w:highlight w:val="none"/>
        </w:rPr>
      </w:pPr>
    </w:p>
    <w:p>
      <w:pPr>
        <w:spacing w:line="560" w:lineRule="exact"/>
        <w:rPr>
          <w:rFonts w:hint="eastAsia" w:ascii="宋体" w:hAnsi="宋体" w:eastAsia="宋体" w:cs="Arial"/>
          <w:bCs w:val="0"/>
          <w:color w:val="auto"/>
          <w:kern w:val="0"/>
          <w:sz w:val="24"/>
          <w:szCs w:val="24"/>
          <w:highlight w:val="none"/>
        </w:rPr>
      </w:pPr>
      <w:r>
        <w:rPr>
          <w:rFonts w:hint="eastAsia" w:ascii="宋体" w:hAnsi="宋体" w:eastAsia="宋体" w:cs="Arial"/>
          <w:bCs w:val="0"/>
          <w:color w:val="auto"/>
          <w:kern w:val="0"/>
          <w:sz w:val="24"/>
          <w:szCs w:val="24"/>
          <w:highlight w:val="none"/>
        </w:rPr>
        <w:t>根据《中华人民共和国安全生产法》、</w:t>
      </w:r>
      <w:r>
        <w:rPr>
          <w:rFonts w:hint="eastAsia" w:ascii="宋体" w:hAnsi="宋体" w:eastAsia="宋体" w:cs="Arial"/>
          <w:bCs w:val="0"/>
          <w:color w:val="auto"/>
          <w:kern w:val="0"/>
          <w:sz w:val="24"/>
          <w:szCs w:val="24"/>
          <w:highlight w:val="none"/>
          <w:lang w:eastAsia="zh-CN"/>
        </w:rPr>
        <w:t>《中华人民共和国消防法》、</w:t>
      </w:r>
      <w:r>
        <w:rPr>
          <w:rFonts w:hint="eastAsia" w:ascii="宋体" w:hAnsi="宋体" w:eastAsia="宋体" w:cs="Arial"/>
          <w:bCs w:val="0"/>
          <w:color w:val="auto"/>
          <w:kern w:val="0"/>
          <w:sz w:val="24"/>
          <w:szCs w:val="24"/>
          <w:highlight w:val="none"/>
        </w:rPr>
        <w:t>《生产安全事故报告和调查处理条例》</w:t>
      </w:r>
      <w:r>
        <w:rPr>
          <w:rFonts w:hint="eastAsia" w:ascii="宋体" w:hAnsi="宋体" w:eastAsia="宋体" w:cs="Arial"/>
          <w:bCs w:val="0"/>
          <w:color w:val="auto"/>
          <w:kern w:val="0"/>
          <w:sz w:val="24"/>
          <w:szCs w:val="24"/>
          <w:highlight w:val="none"/>
          <w:lang w:eastAsia="zh-CN"/>
        </w:rPr>
        <w:t>、《建设工程安全生产管理条例》</w:t>
      </w:r>
      <w:r>
        <w:rPr>
          <w:rFonts w:hint="eastAsia" w:ascii="宋体" w:hAnsi="宋体" w:eastAsia="宋体" w:cs="Arial"/>
          <w:bCs w:val="0"/>
          <w:color w:val="auto"/>
          <w:kern w:val="0"/>
          <w:sz w:val="24"/>
          <w:szCs w:val="24"/>
          <w:highlight w:val="none"/>
        </w:rPr>
        <w:t>等国家及地方有关安全生产</w:t>
      </w:r>
      <w:r>
        <w:rPr>
          <w:rFonts w:hint="eastAsia" w:ascii="宋体" w:hAnsi="宋体" w:eastAsia="宋体" w:cs="Arial"/>
          <w:bCs w:val="0"/>
          <w:color w:val="auto"/>
          <w:kern w:val="0"/>
          <w:sz w:val="24"/>
          <w:szCs w:val="24"/>
          <w:highlight w:val="none"/>
          <w:lang w:eastAsia="zh-CN"/>
        </w:rPr>
        <w:t>、</w:t>
      </w:r>
      <w:r>
        <w:rPr>
          <w:rFonts w:hint="eastAsia" w:ascii="宋体" w:hAnsi="宋体" w:eastAsia="宋体" w:cs="Arial"/>
          <w:bCs w:val="0"/>
          <w:color w:val="auto"/>
          <w:kern w:val="0"/>
          <w:sz w:val="24"/>
          <w:szCs w:val="24"/>
          <w:highlight w:val="none"/>
          <w:lang w:val="en-US" w:eastAsia="zh-CN"/>
        </w:rPr>
        <w:t>消防安全</w:t>
      </w:r>
      <w:r>
        <w:rPr>
          <w:rFonts w:hint="eastAsia" w:ascii="宋体" w:hAnsi="宋体" w:eastAsia="宋体" w:cs="Arial"/>
          <w:bCs w:val="0"/>
          <w:color w:val="auto"/>
          <w:kern w:val="0"/>
          <w:sz w:val="24"/>
          <w:szCs w:val="24"/>
          <w:highlight w:val="none"/>
        </w:rPr>
        <w:t>法律法规，甲乙双方就安全</w:t>
      </w:r>
      <w:r>
        <w:rPr>
          <w:rFonts w:hint="eastAsia" w:ascii="宋体" w:hAnsi="宋体" w:eastAsia="宋体" w:cs="Arial"/>
          <w:bCs w:val="0"/>
          <w:color w:val="auto"/>
          <w:kern w:val="0"/>
          <w:sz w:val="24"/>
          <w:szCs w:val="24"/>
          <w:highlight w:val="none"/>
          <w:lang w:val="en-US" w:eastAsia="zh-CN"/>
        </w:rPr>
        <w:t>及消防安全</w:t>
      </w:r>
      <w:r>
        <w:rPr>
          <w:rFonts w:hint="eastAsia" w:ascii="宋体" w:hAnsi="宋体" w:eastAsia="宋体" w:cs="Arial"/>
          <w:bCs w:val="0"/>
          <w:color w:val="auto"/>
          <w:kern w:val="0"/>
          <w:sz w:val="24"/>
          <w:szCs w:val="24"/>
          <w:highlight w:val="none"/>
        </w:rPr>
        <w:t>事宜，经双方友好协商，达成如下协议。</w:t>
      </w:r>
    </w:p>
    <w:p>
      <w:pPr>
        <w:adjustRightInd w:val="0"/>
        <w:snapToGrid w:val="0"/>
        <w:spacing w:line="560" w:lineRule="exact"/>
        <w:ind w:firstLine="482" w:firstLineChars="200"/>
        <w:jc w:val="left"/>
        <w:rPr>
          <w:rFonts w:hint="eastAsia" w:cs="Times New Roman" w:asciiTheme="minorEastAsia" w:hAnsiTheme="minorEastAsia"/>
          <w:b/>
          <w:bCs w:val="0"/>
          <w:color w:val="auto"/>
          <w:sz w:val="24"/>
          <w:szCs w:val="24"/>
          <w:highlight w:val="none"/>
          <w:lang w:val="en-US" w:eastAsia="zh-CN"/>
        </w:rPr>
      </w:pPr>
      <w:r>
        <w:rPr>
          <w:rFonts w:hint="eastAsia" w:cs="Times New Roman" w:asciiTheme="minorEastAsia" w:hAnsiTheme="minorEastAsia"/>
          <w:b/>
          <w:bCs w:val="0"/>
          <w:color w:val="auto"/>
          <w:sz w:val="24"/>
          <w:szCs w:val="24"/>
          <w:highlight w:val="none"/>
          <w:lang w:val="en-US" w:eastAsia="zh-CN"/>
        </w:rPr>
        <w:t>一、总则</w:t>
      </w:r>
    </w:p>
    <w:p>
      <w:pPr>
        <w:spacing w:line="560" w:lineRule="exact"/>
        <w:rPr>
          <w:rFonts w:hint="eastAsia" w:ascii="宋体" w:hAnsi="宋体" w:eastAsia="宋体" w:cs="Arial"/>
          <w:bCs w:val="0"/>
          <w:color w:val="auto"/>
          <w:kern w:val="0"/>
          <w:sz w:val="24"/>
          <w:szCs w:val="24"/>
          <w:highlight w:val="none"/>
        </w:rPr>
      </w:pPr>
      <w:r>
        <w:rPr>
          <w:rFonts w:hint="eastAsia" w:ascii="仿宋_GB2312" w:hAnsi="仿宋_GB2312" w:eastAsia="仿宋_GB2312" w:cs="仿宋_GB2312"/>
          <w:kern w:val="0"/>
          <w:sz w:val="24"/>
          <w:szCs w:val="24"/>
          <w:lang w:eastAsia="zh-CN"/>
        </w:rPr>
        <w:t>（</w:t>
      </w:r>
      <w:r>
        <w:rPr>
          <w:rFonts w:hint="eastAsia" w:ascii="宋体" w:hAnsi="宋体" w:eastAsia="宋体" w:cs="Arial"/>
          <w:bCs w:val="0"/>
          <w:color w:val="auto"/>
          <w:kern w:val="0"/>
          <w:sz w:val="24"/>
          <w:szCs w:val="24"/>
          <w:highlight w:val="none"/>
          <w:lang w:val="en-US" w:eastAsia="zh-CN"/>
        </w:rPr>
        <w:t>一</w:t>
      </w:r>
      <w:r>
        <w:rPr>
          <w:rFonts w:hint="eastAsia" w:ascii="宋体" w:hAnsi="宋体" w:eastAsia="宋体" w:cs="Arial"/>
          <w:bCs w:val="0"/>
          <w:color w:val="auto"/>
          <w:kern w:val="0"/>
          <w:sz w:val="24"/>
          <w:szCs w:val="24"/>
          <w:highlight w:val="none"/>
          <w:lang w:eastAsia="zh-CN"/>
        </w:rPr>
        <w:t>）</w:t>
      </w:r>
      <w:r>
        <w:rPr>
          <w:rFonts w:hint="eastAsia" w:ascii="宋体" w:hAnsi="宋体" w:eastAsia="宋体" w:cs="Arial"/>
          <w:bCs w:val="0"/>
          <w:color w:val="auto"/>
          <w:kern w:val="0"/>
          <w:sz w:val="24"/>
          <w:szCs w:val="24"/>
          <w:highlight w:val="none"/>
          <w:u w:val="none"/>
          <w:lang w:val="en-US" w:eastAsia="zh-CN"/>
        </w:rPr>
        <w:t>本协议是合同</w:t>
      </w:r>
      <w:r>
        <w:rPr>
          <w:rFonts w:hint="eastAsia" w:ascii="宋体" w:hAnsi="宋体" w:eastAsia="宋体" w:cs="Arial"/>
          <w:bCs w:val="0"/>
          <w:color w:val="auto"/>
          <w:kern w:val="0"/>
          <w:sz w:val="24"/>
          <w:szCs w:val="24"/>
          <w:highlight w:val="none"/>
          <w:u w:val="single"/>
        </w:rPr>
        <w:t xml:space="preserve">                      （穗净水合〔     〕    号） 的</w:t>
      </w:r>
      <w:r>
        <w:rPr>
          <w:rFonts w:hint="eastAsia" w:ascii="宋体" w:hAnsi="宋体" w:eastAsia="宋体" w:cs="Arial"/>
          <w:bCs w:val="0"/>
          <w:color w:val="auto"/>
          <w:kern w:val="0"/>
          <w:sz w:val="24"/>
          <w:szCs w:val="24"/>
          <w:highlight w:val="none"/>
        </w:rPr>
        <w:t>组成部分。</w:t>
      </w:r>
    </w:p>
    <w:p>
      <w:pPr>
        <w:spacing w:line="560" w:lineRule="exact"/>
        <w:rPr>
          <w:rFonts w:hint="eastAsia" w:ascii="宋体" w:hAnsi="宋体" w:eastAsia="宋体" w:cs="Arial"/>
          <w:bCs w:val="0"/>
          <w:color w:val="auto"/>
          <w:kern w:val="0"/>
          <w:sz w:val="24"/>
          <w:szCs w:val="24"/>
          <w:highlight w:val="none"/>
        </w:rPr>
      </w:pPr>
      <w:r>
        <w:rPr>
          <w:rFonts w:hint="eastAsia" w:ascii="宋体" w:hAnsi="宋体" w:eastAsia="宋体" w:cs="Arial"/>
          <w:bCs w:val="0"/>
          <w:color w:val="auto"/>
          <w:kern w:val="0"/>
          <w:sz w:val="24"/>
          <w:szCs w:val="24"/>
          <w:highlight w:val="none"/>
          <w:lang w:eastAsia="zh-CN"/>
        </w:rPr>
        <w:t>（</w:t>
      </w:r>
      <w:r>
        <w:rPr>
          <w:rFonts w:hint="eastAsia" w:ascii="宋体" w:hAnsi="宋体" w:eastAsia="宋体" w:cs="Arial"/>
          <w:bCs w:val="0"/>
          <w:color w:val="auto"/>
          <w:kern w:val="0"/>
          <w:sz w:val="24"/>
          <w:szCs w:val="24"/>
          <w:highlight w:val="none"/>
          <w:lang w:val="en-US" w:eastAsia="zh-CN"/>
        </w:rPr>
        <w:t>二</w:t>
      </w:r>
      <w:r>
        <w:rPr>
          <w:rFonts w:hint="eastAsia" w:ascii="宋体" w:hAnsi="宋体" w:eastAsia="宋体" w:cs="Arial"/>
          <w:bCs w:val="0"/>
          <w:color w:val="auto"/>
          <w:kern w:val="0"/>
          <w:sz w:val="24"/>
          <w:szCs w:val="24"/>
          <w:highlight w:val="none"/>
          <w:lang w:eastAsia="zh-CN"/>
        </w:rPr>
        <w:t>）</w:t>
      </w:r>
      <w:r>
        <w:rPr>
          <w:rFonts w:hint="eastAsia" w:ascii="宋体" w:hAnsi="宋体" w:eastAsia="宋体" w:cs="Arial"/>
          <w:bCs w:val="0"/>
          <w:color w:val="auto"/>
          <w:kern w:val="0"/>
          <w:sz w:val="24"/>
          <w:szCs w:val="24"/>
          <w:highlight w:val="none"/>
        </w:rPr>
        <w:t>甲</w:t>
      </w:r>
      <w:r>
        <w:rPr>
          <w:rFonts w:hint="eastAsia" w:ascii="宋体" w:hAnsi="宋体" w:eastAsia="宋体" w:cs="Arial"/>
          <w:bCs w:val="0"/>
          <w:color w:val="auto"/>
          <w:kern w:val="0"/>
          <w:sz w:val="24"/>
          <w:szCs w:val="24"/>
          <w:highlight w:val="none"/>
          <w:lang w:eastAsia="zh-CN"/>
        </w:rPr>
        <w:t>、</w:t>
      </w:r>
      <w:r>
        <w:rPr>
          <w:rFonts w:hint="eastAsia" w:ascii="宋体" w:hAnsi="宋体" w:eastAsia="宋体" w:cs="Arial"/>
          <w:bCs w:val="0"/>
          <w:color w:val="auto"/>
          <w:kern w:val="0"/>
          <w:sz w:val="24"/>
          <w:szCs w:val="24"/>
          <w:highlight w:val="none"/>
        </w:rPr>
        <w:t>乙双方应遵守国家、省、市有关安全生产</w:t>
      </w:r>
      <w:r>
        <w:rPr>
          <w:rFonts w:hint="eastAsia" w:ascii="宋体" w:hAnsi="宋体" w:eastAsia="宋体" w:cs="Arial"/>
          <w:bCs w:val="0"/>
          <w:color w:val="auto"/>
          <w:kern w:val="0"/>
          <w:sz w:val="24"/>
          <w:szCs w:val="24"/>
          <w:highlight w:val="none"/>
          <w:lang w:eastAsia="zh-CN"/>
        </w:rPr>
        <w:t>、</w:t>
      </w:r>
      <w:r>
        <w:rPr>
          <w:rFonts w:hint="eastAsia" w:ascii="宋体" w:hAnsi="宋体" w:eastAsia="宋体" w:cs="Arial"/>
          <w:bCs w:val="0"/>
          <w:color w:val="auto"/>
          <w:kern w:val="0"/>
          <w:sz w:val="24"/>
          <w:szCs w:val="24"/>
          <w:highlight w:val="none"/>
        </w:rPr>
        <w:t>消防安全的法律、法规、规章，履行</w:t>
      </w:r>
      <w:r>
        <w:rPr>
          <w:rFonts w:hint="eastAsia" w:ascii="宋体" w:hAnsi="宋体" w:eastAsia="宋体" w:cs="Arial"/>
          <w:bCs w:val="0"/>
          <w:color w:val="auto"/>
          <w:kern w:val="0"/>
          <w:sz w:val="24"/>
          <w:szCs w:val="24"/>
          <w:highlight w:val="none"/>
          <w:lang w:val="en-US" w:eastAsia="zh-CN"/>
        </w:rPr>
        <w:t>安全生产、</w:t>
      </w:r>
      <w:r>
        <w:rPr>
          <w:rFonts w:hint="eastAsia" w:ascii="宋体" w:hAnsi="宋体" w:eastAsia="宋体" w:cs="Arial"/>
          <w:bCs w:val="0"/>
          <w:color w:val="auto"/>
          <w:kern w:val="0"/>
          <w:sz w:val="24"/>
          <w:szCs w:val="24"/>
          <w:highlight w:val="none"/>
        </w:rPr>
        <w:t>消防安全职责，保障人员生命、财产安全。</w:t>
      </w:r>
    </w:p>
    <w:p>
      <w:pPr>
        <w:spacing w:line="560" w:lineRule="exact"/>
        <w:rPr>
          <w:rFonts w:hint="eastAsia" w:ascii="宋体" w:hAnsi="宋体" w:eastAsia="宋体" w:cs="Arial"/>
          <w:bCs w:val="0"/>
          <w:color w:val="auto"/>
          <w:kern w:val="0"/>
          <w:sz w:val="24"/>
          <w:szCs w:val="24"/>
          <w:highlight w:val="none"/>
        </w:rPr>
      </w:pPr>
      <w:r>
        <w:rPr>
          <w:rFonts w:hint="eastAsia" w:ascii="宋体" w:hAnsi="宋体" w:eastAsia="宋体" w:cs="Arial"/>
          <w:bCs w:val="0"/>
          <w:color w:val="auto"/>
          <w:kern w:val="0"/>
          <w:sz w:val="24"/>
          <w:szCs w:val="24"/>
          <w:highlight w:val="none"/>
          <w:lang w:eastAsia="zh-CN"/>
        </w:rPr>
        <w:t>（</w:t>
      </w:r>
      <w:r>
        <w:rPr>
          <w:rFonts w:hint="eastAsia" w:ascii="宋体" w:hAnsi="宋体" w:eastAsia="宋体" w:cs="Arial"/>
          <w:bCs w:val="0"/>
          <w:color w:val="auto"/>
          <w:kern w:val="0"/>
          <w:sz w:val="24"/>
          <w:szCs w:val="24"/>
          <w:highlight w:val="none"/>
          <w:lang w:val="en-US" w:eastAsia="zh-CN"/>
        </w:rPr>
        <w:t>三</w:t>
      </w:r>
      <w:r>
        <w:rPr>
          <w:rFonts w:hint="eastAsia" w:ascii="宋体" w:hAnsi="宋体" w:eastAsia="宋体" w:cs="Arial"/>
          <w:bCs w:val="0"/>
          <w:color w:val="auto"/>
          <w:kern w:val="0"/>
          <w:sz w:val="24"/>
          <w:szCs w:val="24"/>
          <w:highlight w:val="none"/>
          <w:lang w:eastAsia="zh-CN"/>
        </w:rPr>
        <w:t>）</w:t>
      </w:r>
      <w:r>
        <w:rPr>
          <w:rFonts w:hint="eastAsia" w:ascii="宋体" w:hAnsi="宋体" w:eastAsia="宋体" w:cs="Arial"/>
          <w:bCs w:val="0"/>
          <w:color w:val="auto"/>
          <w:kern w:val="0"/>
          <w:sz w:val="24"/>
          <w:szCs w:val="24"/>
          <w:highlight w:val="none"/>
        </w:rPr>
        <w:t>甲</w:t>
      </w:r>
      <w:r>
        <w:rPr>
          <w:rFonts w:hint="eastAsia" w:ascii="宋体" w:hAnsi="宋体" w:eastAsia="宋体" w:cs="Arial"/>
          <w:bCs w:val="0"/>
          <w:color w:val="auto"/>
          <w:kern w:val="0"/>
          <w:sz w:val="24"/>
          <w:szCs w:val="24"/>
          <w:highlight w:val="none"/>
          <w:lang w:eastAsia="zh-CN"/>
        </w:rPr>
        <w:t>、</w:t>
      </w:r>
      <w:r>
        <w:rPr>
          <w:rFonts w:hint="eastAsia" w:ascii="宋体" w:hAnsi="宋体" w:eastAsia="宋体" w:cs="Arial"/>
          <w:bCs w:val="0"/>
          <w:color w:val="auto"/>
          <w:kern w:val="0"/>
          <w:sz w:val="24"/>
          <w:szCs w:val="24"/>
          <w:highlight w:val="none"/>
        </w:rPr>
        <w:t>乙双方应当逐级落实</w:t>
      </w:r>
      <w:r>
        <w:rPr>
          <w:rFonts w:hint="eastAsia" w:ascii="宋体" w:hAnsi="宋体" w:eastAsia="宋体" w:cs="Arial"/>
          <w:bCs w:val="0"/>
          <w:color w:val="auto"/>
          <w:kern w:val="0"/>
          <w:sz w:val="24"/>
          <w:szCs w:val="24"/>
          <w:highlight w:val="none"/>
          <w:lang w:val="en-US" w:eastAsia="zh-CN"/>
        </w:rPr>
        <w:t>安全生产、</w:t>
      </w:r>
      <w:r>
        <w:rPr>
          <w:rFonts w:hint="eastAsia" w:ascii="宋体" w:hAnsi="宋体" w:eastAsia="宋体" w:cs="Arial"/>
          <w:bCs w:val="0"/>
          <w:color w:val="auto"/>
          <w:kern w:val="0"/>
          <w:sz w:val="24"/>
          <w:szCs w:val="24"/>
          <w:highlight w:val="none"/>
        </w:rPr>
        <w:t>消防安全责任制，明确逐级岗位人员的安全</w:t>
      </w:r>
      <w:r>
        <w:rPr>
          <w:rFonts w:hint="eastAsia" w:ascii="宋体" w:hAnsi="宋体" w:eastAsia="宋体" w:cs="Arial"/>
          <w:bCs w:val="0"/>
          <w:color w:val="auto"/>
          <w:kern w:val="0"/>
          <w:sz w:val="24"/>
          <w:szCs w:val="24"/>
          <w:highlight w:val="none"/>
          <w:lang w:val="en-US" w:eastAsia="zh-CN"/>
        </w:rPr>
        <w:t>生产、消防安全</w:t>
      </w:r>
      <w:r>
        <w:rPr>
          <w:rFonts w:hint="eastAsia" w:ascii="宋体" w:hAnsi="宋体" w:eastAsia="宋体" w:cs="Arial"/>
          <w:bCs w:val="0"/>
          <w:color w:val="auto"/>
          <w:kern w:val="0"/>
          <w:sz w:val="24"/>
          <w:szCs w:val="24"/>
          <w:highlight w:val="none"/>
        </w:rPr>
        <w:t>职责。</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eastAsia="zh-CN"/>
        </w:rPr>
        <w:t>（</w:t>
      </w:r>
      <w:r>
        <w:rPr>
          <w:rFonts w:hint="eastAsia" w:ascii="宋体" w:hAnsi="宋体" w:eastAsia="宋体" w:cs="Arial"/>
          <w:bCs w:val="0"/>
          <w:color w:val="auto"/>
          <w:kern w:val="0"/>
          <w:sz w:val="24"/>
          <w:szCs w:val="24"/>
          <w:highlight w:val="none"/>
          <w:lang w:val="en-US" w:eastAsia="zh-CN"/>
        </w:rPr>
        <w:t>四</w:t>
      </w:r>
      <w:r>
        <w:rPr>
          <w:rFonts w:hint="eastAsia" w:ascii="宋体" w:hAnsi="宋体" w:eastAsia="宋体" w:cs="Arial"/>
          <w:bCs w:val="0"/>
          <w:color w:val="auto"/>
          <w:kern w:val="0"/>
          <w:sz w:val="24"/>
          <w:szCs w:val="24"/>
          <w:highlight w:val="none"/>
          <w:lang w:eastAsia="zh-CN"/>
        </w:rPr>
        <w:t>）</w:t>
      </w:r>
      <w:r>
        <w:rPr>
          <w:rFonts w:hint="eastAsia" w:ascii="宋体" w:hAnsi="宋体" w:eastAsia="宋体" w:cs="Arial"/>
          <w:bCs w:val="0"/>
          <w:color w:val="auto"/>
          <w:kern w:val="0"/>
          <w:sz w:val="24"/>
          <w:szCs w:val="24"/>
          <w:highlight w:val="none"/>
          <w:lang w:val="en-US" w:eastAsia="zh-CN"/>
        </w:rPr>
        <w:t>本协议是对在满足法律法规规定的双方安全及消防安全责任的基础上的补充事项。</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（五）当同一个场所、池体内，甲方安排两个或以上的承包单位同时施工的，由甲方组织各承包单位签订《营运场所交叉作业安全及消防安全协议书》。</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eastAsia="zh-CN"/>
        </w:rPr>
        <w:t>（</w:t>
      </w:r>
      <w:r>
        <w:rPr>
          <w:rFonts w:hint="eastAsia" w:ascii="宋体" w:hAnsi="宋体" w:eastAsia="宋体" w:cs="Arial"/>
          <w:bCs w:val="0"/>
          <w:color w:val="auto"/>
          <w:kern w:val="0"/>
          <w:sz w:val="24"/>
          <w:szCs w:val="24"/>
          <w:highlight w:val="none"/>
          <w:lang w:val="en-US" w:eastAsia="zh-CN"/>
        </w:rPr>
        <w:t>六</w:t>
      </w:r>
      <w:r>
        <w:rPr>
          <w:rFonts w:hint="eastAsia" w:ascii="宋体" w:hAnsi="宋体" w:eastAsia="宋体" w:cs="Arial"/>
          <w:bCs w:val="0"/>
          <w:color w:val="auto"/>
          <w:kern w:val="0"/>
          <w:sz w:val="24"/>
          <w:szCs w:val="24"/>
          <w:highlight w:val="none"/>
          <w:lang w:eastAsia="zh-CN"/>
        </w:rPr>
        <w:t>）</w:t>
      </w:r>
      <w:r>
        <w:rPr>
          <w:rFonts w:hint="eastAsia" w:ascii="宋体" w:hAnsi="宋体" w:eastAsia="宋体" w:cs="Arial"/>
          <w:bCs w:val="0"/>
          <w:color w:val="auto"/>
          <w:kern w:val="0"/>
          <w:sz w:val="24"/>
          <w:szCs w:val="24"/>
          <w:highlight w:val="none"/>
          <w:lang w:val="en-US" w:eastAsia="zh-CN"/>
        </w:rPr>
        <w:t>乙方的单位及人员资质（单项选择并填写）</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sym w:font="Wingdings 2" w:char="00A3"/>
      </w:r>
      <w:r>
        <w:rPr>
          <w:rFonts w:hint="eastAsia" w:ascii="宋体" w:hAnsi="宋体" w:eastAsia="宋体" w:cs="Arial"/>
          <w:bCs w:val="0"/>
          <w:color w:val="auto"/>
          <w:kern w:val="0"/>
          <w:sz w:val="24"/>
          <w:szCs w:val="24"/>
          <w:highlight w:val="none"/>
          <w:lang w:val="en-US" w:eastAsia="zh-CN"/>
        </w:rPr>
        <w:t>1.详见合同第</w:t>
      </w:r>
      <w:r>
        <w:rPr>
          <w:rFonts w:hint="eastAsia" w:ascii="宋体" w:hAnsi="宋体" w:eastAsia="宋体" w:cs="Arial"/>
          <w:bCs w:val="0"/>
          <w:color w:val="auto"/>
          <w:kern w:val="0"/>
          <w:sz w:val="24"/>
          <w:szCs w:val="24"/>
          <w:highlight w:val="none"/>
          <w:u w:val="single"/>
        </w:rPr>
        <w:t xml:space="preserve">  </w:t>
      </w:r>
      <w:r>
        <w:rPr>
          <w:rFonts w:hint="eastAsia" w:ascii="宋体" w:hAnsi="宋体" w:eastAsia="宋体" w:cs="Arial"/>
          <w:bCs w:val="0"/>
          <w:color w:val="auto"/>
          <w:kern w:val="0"/>
          <w:sz w:val="24"/>
          <w:szCs w:val="24"/>
          <w:highlight w:val="none"/>
          <w:u w:val="single"/>
          <w:lang w:val="en-US" w:eastAsia="zh-CN"/>
        </w:rPr>
        <w:t xml:space="preserve">       </w:t>
      </w:r>
      <w:r>
        <w:rPr>
          <w:rFonts w:hint="eastAsia" w:ascii="宋体" w:hAnsi="宋体" w:eastAsia="宋体" w:cs="Arial"/>
          <w:bCs w:val="0"/>
          <w:color w:val="auto"/>
          <w:kern w:val="0"/>
          <w:sz w:val="24"/>
          <w:szCs w:val="24"/>
          <w:highlight w:val="none"/>
          <w:u w:val="single"/>
        </w:rPr>
        <w:t xml:space="preserve">  </w:t>
      </w:r>
      <w:r>
        <w:rPr>
          <w:rFonts w:hint="eastAsia" w:ascii="宋体" w:hAnsi="宋体" w:eastAsia="宋体" w:cs="Arial"/>
          <w:bCs w:val="0"/>
          <w:color w:val="auto"/>
          <w:kern w:val="0"/>
          <w:sz w:val="24"/>
          <w:szCs w:val="24"/>
          <w:highlight w:val="none"/>
          <w:lang w:val="en-US" w:eastAsia="zh-CN"/>
        </w:rPr>
        <w:t>条。</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sym w:font="Wingdings 2" w:char="00A3"/>
      </w:r>
      <w:r>
        <w:rPr>
          <w:rFonts w:hint="eastAsia" w:ascii="宋体" w:hAnsi="宋体" w:eastAsia="宋体" w:cs="Arial"/>
          <w:bCs w:val="0"/>
          <w:color w:val="auto"/>
          <w:kern w:val="0"/>
          <w:sz w:val="24"/>
          <w:szCs w:val="24"/>
          <w:highlight w:val="none"/>
          <w:lang w:val="en-US" w:eastAsia="zh-CN"/>
        </w:rPr>
        <w:t>2.详见文件《</w:t>
      </w:r>
      <w:r>
        <w:rPr>
          <w:rFonts w:hint="eastAsia" w:ascii="宋体" w:hAnsi="宋体" w:eastAsia="宋体" w:cs="Arial"/>
          <w:bCs w:val="0"/>
          <w:color w:val="auto"/>
          <w:kern w:val="0"/>
          <w:sz w:val="24"/>
          <w:szCs w:val="24"/>
          <w:highlight w:val="none"/>
          <w:u w:val="single"/>
          <w:lang w:val="en-US" w:eastAsia="zh-CN"/>
        </w:rPr>
        <w:t xml:space="preserve">           </w:t>
      </w:r>
      <w:r>
        <w:rPr>
          <w:rFonts w:hint="eastAsia" w:ascii="宋体" w:hAnsi="宋体" w:eastAsia="宋体" w:cs="Arial"/>
          <w:bCs w:val="0"/>
          <w:color w:val="auto"/>
          <w:kern w:val="0"/>
          <w:sz w:val="24"/>
          <w:szCs w:val="24"/>
          <w:highlight w:val="none"/>
          <w:lang w:val="en-US" w:eastAsia="zh-CN"/>
        </w:rPr>
        <w:t>》。</w:t>
      </w:r>
    </w:p>
    <w:p>
      <w:pPr>
        <w:adjustRightInd w:val="0"/>
        <w:snapToGrid w:val="0"/>
        <w:spacing w:line="560" w:lineRule="exact"/>
        <w:ind w:firstLine="482" w:firstLineChars="200"/>
        <w:jc w:val="left"/>
        <w:rPr>
          <w:rFonts w:hint="eastAsia" w:cs="Times New Roman" w:asciiTheme="minorEastAsia" w:hAnsiTheme="minorEastAsia"/>
          <w:b/>
          <w:bCs w:val="0"/>
          <w:color w:val="auto"/>
          <w:sz w:val="24"/>
          <w:szCs w:val="24"/>
          <w:highlight w:val="none"/>
          <w:lang w:val="en-US" w:eastAsia="zh-CN"/>
        </w:rPr>
      </w:pPr>
      <w:r>
        <w:rPr>
          <w:rFonts w:hint="eastAsia" w:cs="Times New Roman" w:asciiTheme="minorEastAsia" w:hAnsiTheme="minorEastAsia"/>
          <w:b/>
          <w:bCs w:val="0"/>
          <w:color w:val="auto"/>
          <w:sz w:val="24"/>
          <w:szCs w:val="24"/>
          <w:highlight w:val="none"/>
          <w:lang w:val="en-US" w:eastAsia="zh-CN"/>
        </w:rPr>
        <w:t>二、甲方的安全及消防安全责任</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（一）交底告知</w:t>
      </w:r>
    </w:p>
    <w:p>
      <w:pPr>
        <w:spacing w:line="560" w:lineRule="exact"/>
        <w:rPr>
          <w:rFonts w:hint="default"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允许进出及行走的路线、禁止触动甲方设备设施等；项目备案的要求。</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2.乙方进场作业前，应对乙方进行交底，再次向乙方强调的上述内容，以及施工期间的其他特殊注意事项，如生产方面的调度协调配合等。</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3.当乙方提出相关规范或乙方内部管理制度，比甲方规定的安全生产及消防安全管理要求更严格的，应当接纳乙方的建议。</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（二）落实配合措施</w:t>
      </w:r>
    </w:p>
    <w:p>
      <w:pPr>
        <w:spacing w:line="560" w:lineRule="exact"/>
        <w:rPr>
          <w:rFonts w:hint="default"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1.落实生产营运等相关配合措施，提供必要的施工条件。</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（三）安全及消防安全隐患检查与督促整改</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1.在项目施工期，应每天不少于一次对乙方安全措施、消防安全措施投入、现场安全施工情况等进行安全、消防安全监督检查，并提出整改。</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（四）重大安全风险、生产安全重大事故隐患（重大火灾隐患）等情况报告及举报</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1.对乙方上报的重大安全风险、生产安全重大事故隐患（重大火灾隐患），应当如实向水投集团报告。</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2.如发现乙方瞒报重大安全风险、生产安全重大事故隐患（重大火灾隐患），甲方除向水投集团报告外，有权向属地安全应急管理部门、属地行业主管部门举报。</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3.甲方发现乙方在项目范围内（含工地范围内的住宿、办公等区域）开展违法、犯罪活动，向公安部门举报。</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（五）事故报告及举报</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1.对乙方上报的安全事故及消防安全事故，应当按水投集团有关程序，如实向集团报告。</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2.如发现乙方瞒报安全事故及消防安全事故，甲方除向水投集团报告外，有权向属地安全应急管理部门、属地行业主管部门举报。</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（六）补充条款               。</w:t>
      </w:r>
    </w:p>
    <w:p>
      <w:pPr>
        <w:adjustRightInd w:val="0"/>
        <w:snapToGrid w:val="0"/>
        <w:spacing w:line="560" w:lineRule="exact"/>
        <w:ind w:firstLine="482" w:firstLineChars="200"/>
        <w:jc w:val="left"/>
        <w:rPr>
          <w:rFonts w:hint="eastAsia" w:cs="Times New Roman" w:asciiTheme="minorEastAsia" w:hAnsiTheme="minorEastAsia"/>
          <w:b/>
          <w:bCs w:val="0"/>
          <w:color w:val="auto"/>
          <w:sz w:val="24"/>
          <w:szCs w:val="24"/>
          <w:highlight w:val="none"/>
          <w:lang w:val="en-US" w:eastAsia="zh-CN"/>
        </w:rPr>
      </w:pPr>
      <w:r>
        <w:rPr>
          <w:rFonts w:hint="eastAsia" w:cs="Times New Roman" w:asciiTheme="minorEastAsia" w:hAnsiTheme="minorEastAsia"/>
          <w:b/>
          <w:bCs w:val="0"/>
          <w:color w:val="auto"/>
          <w:sz w:val="24"/>
          <w:szCs w:val="24"/>
          <w:highlight w:val="none"/>
          <w:lang w:val="en-US" w:eastAsia="zh-CN"/>
        </w:rPr>
        <w:t>三、乙方的安全及消防安全责任</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（一）接受交底告知并复核确认安全风险，落实管控措施</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1.乙方接受甲方交底。</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2.编制的方案应响应甲方告知，明确相应的措施。</w:t>
      </w:r>
    </w:p>
    <w:p>
      <w:pPr>
        <w:spacing w:line="560" w:lineRule="exact"/>
        <w:rPr>
          <w:rFonts w:hint="default"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3.根据甲方项目备案的要求，提交项目备案材料</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4.当甲方规定的安全生产及消防安全管理要求，比相关规范或乙方内部管理制度严格的，按甲方的执行。</w:t>
      </w:r>
    </w:p>
    <w:p>
      <w:pPr>
        <w:spacing w:line="560" w:lineRule="exact"/>
        <w:rPr>
          <w:rFonts w:hint="default"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5.当相关规范或乙方内部管理制度，比甲方规定的安全生产及消防安全管理要求严格的，应明确告知甲方确认，并按相关规范或乙方内部管理制度执行。</w:t>
      </w:r>
    </w:p>
    <w:p>
      <w:pPr>
        <w:spacing w:line="560" w:lineRule="exact"/>
        <w:rPr>
          <w:rFonts w:hint="default"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（二）告知甲方需要配合的事项</w:t>
      </w:r>
    </w:p>
    <w:p>
      <w:pPr>
        <w:spacing w:line="560" w:lineRule="exact"/>
        <w:rPr>
          <w:rFonts w:hint="default"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1.向甲方告知在施工作业期间，需要甲方配合落实的措施</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（三）落实安全及消防安全隐患排查与整改，并接受检查</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1.乙方应做好的每日安全生产、消防安全巡查及开展人员安全生产、消防安全教育，确保场所、场地、区域、施工、仓储、住宿、办公等，符合国家、行业安全生产、消防安全相关要求，无对甲方、乙方以及周边第三方生产安全、消防安全、人身安全等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2.接受甲方“四不两直”的不定期检查。</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（三）重大安全风险、生产安全重大事故隐患（重大火灾隐患）报告</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1.乙方识别存在重大安全风险的，应研究并落实管控措施，降低风险等级，并向甲方、属地安全应急管理部门、属地行业主管部门上报。</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2.乙方自查或被外单位检查发现生产安全重大事故隐患（重大火灾隐患）的，应当立即向甲方、属地安全应急管理部门、属地行业主管部门上报。</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3.如甲方未收到乙方关于重大安全风险、生产安全重大事故隐患（重大火灾隐患）的报告，但由其他途径获知信息的，视为瞒报。</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4.不得谎报信息。</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（四）事故报告</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1.项目发生安全事故及消防安全事故的，乙方应当在预案规定时间内立即向甲方上报。否则视为迟报。</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2.如甲方未收到乙方关于安全事故及消防安全事故的报告，但由其他途径获知信息的，视为瞒报。</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3.不得谎报信息。</w:t>
      </w:r>
    </w:p>
    <w:p>
      <w:pPr>
        <w:spacing w:line="560" w:lineRule="exact"/>
        <w:rPr>
          <w:rFonts w:hint="eastAsia" w:ascii="宋体" w:hAnsi="宋体" w:eastAsia="宋体" w:cs="Arial"/>
          <w:bCs w:val="0"/>
          <w:color w:val="auto"/>
          <w:kern w:val="0"/>
          <w:sz w:val="24"/>
          <w:szCs w:val="24"/>
          <w:highlight w:val="none"/>
          <w:u w:val="single"/>
          <w:lang w:val="en-US" w:eastAsia="zh-CN"/>
        </w:rPr>
      </w:pPr>
      <w:r>
        <w:rPr>
          <w:rFonts w:hint="eastAsia" w:ascii="宋体" w:hAnsi="宋体" w:eastAsia="宋体" w:cs="Arial"/>
          <w:bCs w:val="0"/>
          <w:color w:val="auto"/>
          <w:kern w:val="0"/>
          <w:sz w:val="24"/>
          <w:szCs w:val="24"/>
          <w:highlight w:val="none"/>
          <w:lang w:val="en-US" w:eastAsia="zh-CN"/>
        </w:rPr>
        <w:t>（五）补充条款</w:t>
      </w:r>
      <w:r>
        <w:rPr>
          <w:rFonts w:hint="eastAsia" w:ascii="宋体" w:hAnsi="宋体" w:eastAsia="宋体" w:cs="Arial"/>
          <w:bCs w:val="0"/>
          <w:color w:val="auto"/>
          <w:kern w:val="0"/>
          <w:sz w:val="24"/>
          <w:szCs w:val="24"/>
          <w:highlight w:val="none"/>
          <w:u w:val="single"/>
          <w:lang w:val="en-US" w:eastAsia="zh-CN"/>
        </w:rPr>
        <w:t xml:space="preserve">               。</w:t>
      </w:r>
    </w:p>
    <w:p>
      <w:pPr>
        <w:adjustRightInd w:val="0"/>
        <w:snapToGrid w:val="0"/>
        <w:spacing w:line="560" w:lineRule="exact"/>
        <w:ind w:firstLine="482" w:firstLineChars="200"/>
        <w:jc w:val="left"/>
        <w:rPr>
          <w:rFonts w:hint="eastAsia" w:cs="Times New Roman" w:asciiTheme="minorEastAsia" w:hAnsiTheme="minorEastAsia"/>
          <w:b/>
          <w:bCs w:val="0"/>
          <w:color w:val="auto"/>
          <w:sz w:val="24"/>
          <w:szCs w:val="24"/>
          <w:highlight w:val="none"/>
          <w:lang w:val="en-US" w:eastAsia="zh-CN"/>
        </w:rPr>
      </w:pPr>
      <w:r>
        <w:rPr>
          <w:rFonts w:hint="eastAsia" w:cs="Times New Roman" w:asciiTheme="minorEastAsia" w:hAnsiTheme="minorEastAsia"/>
          <w:b/>
          <w:bCs w:val="0"/>
          <w:color w:val="auto"/>
          <w:sz w:val="24"/>
          <w:szCs w:val="24"/>
          <w:highlight w:val="none"/>
          <w:lang w:val="en-US" w:eastAsia="zh-CN"/>
        </w:rPr>
        <w:t>四、违约责任</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（一）未发生安全事故或消防安全事故的违约责任</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1.乙方未履行安全及消防安全责任的，甲方有权按合同相关条款处理。</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2.因甲方未履行安全及消防安全责任，乙方有权按合同相关条款处理。</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（二）发生安全事故或消防安全事故的违约责任</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2.如甲方未能提供甲方履职证明的，根据责任调查报告（意见）承担责任。</w:t>
      </w:r>
    </w:p>
    <w:p>
      <w:pPr>
        <w:adjustRightInd w:val="0"/>
        <w:snapToGrid w:val="0"/>
        <w:spacing w:line="560" w:lineRule="exact"/>
        <w:ind w:firstLine="482" w:firstLineChars="200"/>
        <w:jc w:val="left"/>
        <w:rPr>
          <w:rFonts w:hint="eastAsia" w:cs="Times New Roman" w:asciiTheme="minorEastAsia" w:hAnsiTheme="minorEastAsia"/>
          <w:b/>
          <w:bCs w:val="0"/>
          <w:color w:val="auto"/>
          <w:sz w:val="24"/>
          <w:szCs w:val="24"/>
          <w:highlight w:val="none"/>
          <w:lang w:val="en-US" w:eastAsia="zh-CN"/>
        </w:rPr>
      </w:pPr>
      <w:r>
        <w:rPr>
          <w:rFonts w:hint="eastAsia" w:cs="Times New Roman" w:asciiTheme="minorEastAsia" w:hAnsiTheme="minorEastAsia"/>
          <w:b/>
          <w:bCs w:val="0"/>
          <w:color w:val="auto"/>
          <w:sz w:val="24"/>
          <w:szCs w:val="24"/>
          <w:highlight w:val="none"/>
          <w:lang w:val="en-US" w:eastAsia="zh-CN"/>
        </w:rPr>
        <w:t>五、附则</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（一）本协议未尽事宜，依据有关法律、法规、规章处理。法律、法规、规章没有明确规定的，经双方协商处理解决。</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（二）在合同（协议）执行期间，因国家、地方、以及广州市净水有限公司印发有关文件，加强安全管理要求的，乙方应按最新要求无条件执行。如不执行，甲方有权根据合同或有关文件进行处理。</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（三）本协议作为合同的附件同时签字、同事盖章、同时生效、同时终止，具有同等的法律效力。甲方、乙方双方执持数量与合同一致。</w:t>
      </w:r>
    </w:p>
    <w:p>
      <w:pPr>
        <w:spacing w:line="560" w:lineRule="exact"/>
        <w:rPr>
          <w:rFonts w:hint="eastAsia" w:ascii="宋体" w:hAnsi="宋体" w:eastAsia="宋体" w:cs="Arial"/>
          <w:bCs w:val="0"/>
          <w:color w:val="auto"/>
          <w:kern w:val="0"/>
          <w:sz w:val="24"/>
          <w:szCs w:val="24"/>
          <w:highlight w:val="none"/>
          <w:lang w:val="en-US" w:eastAsia="zh-CN"/>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甲方（盖章）：</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签约代表：</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联系电话：</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年    月    日</w:t>
            </w:r>
          </w:p>
        </w:tc>
        <w:tc>
          <w:tcPr>
            <w:tcW w:w="4474" w:type="dxa"/>
          </w:tcPr>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乙方（盖章）：</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签约代表：</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联系电话：</w:t>
            </w:r>
          </w:p>
          <w:p>
            <w:pPr>
              <w:spacing w:line="560" w:lineRule="exact"/>
              <w:rPr>
                <w:rFonts w:hint="eastAsia" w:ascii="宋体" w:hAnsi="宋体" w:eastAsia="宋体" w:cs="Arial"/>
                <w:bCs w:val="0"/>
                <w:color w:val="auto"/>
                <w:kern w:val="0"/>
                <w:sz w:val="24"/>
                <w:szCs w:val="24"/>
                <w:highlight w:val="none"/>
                <w:lang w:val="en-US" w:eastAsia="zh-CN"/>
              </w:rPr>
            </w:pPr>
            <w:r>
              <w:rPr>
                <w:rFonts w:hint="eastAsia" w:ascii="宋体" w:hAnsi="宋体" w:eastAsia="宋体" w:cs="Arial"/>
                <w:bCs w:val="0"/>
                <w:color w:val="auto"/>
                <w:kern w:val="0"/>
                <w:sz w:val="24"/>
                <w:szCs w:val="24"/>
                <w:highlight w:val="none"/>
                <w:lang w:val="en-US" w:eastAsia="zh-CN"/>
              </w:rPr>
              <w:t>年    月    日</w:t>
            </w:r>
          </w:p>
        </w:tc>
      </w:tr>
    </w:tbl>
    <w:p>
      <w:pPr>
        <w:widowControl/>
        <w:spacing w:line="560" w:lineRule="exact"/>
        <w:ind w:firstLine="1560" w:firstLineChars="650"/>
        <w:jc w:val="left"/>
        <w:rPr>
          <w:rFonts w:ascii="宋体" w:hAnsi="宋体" w:eastAsia="宋体" w:cs="宋体"/>
          <w:color w:val="auto"/>
          <w:kern w:val="0"/>
          <w:sz w:val="24"/>
          <w:szCs w:val="24"/>
          <w:highlight w:val="none"/>
        </w:rPr>
      </w:pP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p>
    <w:p>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rPr>
        <w:t>工程量清单</w:t>
      </w:r>
    </w:p>
    <w:p>
      <w:pPr>
        <w:adjustRightInd w:val="0"/>
        <w:snapToGrid w:val="0"/>
        <w:spacing w:beforeLines="50" w:afterLines="50" w:line="600" w:lineRule="exact"/>
        <w:jc w:val="both"/>
        <w:rPr>
          <w:rFonts w:ascii="方正小标宋简体" w:eastAsia="方正小标宋简体"/>
          <w:color w:val="auto"/>
          <w:sz w:val="44"/>
          <w:szCs w:val="44"/>
          <w:highlight w:val="none"/>
        </w:rPr>
      </w:pPr>
    </w:p>
    <w:tbl>
      <w:tblPr>
        <w:tblStyle w:val="17"/>
        <w:tblpPr w:leftFromText="180" w:rightFromText="180" w:vertAnchor="text" w:horzAnchor="page" w:tblpX="1242" w:tblpY="638"/>
        <w:tblOverlap w:val="never"/>
        <w:tblW w:w="89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1424"/>
        <w:gridCol w:w="2618"/>
        <w:gridCol w:w="497"/>
        <w:gridCol w:w="845"/>
        <w:gridCol w:w="1116"/>
        <w:gridCol w:w="1116"/>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1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998"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1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1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电能管理系统维修</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1.修复电能管理系统Acrel-3000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2.重新配置系统参数</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3.系统调试</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spacing w:line="360" w:lineRule="auto"/>
        <w:jc w:val="center"/>
        <w:rPr>
          <w:rFonts w:ascii="宋体" w:hAnsi="宋体" w:eastAsia="宋体" w:cs="宋体"/>
          <w:b/>
          <w:color w:val="auto"/>
          <w:sz w:val="28"/>
          <w:szCs w:val="28"/>
          <w:highlight w:val="none"/>
        </w:rPr>
      </w:pPr>
    </w:p>
    <w:p>
      <w:pPr>
        <w:pStyle w:val="16"/>
        <w:ind w:left="0" w:leftChars="0" w:firstLine="0" w:firstLineChars="0"/>
        <w:rPr>
          <w:color w:val="auto"/>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：项目投入人员架构表</w:t>
      </w:r>
    </w:p>
    <w:p>
      <w:pPr>
        <w:spacing w:line="360" w:lineRule="auto"/>
        <w:rPr>
          <w:rFonts w:hint="eastAsia" w:ascii="宋体" w:hAnsi="宋体" w:eastAsia="宋体" w:cs="宋体"/>
          <w:b/>
          <w:bCs/>
          <w:color w:val="auto"/>
          <w:szCs w:val="21"/>
          <w:highlight w:val="none"/>
        </w:rPr>
      </w:pPr>
    </w:p>
    <w:tbl>
      <w:tblPr>
        <w:tblStyle w:val="17"/>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ind w:firstLine="0"/>
        <w:rPr>
          <w:rFonts w:hint="eastAsia"/>
          <w:color w:val="auto"/>
          <w:highlight w:val="none"/>
        </w:rPr>
      </w:pPr>
    </w:p>
    <w:p>
      <w:pPr>
        <w:pStyle w:val="16"/>
        <w:ind w:firstLine="0"/>
        <w:rPr>
          <w:rFonts w:hint="eastAsia"/>
          <w:color w:val="auto"/>
          <w:highlight w:val="none"/>
        </w:rPr>
      </w:pPr>
    </w:p>
    <w:p>
      <w:pPr>
        <w:pStyle w:val="16"/>
        <w:ind w:firstLine="0"/>
        <w:rPr>
          <w:rFonts w:hint="eastAsia"/>
          <w:color w:val="auto"/>
          <w:highlight w:val="none"/>
        </w:rPr>
      </w:pPr>
    </w:p>
    <w:p>
      <w:pPr>
        <w:pStyle w:val="16"/>
        <w:ind w:firstLine="0"/>
        <w:rPr>
          <w:rFonts w:hint="eastAsia"/>
          <w:color w:val="auto"/>
          <w:highlight w:val="none"/>
        </w:rPr>
      </w:pPr>
    </w:p>
    <w:p>
      <w:pPr>
        <w:pStyle w:val="16"/>
        <w:ind w:firstLine="0"/>
        <w:rPr>
          <w:rFonts w:hint="eastAsia"/>
          <w:color w:val="auto"/>
          <w:highlight w:val="none"/>
        </w:rPr>
      </w:pPr>
    </w:p>
    <w:p>
      <w:pPr>
        <w:pStyle w:val="16"/>
        <w:ind w:firstLine="0"/>
        <w:rPr>
          <w:rFonts w:hint="eastAsia"/>
          <w:color w:val="auto"/>
          <w:highlight w:val="none"/>
        </w:rPr>
      </w:pPr>
    </w:p>
    <w:p>
      <w:pPr>
        <w:pStyle w:val="16"/>
        <w:ind w:firstLine="0"/>
        <w:rPr>
          <w:rFonts w:hint="eastAsia"/>
          <w:color w:val="auto"/>
          <w:highlight w:val="none"/>
        </w:rPr>
      </w:pPr>
    </w:p>
    <w:p>
      <w:pPr>
        <w:pStyle w:val="16"/>
        <w:ind w:firstLine="0"/>
        <w:rPr>
          <w:rFonts w:hint="eastAsia"/>
          <w:color w:val="auto"/>
          <w:highlight w:val="none"/>
        </w:rPr>
      </w:pPr>
    </w:p>
    <w:p>
      <w:pPr>
        <w:pStyle w:val="16"/>
        <w:ind w:firstLine="0"/>
        <w:rPr>
          <w:rFonts w:hint="eastAsia"/>
          <w:color w:val="auto"/>
          <w:highlight w:val="none"/>
        </w:rPr>
      </w:pPr>
    </w:p>
    <w:p>
      <w:pPr>
        <w:pStyle w:val="16"/>
        <w:ind w:firstLine="0"/>
        <w:rPr>
          <w:rFonts w:hint="eastAsia"/>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附件7：履约保函（模板）</w:t>
      </w:r>
    </w:p>
    <w:p>
      <w:pPr>
        <w:jc w:val="center"/>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履约保函模板</w:t>
      </w:r>
    </w:p>
    <w:p>
      <w:pPr>
        <w:rPr>
          <w:rFonts w:cs="Times New Roman" w:asciiTheme="minorEastAsia" w:hAnsiTheme="minorEastAsia"/>
          <w:color w:val="auto"/>
          <w:sz w:val="24"/>
          <w:szCs w:val="24"/>
          <w:highlight w:val="none"/>
        </w:rPr>
      </w:pPr>
    </w:p>
    <w:p>
      <w:pPr>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致：</w:t>
      </w:r>
      <w:r>
        <w:rPr>
          <w:rFonts w:hint="eastAsia" w:cs="Times New Roman" w:asciiTheme="minorEastAsia" w:hAnsiTheme="minorEastAsia"/>
          <w:color w:val="auto"/>
          <w:sz w:val="24"/>
          <w:szCs w:val="24"/>
          <w:highlight w:val="none"/>
          <w:u w:val="single"/>
        </w:rPr>
        <w:t xml:space="preserve">               （受益人）</w:t>
      </w:r>
      <w:r>
        <w:rPr>
          <w:rFonts w:cs="Times New Roman" w:asciiTheme="minorEastAsia" w:hAnsiTheme="minorEastAsia"/>
          <w:color w:val="auto"/>
          <w:sz w:val="24"/>
          <w:szCs w:val="24"/>
          <w:highlight w:val="none"/>
        </w:rPr>
        <w:br w:type="textWrapping"/>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鉴于（以下简称“委托人”）与贵方于</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二、贵单位的索赔申请应符合下述条件：</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（一）贵单位法定代表人或其授权代表签字并加盖单位公章；</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（二）在保函有效期内送达我行；</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（三）明确的索赔金额（不得超过本保函第一条所列之限额）。</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三、本保函自签发之日起生效，有效期至</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。本保函于下述任一事项发生之时立即失效，我行在本保函项下的保证义务即刻解除：</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（一）本保函有效期限届满；</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（二）我行保证的义务履行完毕。</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五、我行向你方支付索赔金额后，本保函担保金额即按贵方通知的索赔金额予以递减。</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六、保函失效后请将保函退回我行注销，无论正本最终退回与否，不影响本保函依上述约定自动失效。</w:t>
      </w:r>
    </w:p>
    <w:p>
      <w:pPr>
        <w:ind w:firstLine="420"/>
        <w:rPr>
          <w:rFonts w:cs="Times New Roman" w:asciiTheme="minorEastAsia" w:hAnsiTheme="minorEastAsia"/>
          <w:color w:val="auto"/>
          <w:sz w:val="24"/>
          <w:szCs w:val="24"/>
          <w:highlight w:val="none"/>
        </w:rPr>
      </w:pP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 xml:space="preserve">                                                   落款</w:t>
      </w:r>
    </w:p>
    <w:p>
      <w:pPr>
        <w:ind w:firstLine="420"/>
        <w:rPr>
          <w:rFonts w:cs="Times New Roman" w:asciiTheme="minorEastAsia" w:hAnsiTheme="minorEastAsia"/>
          <w:color w:val="auto"/>
          <w:sz w:val="24"/>
          <w:szCs w:val="24"/>
          <w:highlight w:val="none"/>
        </w:rPr>
      </w:pPr>
    </w:p>
    <w:p>
      <w:pPr>
        <w:ind w:firstLine="645"/>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保函说明：</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保函不得有下列或类似含义的表述：</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1.银行承担的为连带责任保证、一般保证。</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3.合同撤销或无效的，保函失效。</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4.申请人对受益人的抗辩，银行有权向受益人主张。</w:t>
      </w:r>
    </w:p>
    <w:p>
      <w:pPr>
        <w:ind w:firstLine="645"/>
        <w:rPr>
          <w:rFonts w:cs="Times New Roman"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5.受益人请求付款的请款单据包含法院裁判文书、仲裁裁决、第三方单位出具的鉴定书等申请人违约的证明材料。</w:t>
      </w:r>
    </w:p>
    <w:p>
      <w:pPr>
        <w:rPr>
          <w:color w:val="auto"/>
          <w:highlight w:val="none"/>
        </w:rPr>
      </w:pPr>
    </w:p>
    <w:p>
      <w:pPr>
        <w:pStyle w:val="2"/>
        <w:rPr>
          <w:rFonts w:ascii="宋体" w:hAnsi="宋体" w:eastAsia="宋体" w:cs="宋体"/>
          <w:b/>
          <w:sz w:val="24"/>
          <w:szCs w:val="24"/>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rPr>
          <w:rFonts w:hint="eastAsia"/>
          <w:color w:val="auto"/>
          <w:highlight w:val="none"/>
        </w:rPr>
      </w:pPr>
      <w:bookmarkStart w:id="85" w:name="_Toc12169"/>
      <w:bookmarkStart w:id="86" w:name="_Toc1563"/>
      <w:bookmarkStart w:id="87" w:name="_Toc6230"/>
      <w:bookmarkStart w:id="88" w:name="_Toc28358"/>
      <w:bookmarkStart w:id="89" w:name="_Toc8147"/>
      <w:bookmarkStart w:id="90" w:name="_Toc30824"/>
      <w:bookmarkStart w:id="91" w:name="_Toc23515"/>
      <w:bookmarkStart w:id="92" w:name="_Toc21847"/>
      <w:bookmarkStart w:id="93" w:name="_Toc3723"/>
      <w:bookmarkStart w:id="94" w:name="_Toc16552"/>
      <w:bookmarkStart w:id="95" w:name="_Toc5129"/>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21"/>
        <w:rPr>
          <w:color w:val="auto"/>
          <w:highlight w:val="none"/>
        </w:rPr>
      </w:pPr>
    </w:p>
    <w:p>
      <w:pPr>
        <w:pStyle w:val="3"/>
        <w:rPr>
          <w:color w:val="auto"/>
          <w:highlight w:val="none"/>
        </w:rPr>
      </w:pPr>
      <w:bookmarkStart w:id="96" w:name="_Toc5342"/>
      <w:bookmarkStart w:id="97" w:name="_Toc24815"/>
      <w:bookmarkStart w:id="98" w:name="_Toc31564"/>
      <w:bookmarkStart w:id="99" w:name="_Toc21675"/>
      <w:bookmarkStart w:id="100" w:name="_Toc87616388"/>
      <w:bookmarkStart w:id="101" w:name="_Toc30157"/>
      <w:bookmarkStart w:id="102" w:name="_Toc10840"/>
      <w:bookmarkStart w:id="103" w:name="_Toc24490"/>
      <w:bookmarkStart w:id="104" w:name="_Toc22764"/>
      <w:bookmarkStart w:id="105" w:name="_Toc88209951"/>
      <w:bookmarkStart w:id="106" w:name="_Toc12610"/>
      <w:bookmarkStart w:id="107" w:name="_Toc17119"/>
      <w:bookmarkStart w:id="108" w:name="_Toc12769"/>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6"/>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12665"/>
      <w:bookmarkStart w:id="116" w:name="_Toc6313"/>
      <w:bookmarkStart w:id="117" w:name="_Toc88209957"/>
      <w:bookmarkStart w:id="118" w:name="_Toc87616394"/>
      <w:bookmarkStart w:id="119" w:name="_Toc2861964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w:t>
      </w:r>
      <w:r>
        <w:rPr>
          <w:rFonts w:hint="eastAsia" w:ascii="仿宋_GB2312" w:hAnsi="黑体" w:eastAsia="仿宋_GB2312"/>
          <w:color w:val="auto"/>
          <w:sz w:val="28"/>
          <w:szCs w:val="28"/>
          <w:highlight w:val="none"/>
          <w:lang w:val="en-US" w:eastAsia="zh-CN"/>
        </w:rPr>
        <w:t>▲</w:t>
      </w:r>
      <w:r>
        <w:rPr>
          <w:rFonts w:hint="eastAsia" w:ascii="仿宋_GB2312" w:hAnsi="黑体" w:eastAsia="仿宋_GB2312"/>
          <w:color w:val="auto"/>
          <w:sz w:val="28"/>
          <w:szCs w:val="28"/>
          <w:highlight w:val="non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7616395"/>
      <w:bookmarkStart w:id="121" w:name="_Toc88209958"/>
      <w:bookmarkStart w:id="122" w:name="_Toc29833"/>
      <w:bookmarkStart w:id="123"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24"/>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25"/>
        <w:snapToGrid w:val="0"/>
        <w:spacing w:after="0"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0"/>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0"/>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0"/>
        <w:snapToGrid w:val="0"/>
        <w:spacing w:line="600" w:lineRule="exact"/>
        <w:ind w:firstLine="3907" w:firstLineChars="1221"/>
        <w:rPr>
          <w:rFonts w:ascii="仿宋_GB2312" w:hAnsi="宋体" w:eastAsia="仿宋_GB2312" w:cs="Times New Roman"/>
          <w:color w:val="auto"/>
          <w:sz w:val="32"/>
          <w:szCs w:val="32"/>
          <w:highlight w:val="none"/>
        </w:rPr>
      </w:pPr>
    </w:p>
    <w:p>
      <w:pPr>
        <w:pStyle w:val="10"/>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1"/>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0"/>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0"/>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0"/>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16"/>
        <w:rPr>
          <w:rFonts w:hint="eastAsia" w:ascii="仿宋_GB2312" w:hAnsi="宋体" w:eastAsia="仿宋_GB2312"/>
          <w:color w:val="auto"/>
          <w:sz w:val="30"/>
          <w:szCs w:val="30"/>
          <w:highlight w:val="none"/>
        </w:rPr>
      </w:pPr>
    </w:p>
    <w:p>
      <w:pPr>
        <w:pStyle w:val="16"/>
        <w:rPr>
          <w:rFonts w:hint="eastAsia" w:ascii="仿宋_GB2312" w:hAnsi="宋体" w:eastAsia="仿宋_GB2312"/>
          <w:color w:val="auto"/>
          <w:sz w:val="30"/>
          <w:szCs w:val="30"/>
          <w:highlight w:val="none"/>
        </w:rPr>
      </w:pPr>
    </w:p>
    <w:p>
      <w:pPr>
        <w:pStyle w:val="16"/>
        <w:rPr>
          <w:rFonts w:hint="eastAsia" w:ascii="仿宋_GB2312" w:hAnsi="宋体" w:eastAsia="仿宋_GB2312"/>
          <w:color w:val="auto"/>
          <w:sz w:val="30"/>
          <w:szCs w:val="30"/>
          <w:highlight w:val="none"/>
        </w:rPr>
      </w:pPr>
    </w:p>
    <w:p>
      <w:pPr>
        <w:pStyle w:val="16"/>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16"/>
        <w:rPr>
          <w:color w:val="auto"/>
          <w:highlight w:val="none"/>
        </w:rPr>
      </w:pPr>
    </w:p>
    <w:p>
      <w:pPr>
        <w:pStyle w:val="16"/>
        <w:rPr>
          <w:color w:val="auto"/>
          <w:highlight w:val="none"/>
        </w:rPr>
      </w:pPr>
    </w:p>
    <w:p>
      <w:pPr>
        <w:pStyle w:val="16"/>
        <w:rPr>
          <w:color w:val="auto"/>
          <w:highlight w:val="none"/>
        </w:rPr>
      </w:pPr>
    </w:p>
    <w:p>
      <w:pPr>
        <w:pStyle w:val="16"/>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086"/>
      <w:bookmarkStart w:id="125" w:name="_Toc87616400"/>
      <w:bookmarkStart w:id="126" w:name="_Toc88209963"/>
      <w:bookmarkStart w:id="127"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18"/>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w:t>
      </w:r>
      <w:r>
        <w:rPr>
          <w:rFonts w:hint="eastAsia" w:ascii="宋体" w:hAnsi="宋体" w:eastAsia="宋体" w:cs="宋体"/>
          <w:color w:val="auto"/>
          <w:kern w:val="2"/>
          <w:sz w:val="24"/>
          <w:szCs w:val="24"/>
          <w:highlight w:val="none"/>
          <w:lang w:val="en-GB" w:eastAsia="zh-CN"/>
        </w:rPr>
        <w:t>龙归分公司2024年厂区网络系统及视频监控系统改造项目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16"/>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17"/>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0"/>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16"/>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rPr>
          <w:rFonts w:hint="eastAsia" w:asciiTheme="minorEastAsia" w:hAnsiTheme="minorEastAsia" w:eastAsiaTheme="minorEastAsia"/>
          <w:color w:val="auto"/>
          <w:sz w:val="28"/>
          <w:szCs w:val="28"/>
          <w:highlight w:val="none"/>
        </w:rPr>
      </w:pPr>
      <w:bookmarkStart w:id="129" w:name="_Toc19423"/>
      <w:bookmarkStart w:id="130" w:name="_Toc32430"/>
      <w:r>
        <w:rPr>
          <w:rFonts w:hint="eastAsia" w:ascii="仿宋_GB2312" w:eastAsia="仿宋_GB2312" w:hAnsiTheme="minorEastAsia"/>
          <w:color w:val="auto"/>
          <w:sz w:val="28"/>
          <w:szCs w:val="28"/>
          <w:highlight w:val="none"/>
          <w:lang w:val="en-US" w:eastAsia="zh-CN"/>
        </w:rPr>
        <w:br w:type="page"/>
      </w:r>
    </w:p>
    <w:p>
      <w:pPr>
        <w:pStyle w:val="5"/>
        <w:numPr>
          <w:ilvl w:val="0"/>
          <w:numId w:val="5"/>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29"/>
      <w:bookmarkEnd w:id="130"/>
    </w:p>
    <w:p>
      <w:pPr>
        <w:numPr>
          <w:ilvl w:val="-1"/>
          <w:numId w:val="0"/>
        </w:numPr>
      </w:pPr>
    </w:p>
    <w:tbl>
      <w:tblPr>
        <w:tblStyle w:val="17"/>
        <w:tblpPr w:leftFromText="180" w:rightFromText="180" w:vertAnchor="text" w:horzAnchor="page" w:tblpX="1242" w:tblpY="638"/>
        <w:tblOverlap w:val="never"/>
        <w:tblW w:w="89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1424"/>
        <w:gridCol w:w="2618"/>
        <w:gridCol w:w="497"/>
        <w:gridCol w:w="845"/>
        <w:gridCol w:w="1116"/>
        <w:gridCol w:w="1116"/>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1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998"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1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1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电能管理系统维修</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1.修复电能管理系统Acrel-3000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2.重新配置系统参数</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3.系统调试</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pPr>
    </w:p>
    <w:p>
      <w:pPr>
        <w:pStyle w:val="2"/>
      </w:pPr>
    </w:p>
    <w:p>
      <w:pPr>
        <w:pStyle w:val="2"/>
      </w:pPr>
    </w:p>
    <w:p>
      <w:pPr>
        <w:pStyle w:val="2"/>
      </w:pPr>
    </w:p>
    <w:p>
      <w:pPr>
        <w:pStyle w:val="2"/>
      </w:pPr>
    </w:p>
    <w:p>
      <w:pPr>
        <w:pStyle w:val="2"/>
      </w:pPr>
    </w:p>
    <w:p>
      <w:pPr>
        <w:pStyle w:val="2"/>
        <w:ind w:left="0" w:leftChars="0" w:firstLine="0" w:firstLineChars="0"/>
      </w:pPr>
    </w:p>
    <w:p>
      <w:pPr>
        <w:pStyle w:val="2"/>
      </w:pPr>
    </w:p>
    <w:p>
      <w:pPr>
        <w:pStyle w:val="2"/>
      </w:pPr>
    </w:p>
    <w:p>
      <w:pPr>
        <w:pStyle w:val="2"/>
      </w:pPr>
    </w:p>
    <w:p>
      <w:pPr>
        <w:pStyle w:val="2"/>
      </w:pPr>
    </w:p>
    <w:p>
      <w:pPr>
        <w:pStyle w:val="2"/>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pPr>
    </w:p>
    <w:p>
      <w:pPr>
        <w:pStyle w:val="2"/>
      </w:pPr>
    </w:p>
    <w:p>
      <w:pPr>
        <w:pStyle w:val="2"/>
      </w:pPr>
    </w:p>
    <w:p>
      <w:pPr>
        <w:pStyle w:val="2"/>
      </w:pPr>
    </w:p>
    <w:p>
      <w:pPr>
        <w:pStyle w:val="2"/>
      </w:pPr>
    </w:p>
    <w:p>
      <w:pPr>
        <w:pStyle w:val="2"/>
      </w:pPr>
    </w:p>
    <w:p>
      <w:pPr>
        <w:pStyle w:val="2"/>
      </w:pPr>
    </w:p>
    <w:p>
      <w:pPr>
        <w:adjustRightInd w:val="0"/>
        <w:snapToGrid w:val="0"/>
        <w:spacing w:line="600" w:lineRule="exact"/>
        <w:ind w:firstLine="0"/>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ind w:firstLine="0" w:firstLineChars="0"/>
        <w:rPr>
          <w:rFonts w:ascii="仿宋_GB2312" w:eastAsia="仿宋_GB2312" w:hAnsiTheme="minorEastAsia"/>
          <w:color w:val="auto"/>
          <w:sz w:val="28"/>
          <w:szCs w:val="28"/>
          <w:highlight w:val="none"/>
        </w:rPr>
      </w:pPr>
    </w:p>
    <w:p>
      <w:pPr>
        <w:pStyle w:val="5"/>
        <w:tabs>
          <w:tab w:val="left" w:pos="312"/>
        </w:tabs>
        <w:rPr>
          <w:rFonts w:hint="eastAsia" w:asciiTheme="minorEastAsia" w:hAnsiTheme="minorEastAsia" w:eastAsiaTheme="minorEastAsia"/>
          <w:color w:val="auto"/>
          <w:sz w:val="28"/>
          <w:szCs w:val="28"/>
          <w:highlight w:val="none"/>
        </w:rPr>
      </w:pPr>
      <w:bookmarkStart w:id="131" w:name="_Toc87616402"/>
      <w:bookmarkStart w:id="132" w:name="_Toc6058"/>
      <w:bookmarkStart w:id="133" w:name="_Toc16386"/>
      <w:bookmarkStart w:id="134" w:name="_Toc88209965"/>
      <w:r>
        <w:rPr>
          <w:rFonts w:hint="eastAsia" w:asciiTheme="minorEastAsia" w:hAnsiTheme="minorEastAsia" w:eastAsiaTheme="minorEastAsia"/>
          <w:color w:val="auto"/>
          <w:sz w:val="28"/>
          <w:szCs w:val="28"/>
          <w:highlight w:val="none"/>
          <w:lang w:val="en-US" w:eastAsia="zh-CN"/>
        </w:rPr>
        <w:t>6.</w:t>
      </w:r>
      <w:r>
        <w:rPr>
          <w:rFonts w:hint="eastAsia" w:asciiTheme="minorEastAsia" w:hAnsiTheme="minorEastAsia" w:eastAsiaTheme="minorEastAsia"/>
          <w:color w:val="auto"/>
          <w:sz w:val="28"/>
          <w:szCs w:val="28"/>
          <w:highlight w:val="none"/>
        </w:rPr>
        <w:t>其他资料</w:t>
      </w:r>
      <w:bookmarkEnd w:id="131"/>
      <w:bookmarkEnd w:id="132"/>
      <w:bookmarkEnd w:id="133"/>
      <w:bookmarkEnd w:id="134"/>
    </w:p>
    <w:p>
      <w:pPr>
        <w:pStyle w:val="2"/>
        <w:rPr>
          <w:rFonts w:hint="eastAsia" w:ascii="仿宋_GB2312" w:eastAsia="仿宋_GB2312" w:hAnsiTheme="minorEastAsia"/>
          <w:color w:val="auto"/>
          <w:sz w:val="28"/>
          <w:szCs w:val="28"/>
          <w:highlight w:val="none"/>
        </w:rPr>
      </w:pPr>
    </w:p>
    <w:p>
      <w:pPr>
        <w:pStyle w:val="2"/>
      </w:pPr>
    </w:p>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nta068BAABM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DZlBLHLc5o//PH/tfr/uU7uc7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Anta068BAABM&#10;AwAADgAAAAAAAAABACAAAAAeAQAAZHJzL2Uyb0RvYy54bWxQSwUGAAAAAAYABgBZAQAAPwUAA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WxM7mrgEAAEwD&#10;AAAOAAAAAAAAAAEAIAAAAB4BAABkcnMvZTJvRG9jLnhtbFBLBQYAAAAABgAGAFkBAAA+BQAAAAA=&#10;">
              <v:fill on="f" focussize="0,0"/>
              <v:stroke on="f"/>
              <v:imagedata o:title=""/>
              <o:lock v:ext="edit" aspectratio="f"/>
              <v:textbox inset="0mm,0mm,0mm,0mm" style="mso-fit-shape-to-text:t;">
                <w:txbxContent>
                  <w:p>
                    <w:pPr>
                      <w:pStyle w:val="12"/>
                    </w:pPr>
                  </w:p>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2"/>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0hjJrgEAAEwD&#10;AAAOAAAAAAAAAAEAIAAAAB4BAABkcnMvZTJvRG9jLnhtbFBLBQYAAAAABgAGAFkBAAA+BQAA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EF2DBFF"/>
    <w:multiLevelType w:val="singleLevel"/>
    <w:tmpl w:val="5EF2DBFF"/>
    <w:lvl w:ilvl="0" w:tentative="0">
      <w:start w:val="5"/>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7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uiPriority w:val="0"/>
  </w:style>
  <w:style w:type="table" w:default="1" w:styleId="17">
    <w:name w:val="Normal Table"/>
    <w:semiHidden/>
    <w:uiPriority w:val="0"/>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Plain Text"/>
    <w:basedOn w:val="1"/>
    <w:next w:val="10"/>
    <w:qFormat/>
    <w:uiPriority w:val="0"/>
    <w:rPr>
      <w:rFonts w:ascii="宋体" w:hAnsi="Courier New"/>
      <w:szCs w:val="21"/>
    </w:rPr>
  </w:style>
  <w:style w:type="paragraph" w:customStyle="1" w:styleId="10">
    <w:name w:val="Default"/>
    <w:next w:val="11"/>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1">
    <w:name w:val="List"/>
    <w:basedOn w:val="1"/>
    <w:next w:val="1"/>
    <w:qFormat/>
    <w:uiPriority w:val="0"/>
    <w:pPr>
      <w:snapToGrid w:val="0"/>
    </w:pPr>
    <w:rPr>
      <w:szCs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76" w:lineRule="auto"/>
      <w:jc w:val="left"/>
    </w:pPr>
    <w:rPr>
      <w:kern w:val="0"/>
      <w:sz w:val="22"/>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6">
    <w:name w:val="Body Text First Indent 2"/>
    <w:basedOn w:val="8"/>
    <w:qFormat/>
    <w:uiPriority w:val="0"/>
    <w:pPr>
      <w:adjustRightInd w:val="0"/>
      <w:spacing w:line="360" w:lineRule="auto"/>
      <w:ind w:left="0" w:leftChars="0" w:firstLine="420"/>
      <w:textAlignment w:val="baseline"/>
    </w:pPr>
    <w:rPr>
      <w:rFonts w:eastAsia="等线" w:cs="Times New Roman"/>
      <w:color w:val="000000"/>
      <w:szCs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2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3">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24">
    <w:name w:val="CM91"/>
    <w:basedOn w:val="10"/>
    <w:next w:val="10"/>
    <w:qFormat/>
    <w:uiPriority w:val="0"/>
    <w:pPr>
      <w:spacing w:after="160"/>
    </w:pPr>
    <w:rPr>
      <w:color w:val="auto"/>
    </w:rPr>
  </w:style>
  <w:style w:type="paragraph" w:customStyle="1" w:styleId="25">
    <w:name w:val="CM97"/>
    <w:basedOn w:val="10"/>
    <w:next w:val="10"/>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2024-10-21T01:56:37Z</dcterms:created>
  <dc:creator>王彬</dc:creator>
  <cp:lastModifiedBy>August.</cp:lastModifiedBy>
  <dcterms:modified xsi:type="dcterms:W3CDTF">2024-10-21T01:57:29Z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