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jc w:val="center"/>
        <w:rPr>
          <w:rFonts w:hint="eastAsia" w:ascii="方正小标宋简体" w:eastAsia="方正小标宋简体"/>
          <w:color w:val="auto"/>
          <w:sz w:val="52"/>
          <w:szCs w:val="52"/>
          <w:highlight w:val="none"/>
          <w:lang w:eastAsia="zh-CN"/>
        </w:rPr>
      </w:pPr>
      <w:bookmarkStart w:id="86" w:name="_GoBack"/>
      <w:bookmarkEnd w:id="86"/>
      <w:r>
        <w:rPr>
          <w:rFonts w:hint="eastAsia" w:ascii="方正小标宋简体" w:eastAsia="方正小标宋简体"/>
          <w:color w:val="auto"/>
          <w:sz w:val="52"/>
          <w:szCs w:val="52"/>
          <w:highlight w:val="none"/>
          <w:lang w:eastAsia="zh-CN"/>
        </w:rPr>
        <w:t>广州市净水有限公司地埋式净水厂</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通风除臭系统节能运行管控</w:t>
      </w: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eastAsia="zh-CN"/>
        </w:rPr>
        <w:t>技术研究与应用</w:t>
      </w:r>
      <w:r>
        <w:rPr>
          <w:rFonts w:hint="eastAsia" w:ascii="方正小标宋简体" w:eastAsia="方正小标宋简体"/>
          <w:color w:val="auto"/>
          <w:sz w:val="52"/>
          <w:szCs w:val="52"/>
          <w:highlight w:val="none"/>
        </w:rPr>
        <w:t>项目</w:t>
      </w:r>
    </w:p>
    <w:p>
      <w:pPr>
        <w:pStyle w:val="2"/>
        <w:rPr>
          <w:rFonts w:hint="eastAsia"/>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color w:val="auto"/>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方正小标宋简体" w:hAnsi="方正小标宋简体" w:eastAsia="方正小标宋简体" w:cs="方正小标宋简体"/>
          <w:color w:val="auto"/>
          <w:sz w:val="44"/>
          <w:szCs w:val="44"/>
          <w:highlight w:val="none"/>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目   录</w:t>
      </w:r>
    </w:p>
    <w:p>
      <w:pPr>
        <w:spacing w:line="360" w:lineRule="auto"/>
        <w:rPr>
          <w:rFonts w:ascii="仿宋_GB2312" w:hAnsi="仿宋_GB2312" w:eastAsia="仿宋_GB2312" w:cs="仿宋_GB2312"/>
          <w:color w:val="auto"/>
          <w:sz w:val="32"/>
          <w:szCs w:val="32"/>
          <w:highlight w:val="none"/>
        </w:rPr>
      </w:pPr>
    </w:p>
    <w:p>
      <w:pPr>
        <w:pStyle w:val="18"/>
        <w:numPr>
          <w:ilvl w:val="0"/>
          <w:numId w:val="1"/>
        </w:numPr>
        <w:tabs>
          <w:tab w:val="right" w:pos="8844"/>
        </w:tabs>
        <w:spacing w:after="0"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采购公告（采购邀请书）</w:t>
      </w:r>
    </w:p>
    <w:p>
      <w:pPr>
        <w:pStyle w:val="18"/>
        <w:numPr>
          <w:ilvl w:val="0"/>
          <w:numId w:val="1"/>
        </w:numPr>
        <w:tabs>
          <w:tab w:val="right" w:pos="8844"/>
        </w:tabs>
        <w:spacing w:after="0"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供应商须知</w:t>
      </w:r>
    </w:p>
    <w:p>
      <w:pPr>
        <w:pStyle w:val="18"/>
        <w:numPr>
          <w:ilvl w:val="0"/>
          <w:numId w:val="1"/>
        </w:numPr>
        <w:tabs>
          <w:tab w:val="right" w:pos="8844"/>
        </w:tabs>
        <w:spacing w:after="0"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采购方法</w:t>
      </w:r>
    </w:p>
    <w:p>
      <w:pPr>
        <w:pStyle w:val="18"/>
        <w:numPr>
          <w:ilvl w:val="0"/>
          <w:numId w:val="1"/>
        </w:numPr>
        <w:tabs>
          <w:tab w:val="right" w:pos="8844"/>
        </w:tabs>
        <w:spacing w:after="0"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评审方法</w:t>
      </w:r>
    </w:p>
    <w:p>
      <w:pPr>
        <w:pStyle w:val="18"/>
        <w:numPr>
          <w:ilvl w:val="0"/>
          <w:numId w:val="1"/>
        </w:numPr>
        <w:tabs>
          <w:tab w:val="right" w:pos="8844"/>
        </w:tabs>
        <w:spacing w:after="0"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采购需求</w:t>
      </w:r>
    </w:p>
    <w:p>
      <w:pPr>
        <w:pStyle w:val="18"/>
        <w:numPr>
          <w:ilvl w:val="0"/>
          <w:numId w:val="1"/>
        </w:numPr>
        <w:tabs>
          <w:tab w:val="right" w:pos="8844"/>
        </w:tabs>
        <w:spacing w:after="0"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pPr>
        <w:pStyle w:val="18"/>
        <w:numPr>
          <w:ilvl w:val="0"/>
          <w:numId w:val="1"/>
        </w:numPr>
        <w:tabs>
          <w:tab w:val="right" w:pos="8844"/>
        </w:tabs>
        <w:spacing w:after="0"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rPr>
          <w:rFonts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pPr>
        <w:pStyle w:val="22"/>
        <w:adjustRightInd/>
        <w:snapToGrid/>
        <w:ind w:firstLine="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711"/>
      <w:bookmarkStart w:id="1" w:name="_Toc17696"/>
      <w:bookmarkStart w:id="2" w:name="_Toc18145"/>
      <w:bookmarkStart w:id="3" w:name="_Toc26148"/>
    </w:p>
    <w:p>
      <w:pPr>
        <w:pStyle w:val="22"/>
        <w:adjustRightInd/>
        <w:snapToGrid/>
        <w:ind w:firstLine="0"/>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28"/>
          <w:szCs w:val="28"/>
          <w:highlight w:val="none"/>
        </w:rPr>
      </w:pPr>
      <w:bookmarkStart w:id="4" w:name="_Toc19609"/>
      <w:bookmarkStart w:id="5" w:name="_Toc7519"/>
      <w:bookmarkStart w:id="6" w:name="_Toc11322"/>
      <w:bookmarkStart w:id="7" w:name="_Toc4275"/>
      <w:bookmarkStart w:id="8" w:name="_Toc1669"/>
      <w:bookmarkStart w:id="9" w:name="_Toc17801"/>
      <w:bookmarkStart w:id="10" w:name="_Toc31938"/>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pBdr>
          <w:top w:val="double" w:color="auto" w:sz="4" w:space="0"/>
          <w:bottom w:val="double" w:color="auto" w:sz="4" w:space="0"/>
        </w:pBdr>
        <w:jc w:val="center"/>
        <w:rPr>
          <w:rFonts w:ascii="仿宋_GB2312" w:hAnsi="仿宋_GB2312" w:eastAsia="仿宋_GB2312" w:cs="仿宋_GB2312"/>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第一章</w:t>
      </w:r>
    </w:p>
    <w:bookmarkEnd w:id="0"/>
    <w:bookmarkEnd w:id="1"/>
    <w:bookmarkEnd w:id="2"/>
    <w:bookmarkEnd w:id="3"/>
    <w:bookmarkEnd w:id="4"/>
    <w:bookmarkEnd w:id="5"/>
    <w:bookmarkEnd w:id="6"/>
    <w:bookmarkEnd w:id="7"/>
    <w:bookmarkEnd w:id="8"/>
    <w:bookmarkEnd w:id="9"/>
    <w:bookmarkEnd w:id="10"/>
    <w:p>
      <w:pPr>
        <w:rPr>
          <w:rFonts w:ascii="仿宋_GB2312" w:hAnsi="仿宋_GB2312" w:eastAsia="仿宋_GB2312" w:cs="仿宋_GB2312"/>
          <w:color w:val="auto"/>
          <w:sz w:val="28"/>
          <w:szCs w:val="28"/>
          <w:highlight w:val="none"/>
        </w:rPr>
      </w:pPr>
    </w:p>
    <w:p>
      <w:pPr>
        <w:pStyle w:val="4"/>
        <w:spacing w:before="0" w:after="0" w:line="360" w:lineRule="auto"/>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9680"/>
      <w:bookmarkStart w:id="12" w:name="_Toc21373"/>
      <w:r>
        <w:rPr>
          <w:rFonts w:hint="eastAsia"/>
          <w:color w:val="auto"/>
          <w:highlight w:val="none"/>
        </w:rPr>
        <w:t>采购公告（采购邀请书）</w:t>
      </w:r>
    </w:p>
    <w:bookmarkEnd w:id="11"/>
    <w:bookmarkEnd w:id="12"/>
    <w:p>
      <w:pPr>
        <w:adjustRightInd w:val="0"/>
        <w:snapToGrid w:val="0"/>
        <w:spacing w:line="600" w:lineRule="exact"/>
        <w:ind w:firstLine="560" w:firstLineChars="20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eastAsia="zh-CN"/>
        </w:rPr>
        <w:t>广州市净水有限公司地埋式净水厂通风除臭系统节能运行管控技术研究与应用</w:t>
      </w:r>
      <w:r>
        <w:rPr>
          <w:rFonts w:hint="eastAsia" w:ascii="仿宋_GB2312" w:hAnsi="仿宋_GB2312" w:eastAsia="仿宋_GB2312" w:cs="仿宋_GB2312"/>
          <w:color w:val="auto"/>
          <w:sz w:val="28"/>
          <w:szCs w:val="28"/>
          <w:highlight w:val="none"/>
          <w:u w:val="single"/>
        </w:rPr>
        <w:t>项目</w:t>
      </w:r>
      <w:r>
        <w:rPr>
          <w:rFonts w:hint="eastAsia" w:ascii="仿宋_GB2312" w:hAnsi="仿宋_GB2312" w:eastAsia="仿宋_GB2312" w:cs="仿宋_GB2312"/>
          <w:color w:val="auto"/>
          <w:sz w:val="28"/>
          <w:szCs w:val="28"/>
          <w:highlight w:val="none"/>
        </w:rPr>
        <w:t>已具备采购条件，现邀请合格单位参加本</w:t>
      </w:r>
      <w:r>
        <w:rPr>
          <w:rFonts w:hint="eastAsia" w:ascii="仿宋_GB2312" w:hAnsi="仿宋_GB2312" w:eastAsia="仿宋_GB2312" w:cs="仿宋_GB2312"/>
          <w:color w:val="auto"/>
          <w:sz w:val="28"/>
          <w:szCs w:val="28"/>
          <w:highlight w:val="none"/>
          <w:u w:val="single"/>
        </w:rPr>
        <w:t xml:space="preserve">□施工  □货物 </w:t>
      </w:r>
      <w:r>
        <w:rPr>
          <w:rFonts w:hint="eastAsia" w:ascii="仿宋_GB2312" w:hAnsi="仿宋_GB2312" w:eastAsia="仿宋_GB2312" w:cs="仿宋_GB2312"/>
          <w:color w:val="auto"/>
          <w:sz w:val="28"/>
          <w:szCs w:val="28"/>
          <w:highlight w:val="none"/>
          <w:u w:val="single"/>
        </w:rPr>
        <w:sym w:font="Wingdings 2" w:char="0052"/>
      </w:r>
      <w:r>
        <w:rPr>
          <w:rFonts w:hint="eastAsia" w:ascii="仿宋_GB2312" w:hAnsi="仿宋_GB2312" w:eastAsia="仿宋_GB2312" w:cs="仿宋_GB2312"/>
          <w:color w:val="auto"/>
          <w:sz w:val="28"/>
          <w:szCs w:val="28"/>
          <w:highlight w:val="none"/>
          <w:u w:val="single"/>
        </w:rPr>
        <w:t>服务</w:t>
      </w:r>
      <w:r>
        <w:rPr>
          <w:rFonts w:hint="eastAsia" w:ascii="仿宋_GB2312" w:hAnsi="仿宋_GB2312" w:eastAsia="仿宋_GB2312" w:cs="仿宋_GB2312"/>
          <w:color w:val="auto"/>
          <w:sz w:val="28"/>
          <w:szCs w:val="28"/>
          <w:highlight w:val="none"/>
        </w:rPr>
        <w:t>项目采购活动，采用</w:t>
      </w:r>
      <w:r>
        <w:rPr>
          <w:rFonts w:hint="eastAsia" w:ascii="仿宋_GB2312" w:hAnsi="仿宋_GB2312" w:eastAsia="仿宋_GB2312" w:cs="仿宋_GB2312"/>
          <w:color w:val="auto"/>
          <w:sz w:val="28"/>
          <w:szCs w:val="28"/>
          <w:highlight w:val="none"/>
          <w:u w:val="single"/>
        </w:rPr>
        <w:sym w:font="Wingdings 2" w:char="00A3"/>
      </w:r>
      <w:r>
        <w:rPr>
          <w:rFonts w:hint="eastAsia" w:ascii="仿宋_GB2312" w:hAnsi="仿宋_GB2312" w:eastAsia="仿宋_GB2312" w:cs="仿宋_GB2312"/>
          <w:color w:val="auto"/>
          <w:sz w:val="28"/>
          <w:szCs w:val="28"/>
          <w:highlight w:val="none"/>
          <w:u w:val="single"/>
        </w:rPr>
        <w:t xml:space="preserve">邀请采购 </w:t>
      </w:r>
      <w:r>
        <w:rPr>
          <w:rFonts w:hint="eastAsia" w:ascii="仿宋_GB2312" w:hAnsi="仿宋_GB2312" w:eastAsia="仿宋_GB2312" w:cs="仿宋_GB2312"/>
          <w:color w:val="auto"/>
          <w:sz w:val="28"/>
          <w:szCs w:val="28"/>
          <w:highlight w:val="none"/>
          <w:u w:val="single"/>
        </w:rPr>
        <w:sym w:font="Wingdings 2" w:char="0052"/>
      </w:r>
      <w:r>
        <w:rPr>
          <w:rFonts w:hint="eastAsia" w:ascii="仿宋_GB2312" w:hAnsi="仿宋_GB2312" w:eastAsia="仿宋_GB2312" w:cs="仿宋_GB2312"/>
          <w:color w:val="auto"/>
          <w:sz w:val="28"/>
          <w:szCs w:val="28"/>
          <w:highlight w:val="none"/>
          <w:u w:val="single"/>
        </w:rPr>
        <w:t>公开采购</w:t>
      </w:r>
      <w:r>
        <w:rPr>
          <w:rFonts w:hint="eastAsia" w:ascii="仿宋_GB2312" w:hAnsi="仿宋_GB2312" w:eastAsia="仿宋_GB2312"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广州市净水有限公司地埋式净水厂通风除臭系统节能运行管控技术研究与应用</w:t>
      </w:r>
      <w:r>
        <w:rPr>
          <w:rFonts w:hint="eastAsia" w:ascii="仿宋_GB2312" w:eastAsia="仿宋_GB2312"/>
          <w:color w:val="auto"/>
          <w:sz w:val="28"/>
          <w:szCs w:val="28"/>
          <w:highlight w:val="none"/>
          <w:u w:val="single"/>
        </w:rPr>
        <w:t xml:space="preserve">项目 </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XJ-20241016-1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913,244.10</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含全额增值税专用发票</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本项目需到净水公司指定净水厂内开展科技研究，完成研究任务内容，并取得相应研究成果。具体内容详见采购需求 </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自合同生效之日起</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个月 </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广州市净水有限公司指定的净水厂 </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服务内容及需求需满足采购文件及合同要求  </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详见合同附件  </w:t>
      </w:r>
      <w:r>
        <w:rPr>
          <w:rFonts w:hint="eastAsia" w:ascii="仿宋_GB2312"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资质。</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single"/>
        </w:rPr>
        <w:t xml:space="preserve"> 2021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rPr>
        <w:t>日至今，供应商最少</w:t>
      </w:r>
      <w:r>
        <w:rPr>
          <w:rFonts w:hint="eastAsia" w:ascii="仿宋_GB2312" w:eastAsia="仿宋_GB2312"/>
          <w:color w:val="auto"/>
          <w:sz w:val="28"/>
          <w:szCs w:val="28"/>
          <w:highlight w:val="none"/>
          <w:u w:val="single"/>
        </w:rPr>
        <w:t xml:space="preserve"> 牵头承担过一项合同金额不少于60万元的大气类节能降碳或大气污染物管控或大气污染物治理政府科技计划项目（课题）或经认定登记的技术合同实施业绩</w:t>
      </w:r>
      <w:r>
        <w:rPr>
          <w:rFonts w:hint="eastAsia" w:ascii="仿宋_GB2312" w:eastAsia="仿宋_GB2312"/>
          <w:color w:val="auto"/>
          <w:sz w:val="28"/>
          <w:szCs w:val="28"/>
          <w:highlight w:val="none"/>
        </w:rPr>
        <w:t>。提供科技计划项目（课题）任务书（或合同书）或技术合同（及认定登记证明）、对应合同发票或资金转账证明（适用于政府科技计划项目），日期以合同时间为准，金额以合同金额为准，包括但不限于项目名称、金额及实施内容、合同盖章、签订日期，加盖单位公章。</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single"/>
        </w:rPr>
        <w:t>生态环境类高级职称(副研究员或高级工程师或副教授)或以上职称</w:t>
      </w:r>
      <w:r>
        <w:rPr>
          <w:rFonts w:hint="eastAsia" w:ascii="仿宋_GB2312" w:eastAsia="仿宋_GB2312"/>
          <w:color w:val="auto"/>
          <w:sz w:val="28"/>
          <w:szCs w:val="28"/>
          <w:highlight w:val="none"/>
        </w:rPr>
        <w:t>资格条件。须提供职称证书复印件，并提供在本单位近三个月社保记录（以加盖社会保险基金管理中心印章的《缴费历史明细表》或《社会保险参保人员证明》为准，加盖单位公章。</w:t>
      </w:r>
    </w:p>
    <w:p>
      <w:pPr>
        <w:adjustRightInd w:val="0"/>
        <w:snapToGrid w:val="0"/>
        <w:spacing w:line="600" w:lineRule="exact"/>
        <w:ind w:firstLine="560" w:firstLineChars="200"/>
        <w:jc w:val="left"/>
        <w:rPr>
          <w:rFonts w:hint="eastAsia" w:ascii="仿宋_GB2312" w:hAnsi="仿宋_GB2312" w:eastAsia="仿宋_GB2312" w:cs="仿宋_GB2312"/>
          <w:strike/>
          <w:color w:val="auto"/>
          <w:sz w:val="28"/>
          <w:szCs w:val="28"/>
          <w:highlight w:val="none"/>
          <w:lang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（5）其他要求：</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（7）在“信用中国”网站（www.creditchina.gov.cn）中被列入失信被执行人、安全生产领域严重失信惩戒名单、拖欠农民工工资失信联合惩戒对象名单。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（8）在“信用中国”网站（www.creditchina.gov.cn）中被列入严重失信主体名单。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（9）其他违法违纪行为，经审查认为不宜被邀请参加采购活动的。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（10）其他禁止情形：</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3.3本次项目□接受  ☑不接受联合体参加采购活动</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联合体的资格认定标准如下：</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Cs w:val="21"/>
          <w:highlight w:val="none"/>
        </w:rPr>
        <w:t>（注：此部分应明确由同一专业或不同专业组成的联合体中各专业的资质、业绩、信誉、主要人员等的认定方法，以最终认定联合体的资格。）</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下载采购文件，无需报名。</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不组织</w:t>
      </w:r>
    </w:p>
    <w:p>
      <w:pPr>
        <w:adjustRightInd w:val="0"/>
        <w:snapToGrid w:val="0"/>
        <w:spacing w:line="60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组织：供应商可</w:t>
      </w:r>
      <w:r>
        <w:rPr>
          <w:rFonts w:hint="eastAsia" w:ascii="仿宋_GB2312" w:hAnsi="仿宋_GB2312" w:eastAsia="仿宋_GB2312" w:cs="仿宋_GB2312"/>
          <w:color w:val="auto"/>
          <w:sz w:val="28"/>
          <w:szCs w:val="28"/>
          <w:highlight w:val="none"/>
          <w:lang w:val="zh-CN"/>
        </w:rPr>
        <w:t>自行</w:t>
      </w:r>
      <w:r>
        <w:rPr>
          <w:rFonts w:hint="eastAsia" w:ascii="仿宋_GB2312" w:hAnsi="仿宋_GB2312" w:eastAsia="仿宋_GB2312" w:cs="仿宋_GB2312"/>
          <w:color w:val="auto"/>
          <w:sz w:val="28"/>
          <w:szCs w:val="28"/>
          <w:highlight w:val="none"/>
        </w:rPr>
        <w:t>选择是否前往现场踏勘</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若前往现场踏勘须在规定时间内到达集中地点，逾期不再接待</w:t>
      </w:r>
      <w:r>
        <w:rPr>
          <w:rFonts w:hint="eastAsia" w:ascii="仿宋_GB2312" w:hAnsi="仿宋_GB2312" w:eastAsia="仿宋_GB2312" w:cs="仿宋_GB2312"/>
          <w:color w:val="auto"/>
          <w:sz w:val="28"/>
          <w:szCs w:val="28"/>
          <w:highlight w:val="none"/>
          <w:lang w:val="zh-CN"/>
        </w:rPr>
        <w:t>。</w:t>
      </w:r>
    </w:p>
    <w:p>
      <w:pPr>
        <w:pStyle w:val="22"/>
        <w:spacing w:line="600" w:lineRule="exact"/>
        <w:ind w:firstLine="560" w:firstLineChars="200"/>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踏勘现场联系人：</w:t>
      </w:r>
    </w:p>
    <w:p>
      <w:pPr>
        <w:pStyle w:val="22"/>
        <w:spacing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rPr>
        <w:t>踏勘现场联系人联系方式：</w:t>
      </w:r>
    </w:p>
    <w:p>
      <w:pPr>
        <w:adjustRightInd w:val="0"/>
        <w:snapToGrid w:val="0"/>
        <w:spacing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踏勘（答疑）集合时间：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hAnsi="仿宋_GB2312" w:eastAsia="仿宋_GB2312" w:cs="仿宋_GB2312"/>
          <w:color w:val="auto"/>
          <w:sz w:val="28"/>
          <w:szCs w:val="28"/>
          <w:highlight w:val="none"/>
        </w:rPr>
        <w:t>。</w:t>
      </w:r>
    </w:p>
    <w:p>
      <w:pPr>
        <w:adjustRightInd w:val="0"/>
        <w:snapToGrid w:val="0"/>
        <w:spacing w:line="600" w:lineRule="exact"/>
        <w:ind w:firstLine="560" w:firstLineChars="200"/>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踏勘集中地点：</w:t>
      </w:r>
      <w:r>
        <w:rPr>
          <w:rFonts w:hint="eastAsia" w:ascii="仿宋_GB2312" w:hAnsi="仿宋_GB2312" w:eastAsia="仿宋_GB2312" w:cs="仿宋_GB2312"/>
          <w:color w:val="auto"/>
          <w:sz w:val="28"/>
          <w:szCs w:val="28"/>
          <w:highlight w:val="none"/>
          <w:u w:val="single"/>
        </w:rPr>
        <w:t xml:space="preserve">                               </w:t>
      </w:r>
      <w:r>
        <w:rPr>
          <w:rFonts w:hint="eastAsia" w:ascii="仿宋_GB2312" w:eastAsia="仿宋_GB2312"/>
          <w:color w:val="auto"/>
          <w:sz w:val="28"/>
          <w:szCs w:val="28"/>
          <w:highlight w:val="none"/>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6.2递交响应文件截止时间：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6.3递交地址：</w:t>
      </w:r>
      <w:r>
        <w:rPr>
          <w:rFonts w:hint="eastAsia" w:ascii="仿宋_GB2312" w:eastAsia="仿宋_GB2312"/>
          <w:color w:val="auto"/>
          <w:sz w:val="28"/>
          <w:szCs w:val="28"/>
          <w:highlight w:val="none"/>
          <w:u w:val="single"/>
        </w:rPr>
        <w:t>广州市天河区临江大道501号广州市净水有限公司6楼招标部</w:t>
      </w:r>
      <w:r>
        <w:rPr>
          <w:rFonts w:hint="eastAsia" w:ascii="仿宋_GB2312" w:eastAsia="仿宋_GB2312"/>
          <w:color w:val="auto"/>
          <w:sz w:val="28"/>
          <w:szCs w:val="28"/>
          <w:highlight w:val="none"/>
        </w:rPr>
        <w:t>。</w:t>
      </w:r>
    </w:p>
    <w:p>
      <w:pPr>
        <w:pStyle w:val="7"/>
        <w:spacing w:after="0" w:line="600" w:lineRule="exact"/>
        <w:ind w:firstLine="560" w:firstLineChars="200"/>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spacing w:after="0" w:line="600" w:lineRule="exact"/>
        <w:ind w:firstLine="560" w:firstLineChars="200"/>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spacing w:after="0" w:line="600" w:lineRule="exact"/>
        <w:ind w:firstLine="560" w:firstLineChars="200"/>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spacing w:after="0" w:line="600" w:lineRule="exact"/>
        <w:ind w:firstLine="560" w:firstLineChars="200"/>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spacing w:after="0" w:line="600" w:lineRule="exact"/>
        <w:ind w:firstLine="560" w:firstLineChars="200"/>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spacing w:after="0" w:line="600" w:lineRule="exact"/>
        <w:ind w:firstLine="560" w:firstLineChars="200"/>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本项目采购公告（采购邀请书）、公告补充及修改同步在广州市净水有限公司门户网站及广州国企阳光采购服务平台上发布。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eastAsia="仿宋_GB2312"/>
          <w:b/>
          <w:bCs/>
          <w:color w:val="auto"/>
          <w:sz w:val="28"/>
          <w:szCs w:val="28"/>
          <w:highlight w:val="none"/>
        </w:rPr>
        <w:t>广州市净水有限公司</w:t>
      </w:r>
      <w:r>
        <w:rPr>
          <w:rFonts w:hint="eastAsia" w:ascii="仿宋_GB2312" w:hAnsi="Calibri" w:eastAsia="仿宋_GB2312" w:cs="Times New Roman"/>
          <w:b/>
          <w:bCs/>
          <w:color w:val="auto"/>
          <w:sz w:val="28"/>
          <w:szCs w:val="28"/>
          <w:highlight w:val="none"/>
        </w:rPr>
        <w:t>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adjustRightInd w:val="0"/>
        <w:snapToGrid w:val="0"/>
        <w:spacing w:line="600" w:lineRule="exact"/>
        <w:ind w:firstLine="560" w:firstLineChars="20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adjustRightInd w:val="0"/>
        <w:snapToGrid w:val="0"/>
        <w:spacing w:line="600" w:lineRule="exact"/>
        <w:ind w:firstLine="560" w:firstLineChars="20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w:t>
      </w:r>
      <w:r>
        <w:rPr>
          <w:rFonts w:hint="eastAsia" w:ascii="仿宋_GB2312" w:hAnsi="仿宋" w:eastAsia="仿宋_GB2312"/>
          <w:color w:val="auto"/>
          <w:sz w:val="28"/>
          <w:szCs w:val="28"/>
          <w:highlight w:val="none"/>
          <w:u w:val="single"/>
          <w:lang w:val="en-US" w:eastAsia="zh-CN"/>
        </w:rPr>
        <w:t>467</w:t>
      </w:r>
      <w:r>
        <w:rPr>
          <w:rFonts w:ascii="仿宋_GB2312" w:hAnsi="仿宋" w:eastAsia="仿宋_GB2312"/>
          <w:color w:val="auto"/>
          <w:sz w:val="28"/>
          <w:szCs w:val="28"/>
          <w:highlight w:val="none"/>
        </w:rPr>
        <w:t>。</w:t>
      </w:r>
    </w:p>
    <w:p>
      <w:pPr>
        <w:widowControl/>
        <w:adjustRightInd w:val="0"/>
        <w:snapToGrid w:val="0"/>
        <w:spacing w:line="600" w:lineRule="exact"/>
        <w:ind w:firstLine="560" w:firstLineChars="20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spacing w:line="360" w:lineRule="auto"/>
        <w:rPr>
          <w:rFonts w:ascii="仿宋_GB2312" w:hAnsi="仿宋_GB2312" w:eastAsia="仿宋_GB2312" w:cs="仿宋_GB2312"/>
          <w:color w:val="auto"/>
          <w:sz w:val="28"/>
          <w:szCs w:val="28"/>
          <w:highlight w:val="none"/>
        </w:rPr>
      </w:pPr>
      <w:bookmarkStart w:id="13" w:name="_Toc10891"/>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bookmarkStart w:id="14" w:name="_Toc9448"/>
      <w:bookmarkStart w:id="15" w:name="_Toc32588"/>
      <w:bookmarkStart w:id="16" w:name="_Toc16705"/>
      <w:bookmarkStart w:id="17" w:name="_Toc16557"/>
      <w:bookmarkStart w:id="18" w:name="_Toc23749"/>
      <w:bookmarkStart w:id="19" w:name="_Toc25603"/>
      <w:bookmarkStart w:id="20" w:name="_Toc19295"/>
      <w:bookmarkStart w:id="21" w:name="_Toc2324"/>
      <w:bookmarkStart w:id="22" w:name="_Toc7340"/>
      <w:bookmarkStart w:id="23" w:name="_Toc2331"/>
    </w:p>
    <w:p>
      <w:pPr>
        <w:pBdr>
          <w:top w:val="double" w:color="auto" w:sz="4" w:space="0"/>
          <w:bottom w:val="double" w:color="auto" w:sz="4" w:space="0"/>
        </w:pBd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第二章</w:t>
      </w:r>
    </w:p>
    <w:bookmarkEnd w:id="13"/>
    <w:bookmarkEnd w:id="14"/>
    <w:bookmarkEnd w:id="15"/>
    <w:bookmarkEnd w:id="16"/>
    <w:bookmarkEnd w:id="17"/>
    <w:bookmarkEnd w:id="18"/>
    <w:bookmarkEnd w:id="19"/>
    <w:bookmarkEnd w:id="20"/>
    <w:bookmarkEnd w:id="21"/>
    <w:bookmarkEnd w:id="22"/>
    <w:bookmarkEnd w:id="23"/>
    <w:p>
      <w:pPr>
        <w:spacing w:line="360" w:lineRule="auto"/>
        <w:rPr>
          <w:rFonts w:ascii="仿宋_GB2312" w:hAnsi="仿宋_GB2312" w:eastAsia="仿宋_GB2312" w:cs="仿宋_GB2312"/>
          <w:color w:val="auto"/>
          <w:sz w:val="28"/>
          <w:szCs w:val="28"/>
          <w:highlight w:val="none"/>
        </w:rPr>
      </w:pPr>
      <w:bookmarkStart w:id="24" w:name="_Toc3416"/>
      <w:bookmarkStart w:id="25" w:name="_Toc2339"/>
    </w:p>
    <w:p>
      <w:pPr>
        <w:pStyle w:val="5"/>
        <w:spacing w:before="0" w:after="0" w:line="360" w:lineRule="auto"/>
        <w:rPr>
          <w:color w:val="auto"/>
          <w:sz w:val="44"/>
          <w:szCs w:val="40"/>
          <w:highlight w:val="none"/>
        </w:rPr>
      </w:pPr>
      <w:r>
        <w:rPr>
          <w:rFonts w:hint="eastAsia"/>
          <w:color w:val="auto"/>
          <w:sz w:val="44"/>
          <w:szCs w:val="40"/>
          <w:highlight w:val="none"/>
        </w:rPr>
        <w:t>供应商须知</w:t>
      </w:r>
      <w:bookmarkEnd w:id="24"/>
      <w:bookmarkEnd w:id="25"/>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pPr>
        <w:numPr>
          <w:ilvl w:val="0"/>
          <w:numId w:val="3"/>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numPr>
          <w:ilvl w:val="255"/>
          <w:numId w:val="0"/>
        </w:numPr>
        <w:adjustRightInd/>
        <w:snapToGrid/>
        <w:spacing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详见第一章采购公告（采购邀请书）3.供应商资格要求</w:t>
      </w:r>
    </w:p>
    <w:p>
      <w:pPr>
        <w:numPr>
          <w:ilvl w:val="0"/>
          <w:numId w:val="3"/>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numPr>
          <w:ilvl w:val="255"/>
          <w:numId w:val="0"/>
        </w:numPr>
        <w:spacing w:line="60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rPr>
              <w:t>2.3</w:t>
            </w:r>
          </w:p>
        </w:tc>
        <w:tc>
          <w:tcPr>
            <w:tcW w:w="1680" w:type="dxa"/>
            <w:vAlign w:val="center"/>
          </w:tcPr>
          <w:p>
            <w:pPr>
              <w:adjustRightInd w:val="0"/>
              <w:snapToGrid w:val="0"/>
              <w:jc w:val="center"/>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750"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color w:val="auto"/>
                <w:sz w:val="24"/>
                <w:szCs w:val="24"/>
                <w:highlight w:val="none"/>
              </w:rPr>
              <w:t>推荐</w:t>
            </w:r>
            <w:r>
              <w:rPr>
                <w:rFonts w:hint="eastAsia" w:ascii="仿宋_GB2312" w:hAnsi="仿宋_GB2312" w:eastAsia="仿宋_GB2312" w:cs="仿宋_GB2312"/>
                <w:color w:val="auto"/>
                <w:sz w:val="24"/>
                <w:szCs w:val="24"/>
                <w:highlight w:val="none"/>
                <w:u w:val="single"/>
              </w:rPr>
              <w:t>2</w:t>
            </w:r>
            <w:r>
              <w:rPr>
                <w:rFonts w:hint="eastAsia" w:ascii="仿宋_GB2312" w:hAnsi="仿宋_GB2312" w:eastAsia="仿宋_GB2312" w:cs="仿宋_GB2312"/>
                <w:color w:val="auto"/>
                <w:sz w:val="24"/>
                <w:szCs w:val="24"/>
                <w:highlight w:val="none"/>
              </w:rPr>
              <w:t>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ascii="仿宋_GB2312" w:eastAsia="仿宋_GB2312"/>
                <w:color w:val="auto"/>
                <w:sz w:val="24"/>
                <w:szCs w:val="24"/>
                <w:highlight w:val="none"/>
              </w:rPr>
            </w:pPr>
          </w:p>
        </w:tc>
        <w:tc>
          <w:tcPr>
            <w:tcW w:w="1680" w:type="dxa"/>
            <w:vMerge w:val="continue"/>
            <w:vAlign w:val="center"/>
          </w:tcPr>
          <w:p>
            <w:pPr>
              <w:adjustRightInd w:val="0"/>
              <w:snapToGrid w:val="0"/>
              <w:jc w:val="center"/>
              <w:rPr>
                <w:rFonts w:ascii="仿宋_GB2312" w:eastAsia="仿宋_GB2312"/>
                <w:color w:val="auto"/>
                <w:sz w:val="24"/>
                <w:szCs w:val="24"/>
                <w:highlight w:val="none"/>
              </w:rPr>
            </w:pPr>
          </w:p>
        </w:tc>
        <w:tc>
          <w:tcPr>
            <w:tcW w:w="5750" w:type="dxa"/>
            <w:tcBorders>
              <w:right w:val="nil"/>
            </w:tcBorders>
            <w:vAlign w:val="center"/>
          </w:tcPr>
          <w:p>
            <w:pPr>
              <w:jc w:val="left"/>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采购人</w:t>
            </w:r>
            <w:r>
              <w:rPr>
                <w:rFonts w:hint="eastAsia" w:ascii="仿宋_GB2312" w:hAnsi="仿宋_GB2312" w:eastAsia="仿宋_GB2312" w:cs="仿宋_GB2312"/>
                <w:color w:val="auto"/>
                <w:sz w:val="24"/>
                <w:szCs w:val="24"/>
                <w:highlight w:val="none"/>
              </w:rPr>
              <w:t>和成交供应商应当在成交-通知书发出之日起</w:t>
            </w:r>
            <w:r>
              <w:rPr>
                <w:rFonts w:hint="eastAsia" w:ascii="仿宋_GB2312" w:hAnsi="仿宋_GB2312" w:eastAsia="仿宋_GB2312" w:cs="仿宋_GB2312"/>
                <w:color w:val="auto"/>
                <w:sz w:val="24"/>
                <w:szCs w:val="24"/>
                <w:highlight w:val="none"/>
                <w:u w:val="single"/>
              </w:rPr>
              <w:t>30</w:t>
            </w:r>
            <w:r>
              <w:rPr>
                <w:rFonts w:hint="eastAsia" w:ascii="仿宋_GB2312" w:hAnsi="仿宋_GB2312" w:eastAsia="仿宋_GB2312" w:cs="仿宋_GB2312"/>
                <w:color w:val="auto"/>
                <w:sz w:val="24"/>
                <w:szCs w:val="24"/>
                <w:highlight w:val="none"/>
              </w:rPr>
              <w:t>日内，根据采购文件和成交供应商的响应文件订立书面合同。</w:t>
            </w:r>
          </w:p>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color w:val="auto"/>
                <w:sz w:val="24"/>
                <w:szCs w:val="24"/>
                <w:highlight w:val="none"/>
              </w:rPr>
              <w:t>合同自采购人成交通知书到达成交供应商时成立。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ascii="仿宋_GB2312" w:eastAsia="仿宋_GB2312"/>
                <w:color w:val="auto"/>
                <w:sz w:val="24"/>
                <w:szCs w:val="24"/>
                <w:highlight w:val="none"/>
              </w:rPr>
            </w:pPr>
          </w:p>
        </w:tc>
        <w:tc>
          <w:tcPr>
            <w:tcW w:w="1680" w:type="dxa"/>
            <w:vMerge w:val="continue"/>
            <w:vAlign w:val="center"/>
          </w:tcPr>
          <w:p>
            <w:pPr>
              <w:adjustRightInd w:val="0"/>
              <w:snapToGrid w:val="0"/>
              <w:jc w:val="center"/>
              <w:rPr>
                <w:rFonts w:ascii="仿宋_GB2312" w:eastAsia="仿宋_GB2312"/>
                <w:color w:val="auto"/>
                <w:sz w:val="24"/>
                <w:szCs w:val="24"/>
                <w:highlight w:val="none"/>
              </w:rPr>
            </w:pPr>
          </w:p>
        </w:tc>
        <w:tc>
          <w:tcPr>
            <w:tcW w:w="5750" w:type="dxa"/>
            <w:tcBorders>
              <w:right w:val="nil"/>
            </w:tcBorders>
            <w:vAlign w:val="center"/>
          </w:tcPr>
          <w:p>
            <w:pPr>
              <w:numPr>
                <w:ilvl w:val="255"/>
                <w:numId w:val="0"/>
              </w:numPr>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成交供应商无正当理由拒签合同，或者在签订合同时向采购人提出附加条件的，采购人有权依据采购文件、成交供应商响应文件和成交通知书等确定合同内容，采购人也有权即刻单方解除合同，追究成交供应商的违约责任，响应保证金不予退还（若有），违约金和响应保证金（若有）不能覆盖采购人实际损失的，对不能覆盖部分的损失，成交供应商应当另行予以赔偿，且采购人有权重新采购。</w:t>
            </w:r>
          </w:p>
          <w:p>
            <w:pPr>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成交供应商被查实供应商资格无效或存在其它不符合中标条件情形的，采购人尚未发出成交通知书的，则成交无效，响应保证金（若有）不予退还，采购人可以按评审小组提出的成交候选人名单排序依次确定其他成交候选供应商为成交供应商，采购人也可以重新采购；采购人已发出成交通知书合同成立的，采购人有权解除合同，响应保证金不予退还（若有）并归采购人所有，且采购人有权重新采购。</w:t>
            </w:r>
          </w:p>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color w:val="auto"/>
                <w:sz w:val="24"/>
                <w:szCs w:val="24"/>
                <w:highlight w:val="none"/>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不一致情形</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响应性</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w:t>
            </w:r>
            <w:r>
              <w:rPr>
                <w:rFonts w:hint="eastAsia" w:ascii="仿宋_GB2312" w:eastAsia="仿宋_GB2312"/>
                <w:color w:val="auto"/>
                <w:sz w:val="24"/>
                <w:szCs w:val="24"/>
                <w:highlight w:val="none"/>
              </w:rPr>
              <w:t>无</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4"/>
                <w:szCs w:val="24"/>
                <w:highlight w:val="none"/>
                <w:u w:val="single"/>
              </w:rPr>
              <w:t>（</w:t>
            </w:r>
            <w:r>
              <w:rPr>
                <w:rFonts w:hint="eastAsia" w:ascii="仿宋_GB2312" w:eastAsia="仿宋_GB2312"/>
                <w:color w:val="auto"/>
                <w:sz w:val="24"/>
                <w:szCs w:val="24"/>
                <w:highlight w:val="none"/>
                <w:u w:val="single"/>
              </w:rPr>
              <w:t>招标采购代理费金额、支付人、支付方式等</w:t>
            </w:r>
            <w:r>
              <w:rPr>
                <w:rFonts w:hint="eastAsia" w:ascii="仿宋_GB2312" w:eastAsia="仿宋_GB2312" w:hAnsiTheme="minorEastAsia"/>
                <w:color w:val="auto"/>
                <w:sz w:val="24"/>
                <w:szCs w:val="24"/>
                <w:highlight w:val="none"/>
                <w:u w:val="single"/>
              </w:rPr>
              <w:t>）</w:t>
            </w:r>
          </w:p>
        </w:tc>
      </w:tr>
    </w:tbl>
    <w:p>
      <w:pPr>
        <w:numPr>
          <w:ilvl w:val="0"/>
          <w:numId w:val="3"/>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numPr>
          <w:ilvl w:val="0"/>
          <w:numId w:val="3"/>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（9）非法定代表人或授权委托代理人递交响应文件。</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（10）其他不符合采购文件要求的情形。</w:t>
      </w:r>
    </w:p>
    <w:p>
      <w:pPr>
        <w:numPr>
          <w:ilvl w:val="0"/>
          <w:numId w:val="3"/>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numPr>
          <w:ilvl w:val="0"/>
          <w:numId w:val="3"/>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响应文件包括下列内容:</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numPr>
          <w:ilvl w:val="0"/>
          <w:numId w:val="3"/>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7.1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7.3异议人与采购人对异议事项无法达成一致的，异议人可向采购人的监管部门进行反映。</w:t>
      </w:r>
    </w:p>
    <w:p>
      <w:pPr>
        <w:numPr>
          <w:ilvl w:val="0"/>
          <w:numId w:val="3"/>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spacing w:line="600" w:lineRule="exact"/>
        <w:ind w:firstLine="560" w:firstLineChars="200"/>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spacing w:line="600" w:lineRule="exact"/>
        <w:ind w:firstLine="560" w:firstLineChars="200"/>
        <w:jc w:val="left"/>
        <w:rPr>
          <w:rFonts w:asciiTheme="majorEastAsia" w:hAnsiTheme="majorEastAsia" w:eastAsiaTheme="majorEastAsia"/>
          <w:b/>
          <w:color w:val="auto"/>
          <w:sz w:val="28"/>
          <w:szCs w:val="28"/>
          <w:highlight w:val="none"/>
        </w:rPr>
      </w:pPr>
      <w:r>
        <w:rPr>
          <w:rFonts w:hint="eastAsia" w:ascii="仿宋_GB2312" w:eastAsia="仿宋_GB2312"/>
          <w:color w:val="auto"/>
          <w:sz w:val="28"/>
          <w:szCs w:val="28"/>
          <w:highlight w:val="none"/>
        </w:rPr>
        <w:t>附件5：关于**项目异议书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39"/>
        <w:rPr>
          <w:rFonts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附件2</w:t>
      </w:r>
    </w:p>
    <w:p>
      <w:pPr>
        <w:adjustRightInd w:val="0"/>
        <w:snapToGrid w:val="0"/>
        <w:jc w:val="center"/>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39"/>
        <w:rPr>
          <w:rFonts w:ascii="仿宋_GB2312" w:hAnsi="仿宋_GB2312" w:eastAsia="仿宋_GB2312" w:cs="仿宋_GB2312"/>
          <w:color w:val="auto"/>
          <w:highlight w:val="none"/>
        </w:rPr>
      </w:pPr>
    </w:p>
    <w:p>
      <w:pPr>
        <w:adjustRightInd w:val="0"/>
        <w:snapToGrid w:val="0"/>
        <w:spacing w:line="600" w:lineRule="exac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rPr>
        <w:t>：</w:t>
      </w:r>
    </w:p>
    <w:p>
      <w:pPr>
        <w:adjustRightInd w:val="0"/>
        <w:snapToGrid w:val="0"/>
        <w:spacing w:line="60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adjustRightInd w:val="0"/>
        <w:snapToGrid w:val="0"/>
        <w:spacing w:line="60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adjustRightInd w:val="0"/>
        <w:snapToGrid w:val="0"/>
        <w:spacing w:line="60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ascii="仿宋_GB2312" w:eastAsia="仿宋_GB2312" w:hAnsiTheme="majorEastAsia"/>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日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附件3</w:t>
      </w:r>
    </w:p>
    <w:p>
      <w:pPr>
        <w:adjustRightInd w:val="0"/>
        <w:snapToGrid w:val="0"/>
        <w:jc w:val="center"/>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附件4</w:t>
      </w:r>
    </w:p>
    <w:p>
      <w:pPr>
        <w:adjustRightInd w:val="0"/>
        <w:snapToGrid w:val="0"/>
        <w:jc w:val="center"/>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附件5</w:t>
      </w:r>
    </w:p>
    <w:p>
      <w:pPr>
        <w:adjustRightInd w:val="0"/>
        <w:snapToGrid w:val="0"/>
        <w:jc w:val="center"/>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住所地：   </w:t>
      </w:r>
      <w:r>
        <w:rPr>
          <w:rFonts w:hAnsi="宋体" w:cs="仿宋_GB2312"/>
          <w:color w:val="auto"/>
          <w:kern w:val="0"/>
          <w:sz w:val="28"/>
          <w:szCs w:val="28"/>
          <w:highlight w:val="none"/>
        </w:rPr>
        <w:t xml:space="preserve"> 邮编：</w:t>
      </w:r>
    </w:p>
    <w:p>
      <w:pPr>
        <w:widowControl/>
        <w:jc w:val="left"/>
        <w:rPr>
          <w:rFonts w:hAnsi="宋体" w:eastAsia="宋体" w:cs="宋体"/>
          <w:color w:val="auto"/>
          <w:kern w:val="0"/>
          <w:sz w:val="28"/>
          <w:szCs w:val="28"/>
          <w:highlight w:val="none"/>
        </w:rPr>
      </w:pPr>
      <w:r>
        <w:rPr>
          <w:rFonts w:hint="eastAsia" w:hAnsi="宋体" w:cs="仿宋_GB2312"/>
          <w:color w:val="auto"/>
          <w:kern w:val="0"/>
          <w:sz w:val="28"/>
          <w:szCs w:val="28"/>
          <w:highlight w:val="none"/>
        </w:rPr>
        <w:t>法定代表人：      联系电话：</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异议人授权代表：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             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spacing w:line="360" w:lineRule="auto"/>
        <w:jc w:val="left"/>
        <w:rPr>
          <w:rFonts w:ascii="仿宋_GB2312" w:eastAsia="仿宋_GB2312"/>
          <w:color w:val="auto"/>
          <w:sz w:val="28"/>
          <w:szCs w:val="28"/>
          <w:highlight w:val="none"/>
        </w:rPr>
      </w:pPr>
    </w:p>
    <w:p>
      <w:pPr>
        <w:spacing w:line="360" w:lineRule="auto"/>
        <w:jc w:val="left"/>
        <w:rPr>
          <w:rFonts w:ascii="仿宋_GB2312" w:eastAsia="仿宋_GB2312"/>
          <w:color w:val="auto"/>
          <w:sz w:val="28"/>
          <w:szCs w:val="28"/>
          <w:highlight w:val="none"/>
        </w:rPr>
      </w:pPr>
    </w:p>
    <w:p>
      <w:pPr>
        <w:spacing w:line="360" w:lineRule="auto"/>
        <w:jc w:val="left"/>
        <w:rPr>
          <w:rFonts w:ascii="仿宋_GB2312" w:eastAsia="仿宋_GB2312"/>
          <w:color w:val="auto"/>
          <w:sz w:val="28"/>
          <w:szCs w:val="28"/>
          <w:highlight w:val="none"/>
        </w:rPr>
      </w:pPr>
    </w:p>
    <w:p>
      <w:pPr>
        <w:spacing w:line="360" w:lineRule="auto"/>
        <w:jc w:val="left"/>
        <w:rPr>
          <w:rFonts w:ascii="仿宋_GB2312" w:eastAsia="仿宋_GB2312"/>
          <w:color w:val="auto"/>
          <w:sz w:val="28"/>
          <w:szCs w:val="28"/>
          <w:highlight w:val="none"/>
        </w:rPr>
      </w:pPr>
    </w:p>
    <w:p>
      <w:pPr>
        <w:spacing w:line="360" w:lineRule="auto"/>
        <w:jc w:val="left"/>
        <w:rPr>
          <w:rFonts w:ascii="仿宋_GB2312" w:eastAsia="仿宋_GB2312"/>
          <w:color w:val="auto"/>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第三章</w:t>
      </w:r>
    </w:p>
    <w:p>
      <w:pPr>
        <w:spacing w:line="360" w:lineRule="auto"/>
        <w:jc w:val="left"/>
        <w:rPr>
          <w:rFonts w:ascii="仿宋_GB2312" w:eastAsia="仿宋_GB2312"/>
          <w:color w:val="auto"/>
          <w:sz w:val="28"/>
          <w:szCs w:val="28"/>
          <w:highlight w:val="none"/>
        </w:rPr>
      </w:pPr>
    </w:p>
    <w:p>
      <w:pPr>
        <w:pStyle w:val="5"/>
        <w:spacing w:before="0" w:after="0" w:line="360" w:lineRule="auto"/>
        <w:rPr>
          <w:color w:val="auto"/>
          <w:sz w:val="44"/>
          <w:szCs w:val="40"/>
          <w:highlight w:val="none"/>
        </w:rPr>
      </w:pPr>
      <w:bookmarkStart w:id="26" w:name="_Toc7303"/>
      <w:bookmarkStart w:id="27" w:name="_Toc88209934"/>
      <w:bookmarkStart w:id="28" w:name="_Toc7040"/>
      <w:bookmarkStart w:id="29" w:name="_Toc87616371"/>
      <w:r>
        <w:rPr>
          <w:rFonts w:hint="eastAsia"/>
          <w:color w:val="auto"/>
          <w:sz w:val="44"/>
          <w:szCs w:val="40"/>
          <w:highlight w:val="none"/>
        </w:rPr>
        <w:t>采购方法</w:t>
      </w:r>
      <w:bookmarkEnd w:id="26"/>
      <w:bookmarkEnd w:id="27"/>
      <w:bookmarkEnd w:id="28"/>
      <w:bookmarkEnd w:id="29"/>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5"/>
        <w:rPr>
          <w:color w:val="auto"/>
          <w:highlight w:val="none"/>
        </w:rPr>
      </w:pPr>
      <w:bookmarkStart w:id="30" w:name="_Toc3789"/>
      <w:bookmarkStart w:id="31" w:name="_Toc24895"/>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806"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hAnsiTheme="minorEastAsia"/>
                <w:color w:val="auto"/>
                <w:sz w:val="24"/>
                <w:szCs w:val="24"/>
                <w:highlight w:val="none"/>
              </w:rPr>
              <w:t>。</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p>
          <w:p>
            <w:pPr>
              <w:adjustRightInd w:val="0"/>
              <w:snapToGrid w:val="0"/>
              <w:ind w:firstLine="480" w:firstLineChars="200"/>
              <w:rPr>
                <w:rFonts w:ascii="仿宋_GB2312" w:eastAsia="仿宋_GB2312" w:hAnsiTheme="minorEastAsia"/>
                <w:color w:val="auto"/>
                <w:sz w:val="24"/>
                <w:szCs w:val="24"/>
                <w:highlight w:val="none"/>
              </w:rPr>
            </w:pPr>
            <w:r>
              <w:rPr>
                <w:rFonts w:ascii="仿宋_GB2312" w:eastAsia="仿宋_GB2312" w:hAnsiTheme="minorEastAsia"/>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spacing w:line="360" w:lineRule="auto"/>
        <w:ind w:firstLine="560" w:firstLineChars="200"/>
        <w:jc w:val="left"/>
        <w:rPr>
          <w:rFonts w:ascii="仿宋_GB2312" w:eastAsia="仿宋_GB2312"/>
          <w:color w:val="auto"/>
          <w:sz w:val="28"/>
          <w:szCs w:val="28"/>
          <w:highlight w:val="none"/>
        </w:rPr>
      </w:pPr>
    </w:p>
    <w:p>
      <w:pPr>
        <w:spacing w:line="360" w:lineRule="auto"/>
        <w:ind w:firstLine="560" w:firstLineChars="200"/>
        <w:jc w:val="left"/>
        <w:rPr>
          <w:rFonts w:ascii="仿宋_GB2312" w:eastAsia="仿宋_GB2312"/>
          <w:color w:val="auto"/>
          <w:sz w:val="28"/>
          <w:szCs w:val="28"/>
          <w:highlight w:val="none"/>
        </w:rPr>
      </w:pPr>
    </w:p>
    <w:p>
      <w:pPr>
        <w:spacing w:line="360" w:lineRule="auto"/>
        <w:ind w:firstLine="560" w:firstLineChars="200"/>
        <w:jc w:val="left"/>
        <w:rPr>
          <w:rFonts w:ascii="仿宋_GB2312" w:eastAsia="仿宋_GB2312"/>
          <w:color w:val="auto"/>
          <w:sz w:val="28"/>
          <w:szCs w:val="28"/>
          <w:highlight w:val="none"/>
        </w:rPr>
      </w:pPr>
    </w:p>
    <w:p>
      <w:pPr>
        <w:spacing w:line="360" w:lineRule="auto"/>
        <w:ind w:firstLine="560" w:firstLineChars="200"/>
        <w:jc w:val="left"/>
        <w:rPr>
          <w:rFonts w:ascii="仿宋_GB2312" w:eastAsia="仿宋_GB2312"/>
          <w:color w:val="auto"/>
          <w:sz w:val="28"/>
          <w:szCs w:val="28"/>
          <w:highlight w:val="none"/>
        </w:rPr>
      </w:pPr>
    </w:p>
    <w:p>
      <w:pPr>
        <w:spacing w:line="360" w:lineRule="auto"/>
        <w:ind w:firstLine="560" w:firstLineChars="200"/>
        <w:jc w:val="left"/>
        <w:rPr>
          <w:rFonts w:ascii="仿宋_GB2312" w:eastAsia="仿宋_GB2312"/>
          <w:color w:val="auto"/>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第四章</w:t>
      </w:r>
    </w:p>
    <w:p>
      <w:pPr>
        <w:spacing w:line="360" w:lineRule="auto"/>
        <w:ind w:firstLine="560" w:firstLineChars="200"/>
        <w:jc w:val="left"/>
        <w:rPr>
          <w:rFonts w:ascii="仿宋_GB2312" w:eastAsia="仿宋_GB2312"/>
          <w:color w:val="auto"/>
          <w:sz w:val="28"/>
          <w:szCs w:val="28"/>
          <w:highlight w:val="none"/>
        </w:rPr>
      </w:pPr>
    </w:p>
    <w:p>
      <w:pPr>
        <w:spacing w:line="360" w:lineRule="auto"/>
        <w:jc w:val="center"/>
        <w:rPr>
          <w:rFonts w:ascii="方正小标宋简体" w:hAnsi="方正小标宋简体" w:eastAsia="方正小标宋简体" w:cs="方正小标宋简体"/>
          <w:color w:val="auto"/>
          <w:sz w:val="44"/>
          <w:szCs w:val="44"/>
          <w:highlight w:val="none"/>
        </w:rPr>
      </w:pPr>
      <w:bookmarkStart w:id="32" w:name="_Toc21840"/>
      <w:bookmarkStart w:id="33" w:name="_Toc22212"/>
      <w:bookmarkStart w:id="34" w:name="_Toc13898"/>
      <w:bookmarkStart w:id="35" w:name="_Toc32607"/>
      <w:bookmarkStart w:id="36" w:name="_Toc7831"/>
      <w:bookmarkStart w:id="37" w:name="_Toc6308"/>
      <w:bookmarkStart w:id="38" w:name="_Toc29484"/>
      <w:bookmarkStart w:id="39" w:name="_Toc21079"/>
      <w:bookmarkStart w:id="40" w:name="_Toc88209941"/>
      <w:bookmarkStart w:id="41" w:name="_Toc29345"/>
      <w:bookmarkStart w:id="42" w:name="_Toc12177"/>
      <w:bookmarkStart w:id="43" w:name="_Toc30530"/>
      <w:bookmarkStart w:id="44" w:name="_Toc87616378"/>
      <w:r>
        <w:rPr>
          <w:rFonts w:hint="eastAsia" w:ascii="方正小标宋简体" w:hAnsi="方正小标宋简体" w:eastAsia="方正小标宋简体" w:cs="方正小标宋简体"/>
          <w:color w:val="auto"/>
          <w:sz w:val="44"/>
          <w:szCs w:val="44"/>
          <w:highlight w:val="none"/>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5"/>
        <w:rPr>
          <w:color w:val="auto"/>
          <w:highlight w:val="none"/>
        </w:rPr>
      </w:pPr>
      <w:r>
        <w:rPr>
          <w:rFonts w:hint="eastAsia"/>
          <w:color w:val="auto"/>
          <w:highlight w:val="none"/>
        </w:rPr>
        <w:sym w:font="Wingdings 2" w:char="0052"/>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本次评审采用综合评分法。</w:t>
      </w:r>
    </w:p>
    <w:p>
      <w:pPr>
        <w:adjustRightInd w:val="0"/>
        <w:snapToGrid w:val="0"/>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2125"/>
        <w:gridCol w:w="552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ind w:firstLine="420" w:firstLineChars="200"/>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40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433"/>
        <w:gridCol w:w="1432"/>
        <w:gridCol w:w="533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80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1434"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43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5341"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1434"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科研平台</w:t>
            </w:r>
          </w:p>
        </w:tc>
        <w:tc>
          <w:tcPr>
            <w:tcW w:w="143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5分</w:t>
            </w:r>
          </w:p>
        </w:tc>
        <w:tc>
          <w:tcPr>
            <w:tcW w:w="534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具备政府机构认定的环境保护学科领域国家级重点实验室/工程研究中心/技术创新中心/科技资源共享服务平台，每个得5分；具备政府机构认定的环境保护学科领域省部级重点实验室/工程研究中心/技术创新中心/科技资源共享服务平台，每个得2分；具备政府机构认定的环境保护学科领域市级重点实验室/工程研究中心/技术创新中心/科技资源共享服务平台，每个得1分；本项最高得5分，无则不得分。</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注：供应商须是科研平台的第一依托单位，提供重点实验室/工程研究中心/技术创新中心/科技资源共享服务平台资质证书或批准证书/证明材料或盖有政府部门公章的政府机构发文，加盖单位公章。如未按要求提供证明材料不予评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1434"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项目负责人资质</w:t>
            </w:r>
          </w:p>
        </w:tc>
        <w:tc>
          <w:tcPr>
            <w:tcW w:w="143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5分</w:t>
            </w:r>
          </w:p>
        </w:tc>
        <w:tc>
          <w:tcPr>
            <w:tcW w:w="534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1.拟担任本项目负责人具有正高级工程师/教授/研究员职称的，得3分；其他则不得分。</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2.拟担任本项目负责人具有注册环保工程师证书或注册公用设备工程师证书的，得2分，其他则不得分。</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注:①提供职称证书、资格证书复印件，并加盖公章。</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②提交自公告发布当月起近3个月或以上在本单位交纳的社保证明(以加盖社会保险基金管理中心印章的《缴费历史明细表》或《社会保险参保人员证明》为准)，加盖单位公章。</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如未按要求提供证明材料不予评分。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1434"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团队成员资质</w:t>
            </w:r>
          </w:p>
        </w:tc>
        <w:tc>
          <w:tcPr>
            <w:tcW w:w="143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5分</w:t>
            </w:r>
          </w:p>
        </w:tc>
        <w:tc>
          <w:tcPr>
            <w:tcW w:w="534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除负责人外，投入的团队人员须满足生态环境类中级职称（或以上）职称资格条件，不少于3人。</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在此基础上，每多提供1人，具备高级工程师/副教授/副研究员职称的得1分；具备正高级工程师/教授/研究员职称的得3分；本项最多得5分，其他则不得分。</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注:①提供职称证书复印件，并加盖公章。</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②提交自公告发布当月起最近3个月或以上在本单位交纳的社保证明(以加盖社会保险基金管理中心印章的《缴费历史明细表》或《社会保险参保人员证明》为准)，加盖单位公章，如未按要求提供证明材料不予评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4</w:t>
            </w:r>
          </w:p>
        </w:tc>
        <w:tc>
          <w:tcPr>
            <w:tcW w:w="1434"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检测能力</w:t>
            </w:r>
          </w:p>
        </w:tc>
        <w:tc>
          <w:tcPr>
            <w:tcW w:w="143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2分</w:t>
            </w:r>
          </w:p>
        </w:tc>
        <w:tc>
          <w:tcPr>
            <w:tcW w:w="534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供应商具备质量技术监督管理部门颁发的计量认证资质（CMA）或中国合格评定国家认可委员会颁发的检验机构资质（CNAS），所认证的检测能力至少涵盖本项目中所要求覆盖的所有检测项目（臭气浓度、氨、硫化氢、甲硫醇），且在有效期内的，得2分。不满足上述条件的，不得分。</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注：提供CMA/CNAS复印件并标注本项目中所要求覆盖的上述所有检测项目，不标注则视为不响应。并附在线查询链接，加盖单位公章。如未按要求提供证明材料不予评分。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5</w:t>
            </w:r>
          </w:p>
        </w:tc>
        <w:tc>
          <w:tcPr>
            <w:tcW w:w="1434"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科技成果</w:t>
            </w:r>
          </w:p>
        </w:tc>
        <w:tc>
          <w:tcPr>
            <w:tcW w:w="143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13分</w:t>
            </w:r>
          </w:p>
        </w:tc>
        <w:tc>
          <w:tcPr>
            <w:tcW w:w="534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1.自2021年1月1日至今，供应商每作为第一单位在中国科学院文献情报中心《期刊分区表（2023年版）》中ENGINEERING, ENVIRONMENTAL 工程：环境/ENGINEERING, MECHANICAL 工程：机械/ENVIRONMENTAL SCIENCES 环境科学/ENVIRONMENTAL STUDIES 环境研究/GREEN &amp; SUSTAINABLE SCIENCE &amp; TECHNOLOGY 绿色可持续发展技术/METEOROLOGY &amp; ATMOSPHERIC SCIENCES 气象与大气科学小类或SCIENCE/NATURE发表过论文的，Ⅰ区得2分，Ⅱ区得1分，Ⅲ区得0.5分；本项最高得8分，其他则不得分。</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2.自2021年1月1日至今，供应商每作为第一单位发表过高效节能产业或先进环保产业类发明专利的，得1分，本项最高得5分，其他则不得分。</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注：①提供代表作信息表及论文首页，格式见第七章 6.2论文代表作信息表；</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②专利提供发明专利证书，以表格形式提供专利名称、专利号、专利分类号及战略性新兴产业分类对应情况（详见国家知识产权局《战略性新兴产业分类与国际专利分类参照关系表（2021）（试行）》），加盖单位公章。格式见第七章 6.3专利信息表；</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③如未按要求提供证明材料不予评分。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6</w:t>
            </w:r>
          </w:p>
        </w:tc>
        <w:tc>
          <w:tcPr>
            <w:tcW w:w="1434"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项目业绩</w:t>
            </w:r>
          </w:p>
        </w:tc>
        <w:tc>
          <w:tcPr>
            <w:tcW w:w="143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10分</w:t>
            </w:r>
          </w:p>
        </w:tc>
        <w:tc>
          <w:tcPr>
            <w:tcW w:w="5341" w:type="dxa"/>
            <w:tcBorders>
              <w:top w:val="single" w:color="auto" w:sz="4" w:space="0"/>
              <w:bottom w:val="single" w:color="auto" w:sz="4" w:space="0"/>
            </w:tcBorders>
            <w:vAlign w:val="center"/>
          </w:tcPr>
          <w:p>
            <w:pPr>
              <w:adjustRightInd w:val="0"/>
              <w:snapToGrid w:val="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资格条件的业绩外，自2021年1月1日至今，供应商每牵头承担过一项合同金额不少于60万元的大气类节能降碳或大气污染物管控或大气污染物治理政府科技计划项目（课题）或经认定登记的技术合同实施业绩的得2分，最多得10分</w:t>
            </w:r>
            <w:r>
              <w:rPr>
                <w:rFonts w:hint="eastAsia" w:ascii="仿宋_GB2312" w:eastAsia="仿宋_GB2312"/>
                <w:color w:val="auto"/>
                <w:sz w:val="24"/>
                <w:szCs w:val="24"/>
                <w:highlight w:val="none"/>
              </w:rPr>
              <w:t>，其他则不得分</w:t>
            </w:r>
            <w:r>
              <w:rPr>
                <w:rFonts w:hint="eastAsia" w:ascii="仿宋_GB2312" w:hAnsi="仿宋_GB2312" w:eastAsia="仿宋_GB2312" w:cs="仿宋_GB2312"/>
                <w:color w:val="auto"/>
                <w:sz w:val="24"/>
                <w:szCs w:val="24"/>
                <w:highlight w:val="none"/>
              </w:rPr>
              <w:t>。</w:t>
            </w:r>
          </w:p>
          <w:p>
            <w:pPr>
              <w:adjustRightInd w:val="0"/>
              <w:snapToGrid w:val="0"/>
              <w:jc w:val="left"/>
              <w:rPr>
                <w:rFonts w:ascii="仿宋_GB2312" w:eastAsia="仿宋_GB2312"/>
                <w:color w:val="auto"/>
                <w:sz w:val="24"/>
                <w:szCs w:val="24"/>
                <w:highlight w:val="none"/>
              </w:rPr>
            </w:pPr>
            <w:r>
              <w:rPr>
                <w:rFonts w:hint="eastAsia" w:ascii="仿宋_GB2312" w:hAnsi="仿宋_GB2312" w:eastAsia="仿宋_GB2312" w:cs="仿宋_GB2312"/>
                <w:color w:val="auto"/>
                <w:sz w:val="24"/>
                <w:szCs w:val="24"/>
                <w:highlight w:val="none"/>
              </w:rPr>
              <w:t>注:供应商提供科技计划项目（课题）任务书（或合同书）或技术合同（及认定登记证明）、对应合同发票或资金转账证明（适用于政府科技计划项目），日期以合同时间为准，金额以合同金额为准，包括但不限于项目名称、金额及实施内容、合同盖章、签订日期，加盖单位公章。如未按要求提供证明材料不予评分。</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30</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383"/>
        <w:gridCol w:w="1449"/>
        <w:gridCol w:w="531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85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1384"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450"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5324"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85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1384"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实施方案</w:t>
            </w:r>
          </w:p>
        </w:tc>
        <w:tc>
          <w:tcPr>
            <w:tcW w:w="1450"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25分</w:t>
            </w:r>
          </w:p>
        </w:tc>
        <w:tc>
          <w:tcPr>
            <w:tcW w:w="5324" w:type="dxa"/>
            <w:tcBorders>
              <w:top w:val="single" w:color="auto" w:sz="4" w:space="0"/>
              <w:bottom w:val="single" w:color="auto" w:sz="4" w:space="0"/>
            </w:tcBorders>
            <w:vAlign w:val="center"/>
          </w:tcPr>
          <w:p>
            <w:pPr>
              <w:spacing w:line="300" w:lineRule="exact"/>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供应商结合“第五章 采购需求 第一部分 项目概况”，编制《</w:t>
            </w:r>
            <w:r>
              <w:rPr>
                <w:rFonts w:hint="eastAsia" w:ascii="仿宋_GB2312" w:hAnsi="仿宋_GB2312" w:eastAsia="仿宋_GB2312" w:cs="仿宋_GB2312"/>
                <w:color w:val="auto"/>
                <w:sz w:val="24"/>
                <w:szCs w:val="24"/>
                <w:highlight w:val="none"/>
                <w:lang w:eastAsia="zh-CN"/>
              </w:rPr>
              <w:t>广州市净水有限公司地埋式净水厂通风除臭系统节能运行管控技术研究与应用</w:t>
            </w:r>
            <w:r>
              <w:rPr>
                <w:rFonts w:hint="eastAsia" w:ascii="仿宋_GB2312" w:hAnsi="仿宋_GB2312" w:eastAsia="仿宋_GB2312" w:cs="仿宋_GB2312"/>
                <w:color w:val="auto"/>
                <w:sz w:val="24"/>
                <w:szCs w:val="24"/>
                <w:highlight w:val="none"/>
              </w:rPr>
              <w:t>研究方案》，研究方案格式详</w:t>
            </w:r>
            <w:r>
              <w:rPr>
                <w:rFonts w:hint="eastAsia" w:ascii="仿宋_GB2312" w:eastAsia="仿宋_GB2312"/>
                <w:color w:val="auto"/>
                <w:sz w:val="24"/>
                <w:szCs w:val="24"/>
                <w:highlight w:val="none"/>
              </w:rPr>
              <w:t>见第七章6.1研究方案模板</w:t>
            </w:r>
            <w:r>
              <w:rPr>
                <w:rFonts w:hint="eastAsia" w:ascii="仿宋_GB2312" w:hAnsi="仿宋_GB2312" w:eastAsia="仿宋_GB2312" w:cs="仿宋_GB2312"/>
                <w:color w:val="auto"/>
                <w:sz w:val="24"/>
                <w:szCs w:val="24"/>
                <w:highlight w:val="none"/>
              </w:rPr>
              <w:t>。</w:t>
            </w:r>
          </w:p>
          <w:p>
            <w:pPr>
              <w:spacing w:line="300" w:lineRule="exact"/>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（1）优得25分：设计方案要求编制完整清晰、目标明确、内容详细、方案全面合理可行、响应或优于采购需求、亮点多、针对性强。</w:t>
            </w:r>
          </w:p>
          <w:p>
            <w:pPr>
              <w:spacing w:line="300" w:lineRule="exact"/>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（2）良得10分：设计方案编制基本完整，基本能满足服务要求，方案合理可行。</w:t>
            </w:r>
          </w:p>
          <w:p>
            <w:pPr>
              <w:spacing w:line="300" w:lineRule="exact"/>
              <w:jc w:val="left"/>
              <w:rPr>
                <w:rFonts w:ascii="仿宋_GB2312" w:eastAsia="仿宋_GB2312"/>
                <w:color w:val="auto"/>
                <w:sz w:val="24"/>
                <w:szCs w:val="24"/>
                <w:highlight w:val="none"/>
              </w:rPr>
            </w:pPr>
            <w:r>
              <w:rPr>
                <w:rFonts w:hint="eastAsia" w:ascii="仿宋_GB2312" w:hAnsi="仿宋_GB2312" w:eastAsia="仿宋_GB2312" w:cs="仿宋_GB2312"/>
                <w:color w:val="auto"/>
                <w:sz w:val="24"/>
                <w:szCs w:val="24"/>
                <w:highlight w:val="none"/>
              </w:rPr>
              <w:t>（3）一般得2分：设计方案编制完整性一般，对服务要求响应一般、方案基本可行。</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85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1384"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工作进度计划安排</w:t>
            </w:r>
          </w:p>
        </w:tc>
        <w:tc>
          <w:tcPr>
            <w:tcW w:w="1450"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5分</w:t>
            </w:r>
          </w:p>
        </w:tc>
        <w:tc>
          <w:tcPr>
            <w:tcW w:w="5324" w:type="dxa"/>
            <w:tcBorders>
              <w:top w:val="single" w:color="auto" w:sz="4" w:space="0"/>
              <w:bottom w:val="single" w:color="auto" w:sz="4" w:space="0"/>
            </w:tcBorders>
            <w:vAlign w:val="center"/>
          </w:tcPr>
          <w:p>
            <w:pPr>
              <w:adjustRightInd w:val="0"/>
              <w:snapToGrid w:val="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供应商结合“第五章 采购需求 第一部分 项目概况”，编制工作进度计划及安排。</w:t>
            </w:r>
          </w:p>
          <w:p>
            <w:pPr>
              <w:adjustRightInd w:val="0"/>
              <w:snapToGrid w:val="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（1）优得5分：工作进度计划及安排科学合理、可行性强。</w:t>
            </w:r>
          </w:p>
          <w:p>
            <w:pPr>
              <w:adjustRightInd w:val="0"/>
              <w:snapToGrid w:val="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（2）良得2分：工作进度计划及安排较科学合理、可行性较强。</w:t>
            </w:r>
          </w:p>
          <w:p>
            <w:pPr>
              <w:adjustRightInd w:val="0"/>
              <w:snapToGrid w:val="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（3）一般得1分：工作进度计划及安排一般、可行性一般。</w:t>
            </w:r>
          </w:p>
        </w:tc>
      </w:tr>
    </w:tbl>
    <w:p>
      <w:pPr>
        <w:adjustRightInd w:val="0"/>
        <w:snapToGrid w:val="0"/>
        <w:spacing w:line="400" w:lineRule="exact"/>
        <w:ind w:firstLine="420" w:firstLineChars="200"/>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765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0.5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0.3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60" w:firstLineChars="20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firstLine="560" w:firstLineChars="20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ind w:firstLine="560" w:firstLineChars="200"/>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w:t>
      </w:r>
      <w:r>
        <w:rPr>
          <w:rFonts w:hint="eastAsia" w:ascii="仿宋_GB2312" w:eastAsia="仿宋_GB2312" w:hAnsiTheme="minorEastAsia"/>
          <w:color w:val="auto"/>
          <w:sz w:val="28"/>
          <w:szCs w:val="28"/>
          <w:highlight w:val="none"/>
        </w:rPr>
        <w:sym w:font="Wingdings 2" w:char="00A3"/>
      </w:r>
      <w:r>
        <w:rPr>
          <w:rFonts w:hint="eastAsia" w:ascii="仿宋_GB2312" w:eastAsia="仿宋_GB2312" w:hAnsiTheme="minorEastAsia"/>
          <w:color w:val="auto"/>
          <w:sz w:val="28"/>
          <w:szCs w:val="28"/>
          <w:highlight w:val="none"/>
        </w:rPr>
        <w:t xml:space="preserve">报价  </w:t>
      </w:r>
      <w:r>
        <w:rPr>
          <w:rFonts w:hint="eastAsia" w:ascii="仿宋_GB2312" w:eastAsia="仿宋_GB2312" w:hAnsiTheme="minorEastAsia"/>
          <w:color w:val="auto"/>
          <w:sz w:val="28"/>
          <w:szCs w:val="28"/>
          <w:highlight w:val="none"/>
        </w:rPr>
        <w:sym w:font="Wingdings 2" w:char="0052"/>
      </w:r>
      <w:r>
        <w:rPr>
          <w:rFonts w:hint="eastAsia" w:ascii="仿宋_GB2312" w:eastAsia="仿宋_GB2312" w:hAnsiTheme="minorEastAsia"/>
          <w:color w:val="auto"/>
          <w:sz w:val="28"/>
          <w:szCs w:val="28"/>
          <w:highlight w:val="none"/>
        </w:rPr>
        <w:t>业绩   □其他</w:t>
      </w:r>
      <w:r>
        <w:rPr>
          <w:rFonts w:hint="eastAsia" w:ascii="仿宋_GB2312" w:eastAsia="仿宋_GB2312" w:hAnsiTheme="minorEastAsia"/>
          <w:color w:val="auto"/>
          <w:sz w:val="28"/>
          <w:szCs w:val="28"/>
          <w:highlight w:val="none"/>
          <w:u w:val="single"/>
        </w:rPr>
        <w:t xml:space="preserve"> 技术评分</w:t>
      </w:r>
      <w:r>
        <w:rPr>
          <w:rFonts w:hint="eastAsia" w:ascii="仿宋_GB2312" w:eastAsia="仿宋_GB2312" w:hAnsiTheme="minorEastAsia"/>
          <w:color w:val="auto"/>
          <w:sz w:val="28"/>
          <w:szCs w:val="28"/>
          <w:highlight w:val="none"/>
        </w:rPr>
        <w:t>考量因素得分排序确定供应商排名。</w:t>
      </w:r>
    </w:p>
    <w:p>
      <w:pPr>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pPr>
        <w:spacing w:line="360" w:lineRule="auto"/>
        <w:jc w:val="left"/>
        <w:rPr>
          <w:rFonts w:ascii="仿宋_GB2312" w:eastAsia="仿宋_GB2312" w:hAnsiTheme="minorEastAsia"/>
          <w:color w:val="auto"/>
          <w:sz w:val="28"/>
          <w:szCs w:val="28"/>
          <w:highlight w:val="none"/>
        </w:rPr>
      </w:pPr>
    </w:p>
    <w:p>
      <w:pPr>
        <w:spacing w:line="360" w:lineRule="auto"/>
        <w:jc w:val="left"/>
        <w:rPr>
          <w:rFonts w:ascii="仿宋_GB2312" w:eastAsia="仿宋_GB2312" w:hAnsiTheme="minorEastAsia"/>
          <w:color w:val="auto"/>
          <w:sz w:val="28"/>
          <w:szCs w:val="28"/>
          <w:highlight w:val="none"/>
        </w:rPr>
      </w:pPr>
    </w:p>
    <w:p>
      <w:pPr>
        <w:spacing w:line="360" w:lineRule="auto"/>
        <w:jc w:val="left"/>
        <w:rPr>
          <w:rFonts w:ascii="仿宋_GB2312" w:eastAsia="仿宋_GB2312" w:hAnsiTheme="minorEastAsia"/>
          <w:color w:val="auto"/>
          <w:sz w:val="28"/>
          <w:szCs w:val="28"/>
          <w:highlight w:val="none"/>
        </w:rPr>
      </w:pPr>
    </w:p>
    <w:p>
      <w:pPr>
        <w:spacing w:line="360" w:lineRule="auto"/>
        <w:jc w:val="left"/>
        <w:rPr>
          <w:rFonts w:ascii="仿宋_GB2312" w:eastAsia="仿宋_GB2312" w:hAnsiTheme="minorEastAsia"/>
          <w:color w:val="auto"/>
          <w:sz w:val="28"/>
          <w:szCs w:val="28"/>
          <w:highlight w:val="none"/>
        </w:rPr>
      </w:pPr>
    </w:p>
    <w:p>
      <w:pPr>
        <w:spacing w:line="360" w:lineRule="auto"/>
        <w:jc w:val="left"/>
        <w:rPr>
          <w:rFonts w:ascii="仿宋_GB2312" w:eastAsia="仿宋_GB2312" w:hAnsiTheme="minorEastAsia"/>
          <w:color w:val="auto"/>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第五章</w:t>
      </w:r>
    </w:p>
    <w:p>
      <w:pPr>
        <w:spacing w:line="360" w:lineRule="auto"/>
        <w:jc w:val="left"/>
        <w:rPr>
          <w:rFonts w:ascii="仿宋_GB2312" w:eastAsia="仿宋_GB2312" w:hAnsiTheme="minorEastAsia"/>
          <w:color w:val="auto"/>
          <w:sz w:val="28"/>
          <w:szCs w:val="28"/>
          <w:highlight w:val="none"/>
        </w:rPr>
      </w:pPr>
    </w:p>
    <w:p>
      <w:pPr>
        <w:pStyle w:val="5"/>
        <w:rPr>
          <w:color w:val="auto"/>
          <w:szCs w:val="44"/>
          <w:highlight w:val="none"/>
        </w:rPr>
      </w:pPr>
      <w:r>
        <w:rPr>
          <w:rFonts w:hint="eastAsia"/>
          <w:color w:val="auto"/>
          <w:szCs w:val="44"/>
          <w:highlight w:val="none"/>
        </w:rPr>
        <w:t>采购需求</w:t>
      </w:r>
    </w:p>
    <w:p>
      <w:pPr>
        <w:spacing w:line="360" w:lineRule="auto"/>
        <w:jc w:val="left"/>
        <w:rPr>
          <w:rFonts w:ascii="仿宋_GB2312" w:eastAsia="仿宋_GB2312" w:hAnsiTheme="minorEastAsia"/>
          <w:color w:val="auto"/>
          <w:sz w:val="28"/>
          <w:szCs w:val="28"/>
          <w:highlight w:val="none"/>
        </w:rPr>
      </w:pPr>
      <w:bookmarkStart w:id="45" w:name="_Toc88209947"/>
    </w:p>
    <w:p>
      <w:pPr>
        <w:spacing w:line="360" w:lineRule="auto"/>
        <w:ind w:firstLine="470" w:firstLineChars="1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spacing w:line="360" w:lineRule="auto"/>
        <w:ind w:firstLine="470" w:firstLineChars="1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2、全文所有要求均为实质性响应条款，供应商如有任何一条负偏离则导致</w:t>
      </w:r>
      <w:r>
        <w:rPr>
          <w:rFonts w:hint="eastAsia" w:ascii="宋体" w:hAnsi="宋体" w:cs="宋体"/>
          <w:color w:val="auto"/>
          <w:sz w:val="24"/>
          <w:szCs w:val="24"/>
          <w:highlight w:val="none"/>
        </w:rPr>
        <w:t>响应</w:t>
      </w:r>
      <w:r>
        <w:rPr>
          <w:rFonts w:hint="eastAsia" w:ascii="宋体" w:hAnsi="宋体" w:eastAsia="宋体" w:cs="宋体"/>
          <w:color w:val="auto"/>
          <w:sz w:val="24"/>
          <w:szCs w:val="24"/>
          <w:highlight w:val="none"/>
        </w:rPr>
        <w:t>（报价）文件无效。</w:t>
      </w:r>
    </w:p>
    <w:p>
      <w:pP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bookmarkEnd w:id="45"/>
    <w:p>
      <w:pPr>
        <w:spacing w:line="6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一、项目概况</w:t>
      </w:r>
    </w:p>
    <w:p>
      <w:pPr>
        <w:pStyle w:val="3"/>
        <w:spacing w:after="0" w:line="600" w:lineRule="exact"/>
        <w:ind w:firstLine="562" w:firstLineChars="200"/>
        <w:rPr>
          <w:rFonts w:ascii="仿宋_GB2312" w:hAnsi="仿宋_GB2312" w:eastAsia="仿宋_GB2312" w:cs="仿宋_GB2312"/>
          <w:b/>
          <w:bCs/>
          <w:color w:val="auto"/>
          <w:sz w:val="28"/>
          <w:szCs w:val="28"/>
          <w:highlight w:val="none"/>
        </w:rPr>
      </w:pPr>
      <w:bookmarkStart w:id="46" w:name="_Hlk155783086"/>
      <w:r>
        <w:rPr>
          <w:rFonts w:hint="eastAsia" w:ascii="仿宋_GB2312" w:hAnsi="仿宋_GB2312" w:eastAsia="仿宋_GB2312" w:cs="仿宋_GB2312"/>
          <w:b/>
          <w:bCs/>
          <w:color w:val="auto"/>
          <w:sz w:val="28"/>
          <w:szCs w:val="28"/>
          <w:highlight w:val="none"/>
        </w:rPr>
        <w:t>具体研究内容为：</w:t>
      </w:r>
    </w:p>
    <w:bookmarkEnd w:id="46"/>
    <w:p>
      <w:pPr>
        <w:pStyle w:val="3"/>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（1）通风除臭系统基础信息分析评估</w:t>
      </w:r>
    </w:p>
    <w:p>
      <w:pPr>
        <w:pStyle w:val="3"/>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通过资料收集，辅以现场调研及监测，分析各工艺单元区域对应的通风除臭系统设备数量、功率等，确定通风除臭系统单位风量耗功率设计值等关键参数；掌握通风除臭系统运行方式，包括变频/工频及连续运行/间歇运行、PLC自控、监测指标等；确定通风除臭系统运行能耗、运行效果及分区关键管控因子。基于以上分析结果，综合比选净水厂负荷、通风除臭系统风量、配套硬件设施、臭气源密闭情况等条件，确定2家示范地埋式净水厂作为项目研究对象。</w:t>
      </w:r>
    </w:p>
    <w:p>
      <w:pPr>
        <w:pStyle w:val="3"/>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（2）重点构筑物除臭治理设施性能评估及节能运行方式研究</w:t>
      </w:r>
    </w:p>
    <w:p>
      <w:pPr>
        <w:pStyle w:val="3"/>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以预处理区、生化处理区、污泥干化区臭气源构筑物等为节能运行管控重点构筑物，开展不少于15套重点构筑物除臭治理设施性能评估，确定除臭治理设施对特征污染物（臭气浓度、NH</w:t>
      </w:r>
      <w:r>
        <w:rPr>
          <w:rFonts w:hint="eastAsia" w:ascii="仿宋_GB2312" w:hAnsi="仿宋_GB2312" w:eastAsia="仿宋_GB2312" w:cs="仿宋_GB2312"/>
          <w:color w:val="auto"/>
          <w:sz w:val="28"/>
          <w:szCs w:val="28"/>
          <w:highlight w:val="none"/>
          <w:vertAlign w:val="subscript"/>
        </w:rPr>
        <w:t>3</w:t>
      </w:r>
      <w:r>
        <w:rPr>
          <w:rFonts w:hint="eastAsia" w:ascii="仿宋_GB2312" w:hAnsi="仿宋_GB2312" w:eastAsia="仿宋_GB2312" w:cs="仿宋_GB2312"/>
          <w:color w:val="auto"/>
          <w:sz w:val="28"/>
          <w:szCs w:val="28"/>
          <w:highlight w:val="none"/>
        </w:rPr>
        <w:t>、H</w:t>
      </w:r>
      <w:r>
        <w:rPr>
          <w:rFonts w:hint="eastAsia" w:ascii="仿宋_GB2312" w:hAnsi="仿宋_GB2312" w:eastAsia="仿宋_GB2312" w:cs="仿宋_GB2312"/>
          <w:color w:val="auto"/>
          <w:sz w:val="28"/>
          <w:szCs w:val="28"/>
          <w:highlight w:val="none"/>
          <w:vertAlign w:val="subscript"/>
        </w:rPr>
        <w:t>2</w:t>
      </w:r>
      <w:r>
        <w:rPr>
          <w:rFonts w:hint="eastAsia" w:ascii="仿宋_GB2312" w:hAnsi="仿宋_GB2312" w:eastAsia="仿宋_GB2312" w:cs="仿宋_GB2312"/>
          <w:color w:val="auto"/>
          <w:sz w:val="28"/>
          <w:szCs w:val="28"/>
          <w:highlight w:val="none"/>
        </w:rPr>
        <w:t>S、甲硫醇等）的末端去除效率，核算除臭设备进风口的最高允许污染物浓度基准值；辅助利用便携式分析仪监测特征污染物浓度，开展对应重点构筑物除臭系统分质分时运行频率或换气次数等参数调控研究，针对性提出除臭系统分质分时分区高效节能运行方式。</w:t>
      </w:r>
    </w:p>
    <w:p>
      <w:pPr>
        <w:pStyle w:val="3"/>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（3）操作空间通风系统节能运行方式研究</w:t>
      </w:r>
    </w:p>
    <w:p>
      <w:pPr>
        <w:pStyle w:val="3"/>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结合预处理区、生化处理区、污泥干化区等操作空间送排风口风速、面积、平面布局等设计参数，构建不少于12个操作空间计算流体力学（CFD）模型，模拟各操作空间区域气流扩散规律和分布特征，确定空间气流速度分布高值区、气流死角处及异味高值点。在此基础上，以各操作空间关键管控因子（臭气浓度、NH</w:t>
      </w:r>
      <w:r>
        <w:rPr>
          <w:rFonts w:hint="eastAsia" w:ascii="仿宋_GB2312" w:hAnsi="仿宋_GB2312" w:eastAsia="仿宋_GB2312" w:cs="仿宋_GB2312"/>
          <w:color w:val="auto"/>
          <w:sz w:val="28"/>
          <w:szCs w:val="28"/>
          <w:highlight w:val="none"/>
          <w:vertAlign w:val="subscript"/>
        </w:rPr>
        <w:t>3</w:t>
      </w:r>
      <w:r>
        <w:rPr>
          <w:rFonts w:hint="eastAsia" w:ascii="仿宋_GB2312" w:hAnsi="仿宋_GB2312" w:eastAsia="仿宋_GB2312" w:cs="仿宋_GB2312"/>
          <w:color w:val="auto"/>
          <w:sz w:val="28"/>
          <w:szCs w:val="28"/>
          <w:highlight w:val="none"/>
        </w:rPr>
        <w:t>、H</w:t>
      </w:r>
      <w:r>
        <w:rPr>
          <w:rFonts w:hint="eastAsia" w:ascii="仿宋_GB2312" w:hAnsi="仿宋_GB2312" w:eastAsia="仿宋_GB2312" w:cs="仿宋_GB2312"/>
          <w:color w:val="auto"/>
          <w:sz w:val="28"/>
          <w:szCs w:val="28"/>
          <w:highlight w:val="none"/>
          <w:vertAlign w:val="subscript"/>
        </w:rPr>
        <w:t>2</w:t>
      </w:r>
      <w:r>
        <w:rPr>
          <w:rFonts w:hint="eastAsia" w:ascii="仿宋_GB2312" w:hAnsi="仿宋_GB2312" w:eastAsia="仿宋_GB2312" w:cs="仿宋_GB2312"/>
          <w:color w:val="auto"/>
          <w:sz w:val="28"/>
          <w:szCs w:val="28"/>
          <w:highlight w:val="none"/>
        </w:rPr>
        <w:t>S、甲硫醇、CO</w:t>
      </w:r>
      <w:r>
        <w:rPr>
          <w:rFonts w:hint="eastAsia" w:ascii="仿宋_GB2312" w:hAnsi="仿宋_GB2312" w:eastAsia="仿宋_GB2312" w:cs="仿宋_GB2312"/>
          <w:color w:val="auto"/>
          <w:sz w:val="28"/>
          <w:szCs w:val="28"/>
          <w:highlight w:val="none"/>
          <w:vertAlign w:val="subscript"/>
        </w:rPr>
        <w:t>2</w:t>
      </w:r>
      <w:r>
        <w:rPr>
          <w:rFonts w:hint="eastAsia" w:ascii="仿宋_GB2312" w:hAnsi="仿宋_GB2312" w:eastAsia="仿宋_GB2312" w:cs="仿宋_GB2312"/>
          <w:color w:val="auto"/>
          <w:sz w:val="28"/>
          <w:szCs w:val="28"/>
          <w:highlight w:val="none"/>
        </w:rPr>
        <w:t>等）为判断指标，利用便携式分析仪等分析各操作空间关键管控因子浓度，综合考虑职业卫生、室内空气质量等标准及环境温度等要求，开展操作空间通风系统分质分时运行频率或换气次数等参数调控研究，针对性提出通风系统分质分时分区高效节能运行方式。</w:t>
      </w:r>
    </w:p>
    <w:p>
      <w:pPr>
        <w:pStyle w:val="3"/>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（4）通风除臭系统分质分时分区节能运行管控技术评估及节能运行管控技术体系建立</w:t>
      </w:r>
    </w:p>
    <w:p>
      <w:pPr>
        <w:pStyle w:val="3"/>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对通风除臭系统节能运行耗能变化进行理论计算分析，明确技术节能效果，核算通风除臭环节碳减排量；通过SCREEN3模式对节能运行排放井污染物扩散变化进行核算模拟，对比分析评价区内的浓度增值及对敏感目标的影响，明确技术对厂界外环境影响效果；基于环境、经济等评估分析，明确节能运行方式综合应用效果。建立一种可复制、可推广的基于气体浓度调控的分质分时分区通风除臭系统节能运行管控技术体系，并从运行模式和工程改造方面提出地埋式净水厂通风除臭系统节能优化建议。</w:t>
      </w:r>
    </w:p>
    <w:p>
      <w:pPr>
        <w:pStyle w:val="3"/>
        <w:spacing w:after="0" w:line="600" w:lineRule="exact"/>
        <w:ind w:firstLine="562" w:firstLineChars="200"/>
        <w:rPr>
          <w:rFonts w:ascii="仿宋_GB2312" w:hAnsi="仿宋_GB2312" w:eastAsia="仿宋_GB2312" w:cs="仿宋_GB2312"/>
          <w:b/>
          <w:bCs/>
          <w:color w:val="auto"/>
          <w:sz w:val="28"/>
          <w:szCs w:val="28"/>
          <w:highlight w:val="none"/>
        </w:rPr>
      </w:pPr>
    </w:p>
    <w:p>
      <w:pPr>
        <w:pStyle w:val="3"/>
        <w:spacing w:after="0" w:line="60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研究成果为：</w:t>
      </w:r>
    </w:p>
    <w:p>
      <w:pPr>
        <w:pStyle w:val="2"/>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为保证科技研究完成质量，供应商需提供以下研究成果（成果归属详见合同附件）。</w:t>
      </w:r>
    </w:p>
    <w:p>
      <w:pPr>
        <w:pStyle w:val="2"/>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1.通风除臭系统节能运行管控技术体系1份，内容包括但不限于：</w:t>
      </w:r>
    </w:p>
    <w:p>
      <w:pPr>
        <w:pStyle w:val="2"/>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（1）通风除臭系统节能运行管控技术体系概述，涵盖适用范围，目标及原则，组织管理职责，运行管理，检查维护，附则等；</w:t>
      </w:r>
    </w:p>
    <w:p>
      <w:pPr>
        <w:pStyle w:val="2"/>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（2）通风除臭系统基础信息分析评估，涵盖通风除臭收集-输送-处理系统设备密闭情况、运行参数、运行状态、运行能耗、运行效率分析评估清单、方法等，配套硬件设施配置情况等；</w:t>
      </w:r>
    </w:p>
    <w:p>
      <w:pPr>
        <w:pStyle w:val="2"/>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（3）通风除臭系统节能运行管控技术及应用，涵盖</w:t>
      </w:r>
    </w:p>
    <w:p>
      <w:pPr>
        <w:pStyle w:val="2"/>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①分质、分区、分时划分及原则，分区关键管控因子分析方法及依据，检测布点方案编制方法、要求等；</w:t>
      </w:r>
    </w:p>
    <w:p>
      <w:pPr>
        <w:pStyle w:val="2"/>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②重点构筑物除臭系统节能运行管控技术及应用，涵盖除臭设施性能评估方法，最高允许污染物浓度基准值设置方法，除臭系统分质分时分区节能运行试验依据、策略、参数选取及设计、操作要求等；</w:t>
      </w:r>
    </w:p>
    <w:p>
      <w:pPr>
        <w:pStyle w:val="2"/>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③操作空间通风系统节能运行管控技术及应用，涵盖空间区域气流扩散规律和分布特征模型构建方法，通风系统分质分时分区节能运行试验依据、策略、参数选取及设计、操作要求等；</w:t>
      </w:r>
    </w:p>
    <w:p>
      <w:pPr>
        <w:pStyle w:val="2"/>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（4）通风除臭系统分质分时分区节能运行管控技术评估，涵盖运行耗能变化计算分析方法、参数选取等，排放井污染物扩散变化分析方法、参数选取等；</w:t>
      </w:r>
    </w:p>
    <w:p>
      <w:pPr>
        <w:pStyle w:val="2"/>
        <w:spacing w:after="0" w:line="600" w:lineRule="exact"/>
        <w:ind w:firstLine="560" w:firstLineChars="200"/>
        <w:rPr>
          <w:color w:val="auto"/>
          <w:highlight w:val="none"/>
        </w:rPr>
      </w:pPr>
      <w:r>
        <w:rPr>
          <w:rFonts w:hint="eastAsia" w:ascii="仿宋_GB2312" w:hAnsi="仿宋_GB2312" w:eastAsia="仿宋_GB2312" w:cs="仿宋_GB2312"/>
          <w:color w:val="auto"/>
          <w:sz w:val="28"/>
          <w:szCs w:val="28"/>
          <w:highlight w:val="none"/>
        </w:rPr>
        <w:t>（5）地埋式净水厂通风除臭系统节能优化建议等。</w:t>
      </w:r>
    </w:p>
    <w:p>
      <w:pPr>
        <w:pStyle w:val="2"/>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2.实现由甲方指定的地埋式净水厂通风除臭系统较工频持续运行工况条件下能耗降低10%以上; </w:t>
      </w:r>
    </w:p>
    <w:p>
      <w:pPr>
        <w:pStyle w:val="2"/>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3.实用新型专利2件取得授权；</w:t>
      </w:r>
    </w:p>
    <w:p>
      <w:pPr>
        <w:pStyle w:val="2"/>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4.发明专利1件进入实质审查；</w:t>
      </w:r>
    </w:p>
    <w:p>
      <w:pPr>
        <w:pStyle w:val="2"/>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5.发表或录用SCI或中文核心论文1篇；</w:t>
      </w:r>
    </w:p>
    <w:p>
      <w:pPr>
        <w:pStyle w:val="2"/>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中期技术研究报告1份（包括但不限于1家示范地埋式净水厂通风除臭系统设备布设示意图，通风除臭系统运行能耗、运行状态、运行效果分析评估，分区关键管控因子及检测布点方案，除臭设施性能评估，空间区域气流扩散规律和分布特征模型构建，各分区通风系统运行模式设计，各分区除臭系统运行模式设计等）；</w:t>
      </w:r>
    </w:p>
    <w:p>
      <w:pPr>
        <w:pStyle w:val="2"/>
        <w:spacing w:after="0"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技术研究报告1份（包括但不限于2家示范地埋式净水厂通风除臭系统设备布设示意图，通风除臭系统运行能耗、运行状态、运行效果分析评估，分区关键管控因子及检测布点方案，除臭设施性能评估，空间区域气流扩散规律和分布特征模型构建，各分区通风系统运行模式设计，各分区除臭系统运行模式设计，节能运行管控技术评估，地埋式净水厂通风除臭系统节能优化建议等）。</w:t>
      </w:r>
    </w:p>
    <w:p>
      <w:pPr>
        <w:pStyle w:val="7"/>
        <w:ind w:firstLine="0"/>
        <w:rPr>
          <w:color w:val="auto"/>
          <w:highlight w:val="none"/>
        </w:rPr>
      </w:pPr>
    </w:p>
    <w:p>
      <w:pPr>
        <w:pStyle w:val="13"/>
        <w:adjustRightInd w:val="0"/>
        <w:snapToGrid w:val="0"/>
        <w:spacing w:line="300" w:lineRule="auto"/>
        <w:rPr>
          <w:rFonts w:ascii="仿宋" w:hAnsi="仿宋" w:eastAsia="仿宋" w:cs="仿宋"/>
          <w:color w:val="auto"/>
          <w:sz w:val="28"/>
          <w:szCs w:val="28"/>
          <w:highlight w:val="none"/>
          <w:lang w:val="zh-CN"/>
        </w:rPr>
      </w:pPr>
      <w:r>
        <w:rPr>
          <w:rFonts w:hint="eastAsia" w:ascii="仿宋" w:hAnsi="仿宋" w:eastAsia="仿宋" w:cs="仿宋"/>
          <w:b/>
          <w:color w:val="auto"/>
          <w:sz w:val="28"/>
          <w:szCs w:val="28"/>
          <w:highlight w:val="none"/>
          <w:lang w:val="zh-CN"/>
        </w:rPr>
        <w:t>二、项目技术要求</w:t>
      </w:r>
    </w:p>
    <w:p>
      <w:pPr>
        <w:spacing w:line="360" w:lineRule="auto"/>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按照本采购文件的项目概况，撰写《</w:t>
      </w:r>
      <w:r>
        <w:rPr>
          <w:rFonts w:hint="eastAsia" w:ascii="仿宋_GB2312" w:hAnsi="仿宋_GB2312" w:eastAsia="仿宋_GB2312" w:cs="仿宋_GB2312"/>
          <w:color w:val="auto"/>
          <w:sz w:val="28"/>
          <w:szCs w:val="28"/>
          <w:highlight w:val="none"/>
          <w:lang w:eastAsia="zh-CN"/>
        </w:rPr>
        <w:t>广州市净水有限公司地埋式净水厂通风除臭系统节能运行管控技术研究与应用</w:t>
      </w:r>
      <w:r>
        <w:rPr>
          <w:rFonts w:hint="eastAsia" w:ascii="仿宋_GB2312" w:hAnsi="仿宋_GB2312" w:eastAsia="仿宋_GB2312" w:cs="仿宋_GB2312"/>
          <w:color w:val="auto"/>
          <w:sz w:val="28"/>
          <w:szCs w:val="28"/>
          <w:highlight w:val="none"/>
        </w:rPr>
        <w:t>研究方案》与工作进度计划安排，加盖单位公章。</w:t>
      </w:r>
      <w:r>
        <w:rPr>
          <w:rFonts w:hint="eastAsia" w:ascii="仿宋_GB2312" w:hAnsi="仿宋_GB2312" w:eastAsia="仿宋_GB2312" w:cs="仿宋_GB2312"/>
          <w:color w:val="auto"/>
          <w:sz w:val="28"/>
          <w:szCs w:val="28"/>
          <w:highlight w:val="none"/>
        </w:rPr>
        <w:br w:type="page"/>
      </w:r>
    </w:p>
    <w:p>
      <w:pPr>
        <w:rPr>
          <w:color w:val="auto"/>
          <w:highlight w:val="none"/>
        </w:rPr>
      </w:pPr>
    </w:p>
    <w:p>
      <w:pPr>
        <w:spacing w:line="360" w:lineRule="auto"/>
        <w:jc w:val="left"/>
        <w:rPr>
          <w:rFonts w:ascii="仿宋_GB2312" w:eastAsia="仿宋_GB2312" w:hAnsiTheme="minorEastAsia"/>
          <w:color w:val="auto"/>
          <w:sz w:val="28"/>
          <w:szCs w:val="28"/>
          <w:highlight w:val="none"/>
        </w:rPr>
      </w:pPr>
    </w:p>
    <w:p>
      <w:pPr>
        <w:spacing w:line="360" w:lineRule="auto"/>
        <w:jc w:val="left"/>
        <w:rPr>
          <w:rFonts w:ascii="仿宋_GB2312" w:eastAsia="仿宋_GB2312" w:hAnsiTheme="minorEastAsia"/>
          <w:color w:val="auto"/>
          <w:sz w:val="28"/>
          <w:szCs w:val="28"/>
          <w:highlight w:val="none"/>
        </w:rPr>
      </w:pPr>
    </w:p>
    <w:p>
      <w:pPr>
        <w:spacing w:line="360" w:lineRule="auto"/>
        <w:jc w:val="left"/>
        <w:rPr>
          <w:rFonts w:ascii="仿宋_GB2312" w:eastAsia="仿宋_GB2312" w:hAnsiTheme="minorEastAsia"/>
          <w:color w:val="auto"/>
          <w:sz w:val="28"/>
          <w:szCs w:val="28"/>
          <w:highlight w:val="none"/>
        </w:rPr>
      </w:pPr>
    </w:p>
    <w:p>
      <w:pPr>
        <w:spacing w:line="360" w:lineRule="auto"/>
        <w:jc w:val="left"/>
        <w:rPr>
          <w:rFonts w:ascii="仿宋_GB2312" w:eastAsia="仿宋_GB2312" w:hAnsiTheme="minorEastAsia"/>
          <w:color w:val="auto"/>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第六章</w:t>
      </w:r>
    </w:p>
    <w:p>
      <w:pPr>
        <w:spacing w:line="360" w:lineRule="auto"/>
        <w:jc w:val="left"/>
        <w:rPr>
          <w:rFonts w:ascii="仿宋_GB2312" w:eastAsia="仿宋_GB2312" w:hAnsiTheme="minorEastAsia"/>
          <w:color w:val="auto"/>
          <w:sz w:val="28"/>
          <w:szCs w:val="28"/>
          <w:highlight w:val="none"/>
        </w:rPr>
      </w:pPr>
    </w:p>
    <w:p>
      <w:pPr>
        <w:pStyle w:val="4"/>
        <w:rPr>
          <w:color w:val="auto"/>
          <w:highlight w:val="none"/>
        </w:rPr>
      </w:pPr>
      <w:bookmarkStart w:id="47" w:name="_Toc22797"/>
      <w:bookmarkStart w:id="48" w:name="_Toc13309"/>
      <w:bookmarkStart w:id="49" w:name="_Toc87616386"/>
      <w:bookmarkStart w:id="50" w:name="_Toc22501"/>
      <w:bookmarkStart w:id="51" w:name="_Toc1375"/>
      <w:bookmarkStart w:id="52" w:name="_Toc19088"/>
      <w:bookmarkStart w:id="53" w:name="_Toc323"/>
      <w:bookmarkStart w:id="54" w:name="_Toc12968"/>
      <w:bookmarkStart w:id="55" w:name="_Toc19686"/>
      <w:bookmarkStart w:id="56" w:name="_Toc12980"/>
      <w:bookmarkStart w:id="57" w:name="_Toc88209949"/>
      <w:bookmarkStart w:id="58" w:name="_Toc12721"/>
      <w:bookmarkStart w:id="59" w:name="_Toc8183"/>
      <w:r>
        <w:rPr>
          <w:rFonts w:hint="eastAsia"/>
          <w:color w:val="auto"/>
          <w:highlight w:val="none"/>
        </w:rPr>
        <w:t>合同</w:t>
      </w:r>
      <w:bookmarkEnd w:id="47"/>
      <w:bookmarkEnd w:id="48"/>
      <w:bookmarkEnd w:id="49"/>
      <w:bookmarkEnd w:id="50"/>
      <w:bookmarkEnd w:id="51"/>
      <w:bookmarkEnd w:id="52"/>
      <w:bookmarkEnd w:id="53"/>
      <w:bookmarkEnd w:id="54"/>
      <w:bookmarkEnd w:id="55"/>
      <w:bookmarkEnd w:id="56"/>
      <w:bookmarkEnd w:id="57"/>
      <w:bookmarkEnd w:id="58"/>
      <w:bookmarkEnd w:id="59"/>
    </w:p>
    <w:p>
      <w:pP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widowControl/>
        <w:jc w:val="center"/>
        <w:rPr>
          <w:rFonts w:asciiTheme="minorEastAsia" w:hAnsiTheme="minorEastAsia" w:cstheme="minorEastAsia"/>
          <w:color w:val="auto"/>
          <w:sz w:val="40"/>
          <w:highlight w:val="none"/>
        </w:rPr>
      </w:pPr>
    </w:p>
    <w:p>
      <w:pPr>
        <w:pStyle w:val="22"/>
        <w:rPr>
          <w:color w:val="auto"/>
          <w:highlight w:val="none"/>
        </w:rPr>
      </w:pPr>
    </w:p>
    <w:p>
      <w:pPr>
        <w:pStyle w:val="22"/>
        <w:rPr>
          <w:color w:val="auto"/>
          <w:highlight w:val="none"/>
        </w:rPr>
      </w:pPr>
    </w:p>
    <w:p>
      <w:pPr>
        <w:widowControl/>
        <w:jc w:val="center"/>
        <w:rPr>
          <w:rFonts w:ascii="方正小标宋简体" w:hAnsi="方正小标宋简体" w:eastAsia="方正小标宋简体" w:cs="方正小标宋简体"/>
          <w:color w:val="auto"/>
          <w:sz w:val="44"/>
          <w:szCs w:val="28"/>
          <w:highlight w:val="none"/>
        </w:rPr>
      </w:pPr>
      <w:r>
        <w:rPr>
          <w:rFonts w:hint="eastAsia" w:ascii="方正小标宋简体" w:hAnsi="方正小标宋简体" w:eastAsia="方正小标宋简体" w:cs="方正小标宋简体"/>
          <w:color w:val="auto"/>
          <w:sz w:val="44"/>
          <w:szCs w:val="28"/>
          <w:highlight w:val="none"/>
        </w:rPr>
        <w:t>广州市净水有限公司科技创新合作协议</w:t>
      </w:r>
    </w:p>
    <w:p>
      <w:pPr>
        <w:widowControl/>
        <w:spacing w:line="360" w:lineRule="auto"/>
        <w:jc w:val="center"/>
        <w:rPr>
          <w:rFonts w:asciiTheme="minorEastAsia" w:hAnsiTheme="minorEastAsia" w:cstheme="minorEastAsia"/>
          <w:color w:val="auto"/>
          <w:sz w:val="40"/>
          <w:highlight w:val="none"/>
        </w:rPr>
      </w:pPr>
    </w:p>
    <w:p>
      <w:pPr>
        <w:widowControl/>
        <w:spacing w:line="360" w:lineRule="auto"/>
        <w:jc w:val="center"/>
        <w:rPr>
          <w:rFonts w:asciiTheme="minorEastAsia" w:hAnsiTheme="minorEastAsia" w:cstheme="minorEastAsia"/>
          <w:color w:val="auto"/>
          <w:sz w:val="40"/>
          <w:highlight w:val="none"/>
        </w:rPr>
      </w:pPr>
    </w:p>
    <w:p>
      <w:pPr>
        <w:widowControl/>
        <w:spacing w:line="360" w:lineRule="auto"/>
        <w:jc w:val="center"/>
        <w:rPr>
          <w:rFonts w:asciiTheme="minorEastAsia" w:hAnsiTheme="minorEastAsia" w:cstheme="minorEastAsia"/>
          <w:color w:val="auto"/>
          <w:sz w:val="40"/>
          <w:highlight w:val="none"/>
        </w:rPr>
      </w:pPr>
    </w:p>
    <w:p>
      <w:pPr>
        <w:widowControl/>
        <w:spacing w:line="480" w:lineRule="auto"/>
        <w:jc w:val="center"/>
        <w:rPr>
          <w:rFonts w:asciiTheme="minorEastAsia" w:hAnsiTheme="minorEastAsia" w:cstheme="minorEastAsia"/>
          <w:color w:val="auto"/>
          <w:sz w:val="28"/>
          <w:szCs w:val="20"/>
          <w:highlight w:val="none"/>
        </w:rPr>
      </w:pPr>
    </w:p>
    <w:p>
      <w:pPr>
        <w:widowControl/>
        <w:tabs>
          <w:tab w:val="left" w:pos="640"/>
        </w:tabs>
        <w:snapToGrid w:val="0"/>
        <w:spacing w:line="480" w:lineRule="auto"/>
        <w:ind w:left="2046" w:leftChars="304" w:hanging="1408" w:hangingChars="503"/>
        <w:rPr>
          <w:rFonts w:asciiTheme="minorEastAsia" w:hAnsiTheme="minorEastAsia" w:cstheme="minorEastAsia"/>
          <w:color w:val="auto"/>
          <w:sz w:val="28"/>
          <w:szCs w:val="20"/>
          <w:highlight w:val="none"/>
        </w:rPr>
      </w:pPr>
      <w:r>
        <w:rPr>
          <w:rFonts w:hint="eastAsia" w:asciiTheme="minorEastAsia" w:hAnsiTheme="minorEastAsia" w:cstheme="minorEastAsia"/>
          <w:color w:val="auto"/>
          <w:sz w:val="28"/>
          <w:szCs w:val="20"/>
          <w:highlight w:val="none"/>
        </w:rPr>
        <w:t>项目名称：地埋式净水厂通风除臭系统节能运行管控技术研究与应用项目合作协议</w:t>
      </w:r>
    </w:p>
    <w:p>
      <w:pPr>
        <w:widowControl/>
        <w:tabs>
          <w:tab w:val="left" w:pos="640"/>
        </w:tabs>
        <w:snapToGrid w:val="0"/>
        <w:spacing w:line="480" w:lineRule="auto"/>
        <w:ind w:left="651" w:leftChars="304" w:hanging="13"/>
        <w:rPr>
          <w:rFonts w:asciiTheme="minorEastAsia" w:hAnsiTheme="minorEastAsia" w:cstheme="minorEastAsia"/>
          <w:color w:val="auto"/>
          <w:sz w:val="28"/>
          <w:szCs w:val="20"/>
          <w:highlight w:val="none"/>
        </w:rPr>
      </w:pPr>
      <w:r>
        <w:rPr>
          <w:rFonts w:hint="eastAsia" w:asciiTheme="minorEastAsia" w:hAnsiTheme="minorEastAsia" w:cstheme="minorEastAsia"/>
          <w:color w:val="auto"/>
          <w:sz w:val="28"/>
          <w:szCs w:val="20"/>
          <w:highlight w:val="none"/>
        </w:rPr>
        <w:t>发布单位（甲方）：广州市净水有限公司</w:t>
      </w:r>
    </w:p>
    <w:p>
      <w:pPr>
        <w:widowControl/>
        <w:tabs>
          <w:tab w:val="left" w:pos="640"/>
        </w:tabs>
        <w:snapToGrid w:val="0"/>
        <w:spacing w:line="480" w:lineRule="auto"/>
        <w:ind w:left="651" w:leftChars="304" w:hanging="13"/>
        <w:rPr>
          <w:rFonts w:asciiTheme="minorEastAsia" w:hAnsiTheme="minorEastAsia" w:cstheme="minorEastAsia"/>
          <w:color w:val="auto"/>
          <w:sz w:val="28"/>
          <w:szCs w:val="20"/>
          <w:highlight w:val="none"/>
        </w:rPr>
      </w:pPr>
      <w:r>
        <w:rPr>
          <w:rFonts w:hint="eastAsia" w:asciiTheme="minorEastAsia" w:hAnsiTheme="minorEastAsia" w:cstheme="minorEastAsia"/>
          <w:color w:val="auto"/>
          <w:sz w:val="28"/>
          <w:szCs w:val="20"/>
          <w:highlight w:val="none"/>
        </w:rPr>
        <w:t>承担单位（乙方）：</w:t>
      </w:r>
    </w:p>
    <w:p>
      <w:pPr>
        <w:widowControl/>
        <w:tabs>
          <w:tab w:val="left" w:pos="640"/>
        </w:tabs>
        <w:snapToGrid w:val="0"/>
        <w:spacing w:line="480" w:lineRule="auto"/>
        <w:ind w:left="651" w:leftChars="304" w:hanging="13"/>
        <w:rPr>
          <w:rFonts w:asciiTheme="minorEastAsia" w:hAnsiTheme="minorEastAsia" w:cstheme="minorEastAsia"/>
          <w:color w:val="auto"/>
          <w:sz w:val="28"/>
          <w:szCs w:val="20"/>
          <w:highlight w:val="none"/>
        </w:rPr>
      </w:pPr>
      <w:r>
        <w:rPr>
          <w:rFonts w:hint="eastAsia" w:asciiTheme="minorEastAsia" w:hAnsiTheme="minorEastAsia" w:cstheme="minorEastAsia"/>
          <w:color w:val="auto"/>
          <w:sz w:val="28"/>
          <w:szCs w:val="20"/>
          <w:highlight w:val="none"/>
        </w:rPr>
        <w:t>合同编号：穗净水合</w:t>
      </w:r>
      <w:r>
        <w:rPr>
          <w:rFonts w:hint="eastAsia" w:ascii="仿宋_GB2312" w:hAnsi="仿宋_GB2312" w:eastAsia="仿宋_GB2312" w:cs="仿宋_GB2312"/>
          <w:color w:val="auto"/>
          <w:sz w:val="28"/>
          <w:szCs w:val="20"/>
          <w:highlight w:val="none"/>
        </w:rPr>
        <w:t>〔</w:t>
      </w:r>
      <w:r>
        <w:rPr>
          <w:rFonts w:hint="eastAsia" w:asciiTheme="minorEastAsia" w:hAnsiTheme="minorEastAsia" w:cstheme="minorEastAsia"/>
          <w:color w:val="auto"/>
          <w:sz w:val="28"/>
          <w:szCs w:val="20"/>
          <w:highlight w:val="none"/>
        </w:rPr>
        <w:t>2024</w:t>
      </w:r>
      <w:r>
        <w:rPr>
          <w:rFonts w:hint="eastAsia" w:ascii="仿宋_GB2312" w:hAnsi="仿宋_GB2312" w:eastAsia="仿宋_GB2312" w:cs="仿宋_GB2312"/>
          <w:color w:val="auto"/>
          <w:sz w:val="28"/>
          <w:szCs w:val="20"/>
          <w:highlight w:val="none"/>
        </w:rPr>
        <w:t>〕</w:t>
      </w:r>
      <w:r>
        <w:rPr>
          <w:rFonts w:hint="eastAsia" w:asciiTheme="minorEastAsia" w:hAnsiTheme="minorEastAsia" w:cstheme="minorEastAsia"/>
          <w:color w:val="auto"/>
          <w:sz w:val="28"/>
          <w:szCs w:val="20"/>
          <w:highlight w:val="none"/>
        </w:rPr>
        <w:t xml:space="preserve">   号   </w:t>
      </w:r>
    </w:p>
    <w:p>
      <w:pPr>
        <w:widowControl/>
        <w:tabs>
          <w:tab w:val="left" w:pos="640"/>
        </w:tabs>
        <w:snapToGrid w:val="0"/>
        <w:spacing w:line="480" w:lineRule="auto"/>
        <w:ind w:left="651" w:leftChars="304" w:hanging="13"/>
        <w:rPr>
          <w:rFonts w:asciiTheme="minorEastAsia" w:hAnsiTheme="minorEastAsia" w:cstheme="minorEastAsia"/>
          <w:color w:val="auto"/>
          <w:sz w:val="28"/>
          <w:szCs w:val="20"/>
          <w:highlight w:val="none"/>
        </w:rPr>
      </w:pPr>
      <w:r>
        <w:rPr>
          <w:rFonts w:hint="eastAsia" w:asciiTheme="minorEastAsia" w:hAnsiTheme="minorEastAsia" w:cstheme="minorEastAsia"/>
          <w:color w:val="auto"/>
          <w:sz w:val="28"/>
          <w:szCs w:val="20"/>
          <w:highlight w:val="none"/>
        </w:rPr>
        <w:t>签订日期：     年      月      日</w:t>
      </w:r>
    </w:p>
    <w:p>
      <w:pPr>
        <w:widowControl/>
        <w:tabs>
          <w:tab w:val="left" w:pos="640"/>
        </w:tabs>
        <w:snapToGrid w:val="0"/>
        <w:spacing w:line="480" w:lineRule="auto"/>
        <w:ind w:left="651" w:leftChars="304" w:hanging="13"/>
        <w:rPr>
          <w:rFonts w:asciiTheme="minorEastAsia" w:hAnsiTheme="minorEastAsia" w:cstheme="minorEastAsia"/>
          <w:color w:val="auto"/>
          <w:sz w:val="28"/>
          <w:szCs w:val="20"/>
          <w:highlight w:val="none"/>
        </w:rPr>
      </w:pPr>
      <w:r>
        <w:rPr>
          <w:rFonts w:hint="eastAsia" w:asciiTheme="minorEastAsia" w:hAnsiTheme="minorEastAsia" w:cstheme="minorEastAsia"/>
          <w:color w:val="auto"/>
          <w:sz w:val="28"/>
          <w:szCs w:val="20"/>
          <w:highlight w:val="none"/>
        </w:rPr>
        <w:t>签约地点：广州市</w:t>
      </w:r>
    </w:p>
    <w:p>
      <w:pPr>
        <w:ind w:left="1678" w:leftChars="799"/>
        <w:rPr>
          <w:rFonts w:asciiTheme="minorEastAsia" w:hAnsiTheme="minorEastAsia" w:cstheme="minorEastAsia"/>
          <w:color w:val="auto"/>
          <w:sz w:val="40"/>
          <w:highlight w:val="none"/>
        </w:rPr>
      </w:pPr>
      <w:r>
        <w:rPr>
          <w:rFonts w:hint="eastAsia" w:asciiTheme="minorEastAsia" w:hAnsiTheme="minorEastAsia" w:cstheme="minorEastAsia"/>
          <w:color w:val="auto"/>
          <w:sz w:val="40"/>
          <w:highlight w:val="none"/>
        </w:rPr>
        <w:br w:type="page"/>
      </w:r>
    </w:p>
    <w:p>
      <w:pPr>
        <w:widowControl/>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根据《中华人民共和国民法典》及其他有关法律、行政法规，</w:t>
      </w:r>
      <w:r>
        <w:rPr>
          <w:rFonts w:hint="eastAsia" w:asciiTheme="minorEastAsia" w:hAnsiTheme="minorEastAsia" w:cstheme="minorEastAsia"/>
          <w:color w:val="auto"/>
          <w:sz w:val="24"/>
          <w:highlight w:val="none"/>
          <w:u w:val="single"/>
        </w:rPr>
        <w:t>广州市净水有限公司</w:t>
      </w:r>
      <w:r>
        <w:rPr>
          <w:rFonts w:hint="eastAsia" w:asciiTheme="minorEastAsia" w:hAnsiTheme="minorEastAsia" w:cstheme="minorEastAsia"/>
          <w:color w:val="auto"/>
          <w:sz w:val="24"/>
          <w:highlight w:val="none"/>
        </w:rPr>
        <w:t>（以下简称“甲方”）与</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（以下简称“乙方”）就</w:t>
      </w:r>
      <w:r>
        <w:rPr>
          <w:rFonts w:hint="eastAsia" w:asciiTheme="minorEastAsia" w:hAnsiTheme="minorEastAsia" w:cstheme="minorEastAsia"/>
          <w:color w:val="auto"/>
          <w:sz w:val="24"/>
          <w:highlight w:val="none"/>
          <w:u w:val="single"/>
        </w:rPr>
        <w:t xml:space="preserve"> 地埋式净水厂通风除臭系统节能运行管控技术研究与应用  </w:t>
      </w:r>
      <w:r>
        <w:rPr>
          <w:rFonts w:hint="eastAsia" w:asciiTheme="minorEastAsia" w:hAnsiTheme="minorEastAsia" w:cstheme="minorEastAsia"/>
          <w:color w:val="auto"/>
          <w:sz w:val="24"/>
          <w:highlight w:val="none"/>
        </w:rPr>
        <w:t>项目合作事宜，遵循平等、自愿、公平和诚实信用的原则，双方协商一致，订立本协议。</w:t>
      </w:r>
    </w:p>
    <w:p>
      <w:pPr>
        <w:pStyle w:val="36"/>
        <w:widowControl/>
        <w:spacing w:line="360" w:lineRule="auto"/>
        <w:ind w:firstLine="482"/>
        <w:rPr>
          <w:rFonts w:asciiTheme="minorEastAsia" w:hAnsiTheme="minorEastAsia" w:cstheme="minorEastAsia"/>
          <w:color w:val="auto"/>
          <w:sz w:val="24"/>
          <w:highlight w:val="none"/>
        </w:rPr>
      </w:pPr>
      <w:r>
        <w:rPr>
          <w:rFonts w:hint="eastAsia" w:asciiTheme="minorEastAsia" w:hAnsiTheme="minorEastAsia" w:cstheme="minorEastAsia"/>
          <w:b/>
          <w:color w:val="auto"/>
          <w:sz w:val="24"/>
          <w:highlight w:val="none"/>
        </w:rPr>
        <w:t>第一条 项目基本信息</w:t>
      </w:r>
      <w:r>
        <w:rPr>
          <w:rFonts w:hint="eastAsia" w:asciiTheme="minorEastAsia" w:hAnsiTheme="minorEastAsia" w:cstheme="minorEastAsia"/>
          <w:color w:val="auto"/>
          <w:sz w:val="24"/>
          <w:highlight w:val="none"/>
        </w:rPr>
        <w:t>：</w:t>
      </w:r>
    </w:p>
    <w:p>
      <w:pPr>
        <w:widowControl/>
        <w:spacing w:line="360" w:lineRule="auto"/>
        <w:ind w:firstLine="480" w:firstLineChars="2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1.项目名称：</w:t>
      </w:r>
      <w:r>
        <w:rPr>
          <w:rFonts w:hint="eastAsia" w:asciiTheme="minorEastAsia" w:hAnsiTheme="minorEastAsia" w:cstheme="minorEastAsia"/>
          <w:color w:val="auto"/>
          <w:sz w:val="24"/>
          <w:highlight w:val="none"/>
          <w:u w:val="single"/>
        </w:rPr>
        <w:t xml:space="preserve"> 地埋式净水厂通风除臭系统节能运行管控技术研究与应用。</w:t>
      </w:r>
    </w:p>
    <w:p>
      <w:pPr>
        <w:widowControl/>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2.项目期限：</w:t>
      </w:r>
      <w:r>
        <w:rPr>
          <w:rFonts w:hint="eastAsia" w:asciiTheme="minorEastAsia" w:hAnsiTheme="minorEastAsia" w:cstheme="minorEastAsia"/>
          <w:color w:val="auto"/>
          <w:sz w:val="24"/>
          <w:highlight w:val="none"/>
          <w:u w:val="single"/>
        </w:rPr>
        <w:t xml:space="preserve"> 自合同签订之日2024年  月   日起18个月。</w:t>
      </w:r>
    </w:p>
    <w:p>
      <w:pPr>
        <w:widowControl/>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3.乙方利用甲方所提供约定的资源开展以下</w:t>
      </w:r>
      <w:r>
        <w:rPr>
          <w:rFonts w:hint="eastAsia" w:asciiTheme="minorEastAsia" w:hAnsiTheme="minorEastAsia" w:cstheme="minorEastAsia"/>
          <w:b/>
          <w:bCs/>
          <w:color w:val="auto"/>
          <w:sz w:val="24"/>
          <w:highlight w:val="none"/>
        </w:rPr>
        <w:t>工作内容：</w:t>
      </w:r>
    </w:p>
    <w:p>
      <w:pPr>
        <w:widowControl/>
        <w:spacing w:line="360" w:lineRule="auto"/>
        <w:ind w:firstLine="480" w:firstLineChars="2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u w:val="single"/>
        </w:rPr>
        <w:t>3.1通风除臭系统基础信息分析评估 ；</w:t>
      </w:r>
    </w:p>
    <w:p>
      <w:pPr>
        <w:widowControl/>
        <w:spacing w:line="360" w:lineRule="auto"/>
        <w:ind w:firstLine="480" w:firstLineChars="2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u w:val="single"/>
        </w:rPr>
        <w:t>3.2重点构筑物除臭治理设施性能评估及节能运行方式研究；</w:t>
      </w:r>
    </w:p>
    <w:p>
      <w:pPr>
        <w:widowControl/>
        <w:spacing w:line="360" w:lineRule="auto"/>
        <w:ind w:firstLine="480" w:firstLineChars="2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u w:val="single"/>
        </w:rPr>
        <w:t>3.3操作空间通风系统节能运行方式研究 ；</w:t>
      </w:r>
    </w:p>
    <w:p>
      <w:pPr>
        <w:widowControl/>
        <w:spacing w:line="360" w:lineRule="auto"/>
        <w:ind w:firstLine="480" w:firstLineChars="2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u w:val="single"/>
        </w:rPr>
        <w:t>3.4通风除臭系统分质分时分区节能运行管控技术评估及节能运行管控技术体系建立，体系内容包括但不限于：</w:t>
      </w:r>
    </w:p>
    <w:p>
      <w:pPr>
        <w:widowControl/>
        <w:spacing w:line="360" w:lineRule="auto"/>
        <w:ind w:firstLine="480" w:firstLineChars="2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u w:val="single"/>
        </w:rPr>
        <w:t>3.4.1通风除臭系统节能运行管控技术体系概述，涵盖适用范围，目标及原则，组织管理职责，运行管理，检查维护，附则等；</w:t>
      </w:r>
    </w:p>
    <w:p>
      <w:pPr>
        <w:widowControl/>
        <w:spacing w:line="360" w:lineRule="auto"/>
        <w:ind w:firstLine="480" w:firstLineChars="2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u w:val="single"/>
        </w:rPr>
        <w:t>3.4.2通风除臭系统基础信息分析评估，涵盖通风除臭收集-输送-处理系统设备密闭情况、运行参数、运行状态、运行能耗、运行效率分析评估清单、方法等，配套硬件设施配置情况等；</w:t>
      </w:r>
    </w:p>
    <w:p>
      <w:pPr>
        <w:widowControl/>
        <w:spacing w:line="360" w:lineRule="auto"/>
        <w:ind w:firstLine="480" w:firstLineChars="2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u w:val="single"/>
        </w:rPr>
        <w:t>3.4.3通风除臭系统节能运行管控技术及应用，涵盖</w:t>
      </w:r>
    </w:p>
    <w:p>
      <w:pPr>
        <w:widowControl/>
        <w:spacing w:line="360" w:lineRule="auto"/>
        <w:ind w:firstLine="480" w:firstLineChars="2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u w:val="single"/>
        </w:rPr>
        <w:t>（1）分质、分区、分时划分及原则，分区关键管控因子分析方法及依据，检测布点方案编制方法、要求等；</w:t>
      </w:r>
    </w:p>
    <w:p>
      <w:pPr>
        <w:widowControl/>
        <w:spacing w:line="360" w:lineRule="auto"/>
        <w:ind w:firstLine="480" w:firstLineChars="2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u w:val="single"/>
        </w:rPr>
        <w:t>（2）重点构筑物除臭系统节能运行管控技术及应用，涵盖除臭设施性能评估方法，最高允许污染物浓度基准值设置方法，除臭系统分质分时分区节能运行试验依据、策略、参数选取及设计、操作要求等；</w:t>
      </w:r>
    </w:p>
    <w:p>
      <w:pPr>
        <w:widowControl/>
        <w:spacing w:line="360" w:lineRule="auto"/>
        <w:ind w:firstLine="480" w:firstLineChars="2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u w:val="single"/>
        </w:rPr>
        <w:t>（3）操作空间通风系统节能运行管控技术及应用，涵盖空间区域气流扩散规律和分布特征模型构建方法，通风系统分质分时分区节能运行试验依据、策略、参数选取及设计、操作要求等；</w:t>
      </w:r>
    </w:p>
    <w:p>
      <w:pPr>
        <w:widowControl/>
        <w:spacing w:line="360" w:lineRule="auto"/>
        <w:ind w:firstLine="480" w:firstLineChars="2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u w:val="single"/>
        </w:rPr>
        <w:t>3.4.4通风除臭系统分质分时分区节能运行管控技术评估，涵盖运行耗能变化计算分析方法、参数选取等，排放井污染物扩散变化分析方法、参数选取等；</w:t>
      </w:r>
    </w:p>
    <w:p>
      <w:pPr>
        <w:widowControl/>
        <w:spacing w:line="360" w:lineRule="auto"/>
        <w:ind w:firstLine="480" w:firstLineChars="2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u w:val="single"/>
        </w:rPr>
        <w:t>3.4.5地埋式净水厂通风除臭系统节能优化建议等 。</w:t>
      </w:r>
    </w:p>
    <w:p>
      <w:pPr>
        <w:widowControl/>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4.项目目标：</w:t>
      </w:r>
      <w:r>
        <w:rPr>
          <w:rFonts w:hint="eastAsia" w:asciiTheme="minorEastAsia" w:hAnsiTheme="minorEastAsia" w:cstheme="minorEastAsia"/>
          <w:color w:val="auto"/>
          <w:sz w:val="24"/>
          <w:highlight w:val="none"/>
          <w:u w:val="single"/>
        </w:rPr>
        <w:t xml:space="preserve"> 建立一种可复制、可推广的基于气体浓度调控的分质分时分区通风除臭系统节能运行管控技术体系，并从运行模式和工程改造方面提出地埋式净水厂通风除臭系统节能优化建议。</w:t>
      </w:r>
    </w:p>
    <w:p>
      <w:pPr>
        <w:widowControl/>
        <w:spacing w:line="360" w:lineRule="auto"/>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5.项目计划和进度：</w:t>
      </w:r>
    </w:p>
    <w:p>
      <w:pPr>
        <w:pStyle w:val="49"/>
        <w:spacing w:line="360" w:lineRule="auto"/>
        <w:ind w:firstLine="480" w:firstLineChars="200"/>
        <w:rPr>
          <w:rFonts w:asciiTheme="minorEastAsia" w:hAnsiTheme="minorEastAsia" w:eastAsiaTheme="minorEastAsia" w:cstheme="minorEastAsia"/>
          <w:bCs/>
          <w:color w:val="auto"/>
          <w:szCs w:val="22"/>
          <w:highlight w:val="none"/>
          <w:u w:val="single"/>
        </w:rPr>
      </w:pPr>
      <w:r>
        <w:rPr>
          <w:rFonts w:hint="eastAsia" w:asciiTheme="minorEastAsia" w:hAnsiTheme="minorEastAsia" w:eastAsiaTheme="minorEastAsia" w:cstheme="minorEastAsia"/>
          <w:bCs/>
          <w:color w:val="auto"/>
          <w:szCs w:val="22"/>
          <w:highlight w:val="none"/>
          <w:u w:val="single"/>
        </w:rPr>
        <w:t>（1）签订合同起4个月内，完成前期资料收集，完成项目实施方案和计划安排制定，完成通风除臭系统节能运行管控技术体系大纲编制，现场勘探，完成通风除臭系统布设及运行基本信息分析评估，确定通风除臭系统运行能耗、运行状态、运行效果及分区关键管控因子</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bCs/>
          <w:color w:val="auto"/>
          <w:szCs w:val="22"/>
          <w:highlight w:val="none"/>
          <w:u w:val="single"/>
        </w:rPr>
        <w:t>；</w:t>
      </w:r>
    </w:p>
    <w:p>
      <w:pPr>
        <w:pStyle w:val="49"/>
        <w:spacing w:line="360" w:lineRule="auto"/>
        <w:ind w:firstLine="480" w:firstLineChars="200"/>
        <w:rPr>
          <w:rFonts w:asciiTheme="minorEastAsia" w:hAnsiTheme="minorEastAsia" w:eastAsiaTheme="minorEastAsia" w:cstheme="minorEastAsia"/>
          <w:bCs/>
          <w:color w:val="auto"/>
          <w:szCs w:val="22"/>
          <w:highlight w:val="none"/>
          <w:u w:val="single"/>
        </w:rPr>
      </w:pPr>
      <w:r>
        <w:rPr>
          <w:rFonts w:hint="eastAsia" w:asciiTheme="minorEastAsia" w:hAnsiTheme="minorEastAsia" w:eastAsiaTheme="minorEastAsia" w:cstheme="minorEastAsia"/>
          <w:bCs/>
          <w:color w:val="auto"/>
          <w:szCs w:val="22"/>
          <w:highlight w:val="none"/>
          <w:u w:val="single"/>
        </w:rPr>
        <w:t>（2）签订合同起4-8个月，完成1家由甲方指定的地埋式净水厂通风除臭系统节能运行管控技术研究，实现该厂通风除臭系统较工频持续运行工况条件下能耗降低10%以上</w:t>
      </w:r>
      <w:r>
        <w:rPr>
          <w:rFonts w:hint="eastAsia" w:asciiTheme="minorEastAsia" w:hAnsiTheme="minorEastAsia" w:eastAsiaTheme="minorEastAsia" w:cstheme="minorEastAsia"/>
          <w:color w:val="auto"/>
          <w:szCs w:val="22"/>
          <w:highlight w:val="none"/>
          <w:u w:val="single"/>
        </w:rPr>
        <w:t>，申请发明专利1件</w:t>
      </w:r>
      <w:r>
        <w:rPr>
          <w:rFonts w:hint="eastAsia" w:asciiTheme="minorEastAsia" w:hAnsiTheme="minorEastAsia" w:eastAsiaTheme="minorEastAsia" w:cstheme="minorEastAsia"/>
          <w:bCs/>
          <w:color w:val="auto"/>
          <w:szCs w:val="22"/>
          <w:highlight w:val="none"/>
          <w:u w:val="single"/>
        </w:rPr>
        <w:t>；</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bCs/>
          <w:color w:val="auto"/>
          <w:szCs w:val="22"/>
          <w:highlight w:val="none"/>
          <w:u w:val="single"/>
        </w:rPr>
        <w:t>（3）签订合同起8-12个月，完成利用前序研究指导1家由甲方指定的地埋式净水厂通风除臭系统节能运行</w:t>
      </w:r>
      <w:r>
        <w:rPr>
          <w:rFonts w:hint="eastAsia" w:asciiTheme="minorEastAsia" w:hAnsiTheme="minorEastAsia" w:eastAsiaTheme="minorEastAsia" w:cstheme="minorEastAsia"/>
          <w:color w:val="auto"/>
          <w:szCs w:val="22"/>
          <w:highlight w:val="none"/>
          <w:u w:val="single"/>
        </w:rPr>
        <w:t>，提出地埋式净水厂通风除臭系统节能优化建议；</w:t>
      </w:r>
    </w:p>
    <w:p>
      <w:pPr>
        <w:pStyle w:val="49"/>
        <w:spacing w:line="360" w:lineRule="auto"/>
        <w:ind w:firstLine="480" w:firstLineChars="200"/>
        <w:rPr>
          <w:rFonts w:asciiTheme="minorEastAsia" w:hAnsiTheme="minorEastAsia" w:eastAsiaTheme="minorEastAsia" w:cstheme="minorEastAsia"/>
          <w:bCs/>
          <w:color w:val="auto"/>
          <w:szCs w:val="22"/>
          <w:highlight w:val="none"/>
          <w:u w:val="single"/>
        </w:rPr>
      </w:pPr>
      <w:r>
        <w:rPr>
          <w:rFonts w:hint="eastAsia" w:asciiTheme="minorEastAsia" w:hAnsiTheme="minorEastAsia" w:eastAsiaTheme="minorEastAsia" w:cstheme="minorEastAsia"/>
          <w:color w:val="auto"/>
          <w:szCs w:val="22"/>
          <w:highlight w:val="none"/>
          <w:u w:val="single"/>
        </w:rPr>
        <w:t>（4）</w:t>
      </w:r>
      <w:r>
        <w:rPr>
          <w:rFonts w:hint="eastAsia" w:asciiTheme="minorEastAsia" w:hAnsiTheme="minorEastAsia" w:eastAsiaTheme="minorEastAsia" w:cstheme="minorEastAsia"/>
          <w:bCs/>
          <w:color w:val="auto"/>
          <w:szCs w:val="22"/>
          <w:highlight w:val="none"/>
          <w:u w:val="single"/>
        </w:rPr>
        <w:t>签订合同起12-15个月，</w:t>
      </w:r>
      <w:r>
        <w:rPr>
          <w:rFonts w:hint="eastAsia" w:asciiTheme="minorEastAsia" w:hAnsiTheme="minorEastAsia" w:eastAsiaTheme="minorEastAsia" w:cstheme="minorEastAsia"/>
          <w:color w:val="auto"/>
          <w:szCs w:val="22"/>
          <w:highlight w:val="none"/>
          <w:u w:val="single"/>
        </w:rPr>
        <w:t>完成分质分时分区通风除臭系统节能运行管控技术体系构建，提交技术研究报告1份，申请实用新型专利2项，投稿SCI或中文核心论文1篇</w:t>
      </w:r>
      <w:r>
        <w:rPr>
          <w:rFonts w:hint="eastAsia" w:asciiTheme="minorEastAsia" w:hAnsiTheme="minorEastAsia" w:eastAsiaTheme="minorEastAsia" w:cstheme="minorEastAsia"/>
          <w:bCs/>
          <w:color w:val="auto"/>
          <w:szCs w:val="22"/>
          <w:highlight w:val="none"/>
          <w:u w:val="single"/>
        </w:rPr>
        <w:t>；</w:t>
      </w:r>
    </w:p>
    <w:p>
      <w:pPr>
        <w:pStyle w:val="49"/>
        <w:spacing w:line="360" w:lineRule="auto"/>
        <w:ind w:firstLine="480" w:firstLineChars="200"/>
        <w:rPr>
          <w:rFonts w:asciiTheme="minorEastAsia" w:hAnsiTheme="minorEastAsia" w:eastAsiaTheme="minorEastAsia" w:cstheme="minorEastAsia"/>
          <w:bCs/>
          <w:color w:val="auto"/>
          <w:szCs w:val="22"/>
          <w:highlight w:val="none"/>
        </w:rPr>
      </w:pPr>
      <w:r>
        <w:rPr>
          <w:rFonts w:hint="eastAsia" w:asciiTheme="minorEastAsia" w:hAnsiTheme="minorEastAsia" w:eastAsiaTheme="minorEastAsia" w:cstheme="minorEastAsia"/>
          <w:bCs/>
          <w:color w:val="auto"/>
          <w:szCs w:val="22"/>
          <w:highlight w:val="none"/>
          <w:u w:val="single"/>
        </w:rPr>
        <w:t>（5）签订合同起15-18个月，实用新型专利取得授权、</w:t>
      </w:r>
      <w:r>
        <w:rPr>
          <w:rFonts w:hint="eastAsia" w:asciiTheme="minorEastAsia" w:hAnsiTheme="minorEastAsia" w:eastAsiaTheme="minorEastAsia" w:cstheme="minorEastAsia"/>
          <w:color w:val="auto"/>
          <w:szCs w:val="22"/>
          <w:highlight w:val="none"/>
          <w:u w:val="single"/>
        </w:rPr>
        <w:t>发明专利进入实质审查、学术论文发表或录用</w:t>
      </w:r>
      <w:r>
        <w:rPr>
          <w:rFonts w:hint="eastAsia" w:asciiTheme="minorEastAsia" w:hAnsiTheme="minorEastAsia" w:eastAsiaTheme="minorEastAsia" w:cstheme="minorEastAsia"/>
          <w:bCs/>
          <w:color w:val="auto"/>
          <w:szCs w:val="22"/>
          <w:highlight w:val="none"/>
          <w:u w:val="single"/>
        </w:rPr>
        <w:t>。</w:t>
      </w:r>
    </w:p>
    <w:p>
      <w:pPr>
        <w:pStyle w:val="49"/>
        <w:spacing w:line="360" w:lineRule="auto"/>
        <w:ind w:firstLine="480" w:firstLineChars="200"/>
        <w:rPr>
          <w:rFonts w:asciiTheme="minorEastAsia" w:hAnsiTheme="minorEastAsia" w:eastAsiaTheme="minorEastAsia" w:cstheme="minorEastAsia"/>
          <w:bCs/>
          <w:color w:val="auto"/>
          <w:szCs w:val="22"/>
          <w:highlight w:val="none"/>
        </w:rPr>
      </w:pPr>
      <w:r>
        <w:rPr>
          <w:rFonts w:hint="eastAsia" w:asciiTheme="minorEastAsia" w:hAnsiTheme="minorEastAsia" w:eastAsiaTheme="minorEastAsia" w:cstheme="minorEastAsia"/>
          <w:bCs/>
          <w:color w:val="auto"/>
          <w:szCs w:val="22"/>
          <w:highlight w:val="none"/>
        </w:rPr>
        <w:t>6.其他：因项目客观条件、甲方需求等条件变化需变更项目基本内容的，乙方需向甲方提出书面申请，经由甲方研究并同意后可变更本条2-5款内容，由双方签订补充协议。</w:t>
      </w:r>
    </w:p>
    <w:p>
      <w:pPr>
        <w:pStyle w:val="36"/>
        <w:widowControl/>
        <w:spacing w:line="360" w:lineRule="auto"/>
        <w:ind w:firstLine="482"/>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第二条 项目经费：</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1.本合同总价为人民币：</w:t>
      </w:r>
      <w:r>
        <w:rPr>
          <w:rFonts w:hint="eastAsia" w:asciiTheme="minorEastAsia" w:hAnsiTheme="minorEastAsia" w:cstheme="minorEastAsia"/>
          <w:color w:val="auto"/>
          <w:sz w:val="24"/>
          <w:highlight w:val="none"/>
          <w:u w:val="single"/>
        </w:rPr>
        <w:t xml:space="preserve">            （大写：            ）</w:t>
      </w:r>
      <w:r>
        <w:rPr>
          <w:rFonts w:hint="eastAsia" w:asciiTheme="minorEastAsia" w:hAnsiTheme="minorEastAsia" w:cstheme="minorEastAsia"/>
          <w:color w:val="auto"/>
          <w:sz w:val="24"/>
          <w:highlight w:val="none"/>
        </w:rPr>
        <w:t>。</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合同总价包括试验设计、实施、评估工作、报告印刷、专家评审、知识产权成果认定、授权或发表等完成本合同项下的所有工作内容所需要的直接和间接的一切费用。乙方已经充分考虑本合同履行期间的市场风险和国家政策性调整风险系数并已计入报价，合同有效期内不因人工、材料、设备等因素变化而作调整。</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2.进度款的支付：</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合同费用由甲方分四期支付乙方。具体支付方式如下：</w:t>
      </w:r>
    </w:p>
    <w:p>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（1）乙方向甲方提交</w:t>
      </w:r>
      <w:r>
        <w:rPr>
          <w:rFonts w:hint="eastAsia" w:ascii="宋体" w:hAnsi="宋体" w:eastAsia="宋体" w:cs="宋体"/>
          <w:color w:val="auto"/>
          <w:sz w:val="24"/>
          <w:szCs w:val="24"/>
          <w:highlight w:val="none"/>
          <w:u w:val="single"/>
        </w:rPr>
        <w:t>项目的具体实施方案</w:t>
      </w:r>
      <w:r>
        <w:rPr>
          <w:rFonts w:hint="eastAsia" w:ascii="宋体" w:hAnsi="宋体" w:cs="宋体"/>
          <w:color w:val="auto"/>
          <w:sz w:val="24"/>
          <w:szCs w:val="24"/>
          <w:highlight w:val="none"/>
          <w:u w:val="single"/>
        </w:rPr>
        <w:t>、</w:t>
      </w:r>
      <w:r>
        <w:rPr>
          <w:rFonts w:hint="eastAsia" w:asciiTheme="minorEastAsia" w:hAnsiTheme="minorEastAsia" w:cstheme="minorEastAsia"/>
          <w:color w:val="auto"/>
          <w:sz w:val="24"/>
          <w:highlight w:val="none"/>
          <w:u w:val="single"/>
        </w:rPr>
        <w:t>通风除臭系统节能运行管控技术体系</w:t>
      </w:r>
      <w:r>
        <w:rPr>
          <w:rFonts w:hint="eastAsia" w:ascii="宋体" w:hAnsi="宋体" w:cs="宋体"/>
          <w:color w:val="auto"/>
          <w:sz w:val="24"/>
          <w:szCs w:val="24"/>
          <w:highlight w:val="none"/>
          <w:u w:val="single"/>
        </w:rPr>
        <w:t>大纲</w:t>
      </w:r>
      <w:r>
        <w:rPr>
          <w:rFonts w:hint="eastAsia" w:ascii="宋体" w:hAnsi="宋体" w:eastAsia="宋体" w:cs="宋体"/>
          <w:color w:val="auto"/>
          <w:sz w:val="24"/>
          <w:szCs w:val="24"/>
          <w:highlight w:val="none"/>
          <w:u w:val="single"/>
        </w:rPr>
        <w:t>，且经甲方召开的专家会议评审通过后，</w:t>
      </w:r>
      <w:r>
        <w:rPr>
          <w:rFonts w:hint="eastAsia" w:ascii="宋体" w:hAnsi="宋体" w:eastAsia="宋体" w:cs="宋体"/>
          <w:color w:val="auto"/>
          <w:sz w:val="24"/>
          <w:szCs w:val="24"/>
          <w:highlight w:val="none"/>
        </w:rPr>
        <w:t>甲方支付至合同总价的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rPr>
        <w:t>2</w:t>
      </w:r>
      <w:r>
        <w:rPr>
          <w:rFonts w:hint="eastAsia" w:ascii="宋体" w:hAnsi="宋体" w:eastAsia="宋体" w:cs="宋体"/>
          <w:color w:val="auto"/>
          <w:sz w:val="24"/>
          <w:szCs w:val="24"/>
          <w:highlight w:val="none"/>
          <w:u w:val="single"/>
        </w:rPr>
        <w:t>0% 即¥     元，（大写：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w:t>
      </w:r>
      <w:r>
        <w:rPr>
          <w:rFonts w:hint="eastAsia" w:ascii="宋体" w:hAnsi="宋体" w:eastAsia="宋体" w:cs="宋体"/>
          <w:color w:val="auto"/>
          <w:sz w:val="24"/>
          <w:szCs w:val="24"/>
          <w:highlight w:val="none"/>
          <w:u w:val="single"/>
        </w:rPr>
        <w:t>完成项目中期</w:t>
      </w:r>
      <w:r>
        <w:rPr>
          <w:rFonts w:hint="eastAsia" w:ascii="宋体" w:hAnsi="宋体" w:cs="宋体"/>
          <w:color w:val="auto"/>
          <w:sz w:val="24"/>
          <w:szCs w:val="24"/>
          <w:highlight w:val="none"/>
          <w:u w:val="single"/>
        </w:rPr>
        <w:t>考核指标</w:t>
      </w:r>
      <w:r>
        <w:rPr>
          <w:rFonts w:hint="eastAsia" w:ascii="宋体" w:hAnsi="宋体" w:eastAsia="宋体" w:cs="宋体"/>
          <w:color w:val="auto"/>
          <w:sz w:val="24"/>
          <w:szCs w:val="24"/>
          <w:highlight w:val="none"/>
          <w:u w:val="single"/>
        </w:rPr>
        <w:t>，且经甲方召开的项目中期进展专家会议评审通过后，</w:t>
      </w:r>
      <w:r>
        <w:rPr>
          <w:rFonts w:hint="eastAsia" w:ascii="宋体" w:hAnsi="宋体" w:eastAsia="宋体" w:cs="宋体"/>
          <w:color w:val="auto"/>
          <w:sz w:val="24"/>
          <w:szCs w:val="24"/>
          <w:highlight w:val="none"/>
        </w:rPr>
        <w:t>甲方支付至合同总价的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rPr>
        <w:t>60</w:t>
      </w:r>
      <w:r>
        <w:rPr>
          <w:rFonts w:hint="eastAsia" w:ascii="宋体" w:hAnsi="宋体" w:eastAsia="宋体" w:cs="宋体"/>
          <w:color w:val="auto"/>
          <w:sz w:val="24"/>
          <w:szCs w:val="24"/>
          <w:highlight w:val="none"/>
          <w:u w:val="single"/>
        </w:rPr>
        <w:t>% 即¥     元，（大写：     ）。</w:t>
      </w:r>
    </w:p>
    <w:p>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（3）乙方</w:t>
      </w:r>
      <w:r>
        <w:rPr>
          <w:rFonts w:hint="eastAsia" w:ascii="宋体" w:hAnsi="宋体" w:eastAsia="宋体" w:cs="宋体"/>
          <w:color w:val="auto"/>
          <w:sz w:val="24"/>
          <w:szCs w:val="24"/>
          <w:highlight w:val="none"/>
          <w:u w:val="single"/>
        </w:rPr>
        <w:t>完成项目结题</w:t>
      </w:r>
      <w:r>
        <w:rPr>
          <w:rFonts w:hint="eastAsia" w:ascii="宋体" w:hAnsi="宋体" w:cs="宋体"/>
          <w:color w:val="auto"/>
          <w:sz w:val="24"/>
          <w:szCs w:val="24"/>
          <w:highlight w:val="none"/>
          <w:u w:val="single"/>
        </w:rPr>
        <w:t>考核指标</w:t>
      </w:r>
      <w:r>
        <w:rPr>
          <w:rFonts w:hint="eastAsia" w:ascii="宋体" w:hAnsi="宋体" w:eastAsia="宋体" w:cs="宋体"/>
          <w:color w:val="auto"/>
          <w:sz w:val="24"/>
          <w:szCs w:val="24"/>
          <w:highlight w:val="none"/>
          <w:u w:val="single"/>
        </w:rPr>
        <w:t>，且经甲方召开的项目结题专家会议评审通过后</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甲方支付至合同总价的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rPr>
        <w:t>8</w:t>
      </w:r>
      <w:r>
        <w:rPr>
          <w:rFonts w:hint="eastAsia" w:ascii="宋体" w:hAnsi="宋体" w:eastAsia="宋体" w:cs="宋体"/>
          <w:color w:val="auto"/>
          <w:sz w:val="24"/>
          <w:szCs w:val="24"/>
          <w:highlight w:val="none"/>
          <w:u w:val="single"/>
        </w:rPr>
        <w:t>0 %即   ¥   元，（大写：     ）。</w:t>
      </w:r>
    </w:p>
    <w:p>
      <w:pPr>
        <w:spacing w:line="360" w:lineRule="auto"/>
        <w:ind w:firstLine="480" w:firstLineChars="200"/>
        <w:rPr>
          <w:rFonts w:eastAsia="宋体"/>
          <w:color w:val="auto"/>
          <w:highlight w:val="none"/>
        </w:rPr>
      </w:pPr>
      <w:r>
        <w:rPr>
          <w:rFonts w:hint="eastAsia" w:eastAsia="宋体" w:cs="宋体"/>
          <w:color w:val="auto"/>
          <w:sz w:val="24"/>
          <w:szCs w:val="24"/>
          <w:highlight w:val="none"/>
        </w:rPr>
        <w:t>（4）乙方</w:t>
      </w:r>
      <w:r>
        <w:rPr>
          <w:rFonts w:hint="eastAsia" w:asciiTheme="minorEastAsia" w:hAnsiTheme="minorEastAsia" w:cstheme="minorEastAsia"/>
          <w:color w:val="auto"/>
          <w:sz w:val="24"/>
          <w:highlight w:val="none"/>
          <w:u w:val="single"/>
        </w:rPr>
        <w:t>取得实用新型专利授权、发明专利进入实质审查、学术论文发表或录用</w:t>
      </w:r>
      <w:r>
        <w:rPr>
          <w:rFonts w:hint="eastAsia" w:ascii="宋体" w:hAnsi="宋体" w:eastAsia="宋体" w:cs="宋体"/>
          <w:color w:val="auto"/>
          <w:sz w:val="24"/>
          <w:szCs w:val="24"/>
          <w:highlight w:val="none"/>
        </w:rPr>
        <w:t>，</w:t>
      </w:r>
      <w:r>
        <w:rPr>
          <w:rFonts w:hint="eastAsia" w:asciiTheme="minorEastAsia" w:hAnsiTheme="minorEastAsia" w:cstheme="minorEastAsia"/>
          <w:color w:val="auto"/>
          <w:sz w:val="24"/>
          <w:szCs w:val="24"/>
          <w:highlight w:val="none"/>
        </w:rPr>
        <w:t>经甲方审核通过后，</w:t>
      </w:r>
      <w:r>
        <w:rPr>
          <w:rFonts w:hint="eastAsia" w:ascii="宋体" w:hAnsi="宋体" w:eastAsia="宋体" w:cs="宋体"/>
          <w:color w:val="auto"/>
          <w:sz w:val="24"/>
          <w:szCs w:val="24"/>
          <w:highlight w:val="none"/>
        </w:rPr>
        <w:t>甲方支付至合同</w:t>
      </w:r>
      <w:r>
        <w:rPr>
          <w:rFonts w:hint="eastAsia" w:ascii="宋体" w:hAnsi="宋体" w:cs="宋体"/>
          <w:color w:val="auto"/>
          <w:sz w:val="24"/>
          <w:szCs w:val="24"/>
          <w:highlight w:val="none"/>
        </w:rPr>
        <w:t>总</w:t>
      </w:r>
      <w:r>
        <w:rPr>
          <w:rFonts w:hint="eastAsia" w:ascii="宋体" w:hAnsi="宋体" w:eastAsia="宋体" w:cs="宋体"/>
          <w:color w:val="auto"/>
          <w:sz w:val="24"/>
          <w:szCs w:val="24"/>
          <w:highlight w:val="none"/>
        </w:rPr>
        <w:t>价的</w:t>
      </w:r>
      <w:r>
        <w:rPr>
          <w:rFonts w:hint="eastAsia" w:ascii="宋体" w:hAnsi="宋体" w:eastAsia="宋体" w:cs="宋体"/>
          <w:color w:val="auto"/>
          <w:sz w:val="24"/>
          <w:szCs w:val="24"/>
          <w:highlight w:val="none"/>
          <w:u w:val="single"/>
        </w:rPr>
        <w:t xml:space="preserve"> 100 %即   ¥   元，（大写：     ）。</w:t>
      </w:r>
    </w:p>
    <w:p>
      <w:pPr>
        <w:widowControl/>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2.乙方应在收款前向甲方提供等额增值税专用发票，税率</w:t>
      </w:r>
      <w:r>
        <w:rPr>
          <w:rFonts w:hint="eastAsia" w:asciiTheme="minorEastAsia" w:hAnsiTheme="minorEastAsia" w:cstheme="minorEastAsia"/>
          <w:color w:val="auto"/>
          <w:sz w:val="24"/>
          <w:highlight w:val="none"/>
          <w:u w:val="single"/>
        </w:rPr>
        <w:t xml:space="preserve"> 6 </w:t>
      </w:r>
      <w:r>
        <w:rPr>
          <w:rFonts w:hint="eastAsia" w:asciiTheme="minorEastAsia" w:hAnsiTheme="minorEastAsia" w:cstheme="minorEastAsia"/>
          <w:color w:val="auto"/>
          <w:sz w:val="24"/>
          <w:highlight w:val="none"/>
        </w:rPr>
        <w:t>%；合同履行期间国家税率调整或乙方开票的实际税率与前述税率不一致的，不含税价不变，价税合计按实际税率相应调整，以开具发票时间为准。</w:t>
      </w:r>
    </w:p>
    <w:p>
      <w:pPr>
        <w:pStyle w:val="49"/>
        <w:spacing w:line="360" w:lineRule="auto"/>
        <w:ind w:firstLine="480" w:firstLineChars="200"/>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3.乙方收到的甲方经费必须应用于与本项目相关事项，按照预算规范使用，且需符合国家、广东省、广州市有关研发经费使用范围的要求；</w:t>
      </w:r>
    </w:p>
    <w:p>
      <w:pPr>
        <w:pStyle w:val="49"/>
        <w:spacing w:line="360" w:lineRule="auto"/>
        <w:ind w:firstLine="480" w:firstLineChars="200"/>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4.乙方接受甲方以及甲方上级机构，或上述部门委托的机构对该项目经费进行稽查、审计，并按要求提供项目预算执行情况和有关财务资料；</w:t>
      </w:r>
    </w:p>
    <w:p>
      <w:pPr>
        <w:pStyle w:val="49"/>
        <w:spacing w:line="360" w:lineRule="auto"/>
        <w:ind w:firstLine="480" w:firstLineChars="200"/>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5.如甲方稽查、审计发现乙方将项目经费用于与本项目无关事项，甲方有权要求乙方退还该笔项目经费。</w:t>
      </w:r>
    </w:p>
    <w:p>
      <w:pPr>
        <w:pStyle w:val="49"/>
        <w:spacing w:line="360" w:lineRule="auto"/>
        <w:ind w:firstLine="480" w:firstLineChars="200"/>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6.乙方收款账户信息：</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收款单位：</w:t>
      </w:r>
      <w:r>
        <w:rPr>
          <w:rFonts w:hint="eastAsia" w:asciiTheme="minorEastAsia" w:hAnsiTheme="minorEastAsia" w:eastAsiaTheme="minorEastAsia" w:cstheme="minorEastAsia"/>
          <w:color w:val="auto"/>
          <w:szCs w:val="22"/>
          <w:highlight w:val="none"/>
          <w:u w:val="single"/>
        </w:rPr>
        <w:t xml:space="preserve">    </w:t>
      </w:r>
    </w:p>
    <w:p>
      <w:pPr>
        <w:pStyle w:val="49"/>
        <w:spacing w:line="360" w:lineRule="auto"/>
        <w:ind w:firstLine="480" w:firstLineChars="200"/>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开户行：</w:t>
      </w:r>
      <w:r>
        <w:rPr>
          <w:rFonts w:hint="eastAsia" w:asciiTheme="minorEastAsia" w:hAnsiTheme="minorEastAsia" w:eastAsiaTheme="minorEastAsia" w:cstheme="minorEastAsia"/>
          <w:color w:val="auto"/>
          <w:szCs w:val="22"/>
          <w:highlight w:val="none"/>
          <w:u w:val="single"/>
        </w:rPr>
        <w:t xml:space="preserve">    </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联行号：</w:t>
      </w:r>
      <w:r>
        <w:rPr>
          <w:rFonts w:hint="eastAsia" w:asciiTheme="minorEastAsia" w:hAnsiTheme="minorEastAsia" w:eastAsiaTheme="minorEastAsia" w:cstheme="minorEastAsia"/>
          <w:color w:val="auto"/>
          <w:szCs w:val="22"/>
          <w:highlight w:val="none"/>
          <w:u w:val="single"/>
        </w:rPr>
        <w:t xml:space="preserve">    </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账号：</w:t>
      </w:r>
      <w:r>
        <w:rPr>
          <w:rFonts w:hint="eastAsia" w:asciiTheme="minorEastAsia" w:hAnsiTheme="minorEastAsia" w:eastAsiaTheme="minorEastAsia" w:cstheme="minorEastAsia"/>
          <w:color w:val="auto"/>
          <w:szCs w:val="22"/>
          <w:highlight w:val="none"/>
          <w:u w:val="single"/>
        </w:rPr>
        <w:t xml:space="preserve">    </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附言：</w:t>
      </w:r>
      <w:r>
        <w:rPr>
          <w:rFonts w:hint="eastAsia" w:asciiTheme="minorEastAsia" w:hAnsiTheme="minorEastAsia" w:eastAsiaTheme="minorEastAsia" w:cstheme="minorEastAsia"/>
          <w:color w:val="auto"/>
          <w:szCs w:val="22"/>
          <w:highlight w:val="none"/>
          <w:u w:val="single"/>
        </w:rPr>
        <w:t xml:space="preserve">    </w:t>
      </w:r>
    </w:p>
    <w:p>
      <w:pPr>
        <w:pStyle w:val="49"/>
        <w:spacing w:line="360" w:lineRule="auto"/>
        <w:ind w:firstLine="480" w:firstLineChars="200"/>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7.甲方开票信息：</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单位：</w:t>
      </w:r>
      <w:r>
        <w:rPr>
          <w:rFonts w:hint="eastAsia" w:asciiTheme="minorEastAsia" w:hAnsiTheme="minorEastAsia" w:eastAsiaTheme="minorEastAsia" w:cstheme="minorEastAsia"/>
          <w:color w:val="auto"/>
          <w:szCs w:val="22"/>
          <w:highlight w:val="none"/>
          <w:u w:val="single"/>
        </w:rPr>
        <w:t>广州市净水有限公司</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纳税人识别号：</w:t>
      </w:r>
      <w:r>
        <w:rPr>
          <w:rFonts w:hint="eastAsia" w:asciiTheme="minorEastAsia" w:hAnsiTheme="minorEastAsia" w:eastAsiaTheme="minorEastAsia" w:cstheme="minorEastAsia"/>
          <w:color w:val="auto"/>
          <w:szCs w:val="22"/>
          <w:highlight w:val="none"/>
          <w:u w:val="single"/>
        </w:rPr>
        <w:t>91440101755584729Q</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地址：</w:t>
      </w:r>
      <w:r>
        <w:rPr>
          <w:rFonts w:hint="eastAsia" w:asciiTheme="minorEastAsia" w:hAnsiTheme="minorEastAsia" w:eastAsiaTheme="minorEastAsia" w:cstheme="minorEastAsia"/>
          <w:color w:val="auto"/>
          <w:szCs w:val="22"/>
          <w:highlight w:val="none"/>
          <w:u w:val="single"/>
        </w:rPr>
        <w:t>广州市天河区临江大道501号</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电话：</w:t>
      </w:r>
      <w:r>
        <w:rPr>
          <w:rFonts w:hint="eastAsia" w:asciiTheme="minorEastAsia" w:hAnsiTheme="minorEastAsia" w:eastAsiaTheme="minorEastAsia" w:cstheme="minorEastAsia"/>
          <w:color w:val="auto"/>
          <w:szCs w:val="22"/>
          <w:highlight w:val="none"/>
          <w:u w:val="single"/>
        </w:rPr>
        <w:t>020-38890283</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开户行及账号：</w:t>
      </w:r>
      <w:r>
        <w:rPr>
          <w:rFonts w:hint="eastAsia" w:asciiTheme="minorEastAsia" w:hAnsiTheme="minorEastAsia" w:eastAsiaTheme="minorEastAsia" w:cstheme="minorEastAsia"/>
          <w:color w:val="auto"/>
          <w:szCs w:val="22"/>
          <w:highlight w:val="none"/>
          <w:u w:val="single"/>
        </w:rPr>
        <w:t>建行珠江新城支行44001420314050170338</w:t>
      </w:r>
    </w:p>
    <w:p>
      <w:pPr>
        <w:pStyle w:val="49"/>
        <w:spacing w:line="360" w:lineRule="auto"/>
        <w:ind w:firstLine="480" w:firstLineChars="200"/>
        <w:rPr>
          <w:rFonts w:asciiTheme="minorEastAsia" w:hAnsiTheme="minorEastAsia" w:eastAsiaTheme="minorEastAsia" w:cstheme="minorEastAsia"/>
          <w:color w:val="auto"/>
          <w:szCs w:val="22"/>
          <w:highlight w:val="none"/>
        </w:rPr>
      </w:pPr>
    </w:p>
    <w:p>
      <w:pPr>
        <w:pStyle w:val="36"/>
        <w:widowControl/>
        <w:spacing w:line="360" w:lineRule="auto"/>
        <w:ind w:firstLine="482"/>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第三条 为保障项目实施效果，甲方为乙方提供以下便利：</w:t>
      </w:r>
    </w:p>
    <w:p>
      <w:pPr>
        <w:pStyle w:val="49"/>
        <w:snapToGrid w:val="0"/>
        <w:spacing w:line="408"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1.</w:t>
      </w:r>
      <w:r>
        <w:rPr>
          <w:rFonts w:hint="eastAsia" w:asciiTheme="minorEastAsia" w:hAnsiTheme="minorEastAsia" w:eastAsiaTheme="minorEastAsia" w:cstheme="minorEastAsia"/>
          <w:color w:val="auto"/>
          <w:szCs w:val="18"/>
          <w:highlight w:val="none"/>
          <w:u w:val="single"/>
        </w:rPr>
        <w:t>及时提供相关资料、数据</w:t>
      </w:r>
      <w:r>
        <w:rPr>
          <w:rFonts w:hint="eastAsia" w:asciiTheme="minorEastAsia" w:hAnsiTheme="minorEastAsia" w:eastAsiaTheme="minorEastAsia" w:cstheme="minorEastAsia"/>
          <w:color w:val="auto"/>
          <w:szCs w:val="22"/>
          <w:highlight w:val="none"/>
          <w:u w:val="single"/>
        </w:rPr>
        <w:t>；</w:t>
      </w:r>
    </w:p>
    <w:p>
      <w:pPr>
        <w:pStyle w:val="49"/>
        <w:snapToGrid w:val="0"/>
        <w:spacing w:line="408"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2.</w:t>
      </w:r>
      <w:r>
        <w:rPr>
          <w:rFonts w:hint="eastAsia" w:asciiTheme="minorEastAsia" w:hAnsiTheme="minorEastAsia" w:eastAsiaTheme="minorEastAsia" w:cstheme="minorEastAsia"/>
          <w:bCs/>
          <w:color w:val="auto"/>
          <w:szCs w:val="22"/>
          <w:highlight w:val="none"/>
          <w:u w:val="single"/>
        </w:rPr>
        <w:t>现场调研内部</w:t>
      </w:r>
      <w:r>
        <w:rPr>
          <w:rFonts w:hint="eastAsia" w:asciiTheme="minorEastAsia" w:hAnsiTheme="minorEastAsia" w:eastAsiaTheme="minorEastAsia" w:cstheme="minorEastAsia"/>
          <w:color w:val="auto"/>
          <w:szCs w:val="18"/>
          <w:highlight w:val="none"/>
          <w:u w:val="single"/>
        </w:rPr>
        <w:t>协调工作</w:t>
      </w:r>
      <w:r>
        <w:rPr>
          <w:rFonts w:hint="eastAsia" w:asciiTheme="minorEastAsia" w:hAnsiTheme="minorEastAsia" w:eastAsiaTheme="minorEastAsia" w:cstheme="minorEastAsia"/>
          <w:color w:val="auto"/>
          <w:szCs w:val="22"/>
          <w:highlight w:val="none"/>
          <w:u w:val="single"/>
        </w:rPr>
        <w:t>；</w:t>
      </w:r>
    </w:p>
    <w:p>
      <w:pPr>
        <w:pStyle w:val="49"/>
        <w:snapToGrid w:val="0"/>
        <w:spacing w:line="408"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3</w:t>
      </w:r>
      <w:r>
        <w:rPr>
          <w:rFonts w:hint="eastAsia" w:asciiTheme="minorEastAsia" w:hAnsiTheme="minorEastAsia" w:eastAsiaTheme="minorEastAsia" w:cstheme="minorEastAsia"/>
          <w:bCs/>
          <w:color w:val="auto"/>
          <w:szCs w:val="22"/>
          <w:highlight w:val="none"/>
        </w:rPr>
        <w:t>.</w:t>
      </w:r>
      <w:r>
        <w:rPr>
          <w:rFonts w:hint="eastAsia" w:asciiTheme="minorEastAsia" w:hAnsiTheme="minorEastAsia" w:eastAsiaTheme="minorEastAsia" w:cstheme="minorEastAsia"/>
          <w:bCs/>
          <w:color w:val="auto"/>
          <w:szCs w:val="22"/>
          <w:highlight w:val="none"/>
          <w:u w:val="single"/>
        </w:rPr>
        <w:t>配合组织相关采样工作</w:t>
      </w:r>
      <w:r>
        <w:rPr>
          <w:rFonts w:hint="eastAsia" w:asciiTheme="minorEastAsia" w:hAnsiTheme="minorEastAsia" w:eastAsiaTheme="minorEastAsia" w:cstheme="minorEastAsia"/>
          <w:color w:val="auto"/>
          <w:szCs w:val="22"/>
          <w:highlight w:val="none"/>
          <w:u w:val="single"/>
        </w:rPr>
        <w:t>；</w:t>
      </w:r>
    </w:p>
    <w:p>
      <w:pPr>
        <w:pStyle w:val="49"/>
        <w:snapToGrid w:val="0"/>
        <w:spacing w:line="408"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4.</w:t>
      </w:r>
      <w:r>
        <w:rPr>
          <w:rFonts w:hint="eastAsia" w:asciiTheme="minorEastAsia" w:hAnsiTheme="minorEastAsia" w:eastAsiaTheme="minorEastAsia" w:cstheme="minorEastAsia"/>
          <w:bCs/>
          <w:color w:val="auto"/>
          <w:szCs w:val="22"/>
          <w:highlight w:val="none"/>
          <w:u w:val="single"/>
        </w:rPr>
        <w:t>配合其他相关试验研究工作</w:t>
      </w:r>
      <w:r>
        <w:rPr>
          <w:rFonts w:hint="eastAsia" w:asciiTheme="minorEastAsia" w:hAnsiTheme="minorEastAsia" w:eastAsiaTheme="minorEastAsia" w:cstheme="minorEastAsia"/>
          <w:color w:val="auto"/>
          <w:szCs w:val="22"/>
          <w:highlight w:val="none"/>
          <w:u w:val="single"/>
        </w:rPr>
        <w:t>；</w:t>
      </w:r>
    </w:p>
    <w:p>
      <w:pPr>
        <w:pStyle w:val="49"/>
        <w:snapToGrid w:val="0"/>
        <w:spacing w:line="408"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5.</w:t>
      </w:r>
      <w:r>
        <w:rPr>
          <w:rFonts w:hint="eastAsia" w:asciiTheme="minorEastAsia" w:hAnsiTheme="minorEastAsia" w:eastAsiaTheme="minorEastAsia" w:cstheme="minorEastAsia"/>
          <w:bCs/>
          <w:color w:val="auto"/>
          <w:szCs w:val="22"/>
          <w:highlight w:val="none"/>
          <w:u w:val="single"/>
        </w:rPr>
        <w:t>会议组织工作</w:t>
      </w:r>
      <w:r>
        <w:rPr>
          <w:rFonts w:hint="eastAsia" w:asciiTheme="minorEastAsia" w:hAnsiTheme="minorEastAsia" w:eastAsiaTheme="minorEastAsia" w:cstheme="minorEastAsia"/>
          <w:color w:val="auto"/>
          <w:szCs w:val="18"/>
          <w:highlight w:val="none"/>
        </w:rPr>
        <w:t>。</w:t>
      </w:r>
    </w:p>
    <w:p>
      <w:pPr>
        <w:pStyle w:val="36"/>
        <w:widowControl/>
        <w:spacing w:line="360" w:lineRule="auto"/>
        <w:ind w:firstLine="482"/>
        <w:rPr>
          <w:rFonts w:asciiTheme="minorEastAsia" w:hAnsiTheme="minorEastAsia" w:cstheme="minorEastAsia"/>
          <w:b/>
          <w:color w:val="auto"/>
          <w:sz w:val="24"/>
          <w:highlight w:val="none"/>
        </w:rPr>
      </w:pPr>
    </w:p>
    <w:p>
      <w:pPr>
        <w:pStyle w:val="36"/>
        <w:widowControl/>
        <w:spacing w:line="360" w:lineRule="auto"/>
        <w:ind w:firstLine="482"/>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第四条 项目考核：</w:t>
      </w:r>
    </w:p>
    <w:p>
      <w:pPr>
        <w:widowControl/>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本项目达到期限后，甲方对乙方考核指标进行考核。</w:t>
      </w:r>
    </w:p>
    <w:p>
      <w:pPr>
        <w:widowControl/>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1.中期考核指标：</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（1）</w:t>
      </w:r>
      <w:r>
        <w:rPr>
          <w:rFonts w:hint="eastAsia" w:asciiTheme="minorEastAsia" w:hAnsiTheme="minorEastAsia" w:eastAsiaTheme="minorEastAsia" w:cstheme="minorEastAsia"/>
          <w:color w:val="auto"/>
          <w:szCs w:val="22"/>
          <w:highlight w:val="none"/>
          <w:u w:val="single"/>
        </w:rPr>
        <w:t xml:space="preserve"> 完成通风除臭系统节能运行管控技术体系含通风除臭系统节能运行管控技术体系概述、通风除臭系统基础信息分析评估的编制；</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（2）</w:t>
      </w:r>
      <w:r>
        <w:rPr>
          <w:rFonts w:hint="eastAsia" w:asciiTheme="minorEastAsia" w:hAnsiTheme="minorEastAsia" w:eastAsiaTheme="minorEastAsia" w:cstheme="minorEastAsia"/>
          <w:color w:val="auto"/>
          <w:szCs w:val="22"/>
          <w:highlight w:val="none"/>
          <w:u w:val="single"/>
        </w:rPr>
        <w:t xml:space="preserve"> 实现</w:t>
      </w:r>
      <w:r>
        <w:rPr>
          <w:rFonts w:hint="eastAsia" w:asciiTheme="minorEastAsia" w:hAnsiTheme="minorEastAsia" w:eastAsiaTheme="minorEastAsia" w:cstheme="minorEastAsia"/>
          <w:bCs/>
          <w:color w:val="auto"/>
          <w:szCs w:val="22"/>
          <w:highlight w:val="none"/>
          <w:u w:val="single"/>
        </w:rPr>
        <w:t>1家由甲方指定的</w:t>
      </w:r>
      <w:r>
        <w:rPr>
          <w:rFonts w:hint="eastAsia" w:asciiTheme="minorEastAsia" w:hAnsiTheme="minorEastAsia" w:eastAsiaTheme="minorEastAsia" w:cstheme="minorEastAsia"/>
          <w:color w:val="auto"/>
          <w:szCs w:val="22"/>
          <w:highlight w:val="none"/>
          <w:u w:val="single"/>
        </w:rPr>
        <w:t>地埋式净水厂通风除臭系统较工频持续运行工况条件下能耗降低10%以上 ；</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（3）</w:t>
      </w:r>
      <w:r>
        <w:rPr>
          <w:rFonts w:hint="eastAsia" w:asciiTheme="minorEastAsia" w:hAnsiTheme="minorEastAsia" w:eastAsiaTheme="minorEastAsia" w:cstheme="minorEastAsia"/>
          <w:color w:val="auto"/>
          <w:szCs w:val="22"/>
          <w:highlight w:val="none"/>
          <w:u w:val="single"/>
        </w:rPr>
        <w:t xml:space="preserve"> 提交中期技术研究报告1份（包括但不限于1家示范地埋式净水厂通风除臭系统设备布设示意图，通风除臭系统运行能耗、运行状态、运行效果分析评估，分区关键管控因子及检测布点方案，除臭设施性能评估，空间区域气流扩散规律和分布特征模型构建，各分区通风系统运行模式设计，各分区除臭系统运行模式设计等）；</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（4）</w:t>
      </w:r>
      <w:r>
        <w:rPr>
          <w:rFonts w:hint="eastAsia" w:asciiTheme="minorEastAsia" w:hAnsiTheme="minorEastAsia" w:eastAsiaTheme="minorEastAsia" w:cstheme="minorEastAsia"/>
          <w:color w:val="auto"/>
          <w:szCs w:val="22"/>
          <w:highlight w:val="none"/>
          <w:u w:val="single"/>
        </w:rPr>
        <w:t xml:space="preserve"> 申请发明专利1项 。</w:t>
      </w:r>
    </w:p>
    <w:p>
      <w:pPr>
        <w:widowControl/>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2.结题考核指标：</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（1）</w:t>
      </w:r>
      <w:r>
        <w:rPr>
          <w:rFonts w:hint="eastAsia" w:asciiTheme="minorEastAsia" w:hAnsiTheme="minorEastAsia" w:eastAsiaTheme="minorEastAsia" w:cstheme="minorEastAsia"/>
          <w:color w:val="auto"/>
          <w:szCs w:val="22"/>
          <w:highlight w:val="none"/>
          <w:u w:val="single"/>
        </w:rPr>
        <w:t xml:space="preserve"> 提交通风除臭系统节能运行管控技术体系1份 ；</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（2）</w:t>
      </w:r>
      <w:r>
        <w:rPr>
          <w:rFonts w:hint="eastAsia" w:asciiTheme="minorEastAsia" w:hAnsiTheme="minorEastAsia" w:eastAsiaTheme="minorEastAsia" w:cstheme="minorEastAsia"/>
          <w:color w:val="auto"/>
          <w:szCs w:val="22"/>
          <w:highlight w:val="none"/>
          <w:u w:val="single"/>
        </w:rPr>
        <w:t xml:space="preserve"> 提交技术研究报告1份（包括但不限于2家示范地埋式净水厂通风除臭系统设备布设示意图，通风除臭系统运行能耗、运行状态、运行效果分析评估，分区关键管控因子及检测布点方案，除臭设施性能评估，空间区域气流扩散规律和分布特征模型构建，各分区通风系统运行模式设计，各分区除臭系统运行模式设计，节能运行管控技术评估，地埋式净水厂通风除臭系统节能优化建议等）；</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（3）</w:t>
      </w:r>
      <w:r>
        <w:rPr>
          <w:rFonts w:hint="eastAsia" w:asciiTheme="minorEastAsia" w:hAnsiTheme="minorEastAsia" w:eastAsiaTheme="minorEastAsia" w:cstheme="minorEastAsia"/>
          <w:color w:val="auto"/>
          <w:szCs w:val="22"/>
          <w:highlight w:val="none"/>
          <w:u w:val="single"/>
        </w:rPr>
        <w:t xml:space="preserve"> 申请实用新型专利2项 ；</w:t>
      </w:r>
    </w:p>
    <w:p>
      <w:pPr>
        <w:pStyle w:val="49"/>
        <w:spacing w:line="360" w:lineRule="auto"/>
        <w:ind w:firstLine="480" w:firstLineChars="200"/>
        <w:rPr>
          <w:rFonts w:asciiTheme="minorEastAsia" w:hAnsiTheme="minorEastAsia" w:eastAsiaTheme="minorEastAsia" w:cstheme="minorEastAsia"/>
          <w:color w:val="auto"/>
          <w:szCs w:val="22"/>
          <w:highlight w:val="none"/>
          <w:u w:val="single"/>
        </w:rPr>
      </w:pPr>
      <w:r>
        <w:rPr>
          <w:rFonts w:hint="eastAsia" w:asciiTheme="minorEastAsia" w:hAnsiTheme="minorEastAsia" w:eastAsiaTheme="minorEastAsia" w:cstheme="minorEastAsia"/>
          <w:color w:val="auto"/>
          <w:szCs w:val="22"/>
          <w:highlight w:val="none"/>
        </w:rPr>
        <w:t>（4）</w:t>
      </w:r>
      <w:r>
        <w:rPr>
          <w:rFonts w:hint="eastAsia" w:asciiTheme="minorEastAsia" w:hAnsiTheme="minorEastAsia" w:eastAsiaTheme="minorEastAsia" w:cstheme="minorEastAsia"/>
          <w:color w:val="auto"/>
          <w:szCs w:val="22"/>
          <w:highlight w:val="none"/>
          <w:u w:val="single"/>
        </w:rPr>
        <w:t xml:space="preserve"> 投稿SCI或中文核心论文1篇 。</w:t>
      </w:r>
    </w:p>
    <w:p>
      <w:pPr>
        <w:pStyle w:val="49"/>
        <w:spacing w:line="360" w:lineRule="auto"/>
        <w:ind w:firstLine="480" w:firstLineChars="200"/>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3.考核时间：中期考核时间为</w:t>
      </w:r>
      <w:r>
        <w:rPr>
          <w:rFonts w:hint="eastAsia" w:asciiTheme="minorEastAsia" w:hAnsiTheme="minorEastAsia" w:eastAsiaTheme="minorEastAsia" w:cstheme="minorEastAsia"/>
          <w:bCs/>
          <w:color w:val="auto"/>
          <w:szCs w:val="22"/>
          <w:highlight w:val="none"/>
          <w:u w:val="single"/>
        </w:rPr>
        <w:t>签订合同起8个月内</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结题考核时间为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bCs/>
          <w:color w:val="auto"/>
          <w:szCs w:val="22"/>
          <w:highlight w:val="none"/>
          <w:u w:val="single"/>
        </w:rPr>
        <w:t>签订合同起15个月内</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乙方应在考核时间节点前提交考核申请，甲方收到考核申请后按相关程序组织开展考核，考核时间最终以甲方书面通知为准。因客观原因未能及时提交考核申请的，乙方应提交项目进展报告，并提交考核延期申请，经甲方同意，乙方可顺延考核时间。每阶段考核机会均不超过两次，若第一次考核不通过的，乙方需在15天内申请第二次考核。</w:t>
      </w:r>
    </w:p>
    <w:p>
      <w:pPr>
        <w:widowControl/>
        <w:spacing w:line="360" w:lineRule="auto"/>
        <w:ind w:firstLine="480" w:firstLineChars="2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4.考核不通过处置措施：乙方中期或结题考核不通过，或不在规定时间内申请考核的（提前报请甲方协商同意除外），需在考核结束或规定结束时间后15天内提交项目整改方案，落实整改要求，尽快完成项目任务，在整改完成征得甲方同意后，重新开展项目中期或结题考核，并承担相应增加的费用。如乙方拒不整改，或整改质量差满足不了合同考核指标要求，未拨经费不再拨付，甲方已支付部分经费，甲方可组织专家进行评审经费使用的合理性，认定为不合理支出部分甲方将有权要求乙方退回，并终止与乙方的本项目合同，同时将乙方项目团队纳入甲方信用不良记录，甲方3年内不再与乙方项目团队开展新的科技创新合作，并对已正开展的其他科技创新合作进行评估，停止存在违约风险的项目。</w:t>
      </w:r>
    </w:p>
    <w:p>
      <w:pPr>
        <w:pStyle w:val="49"/>
        <w:spacing w:line="360" w:lineRule="auto"/>
        <w:ind w:firstLine="482" w:firstLineChars="200"/>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b/>
          <w:bCs/>
          <w:color w:val="auto"/>
          <w:szCs w:val="22"/>
          <w:highlight w:val="none"/>
        </w:rPr>
        <w:t>第五条</w:t>
      </w:r>
      <w:r>
        <w:rPr>
          <w:rFonts w:hint="eastAsia" w:asciiTheme="minorEastAsia" w:hAnsiTheme="minorEastAsia" w:eastAsiaTheme="minorEastAsia" w:cstheme="minorEastAsia"/>
          <w:color w:val="auto"/>
          <w:szCs w:val="22"/>
          <w:highlight w:val="none"/>
        </w:rPr>
        <w:t xml:space="preserve"> 乙方</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的</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为项目负责人，对项目实施负完全责任，乙方联系人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负责与甲方联系人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联系沟通。</w:t>
      </w:r>
    </w:p>
    <w:p>
      <w:pPr>
        <w:pStyle w:val="49"/>
        <w:spacing w:line="360" w:lineRule="auto"/>
        <w:ind w:firstLine="480" w:firstLineChars="200"/>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若乙方需变更项目负责人及联系人，应及时以邮件或书面形式通知甲方。若乙方未履行及时通知义务，影响本合同的履行或造成损失的，乙方应一次性支付本合同总价的 10%作为违约金，并承担相应的法律责任。</w:t>
      </w:r>
    </w:p>
    <w:p>
      <w:pPr>
        <w:widowControl/>
        <w:spacing w:line="360" w:lineRule="auto"/>
        <w:ind w:firstLine="482" w:firstLineChars="200"/>
        <w:rPr>
          <w:rFonts w:asciiTheme="minorEastAsia" w:hAnsiTheme="minorEastAsia" w:cstheme="minorEastAsia"/>
          <w:color w:val="auto"/>
          <w:sz w:val="24"/>
          <w:highlight w:val="none"/>
        </w:rPr>
      </w:pPr>
      <w:r>
        <w:rPr>
          <w:rFonts w:hint="eastAsia" w:asciiTheme="minorEastAsia" w:hAnsiTheme="minorEastAsia" w:cstheme="minorEastAsia"/>
          <w:b/>
          <w:color w:val="auto"/>
          <w:sz w:val="24"/>
          <w:highlight w:val="none"/>
        </w:rPr>
        <w:t>第六条</w:t>
      </w:r>
      <w:r>
        <w:rPr>
          <w:rFonts w:hint="eastAsia" w:asciiTheme="minorEastAsia" w:hAnsiTheme="minorEastAsia" w:cstheme="minorEastAsia"/>
          <w:color w:val="auto"/>
          <w:sz w:val="24"/>
          <w:highlight w:val="none"/>
        </w:rPr>
        <w:t xml:space="preserve"> 甲方有权参与项目实施方案讨论、跟踪项目实施情况。</w:t>
      </w:r>
    </w:p>
    <w:p>
      <w:pPr>
        <w:widowControl/>
        <w:spacing w:line="360" w:lineRule="auto"/>
        <w:ind w:firstLine="482" w:firstLineChars="200"/>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第七条 项目成果：</w:t>
      </w:r>
    </w:p>
    <w:p>
      <w:pPr>
        <w:widowControl/>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w:t>
      </w:r>
      <w:r>
        <w:rPr>
          <w:rFonts w:asciiTheme="minorEastAsia" w:hAnsiTheme="minorEastAsia" w:cstheme="minorEastAsia"/>
          <w:color w:val="auto"/>
          <w:sz w:val="24"/>
          <w:highlight w:val="none"/>
        </w:rPr>
        <w:t>本项目中</w:t>
      </w:r>
      <w:r>
        <w:rPr>
          <w:rFonts w:hint="eastAsia" w:asciiTheme="minorEastAsia" w:hAnsiTheme="minorEastAsia" w:cstheme="minorEastAsia"/>
          <w:color w:val="auto"/>
          <w:sz w:val="24"/>
          <w:highlight w:val="none"/>
        </w:rPr>
        <w:t>甲方委托乙方开发完成的技术成果知识产权应当归甲方所有，该技术成果知识产权申请权归甲方所有，具体约定详见附件1成果归属协议</w:t>
      </w:r>
      <w:r>
        <w:rPr>
          <w:rFonts w:asciiTheme="minorEastAsia" w:hAnsiTheme="minorEastAsia" w:cstheme="minorEastAsia"/>
          <w:color w:val="auto"/>
          <w:sz w:val="24"/>
          <w:highlight w:val="none"/>
        </w:rPr>
        <w:t>。</w:t>
      </w:r>
    </w:p>
    <w:p>
      <w:pPr>
        <w:widowControl/>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2.乙方不得擅自将研究结果向第三方泄露、转让，如发生上述情况，甲方有权要求乙方支付本合同总价的20%作为违约金并承担因此造成的法律责任和损失。</w:t>
      </w:r>
    </w:p>
    <w:p>
      <w:pPr>
        <w:widowControl/>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3.乙方需对提供的成果负责，研究成果需真实、准确，若因乙方原因造成研究成果出现错误或不能真实反映情况，乙方需无条件对错误的部分重新进行研究，并赔偿甲方由此引起的相关费用。</w:t>
      </w:r>
    </w:p>
    <w:p>
      <w:pPr>
        <w:pStyle w:val="49"/>
        <w:widowControl/>
        <w:spacing w:line="360" w:lineRule="auto"/>
        <w:ind w:firstLine="480"/>
        <w:rPr>
          <w:rFonts w:asciiTheme="minorEastAsia" w:hAnsiTheme="minorEastAsia" w:eastAsiaTheme="minorEastAsia" w:cstheme="minorEastAsia"/>
          <w:b/>
          <w:color w:val="auto"/>
          <w:szCs w:val="22"/>
          <w:highlight w:val="none"/>
        </w:rPr>
      </w:pPr>
      <w:r>
        <w:rPr>
          <w:rFonts w:hint="eastAsia" w:asciiTheme="minorEastAsia" w:hAnsiTheme="minorEastAsia" w:eastAsiaTheme="minorEastAsia" w:cstheme="minorEastAsia"/>
          <w:b/>
          <w:color w:val="auto"/>
          <w:szCs w:val="22"/>
          <w:highlight w:val="none"/>
        </w:rPr>
        <w:t>第八条 保密要求：</w:t>
      </w:r>
    </w:p>
    <w:p>
      <w:pPr>
        <w:widowControl/>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1.未经书面许可，双方均不得对非合作单位透露项目的核心技术信息以及对方非公开的信息和资料。</w:t>
      </w:r>
    </w:p>
    <w:p>
      <w:pPr>
        <w:widowControl/>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2.未经甲方书面许可，乙方公开发表的科技创新成果中不得展示甲方生产性数据等信息，包括但不限于以下内容：</w:t>
      </w:r>
    </w:p>
    <w:p>
      <w:pPr>
        <w:pStyle w:val="36"/>
        <w:widowControl/>
        <w:numPr>
          <w:ilvl w:val="0"/>
          <w:numId w:val="4"/>
        </w:numPr>
        <w:spacing w:line="360" w:lineRule="auto"/>
        <w:ind w:firstLineChars="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净水厂名称和详细地址；</w:t>
      </w:r>
    </w:p>
    <w:p>
      <w:pPr>
        <w:pStyle w:val="36"/>
        <w:widowControl/>
        <w:numPr>
          <w:ilvl w:val="0"/>
          <w:numId w:val="4"/>
        </w:numPr>
        <w:spacing w:line="360" w:lineRule="auto"/>
        <w:ind w:firstLineChars="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各检测指标原始数据；</w:t>
      </w:r>
    </w:p>
    <w:p>
      <w:pPr>
        <w:widowControl/>
        <w:spacing w:line="360" w:lineRule="auto"/>
        <w:ind w:firstLine="480" w:firstLineChars="200"/>
        <w:rPr>
          <w:rFonts w:asciiTheme="minorEastAsia" w:hAnsiTheme="minorEastAsia" w:cstheme="minorEastAsia"/>
          <w:b/>
          <w:color w:val="auto"/>
          <w:sz w:val="24"/>
          <w:highlight w:val="none"/>
        </w:rPr>
      </w:pPr>
      <w:r>
        <w:rPr>
          <w:rFonts w:asciiTheme="minorEastAsia" w:hAnsiTheme="minorEastAsia" w:cstheme="minorEastAsia"/>
          <w:color w:val="auto"/>
          <w:sz w:val="24"/>
          <w:highlight w:val="none"/>
        </w:rPr>
        <w:t>3.</w:t>
      </w:r>
      <w:r>
        <w:rPr>
          <w:rFonts w:hint="eastAsia" w:asciiTheme="minorEastAsia" w:hAnsiTheme="minorEastAsia" w:cstheme="minorEastAsia"/>
          <w:color w:val="auto"/>
          <w:sz w:val="24"/>
          <w:highlight w:val="none"/>
        </w:rPr>
        <w:t>保密期限自合同生效之日起至合作期限结束后满</w:t>
      </w:r>
      <w:r>
        <w:rPr>
          <w:rFonts w:hint="eastAsia" w:asciiTheme="minorEastAsia" w:hAnsiTheme="minorEastAsia" w:cstheme="minorEastAsia"/>
          <w:color w:val="auto"/>
          <w:sz w:val="24"/>
          <w:highlight w:val="none"/>
          <w:u w:val="single"/>
        </w:rPr>
        <w:t>10</w:t>
      </w:r>
      <w:r>
        <w:rPr>
          <w:rFonts w:hint="eastAsia" w:asciiTheme="minorEastAsia" w:hAnsiTheme="minorEastAsia" w:cstheme="minorEastAsia"/>
          <w:color w:val="auto"/>
          <w:sz w:val="24"/>
          <w:highlight w:val="none"/>
        </w:rPr>
        <w:t>年。</w:t>
      </w:r>
    </w:p>
    <w:p>
      <w:pPr>
        <w:widowControl/>
        <w:spacing w:line="360" w:lineRule="auto"/>
        <w:ind w:firstLine="482" w:firstLineChars="200"/>
        <w:rPr>
          <w:rFonts w:asciiTheme="minorEastAsia" w:hAnsiTheme="minorEastAsia" w:cstheme="minorEastAsia"/>
          <w:color w:val="auto"/>
          <w:sz w:val="24"/>
          <w:highlight w:val="none"/>
        </w:rPr>
      </w:pPr>
      <w:r>
        <w:rPr>
          <w:rFonts w:hint="eastAsia" w:asciiTheme="minorEastAsia" w:hAnsiTheme="minorEastAsia" w:cstheme="minorEastAsia"/>
          <w:b/>
          <w:color w:val="auto"/>
          <w:sz w:val="24"/>
          <w:highlight w:val="none"/>
        </w:rPr>
        <w:t>第九条</w:t>
      </w:r>
      <w:r>
        <w:rPr>
          <w:rFonts w:hint="eastAsia" w:asciiTheme="minorEastAsia" w:hAnsiTheme="minorEastAsia" w:cstheme="minorEastAsia"/>
          <w:color w:val="auto"/>
          <w:sz w:val="24"/>
          <w:highlight w:val="none"/>
        </w:rPr>
        <w:t xml:space="preserve"> 不涉及款项时，甲方可随时单方面停止提供协议第三条所述的资源和便利，且不构成违约，协议所述的保密要求依然有效。</w:t>
      </w:r>
    </w:p>
    <w:p>
      <w:pPr>
        <w:pStyle w:val="36"/>
        <w:widowControl/>
        <w:spacing w:line="360" w:lineRule="auto"/>
        <w:ind w:firstLine="482"/>
        <w:rPr>
          <w:rFonts w:asciiTheme="minorEastAsia" w:hAnsiTheme="minorEastAsia" w:cstheme="minorEastAsia"/>
          <w:bCs/>
          <w:color w:val="auto"/>
          <w:sz w:val="24"/>
          <w:highlight w:val="none"/>
        </w:rPr>
      </w:pPr>
      <w:r>
        <w:rPr>
          <w:rFonts w:hint="eastAsia" w:asciiTheme="minorEastAsia" w:hAnsiTheme="minorEastAsia" w:cstheme="minorEastAsia"/>
          <w:b/>
          <w:color w:val="auto"/>
          <w:sz w:val="24"/>
          <w:highlight w:val="none"/>
        </w:rPr>
        <w:t>第十条 安全责任：</w:t>
      </w:r>
      <w:r>
        <w:rPr>
          <w:rFonts w:hint="eastAsia" w:asciiTheme="minorEastAsia" w:hAnsiTheme="minorEastAsia" w:cstheme="minorEastAsia"/>
          <w:bCs/>
          <w:color w:val="auto"/>
          <w:sz w:val="24"/>
          <w:highlight w:val="none"/>
        </w:rPr>
        <w:t>本项目实施过程中的安全责任概由乙方负责，如出现人身损害或财产损失的，由乙方负责处理，与甲方无关。乙方应严格遵守相关规定开展本项目。</w:t>
      </w:r>
    </w:p>
    <w:p>
      <w:pPr>
        <w:pStyle w:val="36"/>
        <w:widowControl/>
        <w:spacing w:line="360" w:lineRule="auto"/>
        <w:ind w:firstLine="482"/>
        <w:rPr>
          <w:rFonts w:asciiTheme="minorEastAsia" w:hAnsiTheme="minorEastAsia" w:cstheme="minorEastAsia"/>
          <w:bCs/>
          <w:color w:val="auto"/>
          <w:sz w:val="24"/>
          <w:highlight w:val="none"/>
        </w:rPr>
      </w:pPr>
      <w:r>
        <w:rPr>
          <w:rFonts w:hint="eastAsia" w:asciiTheme="minorEastAsia" w:hAnsiTheme="minorEastAsia" w:cstheme="minorEastAsia"/>
          <w:b/>
          <w:color w:val="auto"/>
          <w:sz w:val="24"/>
          <w:highlight w:val="none"/>
        </w:rPr>
        <w:t>第十一条</w:t>
      </w:r>
      <w:r>
        <w:rPr>
          <w:rFonts w:hint="eastAsia" w:asciiTheme="minorEastAsia" w:hAnsiTheme="minorEastAsia" w:cstheme="minorEastAsia"/>
          <w:bCs/>
          <w:color w:val="auto"/>
          <w:sz w:val="24"/>
          <w:highlight w:val="none"/>
        </w:rPr>
        <w:t xml:space="preserve"> 未经书面许可，</w:t>
      </w:r>
      <w:r>
        <w:rPr>
          <w:rFonts w:asciiTheme="minorEastAsia" w:hAnsiTheme="minorEastAsia" w:cstheme="minorEastAsia"/>
          <w:bCs/>
          <w:color w:val="auto"/>
          <w:sz w:val="24"/>
          <w:highlight w:val="none"/>
        </w:rPr>
        <w:t>合作双方不得使用对方商标或名称进行任何形式的商业宣传；不得使用对方商标或名称印制产品包装或宣传材料；不得对外编造、传播涉及对方的虚假信息、误导性信息等。</w:t>
      </w:r>
    </w:p>
    <w:p>
      <w:pPr>
        <w:pStyle w:val="36"/>
        <w:widowControl/>
        <w:spacing w:line="360" w:lineRule="auto"/>
        <w:ind w:firstLine="480"/>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任一方违反本条，守约方有权终止本</w:t>
      </w:r>
      <w:r>
        <w:rPr>
          <w:rFonts w:hint="eastAsia" w:asciiTheme="minorEastAsia" w:hAnsiTheme="minorEastAsia" w:cstheme="minorEastAsia"/>
          <w:bCs/>
          <w:color w:val="auto"/>
          <w:sz w:val="24"/>
          <w:highlight w:val="none"/>
        </w:rPr>
        <w:t>协议</w:t>
      </w:r>
      <w:r>
        <w:rPr>
          <w:rFonts w:asciiTheme="minorEastAsia" w:hAnsiTheme="minorEastAsia" w:cstheme="minorEastAsia"/>
          <w:bCs/>
          <w:color w:val="auto"/>
          <w:sz w:val="24"/>
          <w:highlight w:val="none"/>
        </w:rPr>
        <w:t>且无须承担违约责任，且违约方应立即停止违约行为，如导致另一方声誉受损或经济损失的，违约方应当同时承担相应的损害赔偿责任，守约方保留进一步追究违约方法律责任的权利。</w:t>
      </w:r>
    </w:p>
    <w:p>
      <w:pPr>
        <w:pStyle w:val="36"/>
        <w:widowControl/>
        <w:spacing w:line="360" w:lineRule="auto"/>
        <w:ind w:firstLine="482"/>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第十二条 违约和争议：</w:t>
      </w:r>
    </w:p>
    <w:p>
      <w:pPr>
        <w:pStyle w:val="36"/>
        <w:widowControl/>
        <w:spacing w:line="360" w:lineRule="auto"/>
        <w:ind w:firstLine="48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w:t>
      </w:r>
      <w:r>
        <w:rPr>
          <w:rFonts w:asciiTheme="minorEastAsia" w:hAnsiTheme="minorEastAsia" w:cstheme="minorEastAsia"/>
          <w:color w:val="auto"/>
          <w:sz w:val="24"/>
          <w:highlight w:val="none"/>
        </w:rPr>
        <w:t>任何一方违反本合同约定义务，造成</w:t>
      </w:r>
      <w:r>
        <w:rPr>
          <w:rFonts w:hint="eastAsia" w:asciiTheme="minorEastAsia" w:hAnsiTheme="minorEastAsia" w:cstheme="minorEastAsia"/>
          <w:color w:val="auto"/>
          <w:sz w:val="24"/>
          <w:highlight w:val="none"/>
        </w:rPr>
        <w:t>另一</w:t>
      </w:r>
      <w:r>
        <w:rPr>
          <w:rFonts w:asciiTheme="minorEastAsia" w:hAnsiTheme="minorEastAsia" w:cstheme="minorEastAsia"/>
          <w:color w:val="auto"/>
          <w:sz w:val="24"/>
          <w:highlight w:val="none"/>
        </w:rPr>
        <w:t>方研究开发工作停滞或延误的，应当按以下约定承担违约责任：</w:t>
      </w:r>
    </w:p>
    <w:p>
      <w:pPr>
        <w:pStyle w:val="36"/>
        <w:widowControl/>
        <w:spacing w:line="360" w:lineRule="auto"/>
        <w:ind w:firstLine="48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w:t>
      </w:r>
      <w:r>
        <w:rPr>
          <w:rFonts w:asciiTheme="minorEastAsia" w:hAnsiTheme="minorEastAsia" w:cstheme="minorEastAsia"/>
          <w:color w:val="auto"/>
          <w:sz w:val="24"/>
          <w:highlight w:val="none"/>
        </w:rPr>
        <w:t>1</w:t>
      </w:r>
      <w:r>
        <w:rPr>
          <w:rFonts w:hint="eastAsia" w:asciiTheme="minorEastAsia" w:hAnsiTheme="minorEastAsia" w:cstheme="minorEastAsia"/>
          <w:color w:val="auto"/>
          <w:sz w:val="24"/>
          <w:highlight w:val="none"/>
        </w:rPr>
        <w:t>）</w:t>
      </w:r>
      <w:r>
        <w:rPr>
          <w:rFonts w:asciiTheme="minorEastAsia" w:hAnsiTheme="minorEastAsia" w:cstheme="minorEastAsia"/>
          <w:color w:val="auto"/>
          <w:sz w:val="24"/>
          <w:highlight w:val="none"/>
        </w:rPr>
        <w:t>因甲方违反合同约定造成研究开发工作停滞或延误的，甲方应当承担继续履行、采取补救措施或与乙方协商终止合同；终止合同时甲方已拨付经费不再退回。</w:t>
      </w:r>
    </w:p>
    <w:p>
      <w:pPr>
        <w:pStyle w:val="36"/>
        <w:widowControl/>
        <w:spacing w:line="360" w:lineRule="auto"/>
        <w:ind w:firstLine="48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w:t>
      </w:r>
      <w:r>
        <w:rPr>
          <w:rFonts w:asciiTheme="minorEastAsia" w:hAnsiTheme="minorEastAsia" w:cstheme="minorEastAsia"/>
          <w:color w:val="auto"/>
          <w:sz w:val="24"/>
          <w:highlight w:val="none"/>
        </w:rPr>
        <w:t>2</w:t>
      </w:r>
      <w:r>
        <w:rPr>
          <w:rFonts w:hint="eastAsia" w:asciiTheme="minorEastAsia" w:hAnsiTheme="minorEastAsia" w:cstheme="minorEastAsia"/>
          <w:color w:val="auto"/>
          <w:sz w:val="24"/>
          <w:highlight w:val="none"/>
        </w:rPr>
        <w:t>）</w:t>
      </w:r>
      <w:r>
        <w:rPr>
          <w:rFonts w:asciiTheme="minorEastAsia" w:hAnsiTheme="minorEastAsia" w:cstheme="minorEastAsia"/>
          <w:color w:val="auto"/>
          <w:sz w:val="24"/>
          <w:highlight w:val="none"/>
        </w:rPr>
        <w:t>因乙方违反合同约定造成研究开发工作停滞或延误的，乙方应当承担继续履行、采取补救措施或与甲方协商终止合同；终止合同时甲方未拨付经费不再拨付，乙方应退回</w:t>
      </w:r>
      <w:r>
        <w:rPr>
          <w:rFonts w:hint="eastAsia" w:asciiTheme="minorEastAsia" w:hAnsiTheme="minorEastAsia" w:cstheme="minorEastAsia"/>
          <w:color w:val="auto"/>
          <w:sz w:val="24"/>
          <w:highlight w:val="none"/>
        </w:rPr>
        <w:t>已收取的费用</w:t>
      </w:r>
      <w:r>
        <w:rPr>
          <w:rFonts w:asciiTheme="minorEastAsia" w:hAnsiTheme="minorEastAsia" w:cstheme="minorEastAsia"/>
          <w:color w:val="auto"/>
          <w:sz w:val="24"/>
          <w:highlight w:val="none"/>
        </w:rPr>
        <w:t>。</w:t>
      </w:r>
    </w:p>
    <w:p>
      <w:pPr>
        <w:pStyle w:val="36"/>
        <w:widowControl/>
        <w:spacing w:line="360" w:lineRule="auto"/>
        <w:ind w:firstLine="48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（3）若乙方不能按时出具相应成果，且通过甲方召开的项目专家会议评审，除非向甲方书面报告原因且经甲方同意，每逾期1日，按合同总价的 1%支付违约金，逾期达到15天及以上的，甲方有权解除合同。乙方应在15日内退回已收取的费用。</w:t>
      </w:r>
    </w:p>
    <w:p>
      <w:pPr>
        <w:pStyle w:val="36"/>
        <w:widowControl/>
        <w:spacing w:line="360" w:lineRule="auto"/>
        <w:ind w:firstLine="48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2.因不可抗力(如战争、台风、洪水或双方同意的其它情况)引起进度延误，在此情况下，进度应相应顺延，如延期超过30天，任何一方有权终止合同，但双方继续履行在合同终止前的责任和义务。</w:t>
      </w:r>
    </w:p>
    <w:p>
      <w:pPr>
        <w:pStyle w:val="36"/>
        <w:widowControl/>
        <w:spacing w:line="360" w:lineRule="auto"/>
        <w:ind w:firstLine="48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3.双方履行协议时发生争议，优先协商解决，协商不成双方均可向广州市天河区人民法院提起诉讼。</w:t>
      </w:r>
    </w:p>
    <w:p>
      <w:pPr>
        <w:pStyle w:val="36"/>
        <w:widowControl/>
        <w:spacing w:line="360" w:lineRule="auto"/>
        <w:ind w:firstLine="482"/>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第十三条 其他：</w:t>
      </w:r>
    </w:p>
    <w:p>
      <w:pPr>
        <w:pStyle w:val="36"/>
        <w:widowControl/>
        <w:spacing w:line="360" w:lineRule="auto"/>
        <w:ind w:firstLine="48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1.本协议未尽事宜，可由甲乙双方另行签订补充协议。补充协议与本协议具有同等法律效力。</w:t>
      </w:r>
    </w:p>
    <w:p>
      <w:pPr>
        <w:pStyle w:val="36"/>
        <w:widowControl/>
        <w:spacing w:line="360" w:lineRule="auto"/>
        <w:ind w:firstLine="48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2.本协议自甲乙双方法定代表人或授权代理人签字并加盖公章之日起生效。</w:t>
      </w:r>
    </w:p>
    <w:p>
      <w:pPr>
        <w:pStyle w:val="36"/>
        <w:widowControl/>
        <w:spacing w:line="360" w:lineRule="auto"/>
        <w:ind w:firstLine="48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3.本协议一式</w:t>
      </w:r>
      <w:r>
        <w:rPr>
          <w:rFonts w:hint="eastAsia" w:asciiTheme="minorEastAsia" w:hAnsiTheme="minorEastAsia" w:cstheme="minorEastAsia"/>
          <w:color w:val="auto"/>
          <w:sz w:val="24"/>
          <w:highlight w:val="none"/>
          <w:u w:val="single"/>
        </w:rPr>
        <w:t xml:space="preserve">  捌  </w:t>
      </w:r>
      <w:r>
        <w:rPr>
          <w:rFonts w:hint="eastAsia" w:asciiTheme="minorEastAsia" w:hAnsiTheme="minorEastAsia" w:cstheme="minorEastAsia"/>
          <w:color w:val="auto"/>
          <w:sz w:val="24"/>
          <w:highlight w:val="none"/>
        </w:rPr>
        <w:t>份，甲方执</w:t>
      </w:r>
      <w:r>
        <w:rPr>
          <w:rFonts w:hint="eastAsia" w:asciiTheme="minorEastAsia" w:hAnsiTheme="minorEastAsia" w:cstheme="minorEastAsia"/>
          <w:color w:val="auto"/>
          <w:sz w:val="24"/>
          <w:highlight w:val="none"/>
          <w:u w:val="single"/>
        </w:rPr>
        <w:t xml:space="preserve"> 陆  </w:t>
      </w:r>
      <w:r>
        <w:rPr>
          <w:rFonts w:hint="eastAsia" w:asciiTheme="minorEastAsia" w:hAnsiTheme="minorEastAsia" w:cstheme="minorEastAsia"/>
          <w:color w:val="auto"/>
          <w:sz w:val="24"/>
          <w:highlight w:val="none"/>
        </w:rPr>
        <w:t>份，乙方执</w:t>
      </w:r>
      <w:r>
        <w:rPr>
          <w:rFonts w:hint="eastAsia" w:asciiTheme="minorEastAsia" w:hAnsiTheme="minorEastAsia" w:cstheme="minorEastAsia"/>
          <w:color w:val="auto"/>
          <w:sz w:val="24"/>
          <w:highlight w:val="none"/>
          <w:u w:val="single"/>
        </w:rPr>
        <w:t xml:space="preserve"> 贰 </w:t>
      </w:r>
      <w:r>
        <w:rPr>
          <w:rFonts w:hint="eastAsia" w:asciiTheme="minorEastAsia" w:hAnsiTheme="minorEastAsia" w:cstheme="minorEastAsia"/>
          <w:color w:val="auto"/>
          <w:sz w:val="24"/>
          <w:highlight w:val="none"/>
        </w:rPr>
        <w:t>份。均具有同等法律效力。</w:t>
      </w:r>
    </w:p>
    <w:p>
      <w:pPr>
        <w:pStyle w:val="36"/>
        <w:widowControl/>
        <w:spacing w:line="360" w:lineRule="auto"/>
        <w:ind w:left="567" w:firstLine="0" w:firstLineChars="0"/>
        <w:rPr>
          <w:rFonts w:asciiTheme="minorEastAsia" w:hAnsiTheme="minorEastAsia" w:cstheme="minorEastAsia"/>
          <w:color w:val="auto"/>
          <w:sz w:val="24"/>
          <w:highlight w:val="none"/>
        </w:rPr>
      </w:pPr>
    </w:p>
    <w:p>
      <w:pPr>
        <w:pStyle w:val="36"/>
        <w:widowControl/>
        <w:spacing w:line="360" w:lineRule="auto"/>
        <w:ind w:left="567" w:firstLine="0" w:firstLineChars="0"/>
        <w:rPr>
          <w:rFonts w:asciiTheme="minorEastAsia" w:hAnsiTheme="minorEastAsia" w:cstheme="minorEastAsia"/>
          <w:color w:val="auto"/>
          <w:sz w:val="24"/>
          <w:highlight w:val="none"/>
        </w:rPr>
      </w:pPr>
    </w:p>
    <w:p>
      <w:pPr>
        <w:pStyle w:val="36"/>
        <w:widowControl/>
        <w:spacing w:line="360" w:lineRule="auto"/>
        <w:ind w:left="567" w:firstLine="0" w:firstLineChars="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附件：1.成果归属协议</w:t>
      </w:r>
    </w:p>
    <w:p>
      <w:pPr>
        <w:pStyle w:val="36"/>
        <w:widowControl/>
        <w:numPr>
          <w:ilvl w:val="0"/>
          <w:numId w:val="5"/>
        </w:numPr>
        <w:spacing w:line="360" w:lineRule="auto"/>
        <w:ind w:firstLineChars="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廉洁协议</w:t>
      </w:r>
    </w:p>
    <w:p>
      <w:pPr>
        <w:pStyle w:val="36"/>
        <w:widowControl/>
        <w:numPr>
          <w:ilvl w:val="0"/>
          <w:numId w:val="5"/>
        </w:numPr>
        <w:spacing w:line="360" w:lineRule="auto"/>
        <w:ind w:firstLineChars="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工作保密承诺函</w:t>
      </w:r>
    </w:p>
    <w:p>
      <w:pPr>
        <w:pStyle w:val="36"/>
        <w:widowControl/>
        <w:numPr>
          <w:ilvl w:val="0"/>
          <w:numId w:val="5"/>
        </w:numPr>
        <w:spacing w:line="360" w:lineRule="auto"/>
        <w:ind w:firstLineChars="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营运场所施工安全及消防安全协议书</w:t>
      </w:r>
    </w:p>
    <w:p>
      <w:pPr>
        <w:pStyle w:val="36"/>
        <w:widowControl/>
        <w:ind w:left="567" w:firstLine="0" w:firstLineChars="0"/>
        <w:rPr>
          <w:rFonts w:ascii="仿宋_GB2312" w:eastAsia="仿宋_GB2312"/>
          <w:color w:val="auto"/>
          <w:sz w:val="28"/>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甲方（盖章）：广州市净水有限公司</w:t>
      </w:r>
      <w:r>
        <w:rPr>
          <w:rFonts w:ascii="宋体" w:hAnsi="宋体" w:cs="宋体"/>
          <w:color w:val="auto"/>
          <w:sz w:val="24"/>
          <w:highlight w:val="none"/>
        </w:rPr>
        <w:t xml:space="preserve">     </w:t>
      </w:r>
      <w:r>
        <w:rPr>
          <w:rFonts w:hint="eastAsia" w:ascii="宋体" w:hAnsi="宋体" w:cs="宋体"/>
          <w:color w:val="auto"/>
          <w:sz w:val="24"/>
          <w:highlight w:val="none"/>
        </w:rPr>
        <w:t>乙方（盖章）：</w:t>
      </w:r>
    </w:p>
    <w:p>
      <w:pPr>
        <w:spacing w:line="384" w:lineRule="auto"/>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384" w:lineRule="auto"/>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spacing w:line="384" w:lineRule="auto"/>
        <w:rPr>
          <w:rFonts w:ascii="宋体" w:hAnsi="宋体" w:cs="宋体"/>
          <w:color w:val="auto"/>
          <w:sz w:val="24"/>
          <w:highlight w:val="none"/>
        </w:rPr>
      </w:pPr>
      <w:r>
        <w:rPr>
          <w:rFonts w:hint="eastAsia" w:ascii="宋体" w:hAnsi="宋体" w:cs="宋体"/>
          <w:color w:val="auto"/>
          <w:sz w:val="24"/>
          <w:highlight w:val="none"/>
        </w:rPr>
        <w:t>地址：广州市天河区临江大道501号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rPr>
        <w:t>地址：</w:t>
      </w:r>
    </w:p>
    <w:p>
      <w:pPr>
        <w:spacing w:line="384" w:lineRule="auto"/>
        <w:rPr>
          <w:rFonts w:ascii="宋体" w:hAnsi="宋体" w:eastAsia="宋体" w:cs="宋体"/>
          <w:color w:val="auto"/>
          <w:sz w:val="24"/>
          <w:highlight w:val="none"/>
        </w:rPr>
      </w:pPr>
      <w:r>
        <w:rPr>
          <w:rFonts w:hint="eastAsia" w:ascii="宋体" w:hAnsi="宋体" w:cs="宋体"/>
          <w:color w:val="auto"/>
          <w:sz w:val="24"/>
          <w:highlight w:val="none"/>
        </w:rPr>
        <w:t xml:space="preserve">经办人：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384" w:lineRule="auto"/>
        <w:rPr>
          <w:rFonts w:ascii="宋体" w:hAnsi="宋体" w:cs="宋体"/>
          <w:color w:val="auto"/>
          <w:sz w:val="24"/>
          <w:highlight w:val="none"/>
        </w:rPr>
      </w:pPr>
      <w:r>
        <w:rPr>
          <w:rFonts w:hint="eastAsia" w:ascii="宋体" w:hAnsi="宋体" w:cs="宋体"/>
          <w:color w:val="auto"/>
          <w:sz w:val="24"/>
          <w:highlight w:val="none"/>
        </w:rPr>
        <w:t xml:space="preserve">联系电话：                  </w:t>
      </w:r>
      <w:r>
        <w:rPr>
          <w:rFonts w:ascii="宋体" w:hAnsi="宋体" w:cs="宋体"/>
          <w:color w:val="auto"/>
          <w:sz w:val="24"/>
          <w:highlight w:val="none"/>
        </w:rPr>
        <w:t xml:space="preserve">         </w:t>
      </w:r>
      <w:r>
        <w:rPr>
          <w:rFonts w:hint="eastAsia" w:ascii="宋体" w:hAnsi="宋体" w:cs="宋体"/>
          <w:color w:val="auto"/>
          <w:sz w:val="24"/>
          <w:highlight w:val="none"/>
        </w:rPr>
        <w:t>联系电话：</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rPr>
          <w:color w:val="auto"/>
          <w:highlight w:val="none"/>
        </w:rPr>
      </w:pPr>
      <w:r>
        <w:rPr>
          <w:color w:val="auto"/>
          <w:highlight w:val="none"/>
        </w:rPr>
        <w:br w:type="page"/>
      </w:r>
    </w:p>
    <w:p>
      <w:pPr>
        <w:spacing w:line="560" w:lineRule="exact"/>
        <w:rPr>
          <w:rFonts w:ascii="Times New Roman" w:hAnsi="Times New Roman" w:eastAsia="宋体" w:cs="Times New Roman"/>
          <w:b/>
          <w:color w:val="auto"/>
          <w:sz w:val="24"/>
          <w:szCs w:val="24"/>
          <w:highlight w:val="none"/>
        </w:rPr>
      </w:pPr>
      <w:r>
        <w:rPr>
          <w:b/>
          <w:color w:val="auto"/>
          <w:sz w:val="24"/>
          <w:highlight w:val="none"/>
        </w:rPr>
        <w:t>附件</w:t>
      </w:r>
      <w:r>
        <w:rPr>
          <w:rFonts w:hint="eastAsia"/>
          <w:b/>
          <w:color w:val="auto"/>
          <w:sz w:val="24"/>
          <w:highlight w:val="none"/>
        </w:rPr>
        <w:t>1</w:t>
      </w:r>
      <w:r>
        <w:rPr>
          <w:b/>
          <w:color w:val="auto"/>
          <w:sz w:val="24"/>
          <w:highlight w:val="none"/>
        </w:rPr>
        <w:t>：</w:t>
      </w:r>
      <w:r>
        <w:rPr>
          <w:rFonts w:hint="eastAsia" w:ascii="Times New Roman" w:hAnsi="Times New Roman" w:eastAsia="宋体" w:cs="Times New Roman"/>
          <w:b/>
          <w:color w:val="auto"/>
          <w:sz w:val="24"/>
          <w:szCs w:val="24"/>
          <w:highlight w:val="none"/>
        </w:rPr>
        <w:t>成果归属协议</w:t>
      </w:r>
    </w:p>
    <w:p>
      <w:pPr>
        <w:spacing w:line="360" w:lineRule="auto"/>
        <w:jc w:val="center"/>
        <w:rPr>
          <w:rFonts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t>成果归属</w:t>
      </w:r>
      <w:r>
        <w:rPr>
          <w:rFonts w:ascii="Times New Roman" w:hAnsi="Times New Roman" w:eastAsia="宋体" w:cs="Times New Roman"/>
          <w:b/>
          <w:color w:val="auto"/>
          <w:sz w:val="32"/>
          <w:szCs w:val="32"/>
          <w:highlight w:val="none"/>
        </w:rPr>
        <w:t>协议</w:t>
      </w:r>
    </w:p>
    <w:p>
      <w:pPr>
        <w:autoSpaceDE w:val="0"/>
        <w:autoSpaceDN w:val="0"/>
        <w:adjustRightInd w:val="0"/>
        <w:rPr>
          <w:rFonts w:ascii="宋体" w:hAnsi="Times New Roman" w:eastAsia="仿宋_GB2312" w:cs="宋体"/>
          <w:color w:val="auto"/>
          <w:sz w:val="24"/>
          <w:szCs w:val="24"/>
          <w:highlight w:val="none"/>
        </w:rPr>
      </w:pPr>
    </w:p>
    <w:p>
      <w:pPr>
        <w:wordWrap w:val="0"/>
        <w:overflowPunct w:val="0"/>
        <w:autoSpaceDE w:val="0"/>
        <w:autoSpaceDN w:val="0"/>
        <w:adjustRightInd w:val="0"/>
        <w:spacing w:line="360" w:lineRule="auto"/>
        <w:ind w:firstLine="480" w:firstLineChars="200"/>
        <w:rPr>
          <w:rFonts w:ascii="宋体" w:hAnsi="Times New Roman" w:eastAsia="仿宋_GB2312" w:cs="宋体"/>
          <w:color w:val="auto"/>
          <w:sz w:val="24"/>
          <w:szCs w:val="24"/>
          <w:highlight w:val="none"/>
        </w:rPr>
      </w:pPr>
      <w:r>
        <w:rPr>
          <w:rFonts w:hint="eastAsia" w:ascii="宋体" w:hAnsi="宋体" w:eastAsia="宋体" w:cs="宋体"/>
          <w:color w:val="auto"/>
          <w:sz w:val="24"/>
          <w:szCs w:val="24"/>
          <w:highlight w:val="none"/>
        </w:rPr>
        <w:t>为保护双方利益，根据国家有关法律法规，</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rPr>
        <w:t>(以下称甲方)与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(以下称乙方)，特此订立本协议共同遵照执行。</w:t>
      </w:r>
    </w:p>
    <w:p>
      <w:pPr>
        <w:numPr>
          <w:ilvl w:val="0"/>
          <w:numId w:val="6"/>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协议所述成果指本项目实施过程中产生的成果，内容包括：</w:t>
      </w:r>
    </w:p>
    <w:p>
      <w:pPr>
        <w:numPr>
          <w:ilvl w:val="0"/>
          <w:numId w:val="7"/>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成果：项目实施过程中取得的及最终取得的发明、发现和其他科学技术成就。其表现形式包括但不限于技术资料、设计图纸、工艺方法、材料配方、计算机程序、技术信息及其组合;也包括但不限于样品、样机、新产品、新材料以及新生产线。</w:t>
      </w:r>
    </w:p>
    <w:p>
      <w:pPr>
        <w:numPr>
          <w:ilvl w:val="0"/>
          <w:numId w:val="7"/>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学术发表：出于学术研究目的，在期刊、报纸、书籍或电子图书馆上公开发表，或在课堂、讲座或研讨会等公开场合发表。</w:t>
      </w:r>
    </w:p>
    <w:p>
      <w:pPr>
        <w:numPr>
          <w:ilvl w:val="0"/>
          <w:numId w:val="7"/>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知识产权：（1）作品；（2）发明专利、实用新型专利、外观设计专利；（3）商标；（4）地理标志；（5）商业秘密；（6）集成电路布图设计；（7）植物新品种；（8）法律规定的其他客体。</w:t>
      </w:r>
    </w:p>
    <w:p>
      <w:pPr>
        <w:numPr>
          <w:ilvl w:val="0"/>
          <w:numId w:val="6"/>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背景知识产权：</w:t>
      </w:r>
    </w:p>
    <w:p>
      <w:pPr>
        <w:numPr>
          <w:ilvl w:val="255"/>
          <w:numId w:val="0"/>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1.本协议的履行不影响双方原本拥有的背景知识产权的归属，其仍然归原权利人所有；</w:t>
      </w:r>
    </w:p>
    <w:p>
      <w:pPr>
        <w:numPr>
          <w:ilvl w:val="255"/>
          <w:numId w:val="0"/>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本协议双方应授予对方为实施本项目研发而使用背景知识产权的免费普通许可。除以实施本项目为目的允许甲方关联企业员工或乙方学生使用外，双方均不得授予第三方使用对方背景知识产权的分许可</w:t>
      </w:r>
      <w:r>
        <w:rPr>
          <w:rFonts w:hint="eastAsia" w:ascii="宋体" w:hAnsi="宋体" w:eastAsia="宋体" w:cs="宋体"/>
          <w:color w:val="auto"/>
          <w:sz w:val="24"/>
          <w:szCs w:val="24"/>
          <w:highlight w:val="none"/>
        </w:rPr>
        <w:t>；</w:t>
      </w:r>
    </w:p>
    <w:p>
      <w:pPr>
        <w:widowControl/>
        <w:spacing w:line="360" w:lineRule="auto"/>
        <w:ind w:firstLine="480" w:firstLineChars="200"/>
        <w:rPr>
          <w:rFonts w:ascii="Times New Roman" w:hAnsi="宋体" w:eastAsia="宋体" w:cs="Times New Roman"/>
          <w:color w:val="auto"/>
          <w:szCs w:val="24"/>
          <w:highlight w:val="none"/>
        </w:rPr>
      </w:pPr>
      <w:r>
        <w:rPr>
          <w:rFonts w:ascii="宋体" w:hAnsi="宋体" w:eastAsia="宋体" w:cs="宋体"/>
          <w:color w:val="auto"/>
          <w:sz w:val="24"/>
          <w:szCs w:val="24"/>
          <w:highlight w:val="none"/>
        </w:rPr>
        <w:t>3.甲方需以实施本项目研发以外的其他目的使用乙方背景知识产权的，双方应另行签订许可协议。</w:t>
      </w:r>
    </w:p>
    <w:p>
      <w:pPr>
        <w:widowControl/>
        <w:spacing w:line="360" w:lineRule="auto"/>
        <w:ind w:firstLine="482" w:firstLineChars="200"/>
        <w:rPr>
          <w:rFonts w:ascii="宋体" w:hAnsi="宋体" w:eastAsia="宋体" w:cs="宋体"/>
          <w:bCs/>
          <w:color w:val="auto"/>
          <w:sz w:val="24"/>
          <w:highlight w:val="none"/>
        </w:rPr>
      </w:pPr>
      <w:r>
        <w:rPr>
          <w:rFonts w:hint="eastAsia" w:ascii="宋体" w:hAnsi="宋体" w:eastAsia="宋体" w:cs="宋体"/>
          <w:b/>
          <w:color w:val="auto"/>
          <w:sz w:val="24"/>
          <w:highlight w:val="none"/>
        </w:rPr>
        <w:t xml:space="preserve">第三条 </w:t>
      </w:r>
      <w:r>
        <w:rPr>
          <w:rFonts w:hint="eastAsia" w:ascii="宋体" w:hAnsi="宋体" w:eastAsia="宋体" w:cs="宋体"/>
          <w:bCs/>
          <w:color w:val="auto"/>
          <w:sz w:val="24"/>
          <w:highlight w:val="none"/>
        </w:rPr>
        <w:t>乙方保证在项目开发过程中不侵犯任何第三方和甲方的知识产权，如有侵权，乙方应当决定采取以下补救措施之一以使甲方能合法地继续使用本项目开发成果：（一）自行获得第三方的许可；或（二）修改或更换前述开发成果使其不侵权。乙方采取前述补救措施的费用应由乙方自行承担。若乙方无法采取以上任何补救措施，导致甲方无法继续合法地使用前述开发成果,乙方同意向甲方返还已收取的金额。如因乙方原因导致甲方涉及知识产权的纠纷，则由乙方承担全部责任。</w:t>
      </w:r>
    </w:p>
    <w:p>
      <w:pPr>
        <w:numPr>
          <w:ilvl w:val="255"/>
          <w:numId w:val="0"/>
        </w:numPr>
        <w:autoSpaceDE w:val="0"/>
        <w:autoSpaceDN w:val="0"/>
        <w:adjustRightInd w:val="0"/>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第四条 </w:t>
      </w:r>
      <w:r>
        <w:rPr>
          <w:rFonts w:hint="eastAsia" w:ascii="宋体" w:hAnsi="宋体" w:eastAsia="宋体" w:cs="宋体"/>
          <w:color w:val="auto"/>
          <w:sz w:val="24"/>
          <w:szCs w:val="24"/>
          <w:highlight w:val="none"/>
        </w:rPr>
        <w:t>技术成果知识产权的归属和使用：</w:t>
      </w:r>
    </w:p>
    <w:p>
      <w:pPr>
        <w:numPr>
          <w:ilvl w:val="255"/>
          <w:numId w:val="0"/>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1.甲方委托乙方开发完成的技术成果知识产权应当归甲方所有，该技术成果知识产权申请权归甲方所有。</w:t>
      </w:r>
    </w:p>
    <w:p>
      <w:pPr>
        <w:numPr>
          <w:ilvl w:val="255"/>
          <w:numId w:val="0"/>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双方可以不定期（不限于项目期间）对任何涉嫌或实际侵犯其技术成果知识产权的行为采取一切合理必要措施，另一方应当为其采取上述措施提供合理的帮助。</w:t>
      </w:r>
    </w:p>
    <w:p>
      <w:pPr>
        <w:numPr>
          <w:ilvl w:val="255"/>
          <w:numId w:val="0"/>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双方应允许对方以实施本项目研发为目的授予使用技术成果知识产权的许可，但不得授予其他第三方使用技术成果知识产权的分许可。</w:t>
      </w:r>
    </w:p>
    <w:p>
      <w:pPr>
        <w:numPr>
          <w:ilvl w:val="255"/>
          <w:numId w:val="0"/>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存在任何第三方（如学生、承包商或其他非项目界定参与人员）参与或曾经参与该项目，则按有关协议或管理权限可以约束该第三方的一方应当确保已获得（或者在未来适当情况下获得）该第三方在技术成果中可能拥有的所有权利。</w:t>
      </w:r>
    </w:p>
    <w:p>
      <w:pPr>
        <w:numPr>
          <w:ilvl w:val="255"/>
          <w:numId w:val="0"/>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未经甲方书面同意，乙方不得赋予技术成果完成人（团队）技术成果知识产权所有权或长期使用权。若甲方书面同意赋予技术成果完成人（团队）技术成果知识产权所有权或长期使用权，协议双方应与技术成果完成人（团队）签署三方书面协议，合理约定转化技术成果收益分配比例、转化决策机制、转化费用分担以及知识产权维持费用等。</w:t>
      </w:r>
    </w:p>
    <w:p>
      <w:pPr>
        <w:numPr>
          <w:ilvl w:val="255"/>
          <w:numId w:val="0"/>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7.无论是否存在技术成果知识产权的许可和转让，乙方及其员工和学生拥有不可撤销的出于学术研究目的使用技术成果知识产权的权利。但涉及甲方商业秘密，须事先取得甲方书面同意。</w:t>
      </w:r>
    </w:p>
    <w:p>
      <w:pPr>
        <w:numPr>
          <w:ilvl w:val="255"/>
          <w:numId w:val="0"/>
        </w:numPr>
        <w:autoSpaceDE w:val="0"/>
        <w:autoSpaceDN w:val="0"/>
        <w:adjustRightInd w:val="0"/>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第五条 </w:t>
      </w:r>
      <w:r>
        <w:rPr>
          <w:rFonts w:hint="eastAsia" w:ascii="宋体" w:hAnsi="宋体" w:eastAsia="宋体" w:cs="宋体"/>
          <w:color w:val="auto"/>
          <w:sz w:val="24"/>
          <w:szCs w:val="24"/>
          <w:highlight w:val="none"/>
        </w:rPr>
        <w:t>技术成果知识产权的改进：</w:t>
      </w:r>
    </w:p>
    <w:p>
      <w:pPr>
        <w:numPr>
          <w:ilvl w:val="255"/>
          <w:numId w:val="0"/>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除另有约定外，本协议期满或终止后，任何一方均有对技术成果知识产权进行改进或二次开发的权利，一方单独改进或二次开发的成果属于改进一方或二次开发方所有。需利用对方商业秘密进行改进或二次开发的，须获得对方书面同意，且改进或二次开发成果属于双方共有。双方合作改进或二次开发的成果属于双方共有。</w:t>
      </w:r>
    </w:p>
    <w:p>
      <w:pPr>
        <w:numPr>
          <w:ilvl w:val="255"/>
          <w:numId w:val="0"/>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2.一方对技术成果知识产权改进或二次开发的成果，同等条件下应当授予对方优先被许可或受让的权利。</w:t>
      </w:r>
    </w:p>
    <w:p>
      <w:pPr>
        <w:numPr>
          <w:ilvl w:val="255"/>
          <w:numId w:val="0"/>
        </w:numPr>
        <w:autoSpaceDE w:val="0"/>
        <w:autoSpaceDN w:val="0"/>
        <w:adjustRightInd w:val="0"/>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第六条 </w:t>
      </w:r>
      <w:r>
        <w:rPr>
          <w:rFonts w:hint="eastAsia" w:ascii="宋体" w:hAnsi="宋体" w:eastAsia="宋体" w:cs="宋体"/>
          <w:color w:val="auto"/>
          <w:sz w:val="24"/>
          <w:szCs w:val="24"/>
          <w:highlight w:val="none"/>
        </w:rPr>
        <w:t>协议双方使用对方知识产权的，对方应当向其提供该知识产权不侵犯第三方任何权利的担保。</w:t>
      </w:r>
    </w:p>
    <w:p>
      <w:pPr>
        <w:numPr>
          <w:ilvl w:val="255"/>
          <w:numId w:val="0"/>
        </w:numPr>
        <w:autoSpaceDE w:val="0"/>
        <w:autoSpaceDN w:val="0"/>
        <w:adjustRightInd w:val="0"/>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第七条 </w:t>
      </w:r>
      <w:r>
        <w:rPr>
          <w:rFonts w:hint="eastAsia" w:ascii="宋体" w:hAnsi="宋体" w:eastAsia="宋体" w:cs="宋体"/>
          <w:color w:val="auto"/>
          <w:sz w:val="24"/>
          <w:szCs w:val="24"/>
          <w:highlight w:val="none"/>
        </w:rPr>
        <w:t>学术发表：</w:t>
      </w:r>
    </w:p>
    <w:p>
      <w:pPr>
        <w:numPr>
          <w:ilvl w:val="255"/>
          <w:numId w:val="0"/>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在不违反本协议关于保密和知识产权规定的情况下，协议双方均有权发表本项目的技术成果。协议任何一方在其发表的论文或出版物中应该明确标明另外一方对本技术成果的贡献，以及其对本技术成果的资助情况。</w:t>
      </w:r>
    </w:p>
    <w:p>
      <w:pPr>
        <w:numPr>
          <w:ilvl w:val="255"/>
          <w:numId w:val="0"/>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2.拟发表方应当至少在拟发表日期前的30天内，以书面形式向对方提交拟发表内容的详细信息。对方可以向拟发表方以书面形式发出保密通知。</w:t>
      </w:r>
    </w:p>
    <w:p>
      <w:pPr>
        <w:numPr>
          <w:ilvl w:val="255"/>
          <w:numId w:val="0"/>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3.保密通知发出方有权在保密通知中要求，将拟发表推迟3个月。但该方须有合理意见说明该要求是为了对拟发表内容寻求专利或其他知识产权保护而必要的。</w:t>
      </w:r>
    </w:p>
    <w:p>
      <w:pPr>
        <w:numPr>
          <w:ilvl w:val="255"/>
          <w:numId w:val="0"/>
        </w:numPr>
        <w:autoSpaceDE w:val="0"/>
        <w:autoSpaceDN w:val="0"/>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保密通知发出方必须在收到拟发表内容的详细信息后的</w:t>
      </w:r>
      <w:r>
        <w:rPr>
          <w:rFonts w:hint="eastAsia" w:ascii="宋体" w:hAnsi="宋体" w:eastAsia="宋体" w:cs="宋体"/>
          <w:color w:val="auto"/>
          <w:sz w:val="24"/>
          <w:szCs w:val="24"/>
          <w:highlight w:val="none"/>
        </w:rPr>
        <w:t>15</w:t>
      </w:r>
      <w:r>
        <w:rPr>
          <w:rFonts w:ascii="宋体" w:hAnsi="宋体" w:eastAsia="宋体" w:cs="宋体"/>
          <w:color w:val="auto"/>
          <w:sz w:val="24"/>
          <w:szCs w:val="24"/>
          <w:highlight w:val="none"/>
        </w:rPr>
        <w:t>天内发出保密通知。如果拟发表方在该期限内未收到保密通知，则视为同意发表，但该拟发表内容与对方背景知识产权有关且是其保密信息的除外。</w:t>
      </w:r>
    </w:p>
    <w:p>
      <w:pPr>
        <w:spacing w:line="360" w:lineRule="auto"/>
        <w:ind w:firstLine="482" w:firstLineChars="200"/>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第</w:t>
      </w:r>
      <w:r>
        <w:rPr>
          <w:rFonts w:hint="eastAsia" w:ascii="Times New Roman" w:hAnsi="Times New Roman" w:eastAsia="宋体" w:cs="Times New Roman"/>
          <w:b/>
          <w:color w:val="auto"/>
          <w:sz w:val="24"/>
          <w:szCs w:val="24"/>
          <w:highlight w:val="none"/>
        </w:rPr>
        <w:t>八</w:t>
      </w:r>
      <w:r>
        <w:rPr>
          <w:rFonts w:ascii="Times New Roman" w:hAnsi="Times New Roman" w:eastAsia="宋体" w:cs="Times New Roman"/>
          <w:b/>
          <w:color w:val="auto"/>
          <w:sz w:val="24"/>
          <w:szCs w:val="24"/>
          <w:highlight w:val="none"/>
        </w:rPr>
        <w:t>条</w:t>
      </w:r>
      <w:r>
        <w:rPr>
          <w:rFonts w:hint="eastAsia" w:ascii="Times New Roman" w:hAnsi="Times New Roman" w:eastAsia="宋体" w:cs="Times New Roman"/>
          <w:b/>
          <w:color w:val="auto"/>
          <w:sz w:val="24"/>
          <w:szCs w:val="24"/>
          <w:highlight w:val="none"/>
        </w:rPr>
        <w:t xml:space="preserve"> </w:t>
      </w:r>
      <w:r>
        <w:rPr>
          <w:rFonts w:ascii="Times New Roman" w:hAnsi="Times New Roman" w:eastAsia="宋体" w:cs="Times New Roman"/>
          <w:color w:val="auto"/>
          <w:sz w:val="24"/>
          <w:szCs w:val="24"/>
          <w:highlight w:val="none"/>
        </w:rPr>
        <w:t>本协议作为</w:t>
      </w:r>
      <w:r>
        <w:rPr>
          <w:rFonts w:hint="eastAsia" w:ascii="Times New Roman" w:hAnsi="Times New Roman" w:eastAsia="宋体" w:cs="Times New Roman"/>
          <w:color w:val="auto"/>
          <w:sz w:val="24"/>
          <w:szCs w:val="24"/>
          <w:highlight w:val="none"/>
          <w:u w:val="single"/>
        </w:rPr>
        <w:t>地埋式净水厂通风除臭系统节能运行管控技术研究与应用项目合作协议 穗净水合〔</w:t>
      </w:r>
      <w:r>
        <w:rPr>
          <w:rFonts w:hint="eastAsia"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   号</w:t>
      </w:r>
      <w:r>
        <w:rPr>
          <w:rFonts w:ascii="Times New Roman" w:hAnsi="Times New Roman" w:eastAsia="宋体" w:cs="Times New Roman"/>
          <w:color w:val="auto"/>
          <w:sz w:val="24"/>
          <w:szCs w:val="24"/>
          <w:highlight w:val="none"/>
        </w:rPr>
        <w:t>合同的附件，并具有同等的法律效力。</w:t>
      </w:r>
    </w:p>
    <w:p>
      <w:pPr>
        <w:adjustRightInd w:val="0"/>
        <w:snapToGrid w:val="0"/>
        <w:spacing w:line="360" w:lineRule="auto"/>
        <w:ind w:firstLine="482" w:firstLineChars="200"/>
        <w:jc w:val="left"/>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rPr>
        <w:t>第九条</w:t>
      </w:r>
      <w:r>
        <w:rPr>
          <w:rFonts w:hint="eastAsia"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rPr>
        <w:t>本协议与主合同同时签订、同时终止、同时生效，具有相同的法律效力，自甲方、乙方双方签字、盖章生效，甲方、乙方双方执持数量与主合同一致。</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br w:type="textWrapping"/>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甲方（盖章）：</w:t>
      </w:r>
      <w:r>
        <w:rPr>
          <w:rFonts w:hint="eastAsia" w:ascii="Times New Roman" w:hAnsi="Times New Roman" w:eastAsia="宋体" w:cs="Times New Roman"/>
          <w:color w:val="auto"/>
          <w:sz w:val="24"/>
          <w:szCs w:val="24"/>
          <w:highlight w:val="none"/>
        </w:rPr>
        <w:t>广州市净水有限公司</w:t>
      </w:r>
      <w:r>
        <w:rPr>
          <w:rFonts w:ascii="Times New Roman" w:hAnsi="Times New Roman" w:eastAsia="宋体" w:cs="Times New Roman"/>
          <w:color w:val="auto"/>
          <w:sz w:val="24"/>
          <w:szCs w:val="24"/>
          <w:highlight w:val="none"/>
        </w:rPr>
        <w:t xml:space="preserve">   乙方（盖章）：</w:t>
      </w:r>
    </w:p>
    <w:p>
      <w:pPr>
        <w:tabs>
          <w:tab w:val="left" w:pos="5100"/>
        </w:tabs>
        <w:spacing w:line="360" w:lineRule="auto"/>
        <w:ind w:firstLine="480" w:firstLineChars="200"/>
        <w:jc w:val="left"/>
        <w:rPr>
          <w:rFonts w:ascii="Times New Roman" w:hAnsi="Times New Roman" w:eastAsia="宋体" w:cs="Times New Roman"/>
          <w:color w:val="auto"/>
          <w:sz w:val="24"/>
          <w:szCs w:val="24"/>
          <w:highlight w:val="none"/>
        </w:rPr>
      </w:pPr>
    </w:p>
    <w:p>
      <w:pPr>
        <w:tabs>
          <w:tab w:val="left" w:pos="5100"/>
        </w:tabs>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签约代表：                    </w:t>
      </w:r>
      <w:r>
        <w:rPr>
          <w:rFonts w:hint="eastAsia"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rPr>
        <w:t xml:space="preserve">   签约代表：</w:t>
      </w:r>
    </w:p>
    <w:p>
      <w:pPr>
        <w:tabs>
          <w:tab w:val="left" w:pos="4170"/>
        </w:tabs>
        <w:spacing w:line="360" w:lineRule="auto"/>
        <w:ind w:firstLine="480" w:firstLineChars="200"/>
        <w:rPr>
          <w:rFonts w:ascii="Times New Roman" w:hAnsi="Times New Roman" w:eastAsia="宋体" w:cs="Times New Roman"/>
          <w:color w:val="auto"/>
          <w:sz w:val="24"/>
          <w:szCs w:val="24"/>
          <w:highlight w:val="none"/>
        </w:rPr>
      </w:pPr>
    </w:p>
    <w:p>
      <w:pPr>
        <w:ind w:firstLine="420" w:firstLineChars="175"/>
        <w:rPr>
          <w:rFonts w:ascii="Times New Roman" w:hAnsi="Times New Roman" w:eastAsia="宋体" w:cs="Times New Roman"/>
          <w:b/>
          <w:color w:val="auto"/>
          <w:sz w:val="24"/>
          <w:szCs w:val="24"/>
          <w:highlight w:val="none"/>
        </w:rPr>
      </w:pPr>
      <w:r>
        <w:rPr>
          <w:rFonts w:ascii="Times New Roman" w:hAnsi="Times New Roman" w:eastAsia="宋体" w:cs="Times New Roman"/>
          <w:color w:val="auto"/>
          <w:sz w:val="24"/>
          <w:szCs w:val="24"/>
          <w:highlight w:val="none"/>
        </w:rPr>
        <w:t>日期:</w:t>
      </w:r>
      <w:r>
        <w:rPr>
          <w:rFonts w:hint="eastAsia"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rPr>
        <w:t xml:space="preserve">   日期：</w:t>
      </w:r>
    </w:p>
    <w:p>
      <w:pPr>
        <w:spacing w:line="360" w:lineRule="auto"/>
        <w:rPr>
          <w:rFonts w:ascii="仿宋_GB2312" w:hAnsi="仿宋_GB2312" w:eastAsia="仿宋_GB2312" w:cs="仿宋_GB2312"/>
          <w:color w:val="auto"/>
          <w:sz w:val="32"/>
          <w:szCs w:val="32"/>
          <w:highlight w:val="none"/>
          <w:u w:val="single"/>
        </w:rPr>
      </w:pPr>
    </w:p>
    <w:p>
      <w:pPr>
        <w:rPr>
          <w:b/>
          <w:color w:val="auto"/>
          <w:sz w:val="24"/>
          <w:highlight w:val="none"/>
        </w:rPr>
      </w:pPr>
      <w:r>
        <w:rPr>
          <w:b/>
          <w:color w:val="auto"/>
          <w:sz w:val="24"/>
          <w:highlight w:val="none"/>
        </w:rPr>
        <w:br w:type="page"/>
      </w:r>
    </w:p>
    <w:p>
      <w:pPr>
        <w:spacing w:line="560" w:lineRule="exact"/>
        <w:rPr>
          <w:b/>
          <w:color w:val="auto"/>
          <w:sz w:val="24"/>
          <w:highlight w:val="none"/>
        </w:rPr>
      </w:pPr>
      <w:r>
        <w:rPr>
          <w:b/>
          <w:color w:val="auto"/>
          <w:sz w:val="24"/>
          <w:highlight w:val="none"/>
        </w:rPr>
        <w:t>附件</w:t>
      </w:r>
      <w:r>
        <w:rPr>
          <w:rFonts w:hint="eastAsia"/>
          <w:b/>
          <w:color w:val="auto"/>
          <w:sz w:val="24"/>
          <w:highlight w:val="none"/>
        </w:rPr>
        <w:t>2</w:t>
      </w:r>
      <w:r>
        <w:rPr>
          <w:b/>
          <w:color w:val="auto"/>
          <w:sz w:val="24"/>
          <w:highlight w:val="none"/>
        </w:rPr>
        <w:t>：</w:t>
      </w:r>
    </w:p>
    <w:p>
      <w:pPr>
        <w:spacing w:line="360" w:lineRule="auto"/>
        <w:jc w:val="center"/>
        <w:rPr>
          <w:b/>
          <w:color w:val="auto"/>
          <w:sz w:val="32"/>
          <w:szCs w:val="32"/>
          <w:highlight w:val="none"/>
        </w:rPr>
      </w:pPr>
      <w:r>
        <w:rPr>
          <w:b/>
          <w:color w:val="auto"/>
          <w:sz w:val="32"/>
          <w:szCs w:val="32"/>
          <w:highlight w:val="none"/>
        </w:rPr>
        <w:t>廉洁协议</w:t>
      </w:r>
    </w:p>
    <w:p>
      <w:pPr>
        <w:spacing w:line="360" w:lineRule="auto"/>
        <w:ind w:firstLine="480" w:firstLineChars="200"/>
        <w:rPr>
          <w:color w:val="auto"/>
          <w:sz w:val="24"/>
          <w:highlight w:val="none"/>
        </w:rPr>
      </w:pPr>
      <w:r>
        <w:rPr>
          <w:color w:val="auto"/>
          <w:sz w:val="24"/>
          <w:highlight w:val="none"/>
        </w:rPr>
        <w:t>为促进双方诚信经营、廉洁从业，防范商业贿赂，保护国家、集体和当事人的合法权益，根据国家有关法律法规和广东省、广州市廉政建设的规定，</w:t>
      </w:r>
      <w:r>
        <w:rPr>
          <w:color w:val="auto"/>
          <w:sz w:val="24"/>
          <w:highlight w:val="none"/>
          <w:u w:val="single"/>
        </w:rPr>
        <w:t>广州市净水有限公司</w:t>
      </w:r>
      <w:r>
        <w:rPr>
          <w:color w:val="auto"/>
          <w:sz w:val="24"/>
          <w:highlight w:val="none"/>
        </w:rPr>
        <w:t>(以下称甲方)与</w:t>
      </w:r>
      <w:r>
        <w:rPr>
          <w:rFonts w:hint="eastAsia"/>
          <w:color w:val="auto"/>
          <w:sz w:val="24"/>
          <w:highlight w:val="none"/>
          <w:u w:val="single"/>
        </w:rPr>
        <w:t xml:space="preserve">     </w:t>
      </w:r>
      <w:r>
        <w:rPr>
          <w:color w:val="auto"/>
          <w:sz w:val="24"/>
          <w:highlight w:val="none"/>
        </w:rPr>
        <w:t>(以下称乙方)，特此订立本协议共同遵照执行。</w:t>
      </w:r>
    </w:p>
    <w:p>
      <w:pPr>
        <w:spacing w:line="360" w:lineRule="auto"/>
        <w:ind w:firstLine="482" w:firstLineChars="200"/>
        <w:rPr>
          <w:color w:val="auto"/>
          <w:sz w:val="24"/>
          <w:highlight w:val="none"/>
        </w:rPr>
      </w:pPr>
      <w:r>
        <w:rPr>
          <w:b/>
          <w:bCs/>
          <w:color w:val="auto"/>
          <w:sz w:val="24"/>
          <w:highlight w:val="none"/>
        </w:rPr>
        <w:t>第一条甲乙双方的权利和义务</w:t>
      </w:r>
    </w:p>
    <w:p>
      <w:pPr>
        <w:spacing w:line="360" w:lineRule="auto"/>
        <w:ind w:firstLine="480" w:firstLineChars="200"/>
        <w:rPr>
          <w:color w:val="auto"/>
          <w:sz w:val="24"/>
          <w:highlight w:val="none"/>
        </w:rPr>
      </w:pPr>
      <w:r>
        <w:rPr>
          <w:color w:val="auto"/>
          <w:sz w:val="24"/>
          <w:highlight w:val="none"/>
        </w:rPr>
        <w:t>（一）甲乙双方严格遵守国家关于市场准入、项目招标投标、市场经营活动等有关法律、法规相关政策及廉政建设的各项规定。</w:t>
      </w:r>
    </w:p>
    <w:p>
      <w:pPr>
        <w:spacing w:line="360" w:lineRule="auto"/>
        <w:ind w:firstLine="480" w:firstLineChars="200"/>
        <w:rPr>
          <w:color w:val="auto"/>
          <w:sz w:val="24"/>
          <w:highlight w:val="none"/>
        </w:rPr>
      </w:pPr>
      <w:r>
        <w:rPr>
          <w:color w:val="auto"/>
          <w:sz w:val="24"/>
          <w:highlight w:val="none"/>
        </w:rPr>
        <w:t>（二）严格执行</w:t>
      </w:r>
      <w:r>
        <w:rPr>
          <w:rFonts w:hint="eastAsia"/>
          <w:color w:val="auto"/>
          <w:sz w:val="24"/>
          <w:highlight w:val="none"/>
          <w:u w:val="single"/>
        </w:rPr>
        <w:t>地埋式净水厂通风除臭系统节能运行管控技术研究与应用项目合作协议</w:t>
      </w:r>
      <w:r>
        <w:rPr>
          <w:rFonts w:hint="eastAsia" w:ascii="Times New Roman" w:hAnsi="Times New Roman" w:eastAsia="宋体" w:cs="Times New Roman"/>
          <w:color w:val="auto"/>
          <w:sz w:val="24"/>
          <w:szCs w:val="24"/>
          <w:highlight w:val="none"/>
          <w:u w:val="single"/>
        </w:rPr>
        <w:t xml:space="preserve"> 穗净水合〔</w:t>
      </w:r>
      <w:r>
        <w:rPr>
          <w:rFonts w:hint="eastAsia"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   号</w:t>
      </w:r>
      <w:r>
        <w:rPr>
          <w:color w:val="auto"/>
          <w:sz w:val="24"/>
          <w:highlight w:val="none"/>
        </w:rPr>
        <w:t>合同（以下简称：主合同），自觉履行合同约定的相关义务。</w:t>
      </w:r>
    </w:p>
    <w:p>
      <w:pPr>
        <w:spacing w:line="360" w:lineRule="auto"/>
        <w:ind w:firstLine="480" w:firstLineChars="200"/>
        <w:rPr>
          <w:color w:val="auto"/>
          <w:sz w:val="24"/>
          <w:highlight w:val="none"/>
        </w:rPr>
      </w:pPr>
      <w:r>
        <w:rPr>
          <w:color w:val="auto"/>
          <w:sz w:val="24"/>
          <w:highlight w:val="none"/>
        </w:rPr>
        <w:t>（三）在业务活动中坚持公开、公正、诚信、透明的原则，不得损害国家、集体利益。</w:t>
      </w:r>
    </w:p>
    <w:p>
      <w:pPr>
        <w:spacing w:line="360" w:lineRule="auto"/>
        <w:ind w:firstLine="480" w:firstLineChars="200"/>
        <w:rPr>
          <w:color w:val="auto"/>
          <w:sz w:val="24"/>
          <w:highlight w:val="none"/>
        </w:rPr>
      </w:pPr>
      <w:r>
        <w:rPr>
          <w:color w:val="auto"/>
          <w:sz w:val="24"/>
          <w:highlight w:val="none"/>
        </w:rPr>
        <w:t>（四）建立健全廉洁从业制度，开展廉洁教育，公布举报电话，监督并认真查处不廉洁及违法违纪行为。</w:t>
      </w:r>
    </w:p>
    <w:p>
      <w:pPr>
        <w:spacing w:line="360" w:lineRule="auto"/>
        <w:ind w:firstLine="480" w:firstLineChars="200"/>
        <w:rPr>
          <w:color w:val="auto"/>
          <w:sz w:val="24"/>
          <w:highlight w:val="none"/>
        </w:rPr>
      </w:pPr>
      <w:r>
        <w:rPr>
          <w:color w:val="auto"/>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color w:val="auto"/>
          <w:sz w:val="24"/>
          <w:highlight w:val="none"/>
        </w:rPr>
      </w:pPr>
      <w:r>
        <w:rPr>
          <w:b/>
          <w:bCs/>
          <w:color w:val="auto"/>
          <w:sz w:val="24"/>
          <w:highlight w:val="none"/>
        </w:rPr>
        <w:t>第二条甲方的义务</w:t>
      </w:r>
    </w:p>
    <w:p>
      <w:pPr>
        <w:spacing w:line="360" w:lineRule="auto"/>
        <w:ind w:firstLine="480" w:firstLineChars="200"/>
        <w:rPr>
          <w:color w:val="auto"/>
          <w:sz w:val="24"/>
          <w:highlight w:val="none"/>
        </w:rPr>
      </w:pPr>
      <w:r>
        <w:rPr>
          <w:color w:val="auto"/>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color w:val="auto"/>
          <w:sz w:val="24"/>
          <w:highlight w:val="none"/>
        </w:rPr>
      </w:pPr>
      <w:r>
        <w:rPr>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firstLine="480" w:firstLineChars="200"/>
        <w:rPr>
          <w:color w:val="auto"/>
          <w:sz w:val="24"/>
          <w:highlight w:val="none"/>
        </w:rPr>
      </w:pPr>
      <w:r>
        <w:rPr>
          <w:color w:val="auto"/>
          <w:sz w:val="24"/>
          <w:highlight w:val="none"/>
        </w:rPr>
        <w:t>（三）甲方及其工作人员不得要求或者接受乙方为其住房装修、婚丧嫁娶活动、配偶子女工作安排以及出国出境、旅游等提供方便等。</w:t>
      </w:r>
    </w:p>
    <w:p>
      <w:pPr>
        <w:spacing w:line="360" w:lineRule="auto"/>
        <w:ind w:firstLine="480" w:firstLineChars="200"/>
        <w:rPr>
          <w:color w:val="auto"/>
          <w:sz w:val="24"/>
          <w:highlight w:val="none"/>
        </w:rPr>
      </w:pPr>
      <w:r>
        <w:rPr>
          <w:color w:val="auto"/>
          <w:sz w:val="24"/>
          <w:highlight w:val="none"/>
        </w:rPr>
        <w:t>（四）甲方工作人员不得在乙方或与乙方有股权关联的企业兼职，不得向乙方介绍家属或者亲友从事与甲方业务有关的经济活动。</w:t>
      </w:r>
    </w:p>
    <w:p>
      <w:pPr>
        <w:spacing w:line="360" w:lineRule="auto"/>
        <w:ind w:firstLine="480" w:firstLineChars="200"/>
        <w:rPr>
          <w:color w:val="auto"/>
          <w:sz w:val="24"/>
          <w:highlight w:val="none"/>
        </w:rPr>
      </w:pPr>
      <w:r>
        <w:rPr>
          <w:color w:val="auto"/>
          <w:sz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firstLine="480" w:firstLineChars="200"/>
        <w:rPr>
          <w:color w:val="auto"/>
          <w:sz w:val="24"/>
          <w:highlight w:val="none"/>
        </w:rPr>
      </w:pPr>
      <w:r>
        <w:rPr>
          <w:color w:val="auto"/>
          <w:sz w:val="24"/>
          <w:highlight w:val="none"/>
        </w:rPr>
        <w:t>（六）甲方工作人员不得利用职务之便收受乙方以回扣、手续费、加班费、咨询费、劳务费、协调费、辛苦费等各种名义给予或赠送的钱物。</w:t>
      </w:r>
    </w:p>
    <w:p>
      <w:pPr>
        <w:spacing w:line="360" w:lineRule="auto"/>
        <w:ind w:firstLine="480" w:firstLineChars="200"/>
        <w:rPr>
          <w:color w:val="auto"/>
          <w:sz w:val="24"/>
          <w:highlight w:val="none"/>
        </w:rPr>
      </w:pPr>
      <w:r>
        <w:rPr>
          <w:color w:val="auto"/>
          <w:sz w:val="24"/>
          <w:highlight w:val="none"/>
        </w:rPr>
        <w:t>（七）甲方工作人员不得接受乙方给予或赠送的干股或红利。</w:t>
      </w:r>
    </w:p>
    <w:p>
      <w:pPr>
        <w:spacing w:line="360" w:lineRule="auto"/>
        <w:ind w:firstLine="482" w:firstLineChars="200"/>
        <w:rPr>
          <w:color w:val="auto"/>
          <w:sz w:val="24"/>
          <w:highlight w:val="none"/>
        </w:rPr>
      </w:pPr>
      <w:r>
        <w:rPr>
          <w:b/>
          <w:bCs/>
          <w:color w:val="auto"/>
          <w:sz w:val="24"/>
          <w:highlight w:val="none"/>
        </w:rPr>
        <w:t>第三条乙方的义务</w:t>
      </w:r>
    </w:p>
    <w:p>
      <w:pPr>
        <w:spacing w:line="360" w:lineRule="auto"/>
        <w:ind w:firstLine="480" w:firstLineChars="200"/>
        <w:rPr>
          <w:color w:val="auto"/>
          <w:sz w:val="24"/>
          <w:highlight w:val="none"/>
        </w:rPr>
      </w:pPr>
      <w:r>
        <w:rPr>
          <w:color w:val="auto"/>
          <w:sz w:val="24"/>
          <w:highlight w:val="none"/>
        </w:rPr>
        <w:t>（一）乙方不得以任何理由向甲方及其工作人员行贿或馈赠礼金、有价证券、贵重礼品。</w:t>
      </w:r>
    </w:p>
    <w:p>
      <w:pPr>
        <w:spacing w:line="360" w:lineRule="auto"/>
        <w:ind w:firstLine="480" w:firstLineChars="200"/>
        <w:rPr>
          <w:color w:val="auto"/>
          <w:sz w:val="24"/>
          <w:highlight w:val="none"/>
        </w:rPr>
      </w:pPr>
      <w:r>
        <w:rPr>
          <w:color w:val="auto"/>
          <w:sz w:val="24"/>
          <w:highlight w:val="none"/>
        </w:rPr>
        <w:t>（二)乙方不得以任何名义为甲方及其工作人员报销应由甲方单位或个人支付的任何费用。</w:t>
      </w:r>
    </w:p>
    <w:p>
      <w:pPr>
        <w:spacing w:line="360" w:lineRule="auto"/>
        <w:ind w:firstLine="480" w:firstLineChars="200"/>
        <w:rPr>
          <w:color w:val="auto"/>
          <w:sz w:val="24"/>
          <w:highlight w:val="none"/>
        </w:rPr>
      </w:pPr>
      <w:r>
        <w:rPr>
          <w:color w:val="auto"/>
          <w:sz w:val="24"/>
          <w:highlight w:val="none"/>
        </w:rPr>
        <w:t>（三）乙方不得以任何理由安排甲方工作人员参加可能影响相关业务公开、公正、公平性的宴请及娱乐活动。</w:t>
      </w:r>
    </w:p>
    <w:p>
      <w:pPr>
        <w:pStyle w:val="14"/>
        <w:spacing w:after="0" w:line="360" w:lineRule="auto"/>
        <w:ind w:left="0" w:leftChars="0" w:firstLine="480" w:firstLineChars="200"/>
        <w:rPr>
          <w:color w:val="auto"/>
          <w:sz w:val="24"/>
          <w:highlight w:val="none"/>
        </w:rPr>
      </w:pPr>
      <w:r>
        <w:rPr>
          <w:color w:val="auto"/>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color w:val="auto"/>
          <w:sz w:val="24"/>
          <w:highlight w:val="none"/>
        </w:rPr>
      </w:pPr>
      <w:r>
        <w:rPr>
          <w:color w:val="auto"/>
          <w:sz w:val="24"/>
          <w:highlight w:val="none"/>
        </w:rPr>
        <w:t>（五）乙方不得擅自与甲方工作人员就合同中的质量、数量、价格、工程量、验收等条款进行私下商谈或者达成默契。</w:t>
      </w:r>
    </w:p>
    <w:p>
      <w:pPr>
        <w:spacing w:line="360" w:lineRule="auto"/>
        <w:ind w:firstLine="480" w:firstLineChars="200"/>
        <w:rPr>
          <w:color w:val="auto"/>
          <w:sz w:val="24"/>
          <w:highlight w:val="none"/>
        </w:rPr>
      </w:pPr>
      <w:r>
        <w:rPr>
          <w:color w:val="auto"/>
          <w:sz w:val="24"/>
          <w:highlight w:val="none"/>
        </w:rPr>
        <w:t>（六）乙方不得以回扣、手续费、加班费、咨询费、劳务费、协调费、辛苦费等各种名义向甲方工作人员给予或赠送钱物。</w:t>
      </w:r>
    </w:p>
    <w:p>
      <w:pPr>
        <w:spacing w:line="360" w:lineRule="auto"/>
        <w:ind w:firstLine="480" w:firstLineChars="200"/>
        <w:rPr>
          <w:color w:val="auto"/>
          <w:sz w:val="24"/>
          <w:highlight w:val="none"/>
        </w:rPr>
      </w:pPr>
      <w:r>
        <w:rPr>
          <w:color w:val="auto"/>
          <w:sz w:val="24"/>
          <w:highlight w:val="none"/>
        </w:rPr>
        <w:t>（七）乙方不得向甲方工作人员提供干股或红利。</w:t>
      </w:r>
    </w:p>
    <w:p>
      <w:pPr>
        <w:spacing w:line="360" w:lineRule="auto"/>
        <w:ind w:firstLine="482" w:firstLineChars="200"/>
        <w:rPr>
          <w:color w:val="auto"/>
          <w:sz w:val="24"/>
          <w:highlight w:val="none"/>
        </w:rPr>
      </w:pPr>
      <w:r>
        <w:rPr>
          <w:b/>
          <w:bCs/>
          <w:color w:val="auto"/>
          <w:sz w:val="24"/>
          <w:highlight w:val="none"/>
        </w:rPr>
        <w:t>第四条违约责任</w:t>
      </w:r>
    </w:p>
    <w:p>
      <w:pPr>
        <w:spacing w:line="360" w:lineRule="auto"/>
        <w:ind w:firstLine="480" w:firstLineChars="200"/>
        <w:rPr>
          <w:color w:val="auto"/>
          <w:sz w:val="24"/>
          <w:highlight w:val="none"/>
        </w:rPr>
      </w:pPr>
      <w:r>
        <w:rPr>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color w:val="auto"/>
          <w:sz w:val="24"/>
          <w:highlight w:val="none"/>
        </w:rPr>
      </w:pPr>
      <w:r>
        <w:rPr>
          <w:color w:val="auto"/>
          <w:sz w:val="24"/>
          <w:highlight w:val="none"/>
        </w:rPr>
        <w:t>甲方举报投诉联系部门：广州市净水有限公司</w:t>
      </w:r>
      <w:r>
        <w:rPr>
          <w:color w:val="auto"/>
          <w:sz w:val="24"/>
          <w:highlight w:val="none"/>
          <w:u w:val="single"/>
        </w:rPr>
        <w:t>纪检室</w:t>
      </w:r>
      <w:r>
        <w:rPr>
          <w:color w:val="auto"/>
          <w:sz w:val="24"/>
          <w:highlight w:val="none"/>
        </w:rPr>
        <w:t>，联系电话：</w:t>
      </w:r>
      <w:r>
        <w:rPr>
          <w:color w:val="auto"/>
          <w:sz w:val="24"/>
          <w:highlight w:val="none"/>
          <w:u w:val="single"/>
        </w:rPr>
        <w:t xml:space="preserve"> 020-38890265 </w:t>
      </w:r>
      <w:r>
        <w:rPr>
          <w:color w:val="auto"/>
          <w:sz w:val="24"/>
          <w:highlight w:val="none"/>
        </w:rPr>
        <w:t>。</w:t>
      </w:r>
    </w:p>
    <w:p>
      <w:pPr>
        <w:spacing w:line="360" w:lineRule="auto"/>
        <w:ind w:firstLine="480" w:firstLineChars="200"/>
        <w:rPr>
          <w:color w:val="auto"/>
          <w:sz w:val="24"/>
          <w:highlight w:val="none"/>
        </w:rPr>
      </w:pPr>
      <w:r>
        <w:rPr>
          <w:color w:val="auto"/>
          <w:sz w:val="24"/>
          <w:highlight w:val="none"/>
        </w:rPr>
        <w:t>（二）乙方及其工作人员违反本协议第一、三条。根据具体情节和造成的后果，甲方有权对乙方采取以下一种或多种处理办法：</w:t>
      </w:r>
    </w:p>
    <w:p>
      <w:pPr>
        <w:spacing w:line="360" w:lineRule="auto"/>
        <w:ind w:firstLine="480" w:firstLineChars="200"/>
        <w:rPr>
          <w:color w:val="auto"/>
          <w:sz w:val="24"/>
          <w:highlight w:val="none"/>
        </w:rPr>
      </w:pPr>
      <w:r>
        <w:rPr>
          <w:color w:val="auto"/>
          <w:sz w:val="24"/>
          <w:highlight w:val="none"/>
        </w:rPr>
        <w:t>1、扣除乙方全部履约保证金；</w:t>
      </w:r>
    </w:p>
    <w:p>
      <w:pPr>
        <w:spacing w:line="360" w:lineRule="auto"/>
        <w:ind w:firstLine="480" w:firstLineChars="200"/>
        <w:rPr>
          <w:color w:val="auto"/>
          <w:sz w:val="24"/>
          <w:highlight w:val="none"/>
        </w:rPr>
      </w:pPr>
      <w:r>
        <w:rPr>
          <w:color w:val="auto"/>
          <w:sz w:val="24"/>
          <w:highlight w:val="none"/>
        </w:rPr>
        <w:t>2、解除主合同；</w:t>
      </w:r>
    </w:p>
    <w:p>
      <w:pPr>
        <w:spacing w:line="360" w:lineRule="auto"/>
        <w:ind w:firstLine="480" w:firstLineChars="200"/>
        <w:rPr>
          <w:color w:val="auto"/>
          <w:sz w:val="24"/>
          <w:highlight w:val="none"/>
        </w:rPr>
      </w:pPr>
      <w:r>
        <w:rPr>
          <w:color w:val="auto"/>
          <w:sz w:val="24"/>
          <w:highlight w:val="none"/>
        </w:rPr>
        <w:t>3、追究乙方合同其他违约责任；</w:t>
      </w:r>
    </w:p>
    <w:p>
      <w:pPr>
        <w:spacing w:line="360" w:lineRule="auto"/>
        <w:ind w:firstLine="480" w:firstLineChars="200"/>
        <w:rPr>
          <w:color w:val="auto"/>
          <w:sz w:val="24"/>
          <w:highlight w:val="none"/>
        </w:rPr>
      </w:pPr>
      <w:r>
        <w:rPr>
          <w:color w:val="auto"/>
          <w:sz w:val="24"/>
          <w:highlight w:val="none"/>
        </w:rPr>
        <w:t>4、根据甲方及其上级单位、主管部门的有关规定，对乙方违反廉洁协议的行为限制其参与招投标活动的资格。</w:t>
      </w:r>
    </w:p>
    <w:p>
      <w:pPr>
        <w:spacing w:line="360" w:lineRule="auto"/>
        <w:ind w:firstLine="480" w:firstLineChars="200"/>
        <w:rPr>
          <w:color w:val="auto"/>
          <w:sz w:val="24"/>
          <w:highlight w:val="none"/>
        </w:rPr>
      </w:pPr>
      <w:r>
        <w:rPr>
          <w:color w:val="auto"/>
          <w:sz w:val="24"/>
          <w:highlight w:val="none"/>
        </w:rPr>
        <w:t>乙方无条件接受甲方处理意见并承担给甲方造成的损失，全额返还用不正当手段获取的非法所得，并承担相应的法律责任。</w:t>
      </w:r>
    </w:p>
    <w:p>
      <w:pPr>
        <w:spacing w:line="360" w:lineRule="auto"/>
        <w:ind w:firstLine="482" w:firstLineChars="200"/>
        <w:rPr>
          <w:color w:val="auto"/>
          <w:kern w:val="0"/>
          <w:sz w:val="24"/>
          <w:highlight w:val="none"/>
        </w:rPr>
      </w:pPr>
      <w:r>
        <w:rPr>
          <w:b/>
          <w:bCs/>
          <w:color w:val="auto"/>
          <w:sz w:val="24"/>
          <w:highlight w:val="none"/>
        </w:rPr>
        <w:t xml:space="preserve">第五条 </w:t>
      </w:r>
      <w:r>
        <w:rPr>
          <w:color w:val="auto"/>
          <w:kern w:val="0"/>
          <w:sz w:val="24"/>
          <w:highlight w:val="none"/>
        </w:rPr>
        <w:t xml:space="preserve">本协议执行情况，接受有管辖权的纪检、监察部门的监督，双方应予以配合检查调查。 </w:t>
      </w:r>
    </w:p>
    <w:p>
      <w:pPr>
        <w:spacing w:line="360" w:lineRule="auto"/>
        <w:ind w:firstLine="482" w:firstLineChars="200"/>
        <w:rPr>
          <w:color w:val="auto"/>
          <w:sz w:val="24"/>
          <w:highlight w:val="none"/>
        </w:rPr>
      </w:pPr>
      <w:r>
        <w:rPr>
          <w:b/>
          <w:color w:val="auto"/>
          <w:sz w:val="24"/>
          <w:highlight w:val="none"/>
        </w:rPr>
        <w:t>第六条</w:t>
      </w:r>
      <w:r>
        <w:rPr>
          <w:color w:val="auto"/>
          <w:sz w:val="24"/>
          <w:highlight w:val="none"/>
        </w:rPr>
        <w:t>本协议作为</w:t>
      </w:r>
      <w:r>
        <w:rPr>
          <w:rFonts w:hint="eastAsia"/>
          <w:color w:val="auto"/>
          <w:sz w:val="24"/>
          <w:highlight w:val="none"/>
          <w:u w:val="single"/>
        </w:rPr>
        <w:t xml:space="preserve"> 地埋式净水厂通风除臭系统节能运行管控技术研究与应用项目合作协议 </w:t>
      </w:r>
      <w:r>
        <w:rPr>
          <w:rFonts w:hint="eastAsia" w:ascii="Times New Roman" w:hAnsi="Times New Roman" w:eastAsia="宋体" w:cs="Times New Roman"/>
          <w:color w:val="auto"/>
          <w:sz w:val="24"/>
          <w:szCs w:val="24"/>
          <w:highlight w:val="none"/>
          <w:u w:val="single"/>
        </w:rPr>
        <w:t>穗净水合〔</w:t>
      </w:r>
      <w:r>
        <w:rPr>
          <w:rFonts w:hint="eastAsia"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   号</w:t>
      </w:r>
      <w:r>
        <w:rPr>
          <w:color w:val="auto"/>
          <w:sz w:val="24"/>
          <w:highlight w:val="none"/>
        </w:rPr>
        <w:t>合同的附件，并具有同等的法律效力，本协议自双方签字盖章之日起生效，与主合同同时终止。</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 xml:space="preserve">第七条 </w:t>
      </w:r>
      <w:r>
        <w:rPr>
          <w:color w:val="auto"/>
          <w:sz w:val="24"/>
          <w:highlight w:val="none"/>
        </w:rPr>
        <w:t>本协议与主合同同时签订、同时终止、同时生效，具有相同的法律效力，自甲方、乙方双方签字、盖章生效，甲方、乙方双方执持数量与主合同一致。</w:t>
      </w:r>
    </w:p>
    <w:p>
      <w:pPr>
        <w:spacing w:line="360" w:lineRule="auto"/>
        <w:ind w:firstLine="480" w:firstLineChars="200"/>
        <w:rPr>
          <w:color w:val="auto"/>
          <w:sz w:val="24"/>
          <w:highlight w:val="none"/>
        </w:rPr>
      </w:pPr>
      <w:r>
        <w:rPr>
          <w:color w:val="auto"/>
          <w:sz w:val="24"/>
          <w:highlight w:val="none"/>
        </w:rPr>
        <w:br w:type="textWrapping"/>
      </w:r>
    </w:p>
    <w:p>
      <w:pPr>
        <w:spacing w:line="360" w:lineRule="auto"/>
        <w:ind w:firstLine="480" w:firstLineChars="200"/>
        <w:rPr>
          <w:color w:val="auto"/>
          <w:sz w:val="24"/>
          <w:highlight w:val="none"/>
        </w:rPr>
      </w:pPr>
      <w:r>
        <w:rPr>
          <w:color w:val="auto"/>
          <w:sz w:val="24"/>
          <w:highlight w:val="none"/>
        </w:rPr>
        <w:t>甲方（盖章）：</w:t>
      </w:r>
      <w:r>
        <w:rPr>
          <w:rFonts w:hint="eastAsia"/>
          <w:color w:val="auto"/>
          <w:sz w:val="24"/>
          <w:highlight w:val="none"/>
        </w:rPr>
        <w:t>广州市净水有限公司</w:t>
      </w:r>
      <w:r>
        <w:rPr>
          <w:color w:val="auto"/>
          <w:sz w:val="24"/>
          <w:highlight w:val="none"/>
        </w:rPr>
        <w:t xml:space="preserve">   乙方（盖章）：</w:t>
      </w:r>
    </w:p>
    <w:p>
      <w:pPr>
        <w:pStyle w:val="36"/>
        <w:tabs>
          <w:tab w:val="left" w:pos="5100"/>
        </w:tabs>
        <w:spacing w:line="360" w:lineRule="auto"/>
        <w:ind w:firstLine="480"/>
        <w:jc w:val="left"/>
        <w:rPr>
          <w:color w:val="auto"/>
          <w:sz w:val="24"/>
          <w:highlight w:val="none"/>
        </w:rPr>
      </w:pPr>
    </w:p>
    <w:p>
      <w:pPr>
        <w:tabs>
          <w:tab w:val="left" w:pos="5100"/>
        </w:tabs>
        <w:spacing w:line="360" w:lineRule="auto"/>
        <w:ind w:firstLine="480" w:firstLineChars="200"/>
        <w:rPr>
          <w:color w:val="auto"/>
          <w:sz w:val="24"/>
          <w:highlight w:val="none"/>
        </w:rPr>
      </w:pPr>
      <w:r>
        <w:rPr>
          <w:color w:val="auto"/>
          <w:sz w:val="24"/>
          <w:highlight w:val="none"/>
        </w:rPr>
        <w:t>签约代表：                         签约代表：</w:t>
      </w:r>
    </w:p>
    <w:p>
      <w:pPr>
        <w:tabs>
          <w:tab w:val="left" w:pos="4170"/>
        </w:tabs>
        <w:spacing w:line="360" w:lineRule="auto"/>
        <w:ind w:firstLine="480" w:firstLineChars="200"/>
        <w:rPr>
          <w:color w:val="auto"/>
          <w:sz w:val="24"/>
          <w:highlight w:val="none"/>
        </w:rPr>
      </w:pPr>
    </w:p>
    <w:p>
      <w:pPr>
        <w:spacing w:line="360" w:lineRule="auto"/>
        <w:ind w:firstLine="480" w:firstLineChars="200"/>
        <w:rPr>
          <w:color w:val="auto"/>
          <w:highlight w:val="none"/>
        </w:rPr>
      </w:pPr>
      <w:r>
        <w:rPr>
          <w:color w:val="auto"/>
          <w:sz w:val="24"/>
          <w:highlight w:val="none"/>
        </w:rPr>
        <w:t>日期:</w:t>
      </w:r>
      <w:r>
        <w:rPr>
          <w:rFonts w:hint="eastAsia"/>
          <w:color w:val="auto"/>
          <w:sz w:val="24"/>
          <w:highlight w:val="none"/>
        </w:rPr>
        <w:t xml:space="preserve">  </w:t>
      </w:r>
      <w:r>
        <w:rPr>
          <w:color w:val="auto"/>
          <w:sz w:val="24"/>
          <w:highlight w:val="none"/>
        </w:rPr>
        <w:tab/>
      </w:r>
      <w:r>
        <w:rPr>
          <w:color w:val="auto"/>
          <w:sz w:val="24"/>
          <w:highlight w:val="none"/>
        </w:rPr>
        <w:t xml:space="preserve">          </w:t>
      </w:r>
      <w:r>
        <w:rPr>
          <w:rFonts w:hint="eastAsia"/>
          <w:color w:val="auto"/>
          <w:sz w:val="24"/>
          <w:highlight w:val="none"/>
        </w:rPr>
        <w:t xml:space="preserve">            </w:t>
      </w:r>
      <w:r>
        <w:rPr>
          <w:color w:val="auto"/>
          <w:sz w:val="24"/>
          <w:highlight w:val="none"/>
        </w:rPr>
        <w:t xml:space="preserve">   日期：</w:t>
      </w:r>
    </w:p>
    <w:p>
      <w:pPr>
        <w:rPr>
          <w:color w:val="auto"/>
          <w:highlight w:val="none"/>
        </w:rPr>
      </w:pPr>
      <w:r>
        <w:rPr>
          <w:color w:val="auto"/>
          <w:highlight w:val="none"/>
        </w:rPr>
        <w:br w:type="page"/>
      </w:r>
    </w:p>
    <w:p>
      <w:pPr>
        <w:spacing w:line="560" w:lineRule="exact"/>
        <w:rPr>
          <w:rFonts w:ascii="宋体" w:hAnsi="Calibri" w:eastAsia="宋体" w:cs="Times New Roman"/>
          <w:b/>
          <w:color w:val="auto"/>
          <w:sz w:val="24"/>
          <w:highlight w:val="none"/>
        </w:rPr>
      </w:pPr>
      <w:r>
        <w:rPr>
          <w:rFonts w:hint="eastAsia" w:ascii="宋体" w:hAnsi="宋体" w:eastAsia="宋体" w:cs="Times New Roman"/>
          <w:b/>
          <w:color w:val="auto"/>
          <w:sz w:val="24"/>
          <w:highlight w:val="none"/>
        </w:rPr>
        <w:t>附件</w:t>
      </w:r>
      <w:r>
        <w:rPr>
          <w:rFonts w:ascii="宋体" w:hAnsi="宋体" w:eastAsia="宋体" w:cs="Times New Roman"/>
          <w:b/>
          <w:color w:val="auto"/>
          <w:sz w:val="24"/>
          <w:highlight w:val="none"/>
        </w:rPr>
        <w:t>3</w:t>
      </w:r>
      <w:r>
        <w:rPr>
          <w:rFonts w:hint="eastAsia" w:ascii="宋体" w:hAnsi="宋体" w:eastAsia="宋体" w:cs="Times New Roman"/>
          <w:b/>
          <w:color w:val="auto"/>
          <w:sz w:val="24"/>
          <w:highlight w:val="none"/>
        </w:rPr>
        <w:t>：工作保密承诺函</w:t>
      </w:r>
    </w:p>
    <w:p>
      <w:pPr>
        <w:keepNext/>
        <w:keepLines/>
        <w:spacing w:before="340" w:after="330" w:line="578" w:lineRule="auto"/>
        <w:jc w:val="center"/>
        <w:outlineLvl w:val="0"/>
        <w:rPr>
          <w:rFonts w:ascii="Calibri" w:hAnsi="Calibri" w:eastAsia="方正小标宋简体" w:cs="Times New Roman"/>
          <w:bCs/>
          <w:color w:val="auto"/>
          <w:kern w:val="44"/>
          <w:sz w:val="32"/>
          <w:szCs w:val="32"/>
          <w:highlight w:val="none"/>
        </w:rPr>
      </w:pPr>
      <w:r>
        <w:rPr>
          <w:rFonts w:hint="eastAsia" w:ascii="Calibri" w:hAnsi="Calibri" w:eastAsia="方正小标宋简体" w:cs="Times New Roman"/>
          <w:bCs/>
          <w:color w:val="auto"/>
          <w:kern w:val="44"/>
          <w:sz w:val="32"/>
          <w:szCs w:val="32"/>
          <w:highlight w:val="none"/>
        </w:rPr>
        <w:t>工作保密承诺函</w:t>
      </w:r>
    </w:p>
    <w:p>
      <w:pPr>
        <w:tabs>
          <w:tab w:val="left" w:pos="640"/>
        </w:tabs>
        <w:snapToGrid w:val="0"/>
        <w:spacing w:line="360" w:lineRule="auto"/>
        <w:rPr>
          <w:rFonts w:ascii="Times New Roman" w:hAnsi="Times New Roman" w:eastAsia="宋体" w:cs="Times New Roman"/>
          <w:color w:val="auto"/>
          <w:sz w:val="28"/>
          <w:szCs w:val="28"/>
          <w:highlight w:val="none"/>
        </w:rPr>
      </w:pPr>
    </w:p>
    <w:p>
      <w:pPr>
        <w:tabs>
          <w:tab w:val="left" w:pos="640"/>
        </w:tabs>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广州市净水有限公司：</w:t>
      </w:r>
    </w:p>
    <w:p>
      <w:pPr>
        <w:tabs>
          <w:tab w:val="left" w:pos="640"/>
        </w:tabs>
        <w:spacing w:line="360" w:lineRule="auto"/>
        <w:ind w:firstLine="480" w:firstLineChars="200"/>
        <w:rPr>
          <w:rFonts w:ascii="宋体" w:hAnsi="宋体" w:eastAsia="宋体" w:cs="宋体"/>
          <w:b/>
          <w:bCs/>
          <w:color w:val="auto"/>
          <w:sz w:val="24"/>
          <w:szCs w:val="24"/>
          <w:highlight w:val="none"/>
          <w:u w:val="single"/>
        </w:rPr>
      </w:pPr>
      <w:r>
        <w:rPr>
          <w:rFonts w:hint="eastAsia" w:ascii="Times New Roman" w:hAnsi="Times New Roman" w:eastAsia="宋体" w:cs="Times New Roman"/>
          <w:color w:val="auto"/>
          <w:sz w:val="24"/>
          <w:szCs w:val="24"/>
          <w:highlight w:val="none"/>
        </w:rPr>
        <w:t>我方参与</w:t>
      </w:r>
      <w:r>
        <w:rPr>
          <w:rFonts w:hint="eastAsia" w:ascii="Times New Roman" w:hAnsi="Times New Roman" w:eastAsia="宋体" w:cs="Times New Roman"/>
          <w:color w:val="auto"/>
          <w:sz w:val="24"/>
          <w:szCs w:val="24"/>
          <w:highlight w:val="none"/>
          <w:u w:val="single"/>
        </w:rPr>
        <w:t>贵司</w:t>
      </w:r>
      <w:r>
        <w:rPr>
          <w:rFonts w:hint="eastAsia" w:ascii="Times New Roman" w:hAnsi="Times New Roman" w:eastAsia="宋体" w:cs="Times New Roman"/>
          <w:color w:val="auto"/>
          <w:sz w:val="24"/>
          <w:szCs w:val="24"/>
          <w:highlight w:val="none"/>
        </w:rPr>
        <w:t>的</w:t>
      </w:r>
      <w:r>
        <w:rPr>
          <w:rFonts w:hint="eastAsia"/>
          <w:color w:val="auto"/>
          <w:sz w:val="24"/>
          <w:highlight w:val="none"/>
          <w:u w:val="single"/>
        </w:rPr>
        <w:t xml:space="preserve">地埋式净水厂通风除臭系统节能运行管控技术研究与应用项目合作协议 </w:t>
      </w:r>
      <w:r>
        <w:rPr>
          <w:rFonts w:hint="eastAsia" w:ascii="Times New Roman" w:hAnsi="Times New Roman" w:eastAsia="宋体" w:cs="Times New Roman"/>
          <w:color w:val="auto"/>
          <w:sz w:val="24"/>
          <w:szCs w:val="24"/>
          <w:highlight w:val="none"/>
          <w:u w:val="single"/>
        </w:rPr>
        <w:t>穗净水合〔</w:t>
      </w:r>
      <w:r>
        <w:rPr>
          <w:rFonts w:hint="eastAsia"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   号</w:t>
      </w:r>
      <w:r>
        <w:rPr>
          <w:rFonts w:hint="eastAsia" w:ascii="Times New Roman" w:hAnsi="Times New Roman" w:eastAsia="宋体" w:cs="Times New Roman"/>
          <w:color w:val="auto"/>
          <w:sz w:val="24"/>
          <w:szCs w:val="24"/>
          <w:highlight w:val="none"/>
        </w:rPr>
        <w:t>项目，基于本项目对信息保密性的严格要求以及泄密可能导致的对本项目、贵公司的严重不利后果，为妥善保护保密信息，我方向贵公司承诺如下：</w:t>
      </w:r>
    </w:p>
    <w:p>
      <w:pPr>
        <w:widowControl/>
        <w:numPr>
          <w:ilvl w:val="0"/>
          <w:numId w:val="8"/>
        </w:numPr>
        <w:tabs>
          <w:tab w:val="left" w:pos="640"/>
        </w:tabs>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遵守《中华人民共和国国家安全法》、《中华人民共和国保守国家秘密法》和《中华人民共和国网络安全法中华人民共和国数据安全法》等中国法律法规及规定以及项目双方各项制度关于保密的规定。</w:t>
      </w:r>
    </w:p>
    <w:p>
      <w:pPr>
        <w:widowControl/>
        <w:numPr>
          <w:ilvl w:val="0"/>
          <w:numId w:val="8"/>
        </w:numPr>
        <w:tabs>
          <w:tab w:val="left" w:pos="640"/>
        </w:tabs>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项目相关保密信息包括但不限于：可能获取或知悉的来源于合作项目双方的包括但不限于：以口头、书面或以其它方式反映的项目秘密事项；技术性信息、商业性信息、文件、程序、计划、技术、图表、模型、参数、数据、标准、专有技术、业务或业务运作方法以及其他专有信息；我方在完成贵公司要求的项目工作中所产生的一切内容、资料信息，包括</w:t>
      </w:r>
      <w:r>
        <w:rPr>
          <w:rFonts w:hint="eastAsia" w:ascii="Times New Roman" w:hAnsi="Times New Roman" w:eastAsia="宋体" w:cs="Times New Roman"/>
          <w:b/>
          <w:bCs/>
          <w:color w:val="auto"/>
          <w:sz w:val="24"/>
          <w:szCs w:val="24"/>
          <w:highlight w:val="none"/>
        </w:rPr>
        <w:t>工作进度、过程报告、实验数据、工作成果</w:t>
      </w:r>
      <w:r>
        <w:rPr>
          <w:rFonts w:hint="eastAsia" w:ascii="Times New Roman" w:hAnsi="Times New Roman" w:eastAsia="宋体" w:cs="Times New Roman"/>
          <w:color w:val="auto"/>
          <w:sz w:val="24"/>
          <w:szCs w:val="24"/>
          <w:highlight w:val="none"/>
        </w:rPr>
        <w:t>等信息。</w:t>
      </w:r>
    </w:p>
    <w:p>
      <w:pPr>
        <w:widowControl/>
        <w:numPr>
          <w:ilvl w:val="0"/>
          <w:numId w:val="8"/>
        </w:numPr>
        <w:tabs>
          <w:tab w:val="left" w:pos="640"/>
        </w:tabs>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对涉密信息承担保密义务和法律责任。我方承诺获知的涉密信息，仅限于为实现本项目目的且在国家有关部门批准和项目双方确认的范围内使用；只能由我方及我方有关人员为本项目目的而使用，除项目另有约定外，对于贵公司提供的任何保密信息，未经贵公司的书面同意，我方及我方知悉保密信息的人员均不得直接或间接地以任何方式提供、披露或转让给任何第三方或许可第三方使用，或以保密信息为任何第三方提供任何意见或建议。在本条款中，“第三方”是指除本项目当事人以外的任何自然人、法人或其他组织，但不包括贵公司的分、子公司。</w:t>
      </w:r>
    </w:p>
    <w:p>
      <w:pPr>
        <w:widowControl/>
        <w:numPr>
          <w:ilvl w:val="0"/>
          <w:numId w:val="8"/>
        </w:numPr>
        <w:tabs>
          <w:tab w:val="left" w:pos="640"/>
        </w:tabs>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我方的律师、会计师、承包商和顾问等为提供专业协助而需要了解保密信息时，我方可向其披露保密信息，但是其应要求上述人员签订保密协议或按照有关职业道德标准履行保密义务。</w:t>
      </w:r>
    </w:p>
    <w:p>
      <w:pPr>
        <w:widowControl/>
        <w:numPr>
          <w:ilvl w:val="0"/>
          <w:numId w:val="8"/>
        </w:numPr>
        <w:tabs>
          <w:tab w:val="left" w:pos="640"/>
        </w:tabs>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如相关政府部门或监管机构要求本单位披露任何保密信息，我方可在该政府部门或机构要求的范围内做出披露而无需承担本合同项下的责任，但前提是我方应立即将需披露的信息书面通知贵公司，以便贵公司采取必要的保护措施，且该等通知应尽可能在信息披露前做出，并且我方应尽商业上合理的努力确保该等被披露的信息获得有关政府机关或机构的保密待遇。</w:t>
      </w:r>
    </w:p>
    <w:p>
      <w:pPr>
        <w:widowControl/>
        <w:numPr>
          <w:ilvl w:val="0"/>
          <w:numId w:val="8"/>
        </w:numPr>
        <w:tabs>
          <w:tab w:val="left" w:pos="640"/>
        </w:tabs>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如发生涉密信息泄露或者可能泄露的情形，我方第一时间通知我方相关人员并根据我方相关要求采取补救措施，并承担相应的法律责任。如我方不履行或未按本单位要求妥善履行本承诺书保密义务，因此而造成项目双方任何损失的，我方承担包括赔偿在内的一切法律责任。如我方的行为存在严重过失或故意，导致泄密后果情节严重的，项目双方有权直接通过司法途径追究我方的法律责任。</w:t>
      </w:r>
    </w:p>
    <w:p>
      <w:pPr>
        <w:widowControl/>
        <w:numPr>
          <w:ilvl w:val="0"/>
          <w:numId w:val="8"/>
        </w:numPr>
        <w:tabs>
          <w:tab w:val="left" w:pos="640"/>
        </w:tabs>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我方承诺的我方保密义务自我方签署本保密承诺函之日起直至保密信息为公众知晓为止。在保密期限内，我方承诺负有我方保密义务的任何一方的保密义务不因本项目结束而终止。</w:t>
      </w:r>
    </w:p>
    <w:p>
      <w:pPr>
        <w:tabs>
          <w:tab w:val="left" w:pos="640"/>
        </w:tabs>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本承诺书本协议与主合同同时签订、同时终止、同时生效，甲方、乙方双方执持数量与主合同一致。本承诺函为不可撤销单方承诺函。</w:t>
      </w:r>
    </w:p>
    <w:p>
      <w:pPr>
        <w:tabs>
          <w:tab w:val="left" w:pos="640"/>
        </w:tabs>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特此承诺。</w:t>
      </w:r>
    </w:p>
    <w:p>
      <w:pPr>
        <w:adjustRightInd w:val="0"/>
        <w:snapToGrid w:val="0"/>
        <w:spacing w:line="500" w:lineRule="exact"/>
        <w:ind w:firstLine="480" w:firstLineChars="200"/>
        <w:rPr>
          <w:rFonts w:ascii="Times New Roman" w:hAnsi="Times New Roman" w:eastAsia="宋体" w:cs="Times New Roman"/>
          <w:color w:val="auto"/>
          <w:sz w:val="24"/>
          <w:szCs w:val="24"/>
          <w:highlight w:val="none"/>
        </w:rPr>
      </w:pPr>
    </w:p>
    <w:p>
      <w:pPr>
        <w:adjustRightInd w:val="0"/>
        <w:snapToGrid w:val="0"/>
        <w:spacing w:line="500" w:lineRule="exact"/>
        <w:ind w:firstLine="5280" w:firstLineChars="2200"/>
        <w:jc w:val="right"/>
        <w:rPr>
          <w:rFonts w:ascii="Times New Roman" w:hAnsi="Times New Roman" w:eastAsia="宋体" w:cs="Times New Roman"/>
          <w:color w:val="auto"/>
          <w:sz w:val="24"/>
          <w:szCs w:val="24"/>
          <w:highlight w:val="none"/>
        </w:rPr>
      </w:pPr>
    </w:p>
    <w:tbl>
      <w:tblPr>
        <w:tblStyle w:val="5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99"/>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trPr>
        <w:tc>
          <w:tcPr>
            <w:tcW w:w="3399" w:type="dxa"/>
          </w:tcPr>
          <w:p>
            <w:pPr>
              <w:widowControl/>
              <w:spacing w:line="360" w:lineRule="auto"/>
              <w:rPr>
                <w:rFonts w:ascii="仿宋_GB2312" w:hAnsi="Calibri" w:eastAsia="仿宋_GB2312" w:cs="Times New Roman"/>
                <w:color w:val="auto"/>
                <w:kern w:val="0"/>
                <w:sz w:val="24"/>
                <w:szCs w:val="24"/>
                <w:highlight w:val="none"/>
              </w:rPr>
            </w:pPr>
          </w:p>
        </w:tc>
        <w:tc>
          <w:tcPr>
            <w:tcW w:w="5121" w:type="dxa"/>
          </w:tcPr>
          <w:p>
            <w:pPr>
              <w:widowControl/>
              <w:spacing w:line="440" w:lineRule="exact"/>
              <w:rPr>
                <w:rFonts w:ascii="Calibri" w:hAnsi="Calibri" w:eastAsia="宋体" w:cs="Times New Roman"/>
                <w:bCs/>
                <w:color w:val="auto"/>
                <w:kern w:val="0"/>
                <w:sz w:val="24"/>
                <w:szCs w:val="24"/>
                <w:highlight w:val="none"/>
              </w:rPr>
            </w:pPr>
            <w:r>
              <w:rPr>
                <w:rFonts w:hint="eastAsia" w:ascii="宋体" w:hAnsi="宋体" w:eastAsia="宋体" w:cs="宋体"/>
                <w:color w:val="auto"/>
                <w:kern w:val="0"/>
                <w:sz w:val="24"/>
                <w:szCs w:val="24"/>
                <w:highlight w:val="none"/>
              </w:rPr>
              <w:t>乙方</w:t>
            </w:r>
            <w:r>
              <w:rPr>
                <w:rFonts w:ascii="宋体" w:hAnsi="宋体" w:eastAsia="宋体" w:cs="宋体"/>
                <w:color w:val="auto"/>
                <w:kern w:val="0"/>
                <w:sz w:val="24"/>
                <w:szCs w:val="24"/>
                <w:highlight w:val="none"/>
              </w:rPr>
              <w:t>（盖章）</w:t>
            </w:r>
            <w:r>
              <w:rPr>
                <w:rFonts w:hint="eastAsia" w:ascii="宋体" w:hAnsi="宋体" w:eastAsia="宋体" w:cs="宋体"/>
                <w:color w:val="auto"/>
                <w:kern w:val="0"/>
                <w:sz w:val="24"/>
                <w:szCs w:val="24"/>
                <w:highlight w:val="none"/>
              </w:rPr>
              <w:t>：</w:t>
            </w:r>
          </w:p>
          <w:p>
            <w:pPr>
              <w:widowControl/>
              <w:spacing w:line="440" w:lineRule="exact"/>
              <w:rPr>
                <w:rFonts w:ascii="Calibri" w:hAnsi="Calibri" w:eastAsia="宋体" w:cs="Times New Roman"/>
                <w:bCs/>
                <w:color w:val="auto"/>
                <w:kern w:val="0"/>
                <w:sz w:val="24"/>
                <w:szCs w:val="24"/>
                <w:highlight w:val="none"/>
              </w:rPr>
            </w:pPr>
          </w:p>
          <w:p>
            <w:pPr>
              <w:widowControl/>
              <w:spacing w:line="440" w:lineRule="exact"/>
              <w:rPr>
                <w:rFonts w:ascii="Calibri" w:hAnsi="Calibri" w:eastAsia="宋体" w:cs="Times New Roman"/>
                <w:bCs/>
                <w:color w:val="auto"/>
                <w:kern w:val="0"/>
                <w:sz w:val="24"/>
                <w:szCs w:val="24"/>
                <w:highlight w:val="none"/>
              </w:rPr>
            </w:pPr>
            <w:r>
              <w:rPr>
                <w:rFonts w:hint="eastAsia" w:ascii="Calibri" w:hAnsi="Calibri" w:eastAsia="宋体" w:cs="Times New Roman"/>
                <w:bCs/>
                <w:color w:val="auto"/>
                <w:kern w:val="0"/>
                <w:sz w:val="24"/>
                <w:szCs w:val="24"/>
                <w:highlight w:val="none"/>
              </w:rPr>
              <w:t>签约代表</w:t>
            </w:r>
            <w:r>
              <w:rPr>
                <w:rFonts w:ascii="Calibri" w:hAnsi="Calibri" w:eastAsia="宋体" w:cs="Times New Roman"/>
                <w:bCs/>
                <w:color w:val="auto"/>
                <w:kern w:val="0"/>
                <w:sz w:val="24"/>
                <w:szCs w:val="24"/>
                <w:highlight w:val="none"/>
              </w:rPr>
              <w:t>：</w:t>
            </w:r>
          </w:p>
          <w:p>
            <w:pPr>
              <w:widowControl/>
              <w:tabs>
                <w:tab w:val="left" w:pos="825"/>
              </w:tabs>
              <w:spacing w:line="44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b/>
            </w:r>
          </w:p>
          <w:p>
            <w:pPr>
              <w:widowControl/>
              <w:spacing w:line="440" w:lineRule="exact"/>
              <w:rPr>
                <w:rFonts w:ascii="仿宋_GB2312" w:hAnsi="Calibri" w:eastAsia="仿宋_GB2312" w:cs="Times New Roman"/>
                <w:color w:val="auto"/>
                <w:kern w:val="0"/>
                <w:sz w:val="24"/>
                <w:szCs w:val="24"/>
                <w:highlight w:val="none"/>
              </w:rPr>
            </w:pPr>
            <w:r>
              <w:rPr>
                <w:rFonts w:hint="eastAsia" w:ascii="宋体" w:hAnsi="宋体" w:eastAsia="宋体" w:cs="宋体"/>
                <w:color w:val="auto"/>
                <w:kern w:val="0"/>
                <w:sz w:val="24"/>
                <w:szCs w:val="24"/>
                <w:highlight w:val="none"/>
              </w:rPr>
              <w:t>日期：</w:t>
            </w:r>
          </w:p>
        </w:tc>
      </w:tr>
    </w:tbl>
    <w:p>
      <w:pPr>
        <w:autoSpaceDE w:val="0"/>
        <w:autoSpaceDN w:val="0"/>
        <w:adjustRightInd w:val="0"/>
        <w:spacing w:line="360" w:lineRule="auto"/>
        <w:ind w:firstLine="480" w:firstLineChars="200"/>
        <w:jc w:val="left"/>
        <w:rPr>
          <w:rFonts w:ascii="Times New Roman" w:hAnsi="Times New Roman" w:eastAsia="宋体" w:cs="Times New Roman"/>
          <w:color w:val="auto"/>
          <w:kern w:val="0"/>
          <w:sz w:val="24"/>
          <w:highlight w:val="none"/>
        </w:rPr>
      </w:pPr>
    </w:p>
    <w:p>
      <w:pPr>
        <w:rPr>
          <w:color w:val="auto"/>
          <w:highlight w:val="none"/>
        </w:rPr>
      </w:pPr>
      <w:r>
        <w:rPr>
          <w:color w:val="auto"/>
          <w:highlight w:val="none"/>
        </w:rPr>
        <w:br w:type="page"/>
      </w:r>
    </w:p>
    <w:p>
      <w:pPr>
        <w:spacing w:line="360" w:lineRule="auto"/>
        <w:rPr>
          <w:rFonts w:ascii="宋体" w:hAnsi="宋体" w:eastAsia="宋体" w:cs="宋体"/>
          <w:b/>
          <w:bCs/>
          <w:color w:val="auto"/>
          <w:szCs w:val="21"/>
          <w:highlight w:val="none"/>
        </w:rPr>
      </w:pPr>
      <w:r>
        <w:rPr>
          <w:rFonts w:hint="eastAsia" w:ascii="宋体" w:hAnsi="宋体" w:eastAsia="宋体" w:cs="Times New Roman"/>
          <w:b/>
          <w:color w:val="auto"/>
          <w:sz w:val="24"/>
          <w:highlight w:val="none"/>
        </w:rPr>
        <w:t>附件4：</w:t>
      </w:r>
      <w:r>
        <w:rPr>
          <w:rFonts w:hint="eastAsia" w:ascii="宋体" w:hAnsi="宋体" w:eastAsia="宋体" w:cs="宋体"/>
          <w:b/>
          <w:bCs/>
          <w:color w:val="auto"/>
          <w:szCs w:val="21"/>
          <w:highlight w:val="none"/>
        </w:rPr>
        <w:t>营运场所施工安全及消防安全协议书</w:t>
      </w:r>
    </w:p>
    <w:p>
      <w:pPr>
        <w:spacing w:line="360" w:lineRule="auto"/>
        <w:rPr>
          <w:rFonts w:ascii="宋体" w:hAnsi="宋体"/>
          <w:color w:val="auto"/>
          <w:szCs w:val="21"/>
          <w:highlight w:val="none"/>
        </w:rPr>
      </w:pPr>
    </w:p>
    <w:p>
      <w:pPr>
        <w:spacing w:line="440" w:lineRule="exact"/>
        <w:jc w:val="center"/>
        <w:rPr>
          <w:rFonts w:ascii="方正小标宋简体" w:hAnsi="方正小标宋简体" w:eastAsia="方正小标宋简体" w:cs="方正小标宋简体"/>
          <w:color w:val="auto"/>
          <w:highlight w:val="none"/>
        </w:rPr>
      </w:pPr>
      <w:r>
        <w:rPr>
          <w:rFonts w:hint="eastAsia" w:ascii="方正小标宋简体" w:hAnsi="方正小标宋简体" w:eastAsia="方正小标宋简体" w:cs="方正小标宋简体"/>
          <w:color w:val="auto"/>
          <w:highlight w:val="none"/>
        </w:rPr>
        <w:t>营运场所施工安全及消防安全协议书</w:t>
      </w:r>
    </w:p>
    <w:p>
      <w:pPr>
        <w:spacing w:line="440" w:lineRule="exact"/>
        <w:rPr>
          <w:rFonts w:ascii="仿宋_GB2312" w:hAnsi="仿宋_GB2312" w:eastAsia="仿宋_GB2312" w:cs="仿宋_GB2312"/>
          <w:color w:val="auto"/>
          <w:kern w:val="0"/>
          <w:sz w:val="24"/>
          <w:highlight w:val="none"/>
        </w:rPr>
      </w:pPr>
    </w:p>
    <w:p>
      <w:pPr>
        <w:spacing w:line="440" w:lineRule="exac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甲方：</w:t>
      </w:r>
      <w:r>
        <w:rPr>
          <w:rFonts w:hint="eastAsia" w:ascii="仿宋_GB2312" w:hAnsi="仿宋_GB2312" w:eastAsia="仿宋_GB2312" w:cs="仿宋_GB2312"/>
          <w:color w:val="auto"/>
          <w:sz w:val="24"/>
          <w:szCs w:val="24"/>
          <w:highlight w:val="none"/>
        </w:rPr>
        <w:t>广州市净水有限公司</w:t>
      </w:r>
    </w:p>
    <w:p>
      <w:pPr>
        <w:spacing w:line="440" w:lineRule="exac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乙方： </w:t>
      </w:r>
    </w:p>
    <w:p>
      <w:pPr>
        <w:spacing w:line="440" w:lineRule="exact"/>
        <w:rPr>
          <w:rFonts w:ascii="仿宋_GB2312" w:hAnsi="仿宋_GB2312" w:eastAsia="仿宋_GB2312" w:cs="仿宋_GB2312"/>
          <w:color w:val="auto"/>
          <w:kern w:val="0"/>
          <w:sz w:val="24"/>
          <w:szCs w:val="24"/>
          <w:highlight w:val="none"/>
        </w:rPr>
      </w:pPr>
    </w:p>
    <w:p>
      <w:pPr>
        <w:spacing w:line="440" w:lineRule="exact"/>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根据《中华人民共和国安全生产法》、《中华人民共和国消防法》、《生产安全事故报告和调查处理条例》、《建设工程安全生产管理条例》等国家及地方有关安全生产、消防安全法律法规，甲乙双方就安全及消防安全事宜，</w:t>
      </w:r>
      <w:r>
        <w:rPr>
          <w:rFonts w:hint="eastAsia" w:ascii="仿宋_GB2312" w:hAnsi="仿宋_GB2312" w:eastAsia="仿宋_GB2312" w:cs="仿宋_GB2312"/>
          <w:color w:val="auto"/>
          <w:sz w:val="24"/>
          <w:szCs w:val="24"/>
          <w:highlight w:val="none"/>
        </w:rPr>
        <w:t>经双方友好协商，达成如下协议</w:t>
      </w:r>
      <w:r>
        <w:rPr>
          <w:rFonts w:hint="eastAsia" w:ascii="仿宋_GB2312" w:hAnsi="仿宋_GB2312" w:eastAsia="仿宋_GB2312" w:cs="仿宋_GB2312"/>
          <w:color w:val="auto"/>
          <w:kern w:val="0"/>
          <w:sz w:val="24"/>
          <w:szCs w:val="24"/>
          <w:highlight w:val="none"/>
        </w:rPr>
        <w:t>。</w:t>
      </w:r>
    </w:p>
    <w:p>
      <w:pPr>
        <w:adjustRightInd w:val="0"/>
        <w:snapToGrid w:val="0"/>
        <w:spacing w:line="440" w:lineRule="exact"/>
        <w:ind w:firstLine="480" w:firstLineChars="200"/>
        <w:jc w:val="lef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一、总则</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（一）本协议是合同</w:t>
      </w:r>
      <w:r>
        <w:rPr>
          <w:rFonts w:hint="eastAsia" w:ascii="仿宋_GB2312" w:hAnsi="仿宋_GB2312" w:eastAsia="仿宋_GB2312" w:cs="仿宋_GB2312"/>
          <w:color w:val="auto"/>
          <w:sz w:val="24"/>
          <w:szCs w:val="24"/>
          <w:highlight w:val="none"/>
          <w:u w:val="single"/>
        </w:rPr>
        <w:t xml:space="preserve"> 地埋式净水厂通风除臭系统节能运行管控技术研究与应用项目合作协议 穗净水合〔    〕   号 </w:t>
      </w:r>
      <w:r>
        <w:rPr>
          <w:rFonts w:hint="eastAsia" w:ascii="仿宋_GB2312" w:hAnsi="仿宋_GB2312" w:eastAsia="仿宋_GB2312" w:cs="仿宋_GB2312"/>
          <w:color w:val="auto"/>
          <w:sz w:val="24"/>
          <w:szCs w:val="24"/>
          <w:highlight w:val="none"/>
        </w:rPr>
        <w:t>的组成部分。</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（二）甲、乙双方应遵守国家、省、市有关安全生产、消防安全的法律、法规、规章，履行安全生产、消防安全职责，保障人员生命、财产安全。</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（三）甲、乙双方应当逐级落实安全生产、消防安全责任制，明确逐级岗位人员的安全生产、消防安全职责。</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（四）本协议是对在满足法律法规规定的双方安全及消防安全责任的基础上的补充事项。</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（五）当同一个场所、池体内，甲方安排两个或以上的承包单位同时施工的，由甲方组织各承包单位签订《营运场所交叉作业安全及消防安全协议书》。</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（六）乙方的单位及人员资质（</w:t>
      </w:r>
      <w:r>
        <w:rPr>
          <w:rFonts w:hint="eastAsia" w:ascii="仿宋_GB2312" w:hAnsi="仿宋_GB2312" w:eastAsia="仿宋_GB2312" w:cs="仿宋_GB2312"/>
          <w:b/>
          <w:color w:val="auto"/>
          <w:kern w:val="0"/>
          <w:sz w:val="24"/>
          <w:szCs w:val="24"/>
          <w:highlight w:val="none"/>
        </w:rPr>
        <w:t>单项选择并填写</w:t>
      </w:r>
      <w:r>
        <w:rPr>
          <w:rFonts w:hint="eastAsia" w:ascii="仿宋_GB2312" w:hAnsi="仿宋_GB2312" w:eastAsia="仿宋_GB2312" w:cs="仿宋_GB2312"/>
          <w:color w:val="auto"/>
          <w:kern w:val="0"/>
          <w:sz w:val="24"/>
          <w:szCs w:val="24"/>
          <w:highlight w:val="none"/>
        </w:rPr>
        <w:t>）</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sym w:font="Wingdings 2" w:char="00A3"/>
      </w:r>
      <w:r>
        <w:rPr>
          <w:rFonts w:hint="eastAsia" w:ascii="仿宋_GB2312" w:hAnsi="仿宋_GB2312" w:eastAsia="仿宋_GB2312" w:cs="仿宋_GB2312"/>
          <w:color w:val="auto"/>
          <w:kern w:val="0"/>
          <w:sz w:val="24"/>
          <w:szCs w:val="24"/>
          <w:highlight w:val="none"/>
        </w:rPr>
        <w:t>1.详见合同第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条。</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sym w:font="Wingdings 2" w:char="00A3"/>
      </w:r>
      <w:r>
        <w:rPr>
          <w:rFonts w:hint="eastAsia" w:ascii="仿宋_GB2312" w:hAnsi="仿宋_GB2312" w:eastAsia="仿宋_GB2312" w:cs="仿宋_GB2312"/>
          <w:color w:val="auto"/>
          <w:kern w:val="0"/>
          <w:sz w:val="24"/>
          <w:szCs w:val="24"/>
          <w:highlight w:val="none"/>
        </w:rPr>
        <w:t>2.详见文件《</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w:t>
      </w:r>
    </w:p>
    <w:p>
      <w:pPr>
        <w:adjustRightInd w:val="0"/>
        <w:snapToGrid w:val="0"/>
        <w:spacing w:line="440" w:lineRule="exact"/>
        <w:ind w:firstLine="480" w:firstLineChars="200"/>
        <w:jc w:val="lef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二、甲方的安全及消防安全责任</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（一）交底告知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目实施前，应告知乙方地面、周边、地下已知存在的设施，特别是涉及影响生产、应急的各类地下管线及保护要求，要求乙方在施工方案明确落实相应的具体措施；甲方规定的安全生产及消防安全管理要求，允许进出及行走的路线、禁止触动甲方设备设施等；项目备案的要求。</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2.乙方进场作业前，应对乙方进行交底，再次向乙方强调的上述内容，以及施工期间的其他特殊注意事项，如生产方面的调度协调配合等。</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3.当乙方提出相关规范或乙方内部管理制度，比甲方规定的安全生产及消防安全管理要求更严格的，应当接纳乙方的建议。</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（二）落实配合措施</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1.落实生产营运等相关配合措施，提供必要的施工条件。</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（三）安全及消防安全隐患检查与督促整改</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1.在项目施工期，应每天不少于一次对乙方安全措施、消防安全措施投入、现场安全施工情况等进行安全、消防安全监督检查，并提出整改。</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（四）重大安全风险、生产安全重大事故隐患（重大火灾隐患）等情况报告及举报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1.对乙方上报的重大安全风险、生产安全重大事故隐患（重大火灾隐患），应当如实向水投集团报告。</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2.如发现乙方瞒报重大安全风险、生产安全重大事故隐患（重大火灾隐患），甲方除向水投集团报告外，有权向属地安全应急管理部门、属地行业主管部门举报。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3.甲方发现乙方在项目范围内（含工地范围内的住宿、办公等区域）开展违法、犯罪活动，向公安部门举报。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（五）事故报告及举报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1.对乙方上报的安全事故及消防安全事故，应当按水投集团有关程序，如实向集团报告。</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2.如发现乙方瞒报安全事故及消防安全事故，甲方除向水投集团报告外，有权向属地安全应急管理部门、属地行业主管部门举报。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（六）补充条款</w:t>
      </w:r>
      <w:r>
        <w:rPr>
          <w:rFonts w:hint="eastAsia" w:ascii="仿宋_GB2312" w:hAnsi="仿宋_GB2312" w:eastAsia="仿宋_GB2312" w:cs="仿宋_GB2312"/>
          <w:color w:val="auto"/>
          <w:sz w:val="24"/>
          <w:szCs w:val="24"/>
          <w:highlight w:val="none"/>
          <w:u w:val="single"/>
        </w:rPr>
        <w:t xml:space="preserve">               。</w:t>
      </w:r>
    </w:p>
    <w:p>
      <w:pPr>
        <w:adjustRightInd w:val="0"/>
        <w:snapToGrid w:val="0"/>
        <w:spacing w:line="440" w:lineRule="exact"/>
        <w:ind w:firstLine="480" w:firstLineChars="200"/>
        <w:jc w:val="lef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三、乙方的安全及消防安全责任</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（一）接受交底告知并复核确认安全风险，落实管控措施</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1.乙方接受甲方交底。</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2.编制的方案应响应甲方告知，明确相应的措施。</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3.根据甲方项目备案的要求，提交项目备案材料</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4.当甲方规定的安全生产及消防安全管理要求，比相关规范或乙方内部管理制度严格的，按甲方的执行。</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5.当相关规范或乙方内部管理制度，比甲方规定的安全生产及消防安全管理要求严格的，应明确告知甲方确认，并按相关规范或乙方内部管理制度执行。</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（二）告知甲方需要配合的事项</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1.向甲方告知在施工作业期间，需要甲方配合落实的措施</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（三）落实安全及消防安全隐患排查与整改，并接受检查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乙方应做好的每日安全生产、消防安全巡查及开展人员安全生产、消防安全教育，确保场所、场地、区域、施工、仓储、住宿、办公等，符合国家、行业安全生产、消防安全相关要求，无对甲方、乙方以及周边第三方生产安全、消防安全、人身安全等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2.接受甲方“四不两直”的不定期检查。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（三）重大安全风险、生产安全重大事故隐患（重大火灾隐患）报告</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1.乙方识别存在重大安全风险的，应研究并落实管控措施，降低风险等级，并向甲方、属地安全应急管理部门、属地行业主管部门上报。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2.乙方自查或被外单位检查发现生产安全重大事故隐患（重大火灾隐患）的，应当立即向甲方、属地安全应急管理部门、属地行业主管部门上报。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3.如甲方未收到乙方关于重大安全风险、生产安全重大事故隐患（重大火灾隐患）的报告，但由其他途径获知信息的，视为瞒报。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4.不得谎报信息。</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（四）事故报告</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1.项目发生安全事故及消防安全事故的，乙方应当在预案规定时间内立即向甲方上报。否则视为迟报。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2.如甲方未收到乙方关于安全事故及消防安全事故的报告，但由其他途径获知信息的，视为瞒报。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3.不得谎报信息。</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（五）补充条款</w:t>
      </w:r>
      <w:r>
        <w:rPr>
          <w:rFonts w:hint="eastAsia" w:ascii="仿宋_GB2312" w:hAnsi="仿宋_GB2312" w:eastAsia="仿宋_GB2312" w:cs="仿宋_GB2312"/>
          <w:color w:val="auto"/>
          <w:sz w:val="24"/>
          <w:szCs w:val="24"/>
          <w:highlight w:val="none"/>
          <w:u w:val="single"/>
        </w:rPr>
        <w:t xml:space="preserve">               。</w:t>
      </w:r>
    </w:p>
    <w:p>
      <w:pPr>
        <w:adjustRightInd w:val="0"/>
        <w:snapToGrid w:val="0"/>
        <w:spacing w:line="440" w:lineRule="exact"/>
        <w:ind w:firstLine="480" w:firstLineChars="200"/>
        <w:jc w:val="lef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四、违约责任</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（一）未发生安全事故或消防安全事故的违约责任</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1.乙方未履行安全及消防安全责任的，甲方有权按合同相关条款处理。</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2.因甲方未履行安全及消防安全责任，乙方有权按合同相关条款处理。</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（二）发生安全事故或消防安全事故的违约责任</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2.如甲方未能提供甲方履职证明的，根据责任调查报告（意见）承担责任。</w:t>
      </w:r>
    </w:p>
    <w:p>
      <w:pPr>
        <w:adjustRightInd w:val="0"/>
        <w:snapToGrid w:val="0"/>
        <w:spacing w:line="440" w:lineRule="exact"/>
        <w:ind w:firstLine="480" w:firstLineChars="200"/>
        <w:jc w:val="lef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五、附则</w:t>
      </w:r>
    </w:p>
    <w:p>
      <w:pPr>
        <w:adjustRightInd w:val="0"/>
        <w:snapToGrid w:val="0"/>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（一）本协议未尽事宜，依据有关法律、法规、规章处理。法律、法规、规章没有明确规定的，经双方协商处理解决。</w:t>
      </w:r>
    </w:p>
    <w:p>
      <w:pPr>
        <w:adjustRightInd w:val="0"/>
        <w:snapToGrid w:val="0"/>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（二）在合同（协议）执行期间，因国家、地方、以及广州市净水有限公司印发有关文件，加强安全管理要求的，乙方应按最新要求无条件执行。如不执行，甲方有权根据合同或有关文件进行处理。</w:t>
      </w:r>
    </w:p>
    <w:p>
      <w:pPr>
        <w:adjustRightInd w:val="0"/>
        <w:snapToGrid w:val="0"/>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（三）本协议作为合同的附件同时签字、同事盖章、同时生效、同时终止，具有同等的法律效力。甲方、乙方双方执持数量与合同一致。</w:t>
      </w:r>
    </w:p>
    <w:p>
      <w:pPr>
        <w:rPr>
          <w:rFonts w:ascii="仿宋_GB2312" w:hAnsi="仿宋_GB2312" w:eastAsia="仿宋_GB2312" w:cs="仿宋_GB2312"/>
          <w:color w:val="auto"/>
          <w:sz w:val="24"/>
          <w:szCs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甲方（盖章）：</w:t>
            </w:r>
          </w:p>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签约代表：</w:t>
            </w:r>
          </w:p>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pPr>
              <w:adjustRightInd w:val="0"/>
              <w:snapToGrid w:val="0"/>
              <w:spacing w:line="560" w:lineRule="exact"/>
              <w:ind w:firstLine="240" w:firstLineChars="100"/>
              <w:jc w:val="righ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tc>
        <w:tc>
          <w:tcPr>
            <w:tcW w:w="4474" w:type="dxa"/>
          </w:tcPr>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乙方（盖章）：</w:t>
            </w:r>
          </w:p>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签约代表：</w:t>
            </w:r>
          </w:p>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pPr>
              <w:adjustRightInd w:val="0"/>
              <w:snapToGrid w:val="0"/>
              <w:spacing w:line="560" w:lineRule="exact"/>
              <w:jc w:val="righ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tc>
      </w:tr>
    </w:tbl>
    <w:p>
      <w:pPr>
        <w:rPr>
          <w:color w:val="auto"/>
          <w:highlight w:val="none"/>
        </w:rPr>
      </w:pPr>
      <w:r>
        <w:rPr>
          <w:color w:val="auto"/>
          <w:highlight w:val="none"/>
        </w:rPr>
        <w:br w:type="page"/>
      </w:r>
    </w:p>
    <w:p>
      <w:pPr>
        <w:pStyle w:val="14"/>
        <w:rPr>
          <w:color w:val="auto"/>
          <w:highlight w:val="none"/>
        </w:rPr>
      </w:pPr>
    </w:p>
    <w:p>
      <w:pPr>
        <w:spacing w:line="360" w:lineRule="auto"/>
        <w:jc w:val="left"/>
        <w:rPr>
          <w:rFonts w:ascii="仿宋_GB2312" w:eastAsia="仿宋_GB2312" w:hAnsiTheme="minorEastAsia"/>
          <w:color w:val="auto"/>
          <w:sz w:val="28"/>
          <w:szCs w:val="28"/>
          <w:highlight w:val="none"/>
        </w:rPr>
      </w:pPr>
    </w:p>
    <w:p>
      <w:pPr>
        <w:spacing w:line="360" w:lineRule="auto"/>
        <w:jc w:val="left"/>
        <w:rPr>
          <w:rFonts w:ascii="仿宋_GB2312" w:eastAsia="仿宋_GB2312" w:hAnsiTheme="minorEastAsia"/>
          <w:color w:val="auto"/>
          <w:sz w:val="28"/>
          <w:szCs w:val="28"/>
          <w:highlight w:val="none"/>
        </w:rPr>
      </w:pPr>
    </w:p>
    <w:p>
      <w:pPr>
        <w:spacing w:line="360" w:lineRule="auto"/>
        <w:jc w:val="left"/>
        <w:rPr>
          <w:rFonts w:ascii="仿宋_GB2312" w:eastAsia="仿宋_GB2312" w:hAnsiTheme="minorEastAsia"/>
          <w:color w:val="auto"/>
          <w:sz w:val="28"/>
          <w:szCs w:val="28"/>
          <w:highlight w:val="none"/>
        </w:rPr>
      </w:pPr>
    </w:p>
    <w:p>
      <w:pPr>
        <w:spacing w:line="360" w:lineRule="auto"/>
        <w:jc w:val="left"/>
        <w:rPr>
          <w:rFonts w:ascii="仿宋_GB2312" w:eastAsia="仿宋_GB2312" w:hAnsiTheme="minorEastAsia"/>
          <w:color w:val="auto"/>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第七章</w:t>
      </w:r>
    </w:p>
    <w:p>
      <w:pPr>
        <w:spacing w:line="360" w:lineRule="auto"/>
        <w:jc w:val="left"/>
        <w:rPr>
          <w:rFonts w:ascii="仿宋_GB2312" w:eastAsia="仿宋_GB2312" w:hAnsiTheme="minorEastAsia"/>
          <w:color w:val="auto"/>
          <w:sz w:val="28"/>
          <w:szCs w:val="28"/>
          <w:highlight w:val="none"/>
        </w:rPr>
      </w:pPr>
    </w:p>
    <w:p>
      <w:pPr>
        <w:pStyle w:val="4"/>
        <w:rPr>
          <w:color w:val="auto"/>
          <w:highlight w:val="none"/>
        </w:rPr>
      </w:pPr>
      <w:r>
        <w:rPr>
          <w:rFonts w:hint="eastAsia"/>
          <w:color w:val="auto"/>
          <w:highlight w:val="none"/>
        </w:rPr>
        <w:t>响应文件格式要求</w:t>
      </w:r>
    </w:p>
    <w:p>
      <w:pPr>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br w:type="page"/>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hint="eastAsia" w:ascii="仿宋_GB2312" w:eastAsia="方正小标宋简体"/>
          <w:color w:val="auto"/>
          <w:sz w:val="30"/>
          <w:szCs w:val="30"/>
          <w:highlight w:val="none"/>
          <w:lang w:eastAsia="zh-CN"/>
        </w:rPr>
      </w:pPr>
      <w:r>
        <w:rPr>
          <w:rFonts w:hint="eastAsia" w:ascii="方正小标宋简体" w:eastAsia="方正小标宋简体"/>
          <w:color w:val="auto"/>
          <w:sz w:val="44"/>
          <w:szCs w:val="44"/>
          <w:highlight w:val="none"/>
          <w:u w:val="single"/>
          <w:lang w:eastAsia="zh-CN"/>
        </w:rPr>
        <w:t>广州市净水有限公司地埋式净水厂通风除臭系统节能运行管控技术研究与应用</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line="600" w:lineRule="exact"/>
        <w:jc w:val="center"/>
        <w:rPr>
          <w:rFonts w:ascii="方正小标宋简体" w:eastAsia="方正小标宋简体"/>
          <w:color w:val="auto"/>
          <w:sz w:val="28"/>
          <w:szCs w:val="28"/>
          <w:highlight w:val="none"/>
        </w:rPr>
      </w:pPr>
    </w:p>
    <w:p>
      <w:pPr>
        <w:adjustRightInd w:val="0"/>
        <w:snapToGrid w:val="0"/>
        <w:spacing w:line="600" w:lineRule="exact"/>
        <w:rPr>
          <w:rFonts w:ascii="仿宋_GB2312" w:eastAsia="仿宋_GB2312"/>
          <w:color w:val="auto"/>
          <w:sz w:val="28"/>
          <w:szCs w:val="28"/>
          <w:highlight w:val="none"/>
        </w:rPr>
      </w:pPr>
      <w:bookmarkStart w:id="60" w:name="_Toc88209952"/>
      <w:bookmarkStart w:id="61" w:name="_Toc87616389"/>
      <w:r>
        <w:rPr>
          <w:rFonts w:hint="eastAsia" w:ascii="仿宋_GB2312" w:eastAsia="仿宋_GB2312"/>
          <w:color w:val="auto"/>
          <w:sz w:val="28"/>
          <w:szCs w:val="28"/>
          <w:highlight w:val="none"/>
        </w:rPr>
        <w:t>1.响应函</w:t>
      </w:r>
      <w:bookmarkEnd w:id="60"/>
      <w:bookmarkEnd w:id="61"/>
    </w:p>
    <w:p>
      <w:pPr>
        <w:adjustRightInd w:val="0"/>
        <w:snapToGrid w:val="0"/>
        <w:spacing w:line="600" w:lineRule="exact"/>
        <w:rPr>
          <w:rFonts w:ascii="仿宋_GB2312" w:eastAsia="仿宋_GB2312"/>
          <w:color w:val="auto"/>
          <w:sz w:val="28"/>
          <w:szCs w:val="28"/>
          <w:highlight w:val="none"/>
        </w:rPr>
      </w:pPr>
      <w:bookmarkStart w:id="62" w:name="_Toc87616390"/>
      <w:bookmarkStart w:id="63" w:name="_Toc88209953"/>
      <w:r>
        <w:rPr>
          <w:rFonts w:hint="eastAsia" w:ascii="仿宋_GB2312" w:eastAsia="仿宋_GB2312"/>
          <w:color w:val="auto"/>
          <w:sz w:val="28"/>
          <w:szCs w:val="28"/>
          <w:highlight w:val="none"/>
        </w:rPr>
        <w:t>2.法定代表人证明或授权委托书</w:t>
      </w:r>
      <w:bookmarkEnd w:id="62"/>
      <w:bookmarkEnd w:id="63"/>
      <w:bookmarkStart w:id="64" w:name="_Toc88209956"/>
      <w:bookmarkStart w:id="6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64"/>
      <w:bookmarkEnd w:id="65"/>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ascii="黑体" w:hAnsi="黑体" w:eastAsia="黑体" w:cs="黑体"/>
          <w:b/>
          <w:bCs/>
          <w:color w:val="auto"/>
          <w:sz w:val="32"/>
          <w:szCs w:val="32"/>
          <w:highlight w:val="none"/>
        </w:rPr>
      </w:pPr>
      <w:bookmarkStart w:id="66" w:name="_Toc6313"/>
      <w:bookmarkStart w:id="67" w:name="_Toc88209957"/>
      <w:bookmarkStart w:id="68" w:name="_Toc87616394"/>
      <w:bookmarkStart w:id="69" w:name="_Toc28619645"/>
      <w:bookmarkStart w:id="70" w:name="_Toc12665"/>
      <w:r>
        <w:rPr>
          <w:rFonts w:hint="eastAsia" w:ascii="黑体" w:hAnsi="黑体" w:eastAsia="黑体" w:cs="黑体"/>
          <w:b/>
          <w:bCs/>
          <w:color w:val="auto"/>
          <w:sz w:val="32"/>
          <w:szCs w:val="32"/>
          <w:highlight w:val="none"/>
        </w:rPr>
        <w:t>1.响应函</w:t>
      </w:r>
      <w:bookmarkEnd w:id="66"/>
      <w:bookmarkEnd w:id="67"/>
      <w:bookmarkEnd w:id="68"/>
      <w:bookmarkEnd w:id="69"/>
      <w:bookmarkEnd w:id="7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3.我方完全理解采购文件中所有要求均为实质性响应条款，如有任何一条负偏离或者不满足将导致响应文件无效。由于我方提供资料不实或与需求书中所有条款不符而造成的责任和后果由我方承担。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eastAsia="仿宋_GB2312"/>
          <w:color w:val="auto"/>
          <w:highlight w:val="none"/>
        </w:rPr>
      </w:pPr>
      <w:r>
        <w:rPr>
          <w:rFonts w:ascii="仿宋_GB2312" w:hAnsi="黑体" w:eastAsia="仿宋_GB2312" w:cstheme="minorBidi"/>
          <w:color w:val="auto"/>
          <w:kern w:val="2"/>
          <w:sz w:val="28"/>
          <w:szCs w:val="28"/>
          <w:highlight w:val="none"/>
        </w:rPr>
        <w:t>（5）如放弃成交，我方依法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asciiTheme="minorEastAsia" w:hAnsiTheme="minorEastAsia"/>
          <w:color w:val="auto"/>
          <w:sz w:val="28"/>
          <w:szCs w:val="28"/>
          <w:highlight w:val="none"/>
        </w:rPr>
      </w:pPr>
      <w:bookmarkStart w:id="71" w:name="_Toc87616395"/>
      <w:bookmarkStart w:id="72" w:name="_Toc88209958"/>
      <w:bookmarkStart w:id="73" w:name="_Toc29833"/>
      <w:bookmarkStart w:id="74" w:name="_Toc22527"/>
      <w:r>
        <w:rPr>
          <w:rFonts w:hint="eastAsia" w:asciiTheme="minorEastAsia" w:hAnsiTheme="minorEastAsia"/>
          <w:color w:val="auto"/>
          <w:sz w:val="28"/>
          <w:szCs w:val="28"/>
          <w:highlight w:val="none"/>
        </w:rPr>
        <w:br w:type="page"/>
      </w:r>
    </w:p>
    <w:p>
      <w:pPr>
        <w:spacing w:line="360" w:lineRule="auto"/>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71"/>
      <w:bookmarkEnd w:id="72"/>
      <w:bookmarkEnd w:id="73"/>
      <w:bookmarkEnd w:id="7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600" w:lineRule="exact"/>
        <w:ind w:firstLine="600" w:firstLineChars="200"/>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30"/>
        <w:snapToGrid w:val="0"/>
        <w:spacing w:line="600" w:lineRule="exact"/>
        <w:ind w:firstLine="600" w:firstLineChars="20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600" w:firstLineChars="20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30"/>
        <w:snapToGrid w:val="0"/>
        <w:spacing w:line="600" w:lineRule="exact"/>
        <w:ind w:firstLine="600" w:firstLineChars="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30"/>
        <w:snapToGrid w:val="0"/>
        <w:spacing w:line="600" w:lineRule="exact"/>
        <w:ind w:firstLine="600" w:firstLineChars="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30"/>
        <w:snapToGrid w:val="0"/>
        <w:spacing w:line="600" w:lineRule="exact"/>
        <w:ind w:firstLine="600" w:firstLineChars="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30"/>
        <w:snapToGrid w:val="0"/>
        <w:spacing w:line="600" w:lineRule="exact"/>
        <w:ind w:firstLine="600" w:firstLineChars="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30"/>
        <w:snapToGrid w:val="0"/>
        <w:spacing w:line="600" w:lineRule="exact"/>
        <w:ind w:firstLine="600" w:firstLineChars="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30"/>
        <w:snapToGrid w:val="0"/>
        <w:spacing w:line="600" w:lineRule="exact"/>
        <w:ind w:firstLine="3907" w:firstLineChars="1221"/>
        <w:rPr>
          <w:rFonts w:ascii="仿宋_GB2312" w:hAnsi="宋体" w:eastAsia="仿宋_GB2312" w:cs="Times New Roman"/>
          <w:color w:val="auto"/>
          <w:sz w:val="32"/>
          <w:szCs w:val="32"/>
          <w:highlight w:val="none"/>
        </w:rPr>
      </w:pPr>
    </w:p>
    <w:p>
      <w:pPr>
        <w:pStyle w:val="30"/>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spacing w:line="240" w:lineRule="auto"/>
              <w:ind w:firstLine="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身份证复印件（人像面）</w:t>
            </w:r>
          </w:p>
        </w:tc>
        <w:tc>
          <w:tcPr>
            <w:tcW w:w="4530" w:type="dxa"/>
            <w:vAlign w:val="center"/>
          </w:tcPr>
          <w:p>
            <w:pPr>
              <w:pStyle w:val="22"/>
              <w:spacing w:line="240" w:lineRule="auto"/>
              <w:ind w:firstLine="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pPr>
              <w:pStyle w:val="22"/>
              <w:spacing w:line="240" w:lineRule="auto"/>
              <w:ind w:firstLine="0"/>
              <w:jc w:val="center"/>
              <w:rPr>
                <w:rFonts w:ascii="仿宋_GB2312" w:hAnsi="仿宋_GB2312" w:eastAsia="仿宋_GB2312" w:cs="仿宋_GB2312"/>
                <w:color w:val="auto"/>
                <w:sz w:val="28"/>
                <w:szCs w:val="28"/>
                <w:highlight w:val="none"/>
              </w:rPr>
            </w:pPr>
          </w:p>
        </w:tc>
        <w:tc>
          <w:tcPr>
            <w:tcW w:w="4530" w:type="dxa"/>
          </w:tcPr>
          <w:p>
            <w:pPr>
              <w:pStyle w:val="22"/>
              <w:spacing w:line="240" w:lineRule="auto"/>
              <w:ind w:firstLine="0"/>
              <w:jc w:val="center"/>
              <w:rPr>
                <w:rFonts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9"/>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附：1.委托代理人身份证(正反两面)复印件，提供授权委托代理人身份证原件备查。</w:t>
      </w:r>
    </w:p>
    <w:p>
      <w:pPr>
        <w:pStyle w:val="39"/>
        <w:numPr>
          <w:ilvl w:val="255"/>
          <w:numId w:val="0"/>
        </w:num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2.提供授权委托人在本单位近三个月社保记录（以加盖社会保险基金管理中心印章的《缴费历史明细表》或《社会保险参保人员证明》为准），否则为无效代理人，响应文件无效。</w:t>
      </w:r>
    </w:p>
    <w:p>
      <w:pPr>
        <w:pStyle w:val="39"/>
        <w:numPr>
          <w:ilvl w:val="255"/>
          <w:numId w:val="0"/>
        </w:numPr>
        <w:adjustRightInd w:val="0"/>
        <w:snapToGrid w:val="0"/>
        <w:spacing w:line="600" w:lineRule="exact"/>
        <w:rPr>
          <w:rFonts w:ascii="仿宋_GB2312" w:hAnsi="宋体" w:eastAsia="仿宋_GB2312"/>
          <w:color w:val="auto"/>
          <w:sz w:val="30"/>
          <w:szCs w:val="30"/>
          <w:highlight w:val="none"/>
        </w:rPr>
      </w:pPr>
    </w:p>
    <w:p>
      <w:pPr>
        <w:pStyle w:val="30"/>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30"/>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30"/>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ind w:firstLine="0"/>
        <w:rPr>
          <w:rFonts w:ascii="仿宋_GB2312" w:eastAsia="仿宋_GB2312"/>
          <w:color w:val="auto"/>
          <w:sz w:val="30"/>
          <w:szCs w:val="30"/>
          <w:highlight w:val="none"/>
        </w:rPr>
      </w:pPr>
    </w:p>
    <w:p>
      <w:pPr>
        <w:pStyle w:val="22"/>
        <w:ind w:firstLine="0"/>
        <w:rPr>
          <w:rFonts w:ascii="仿宋_GB2312"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spacing w:line="240" w:lineRule="auto"/>
              <w:ind w:firstLine="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身份证复印件（人像面）</w:t>
            </w:r>
          </w:p>
        </w:tc>
        <w:tc>
          <w:tcPr>
            <w:tcW w:w="4530" w:type="dxa"/>
            <w:vAlign w:val="center"/>
          </w:tcPr>
          <w:p>
            <w:pPr>
              <w:pStyle w:val="22"/>
              <w:spacing w:line="240" w:lineRule="auto"/>
              <w:ind w:firstLine="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tcPr>
          <w:p>
            <w:pPr>
              <w:pStyle w:val="22"/>
              <w:spacing w:line="240" w:lineRule="auto"/>
              <w:ind w:firstLine="0"/>
              <w:jc w:val="center"/>
              <w:rPr>
                <w:rFonts w:ascii="仿宋_GB2312" w:hAnsi="仿宋_GB2312" w:eastAsia="仿宋_GB2312" w:cs="仿宋_GB2312"/>
                <w:color w:val="auto"/>
                <w:sz w:val="28"/>
                <w:szCs w:val="28"/>
                <w:highlight w:val="none"/>
              </w:rPr>
            </w:pPr>
          </w:p>
        </w:tc>
        <w:tc>
          <w:tcPr>
            <w:tcW w:w="4530" w:type="dxa"/>
          </w:tcPr>
          <w:p>
            <w:pPr>
              <w:pStyle w:val="22"/>
              <w:spacing w:line="240" w:lineRule="auto"/>
              <w:ind w:firstLine="0"/>
              <w:jc w:val="center"/>
              <w:rPr>
                <w:rFonts w:ascii="仿宋_GB2312" w:hAnsi="仿宋_GB2312" w:eastAsia="仿宋_GB2312" w:cs="仿宋_GB2312"/>
                <w:color w:val="auto"/>
                <w:sz w:val="28"/>
                <w:szCs w:val="28"/>
                <w:highlight w:val="none"/>
              </w:rPr>
            </w:pPr>
          </w:p>
        </w:tc>
      </w:tr>
    </w:tbl>
    <w:p>
      <w:pPr>
        <w:pStyle w:val="7"/>
        <w:spacing w:after="0" w:line="600" w:lineRule="exact"/>
        <w:ind w:firstLine="0"/>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adjustRightInd w:val="0"/>
              <w:snapToGrid w:val="0"/>
              <w:spacing w:line="600" w:lineRule="exact"/>
              <w:ind w:firstLine="560" w:firstLineChars="200"/>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rPr>
              <w:t>授权代理人在本单位近三个月社保记录，（以加盖社会保险基金管理中心印章的《缴费历史明细表》或《社会保险参保人员证明》为准，加盖单位公章。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ascii="黑体" w:hAnsi="黑体" w:eastAsia="黑体" w:cs="黑体"/>
          <w:b/>
          <w:bCs/>
          <w:color w:val="auto"/>
          <w:sz w:val="32"/>
          <w:szCs w:val="32"/>
          <w:highlight w:val="none"/>
        </w:rPr>
      </w:pPr>
      <w:bookmarkStart w:id="75" w:name="_Toc19830"/>
      <w:bookmarkStart w:id="76" w:name="_Toc87616400"/>
      <w:bookmarkStart w:id="77" w:name="_Toc8086"/>
      <w:bookmarkStart w:id="78" w:name="_Toc88209963"/>
      <w:r>
        <w:rPr>
          <w:rFonts w:hint="eastAsia" w:ascii="黑体" w:hAnsi="黑体" w:eastAsia="黑体" w:cs="黑体"/>
          <w:b/>
          <w:bCs/>
          <w:color w:val="auto"/>
          <w:sz w:val="32"/>
          <w:szCs w:val="32"/>
          <w:highlight w:val="none"/>
        </w:rPr>
        <w:t>3.资格审查资料</w:t>
      </w:r>
      <w:bookmarkEnd w:id="75"/>
      <w:bookmarkEnd w:id="76"/>
      <w:bookmarkEnd w:id="77"/>
      <w:bookmarkEnd w:id="7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adjustRightInd w:val="0"/>
              <w:snapToGrid w:val="0"/>
              <w:jc w:val="left"/>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jc w:val="left"/>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adjustRightInd w:val="0"/>
              <w:snapToGrid w:val="0"/>
              <w:jc w:val="left"/>
              <w:rPr>
                <w:rFonts w:ascii="仿宋_GB2312" w:eastAsia="仿宋_GB2312" w:hAnsiTheme="minorEastAsia"/>
                <w:color w:val="auto"/>
                <w:sz w:val="28"/>
                <w:szCs w:val="28"/>
                <w:highlight w:val="none"/>
              </w:rPr>
            </w:pPr>
          </w:p>
        </w:tc>
        <w:tc>
          <w:tcPr>
            <w:tcW w:w="1134"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jc w:val="left"/>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adjustRightInd w:val="0"/>
              <w:snapToGrid w:val="0"/>
              <w:jc w:val="left"/>
              <w:rPr>
                <w:rFonts w:ascii="仿宋_GB2312" w:eastAsia="仿宋_GB2312" w:hAnsiTheme="minorEastAsia"/>
                <w:color w:val="auto"/>
                <w:sz w:val="28"/>
                <w:szCs w:val="28"/>
                <w:highlight w:val="none"/>
              </w:rPr>
            </w:pPr>
          </w:p>
        </w:tc>
        <w:tc>
          <w:tcPr>
            <w:tcW w:w="1443" w:type="dxa"/>
            <w:gridSpan w:val="3"/>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adjustRightInd w:val="0"/>
              <w:snapToGrid w:val="0"/>
              <w:jc w:val="left"/>
              <w:rPr>
                <w:rFonts w:ascii="仿宋_GB2312" w:eastAsia="仿宋_GB2312" w:hAnsiTheme="minorEastAsia"/>
                <w:color w:val="auto"/>
                <w:sz w:val="28"/>
                <w:szCs w:val="28"/>
                <w:highlight w:val="none"/>
              </w:rPr>
            </w:pPr>
          </w:p>
        </w:tc>
        <w:tc>
          <w:tcPr>
            <w:tcW w:w="1295" w:type="dxa"/>
            <w:gridSpan w:val="2"/>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adjustRightInd w:val="0"/>
              <w:snapToGrid w:val="0"/>
              <w:jc w:val="left"/>
              <w:rPr>
                <w:rFonts w:ascii="仿宋_GB2312" w:eastAsia="仿宋_GB2312" w:hAnsiTheme="minorEastAsia"/>
                <w:color w:val="auto"/>
                <w:sz w:val="28"/>
                <w:szCs w:val="28"/>
                <w:highlight w:val="none"/>
              </w:rPr>
            </w:pPr>
          </w:p>
        </w:tc>
        <w:tc>
          <w:tcPr>
            <w:tcW w:w="1443" w:type="dxa"/>
            <w:gridSpan w:val="3"/>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adjustRightInd w:val="0"/>
              <w:snapToGrid w:val="0"/>
              <w:jc w:val="left"/>
              <w:rPr>
                <w:rFonts w:ascii="仿宋_GB2312" w:eastAsia="仿宋_GB2312" w:hAnsiTheme="minorEastAsia"/>
                <w:color w:val="auto"/>
                <w:sz w:val="28"/>
                <w:szCs w:val="28"/>
                <w:highlight w:val="none"/>
              </w:rPr>
            </w:pPr>
          </w:p>
        </w:tc>
        <w:tc>
          <w:tcPr>
            <w:tcW w:w="1295" w:type="dxa"/>
            <w:gridSpan w:val="2"/>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5178" w:type="dxa"/>
            <w:gridSpan w:val="7"/>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1160" w:type="dxa"/>
            <w:gridSpan w:val="2"/>
            <w:vMerge w:val="restart"/>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1160" w:type="dxa"/>
            <w:gridSpan w:val="2"/>
            <w:vMerge w:val="continue"/>
            <w:vAlign w:val="center"/>
          </w:tcPr>
          <w:p>
            <w:pPr>
              <w:adjustRightInd w:val="0"/>
              <w:snapToGrid w:val="0"/>
              <w:rPr>
                <w:rFonts w:ascii="仿宋_GB2312" w:eastAsia="仿宋_GB2312" w:hAnsiTheme="minorEastAsia"/>
                <w:color w:val="auto"/>
                <w:sz w:val="28"/>
                <w:szCs w:val="28"/>
                <w:highlight w:val="none"/>
              </w:rPr>
            </w:pPr>
          </w:p>
        </w:tc>
        <w:tc>
          <w:tcPr>
            <w:tcW w:w="2268" w:type="dxa"/>
            <w:gridSpan w:val="3"/>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1160" w:type="dxa"/>
            <w:gridSpan w:val="2"/>
            <w:vMerge w:val="continue"/>
            <w:vAlign w:val="center"/>
          </w:tcPr>
          <w:p>
            <w:pPr>
              <w:adjustRightInd w:val="0"/>
              <w:snapToGrid w:val="0"/>
              <w:rPr>
                <w:rFonts w:ascii="仿宋_GB2312" w:eastAsia="仿宋_GB2312" w:hAnsiTheme="minorEastAsia"/>
                <w:color w:val="auto"/>
                <w:sz w:val="28"/>
                <w:szCs w:val="28"/>
                <w:highlight w:val="none"/>
              </w:rPr>
            </w:pPr>
          </w:p>
        </w:tc>
        <w:tc>
          <w:tcPr>
            <w:tcW w:w="2268" w:type="dxa"/>
            <w:gridSpan w:val="3"/>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1160" w:type="dxa"/>
            <w:gridSpan w:val="2"/>
            <w:vMerge w:val="continue"/>
            <w:vAlign w:val="center"/>
          </w:tcPr>
          <w:p>
            <w:pPr>
              <w:adjustRightInd w:val="0"/>
              <w:snapToGrid w:val="0"/>
              <w:rPr>
                <w:rFonts w:ascii="仿宋_GB2312" w:eastAsia="仿宋_GB2312" w:hAnsiTheme="minorEastAsia"/>
                <w:color w:val="auto"/>
                <w:sz w:val="28"/>
                <w:szCs w:val="28"/>
                <w:highlight w:val="none"/>
              </w:rPr>
            </w:pPr>
          </w:p>
        </w:tc>
        <w:tc>
          <w:tcPr>
            <w:tcW w:w="2268" w:type="dxa"/>
            <w:gridSpan w:val="3"/>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1160" w:type="dxa"/>
            <w:gridSpan w:val="2"/>
            <w:vMerge w:val="continue"/>
            <w:vAlign w:val="center"/>
          </w:tcPr>
          <w:p>
            <w:pPr>
              <w:adjustRightInd w:val="0"/>
              <w:snapToGrid w:val="0"/>
              <w:rPr>
                <w:rFonts w:ascii="仿宋_GB2312" w:eastAsia="仿宋_GB2312" w:hAnsiTheme="minorEastAsia"/>
                <w:color w:val="auto"/>
                <w:sz w:val="28"/>
                <w:szCs w:val="28"/>
                <w:highlight w:val="none"/>
              </w:rPr>
            </w:pPr>
          </w:p>
        </w:tc>
        <w:tc>
          <w:tcPr>
            <w:tcW w:w="2268" w:type="dxa"/>
            <w:gridSpan w:val="3"/>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adjustRightInd w:val="0"/>
              <w:snapToGrid w:val="0"/>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ascii="宋体" w:hAnsi="宋体" w:eastAsia="宋体" w:cs="宋体"/>
          <w:color w:val="auto"/>
          <w:sz w:val="24"/>
          <w:szCs w:val="24"/>
          <w:highlight w:val="none"/>
          <w:lang w:val="en-GB"/>
        </w:rPr>
      </w:pPr>
      <w:bookmarkStart w:id="79" w:name="_Hlk59025866"/>
      <w:r>
        <w:rPr>
          <w:rFonts w:hint="eastAsia" w:ascii="宋体" w:hAnsi="宋体" w:eastAsia="宋体" w:cs="宋体"/>
          <w:color w:val="auto"/>
          <w:sz w:val="24"/>
          <w:szCs w:val="24"/>
          <w:highlight w:val="none"/>
          <w:lang w:val="en-GB"/>
        </w:rPr>
        <w:t>供应商名称（加盖公章）：</w:t>
      </w:r>
    </w:p>
    <w:p>
      <w:pPr>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br w:type="page"/>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7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lang w:val="en-GB"/>
        </w:rPr>
        <w:t>广州市净水有限公司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（2）与本项目其他供应商存在控股或管理关系。</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（4）处于被责令停产停业、暂扣或者吊销执照、暂扣或者吊销许可证、吊销资质证书状态。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（5）进入清算程序，或被宣告破产，或其他丧失履约能力情形的。</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（6）近三年内因发生质量或安全生产事故等受到行政处罚且在处罚期内的。</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（8）在“信用中国”网站（www.creditchina.gov.cn）中被列入严重失信主体名单。</w:t>
      </w:r>
    </w:p>
    <w:p>
      <w:pPr>
        <w:adjustRightInd w:val="0"/>
        <w:snapToGrid w:val="0"/>
        <w:spacing w:line="360" w:lineRule="auto"/>
        <w:ind w:firstLine="480" w:firstLineChars="200"/>
        <w:rPr>
          <w:rFonts w:ascii="宋体" w:hAnsi="宋体" w:eastAsia="宋体" w:cs="宋体"/>
          <w:b/>
          <w:color w:val="auto"/>
          <w:szCs w:val="21"/>
          <w:highlight w:val="none"/>
        </w:rPr>
      </w:pPr>
      <w:r>
        <w:rPr>
          <w:rFonts w:hint="eastAsia" w:ascii="宋体" w:hAnsi="宋体" w:cs="宋体"/>
          <w:color w:val="auto"/>
          <w:sz w:val="24"/>
          <w:szCs w:val="24"/>
          <w:highlight w:val="none"/>
          <w:lang w:val="en-GB"/>
        </w:rPr>
        <w:t>（9）其他违法违纪行为，经审查认为不宜被邀请参加采购活动的。</w:t>
      </w:r>
    </w:p>
    <w:p>
      <w:pPr>
        <w:adjustRightInd w:val="0"/>
        <w:snapToGrid w:val="0"/>
        <w:spacing w:line="360" w:lineRule="auto"/>
        <w:jc w:val="right"/>
        <w:rPr>
          <w:rFonts w:hint="eastAsia" w:ascii="宋体" w:hAnsi="宋体" w:eastAsia="宋体" w:cs="宋体"/>
          <w:color w:val="auto"/>
          <w:sz w:val="24"/>
          <w:szCs w:val="24"/>
          <w:highlight w:val="none"/>
          <w:lang w:val="en-GB"/>
        </w:rPr>
      </w:pPr>
    </w:p>
    <w:p>
      <w:pPr>
        <w:adjustRightInd w:val="0"/>
        <w:snapToGrid w:val="0"/>
        <w:spacing w:line="360" w:lineRule="auto"/>
        <w:jc w:val="right"/>
        <w:rPr>
          <w:rFonts w:hint="eastAsia"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供应商名称（加盖公章）：</w:t>
      </w:r>
    </w:p>
    <w:p>
      <w:pPr>
        <w:jc w:val="right"/>
        <w:rPr>
          <w:color w:val="auto"/>
          <w:highlight w:val="none"/>
        </w:rPr>
      </w:pPr>
      <w:r>
        <w:rPr>
          <w:rFonts w:hint="eastAsia" w:ascii="宋体" w:hAnsi="宋体" w:eastAsia="宋体" w:cs="宋体"/>
          <w:color w:val="auto"/>
          <w:sz w:val="24"/>
          <w:szCs w:val="24"/>
          <w:highlight w:val="none"/>
          <w:lang w:val="en-GB"/>
        </w:rPr>
        <w:t>年  月  日</w:t>
      </w:r>
    </w:p>
    <w:p>
      <w:pPr>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br w:type="page"/>
      </w:r>
    </w:p>
    <w:p>
      <w:pPr>
        <w:spacing w:line="360" w:lineRule="auto"/>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vAlign w:val="center"/>
          </w:tcPr>
          <w:p>
            <w:pPr>
              <w:jc w:val="center"/>
              <w:rPr>
                <w:rFonts w:ascii="仿宋" w:hAnsi="仿宋" w:eastAsia="仿宋" w:cs="仿宋_GB2312"/>
                <w:b/>
                <w:color w:val="auto"/>
                <w:sz w:val="28"/>
                <w:szCs w:val="28"/>
                <w:highlight w:val="none"/>
              </w:rPr>
            </w:pPr>
          </w:p>
        </w:tc>
        <w:tc>
          <w:tcPr>
            <w:tcW w:w="161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vAlign w:val="center"/>
          </w:tcPr>
          <w:p>
            <w:pPr>
              <w:jc w:val="center"/>
              <w:rPr>
                <w:rFonts w:ascii="仿宋" w:hAnsi="仿宋" w:eastAsia="仿宋" w:cs="仿宋_GB2312"/>
                <w:b/>
                <w:color w:val="auto"/>
                <w:sz w:val="28"/>
                <w:szCs w:val="28"/>
                <w:highlight w:val="none"/>
              </w:rPr>
            </w:pPr>
          </w:p>
        </w:tc>
        <w:tc>
          <w:tcPr>
            <w:tcW w:w="2198"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vAlign w:val="center"/>
          </w:tcPr>
          <w:p>
            <w:pPr>
              <w:jc w:val="center"/>
              <w:rPr>
                <w:rFonts w:ascii="仿宋" w:hAnsi="仿宋" w:eastAsia="仿宋" w:cs="仿宋_GB2312"/>
                <w:b/>
                <w:color w:val="auto"/>
                <w:sz w:val="28"/>
                <w:szCs w:val="28"/>
                <w:highlight w:val="none"/>
              </w:rPr>
            </w:pPr>
          </w:p>
        </w:tc>
        <w:tc>
          <w:tcPr>
            <w:tcW w:w="2198"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br w:type="page"/>
      </w:r>
    </w:p>
    <w:p>
      <w:pPr>
        <w:pStyle w:val="22"/>
        <w:ind w:firstLine="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bookmarkStart w:id="80" w:name="_Toc32430"/>
            <w:bookmarkStart w:id="81" w:name="_Toc19423"/>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spacing w:line="360" w:lineRule="auto"/>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5.报价表</w:t>
      </w:r>
      <w:bookmarkEnd w:id="80"/>
      <w:bookmarkEnd w:id="81"/>
    </w:p>
    <w:p>
      <w:pPr>
        <w:adjustRightInd w:val="0"/>
        <w:snapToGrid w:val="0"/>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报价表</w:t>
      </w:r>
    </w:p>
    <w:p>
      <w:pPr>
        <w:adjustRightInd w:val="0"/>
        <w:snapToGrid w:val="0"/>
        <w:spacing w:line="360" w:lineRule="auto"/>
        <w:rPr>
          <w:rFonts w:ascii="宋体" w:hAnsi="宋体" w:cs="宋体"/>
          <w:color w:val="auto"/>
          <w:sz w:val="24"/>
          <w:szCs w:val="24"/>
          <w:highlight w:val="none"/>
        </w:rPr>
      </w:pPr>
    </w:p>
    <w:p>
      <w:pPr>
        <w:pStyle w:val="22"/>
        <w:jc w:val="right"/>
        <w:rPr>
          <w:color w:val="auto"/>
          <w:highlight w:val="none"/>
        </w:rPr>
      </w:pPr>
      <w:r>
        <w:rPr>
          <w:rFonts w:hint="eastAsia" w:eastAsia="宋体" w:cs="宋体"/>
          <w:color w:val="auto"/>
          <w:highlight w:val="none"/>
        </w:rPr>
        <w:t>[货币单位：人民币元]</w:t>
      </w:r>
    </w:p>
    <w:tbl>
      <w:tblPr>
        <w:tblStyle w:val="23"/>
        <w:tblW w:w="498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129"/>
        <w:gridCol w:w="58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80" w:type="dxa"/>
            <w:tcBorders>
              <w:top w:val="single" w:color="auto" w:sz="12" w:space="0"/>
              <w:left w:val="single" w:color="auto" w:sz="12" w:space="0"/>
              <w:bottom w:val="single" w:color="auto" w:sz="4" w:space="0"/>
              <w:right w:val="single" w:color="auto" w:sz="4" w:space="0"/>
            </w:tcBorders>
            <w:vAlign w:val="center"/>
          </w:tcPr>
          <w:p>
            <w:pPr>
              <w:widowControl/>
              <w:jc w:val="center"/>
              <w:textAlignment w:val="center"/>
              <w:rPr>
                <w:rFonts w:ascii="宋体" w:hAnsi="宋体"/>
                <w:b/>
                <w:bCs/>
                <w:color w:val="auto"/>
                <w:sz w:val="24"/>
                <w:szCs w:val="24"/>
                <w:highlight w:val="none"/>
              </w:rPr>
            </w:pPr>
            <w:r>
              <w:rPr>
                <w:rStyle w:val="51"/>
                <w:rFonts w:hint="default"/>
                <w:color w:val="auto"/>
                <w:highlight w:val="none"/>
                <w:lang w:bidi="ar"/>
              </w:rPr>
              <w:t>经费支出类别</w:t>
            </w:r>
          </w:p>
        </w:tc>
        <w:tc>
          <w:tcPr>
            <w:tcW w:w="1135"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eastAsia="宋体"/>
                <w:b/>
                <w:bCs/>
                <w:color w:val="auto"/>
                <w:sz w:val="24"/>
                <w:szCs w:val="24"/>
                <w:highlight w:val="none"/>
              </w:rPr>
            </w:pPr>
            <w:r>
              <w:rPr>
                <w:rFonts w:hint="eastAsia" w:ascii="宋体" w:hAnsi="宋体" w:eastAsia="宋体" w:cs="宋体"/>
                <w:b/>
                <w:bCs/>
                <w:color w:val="auto"/>
                <w:kern w:val="0"/>
                <w:sz w:val="24"/>
                <w:szCs w:val="24"/>
                <w:highlight w:val="none"/>
                <w:lang w:bidi="ar"/>
              </w:rPr>
              <w:t>经费</w:t>
            </w:r>
          </w:p>
        </w:tc>
        <w:tc>
          <w:tcPr>
            <w:tcW w:w="5911" w:type="dxa"/>
            <w:tcBorders>
              <w:top w:val="single" w:color="auto" w:sz="12" w:space="0"/>
              <w:left w:val="single" w:color="auto" w:sz="4" w:space="0"/>
              <w:bottom w:val="single" w:color="auto" w:sz="4" w:space="0"/>
              <w:right w:val="single" w:color="auto" w:sz="4" w:space="0"/>
            </w:tcBorders>
            <w:vAlign w:val="center"/>
          </w:tcPr>
          <w:p>
            <w:pPr>
              <w:widowControl/>
              <w:jc w:val="center"/>
              <w:textAlignment w:val="center"/>
              <w:rPr>
                <w:rFonts w:ascii="宋体" w:hAnsi="宋体"/>
                <w:b/>
                <w:bCs/>
                <w:color w:val="auto"/>
                <w:sz w:val="24"/>
                <w:szCs w:val="24"/>
                <w:highlight w:val="none"/>
              </w:rPr>
            </w:pPr>
            <w:r>
              <w:rPr>
                <w:rFonts w:hint="eastAsia" w:ascii="宋体" w:hAnsi="宋体" w:eastAsia="宋体" w:cs="宋体"/>
                <w:b/>
                <w:bCs/>
                <w:color w:val="auto"/>
                <w:kern w:val="0"/>
                <w:sz w:val="24"/>
                <w:szCs w:val="24"/>
                <w:highlight w:val="none"/>
                <w:lang w:bidi="ar"/>
              </w:rPr>
              <w:t>支出明细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980" w:type="dxa"/>
            <w:tcBorders>
              <w:top w:val="single" w:color="auto" w:sz="4" w:space="0"/>
              <w:left w:val="single" w:color="auto" w:sz="12" w:space="0"/>
              <w:bottom w:val="single" w:color="auto" w:sz="4" w:space="0"/>
              <w:right w:val="single" w:color="auto" w:sz="4" w:space="0"/>
            </w:tcBorders>
            <w:vAlign w:val="center"/>
          </w:tcPr>
          <w:p>
            <w:pPr>
              <w:widowControl/>
              <w:jc w:val="left"/>
              <w:textAlignment w:val="center"/>
              <w:rPr>
                <w:rFonts w:ascii="仿宋_GB2312" w:hAnsi="宋体" w:eastAsia="仿宋_GB2312"/>
                <w:color w:val="auto"/>
                <w:sz w:val="24"/>
                <w:szCs w:val="24"/>
                <w:highlight w:val="none"/>
              </w:rPr>
            </w:pPr>
            <w:r>
              <w:rPr>
                <w:rStyle w:val="52"/>
                <w:rFonts w:eastAsia="宋体"/>
                <w:color w:val="auto"/>
                <w:highlight w:val="none"/>
                <w:lang w:bidi="ar"/>
              </w:rPr>
              <w:t>1</w:t>
            </w:r>
            <w:r>
              <w:rPr>
                <w:rStyle w:val="53"/>
                <w:rFonts w:hint="default"/>
                <w:color w:val="auto"/>
                <w:highlight w:val="none"/>
                <w:lang w:bidi="ar"/>
              </w:rPr>
              <w:t>、材料费</w:t>
            </w:r>
          </w:p>
        </w:tc>
        <w:tc>
          <w:tcPr>
            <w:tcW w:w="1135" w:type="dxa"/>
            <w:tcBorders>
              <w:top w:val="single" w:color="auto" w:sz="4" w:space="0"/>
              <w:left w:val="single" w:color="auto" w:sz="12" w:space="0"/>
              <w:bottom w:val="single" w:color="auto" w:sz="4" w:space="0"/>
              <w:right w:val="single" w:color="auto" w:sz="4" w:space="0"/>
            </w:tcBorders>
            <w:vAlign w:val="center"/>
          </w:tcPr>
          <w:p>
            <w:pPr>
              <w:widowControl/>
              <w:textAlignment w:val="center"/>
              <w:rPr>
                <w:rFonts w:ascii="仿宋_GB2312" w:hAnsi="宋体" w:eastAsia="仿宋_GB2312"/>
                <w:color w:val="auto"/>
                <w:sz w:val="24"/>
                <w:szCs w:val="24"/>
                <w:highlight w:val="none"/>
              </w:rPr>
            </w:pPr>
          </w:p>
        </w:tc>
        <w:tc>
          <w:tcPr>
            <w:tcW w:w="5911" w:type="dxa"/>
            <w:tcBorders>
              <w:top w:val="single" w:color="auto" w:sz="4" w:space="0"/>
              <w:left w:val="single" w:color="auto" w:sz="4" w:space="0"/>
              <w:bottom w:val="single" w:color="auto" w:sz="4" w:space="0"/>
              <w:right w:val="single" w:color="auto" w:sz="12" w:space="0"/>
            </w:tcBorders>
            <w:vAlign w:val="center"/>
          </w:tcPr>
          <w:p>
            <w:pPr>
              <w:widowControl/>
              <w:jc w:val="left"/>
              <w:textAlignment w:val="center"/>
              <w:rPr>
                <w:rFonts w:hint="eastAsia" w:ascii="仿宋_GB2312" w:hAnsi="宋体" w:eastAsia="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980" w:type="dxa"/>
            <w:tcBorders>
              <w:top w:val="single" w:color="auto" w:sz="4" w:space="0"/>
              <w:left w:val="single" w:color="auto" w:sz="12" w:space="0"/>
              <w:bottom w:val="single" w:color="auto" w:sz="4" w:space="0"/>
              <w:right w:val="single" w:color="auto" w:sz="4" w:space="0"/>
            </w:tcBorders>
            <w:vAlign w:val="center"/>
          </w:tcPr>
          <w:p>
            <w:pPr>
              <w:widowControl/>
              <w:jc w:val="left"/>
              <w:textAlignment w:val="center"/>
              <w:rPr>
                <w:rFonts w:ascii="仿宋_GB2312" w:hAnsi="Times New Roman" w:eastAsia="仿宋_GB2312"/>
                <w:color w:val="auto"/>
                <w:sz w:val="24"/>
                <w:szCs w:val="24"/>
                <w:highlight w:val="none"/>
              </w:rPr>
            </w:pPr>
            <w:r>
              <w:rPr>
                <w:rStyle w:val="52"/>
                <w:rFonts w:eastAsia="宋体"/>
                <w:color w:val="auto"/>
                <w:highlight w:val="none"/>
                <w:lang w:bidi="ar"/>
              </w:rPr>
              <w:t>2</w:t>
            </w:r>
            <w:r>
              <w:rPr>
                <w:rStyle w:val="53"/>
                <w:rFonts w:hint="default"/>
                <w:color w:val="auto"/>
                <w:highlight w:val="none"/>
                <w:lang w:bidi="ar"/>
              </w:rPr>
              <w:t>、分析测试费</w:t>
            </w:r>
          </w:p>
        </w:tc>
        <w:tc>
          <w:tcPr>
            <w:tcW w:w="1135"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仿宋_GB2312" w:hAnsi="Times New Roman" w:eastAsia="仿宋_GB2312"/>
                <w:color w:val="auto"/>
                <w:sz w:val="24"/>
                <w:szCs w:val="24"/>
                <w:highlight w:val="none"/>
              </w:rPr>
            </w:pPr>
          </w:p>
        </w:tc>
        <w:tc>
          <w:tcPr>
            <w:tcW w:w="5911" w:type="dxa"/>
            <w:tcBorders>
              <w:top w:val="single" w:color="auto" w:sz="4" w:space="0"/>
              <w:left w:val="single" w:color="auto" w:sz="4" w:space="0"/>
              <w:bottom w:val="single" w:color="auto" w:sz="4" w:space="0"/>
              <w:right w:val="single" w:color="auto" w:sz="12" w:space="0"/>
            </w:tcBorders>
            <w:vAlign w:val="center"/>
          </w:tcPr>
          <w:p>
            <w:pPr>
              <w:widowControl/>
              <w:jc w:val="left"/>
              <w:textAlignment w:val="center"/>
              <w:rPr>
                <w:rFonts w:ascii="仿宋_GB2312" w:hAnsi="Times New Roman" w:eastAsia="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80" w:type="dxa"/>
            <w:tcBorders>
              <w:top w:val="single" w:color="auto" w:sz="4" w:space="0"/>
              <w:left w:val="single" w:color="auto" w:sz="12" w:space="0"/>
              <w:bottom w:val="single" w:color="auto" w:sz="4" w:space="0"/>
              <w:right w:val="single" w:color="auto" w:sz="4" w:space="0"/>
            </w:tcBorders>
            <w:vAlign w:val="center"/>
          </w:tcPr>
          <w:p>
            <w:pPr>
              <w:widowControl/>
              <w:jc w:val="left"/>
              <w:textAlignment w:val="center"/>
              <w:rPr>
                <w:rFonts w:ascii="仿宋_GB2312" w:hAnsi="Times New Roman" w:eastAsia="仿宋_GB2312"/>
                <w:color w:val="auto"/>
                <w:sz w:val="24"/>
                <w:szCs w:val="24"/>
                <w:highlight w:val="none"/>
              </w:rPr>
            </w:pPr>
            <w:r>
              <w:rPr>
                <w:rStyle w:val="52"/>
                <w:rFonts w:eastAsia="宋体"/>
                <w:color w:val="auto"/>
                <w:highlight w:val="none"/>
                <w:lang w:bidi="ar"/>
              </w:rPr>
              <w:t>3</w:t>
            </w:r>
            <w:r>
              <w:rPr>
                <w:rStyle w:val="53"/>
                <w:rFonts w:hint="default"/>
                <w:color w:val="auto"/>
                <w:highlight w:val="none"/>
                <w:lang w:bidi="ar"/>
              </w:rPr>
              <w:t>、差旅费</w:t>
            </w:r>
          </w:p>
        </w:tc>
        <w:tc>
          <w:tcPr>
            <w:tcW w:w="1135"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仿宋_GB2312" w:hAnsi="Times New Roman" w:eastAsia="仿宋_GB2312"/>
                <w:color w:val="auto"/>
                <w:sz w:val="24"/>
                <w:szCs w:val="24"/>
                <w:highlight w:val="none"/>
              </w:rPr>
            </w:pPr>
          </w:p>
        </w:tc>
        <w:tc>
          <w:tcPr>
            <w:tcW w:w="5911" w:type="dxa"/>
            <w:tcBorders>
              <w:top w:val="single" w:color="auto" w:sz="4" w:space="0"/>
              <w:left w:val="single" w:color="auto" w:sz="4" w:space="0"/>
              <w:bottom w:val="single" w:color="auto" w:sz="4" w:space="0"/>
              <w:right w:val="single" w:color="auto" w:sz="12" w:space="0"/>
            </w:tcBorders>
            <w:vAlign w:val="center"/>
          </w:tcPr>
          <w:p>
            <w:pPr>
              <w:widowControl/>
              <w:jc w:val="left"/>
              <w:textAlignment w:val="center"/>
              <w:rPr>
                <w:rFonts w:ascii="仿宋_GB2312" w:hAnsi="Times New Roman" w:eastAsia="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80" w:type="dxa"/>
            <w:tcBorders>
              <w:top w:val="single" w:color="auto" w:sz="4" w:space="0"/>
              <w:left w:val="single" w:color="auto" w:sz="12" w:space="0"/>
              <w:bottom w:val="single" w:color="auto" w:sz="4" w:space="0"/>
              <w:right w:val="single" w:color="auto" w:sz="4" w:space="0"/>
            </w:tcBorders>
            <w:vAlign w:val="center"/>
          </w:tcPr>
          <w:p>
            <w:pPr>
              <w:widowControl/>
              <w:jc w:val="left"/>
              <w:textAlignment w:val="center"/>
              <w:rPr>
                <w:rFonts w:ascii="仿宋_GB2312" w:hAnsi="宋体" w:eastAsia="仿宋_GB2312"/>
                <w:color w:val="auto"/>
                <w:sz w:val="24"/>
                <w:szCs w:val="24"/>
                <w:highlight w:val="none"/>
              </w:rPr>
            </w:pPr>
            <w:r>
              <w:rPr>
                <w:rStyle w:val="52"/>
                <w:rFonts w:eastAsia="宋体"/>
                <w:color w:val="auto"/>
                <w:highlight w:val="none"/>
                <w:lang w:bidi="ar"/>
              </w:rPr>
              <w:t>4</w:t>
            </w:r>
            <w:r>
              <w:rPr>
                <w:rStyle w:val="53"/>
                <w:rFonts w:hint="default"/>
                <w:color w:val="auto"/>
                <w:highlight w:val="none"/>
                <w:lang w:bidi="ar"/>
              </w:rPr>
              <w:t>、研发人员劳务费</w:t>
            </w:r>
          </w:p>
        </w:tc>
        <w:tc>
          <w:tcPr>
            <w:tcW w:w="1135"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仿宋_GB2312" w:hAnsi="宋体" w:eastAsia="仿宋_GB2312"/>
                <w:color w:val="auto"/>
                <w:sz w:val="24"/>
                <w:szCs w:val="24"/>
                <w:highlight w:val="none"/>
              </w:rPr>
            </w:pPr>
          </w:p>
        </w:tc>
        <w:tc>
          <w:tcPr>
            <w:tcW w:w="5911" w:type="dxa"/>
            <w:tcBorders>
              <w:top w:val="single" w:color="auto" w:sz="4" w:space="0"/>
              <w:left w:val="single" w:color="auto" w:sz="4" w:space="0"/>
              <w:bottom w:val="single" w:color="auto" w:sz="4" w:space="0"/>
              <w:right w:val="single" w:color="auto" w:sz="12" w:space="0"/>
            </w:tcBorders>
            <w:vAlign w:val="center"/>
          </w:tcPr>
          <w:p>
            <w:pPr>
              <w:widowControl/>
              <w:jc w:val="left"/>
              <w:textAlignment w:val="center"/>
              <w:rPr>
                <w:rFonts w:ascii="仿宋_GB2312" w:hAnsi="Times New Roman" w:eastAsia="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980" w:type="dxa"/>
            <w:tcBorders>
              <w:top w:val="single" w:color="auto" w:sz="4" w:space="0"/>
              <w:left w:val="single" w:color="auto" w:sz="12" w:space="0"/>
              <w:bottom w:val="single" w:color="auto" w:sz="4" w:space="0"/>
              <w:right w:val="single" w:color="auto" w:sz="4" w:space="0"/>
            </w:tcBorders>
            <w:vAlign w:val="center"/>
          </w:tcPr>
          <w:p>
            <w:pPr>
              <w:widowControl/>
              <w:jc w:val="left"/>
              <w:textAlignment w:val="center"/>
              <w:rPr>
                <w:rFonts w:ascii="仿宋_GB2312" w:hAnsi="Times New Roman" w:eastAsia="仿宋_GB2312"/>
                <w:color w:val="auto"/>
                <w:sz w:val="24"/>
                <w:szCs w:val="24"/>
                <w:highlight w:val="none"/>
              </w:rPr>
            </w:pPr>
            <w:r>
              <w:rPr>
                <w:rStyle w:val="52"/>
                <w:rFonts w:eastAsia="宋体"/>
                <w:color w:val="auto"/>
                <w:highlight w:val="none"/>
                <w:lang w:bidi="ar"/>
              </w:rPr>
              <w:t>5</w:t>
            </w:r>
            <w:r>
              <w:rPr>
                <w:rStyle w:val="53"/>
                <w:rFonts w:hint="default"/>
                <w:color w:val="auto"/>
                <w:highlight w:val="none"/>
                <w:lang w:bidi="ar"/>
              </w:rPr>
              <w:t>、知识产权事务费</w:t>
            </w:r>
          </w:p>
        </w:tc>
        <w:tc>
          <w:tcPr>
            <w:tcW w:w="1135"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仿宋_GB2312" w:hAnsi="Times New Roman" w:eastAsia="仿宋_GB2312"/>
                <w:color w:val="auto"/>
                <w:sz w:val="24"/>
                <w:szCs w:val="24"/>
                <w:highlight w:val="none"/>
              </w:rPr>
            </w:pPr>
          </w:p>
        </w:tc>
        <w:tc>
          <w:tcPr>
            <w:tcW w:w="5911" w:type="dxa"/>
            <w:tcBorders>
              <w:top w:val="single" w:color="auto" w:sz="4" w:space="0"/>
              <w:left w:val="single" w:color="auto" w:sz="4" w:space="0"/>
              <w:bottom w:val="single" w:color="auto" w:sz="4" w:space="0"/>
              <w:right w:val="single" w:color="auto" w:sz="12" w:space="0"/>
            </w:tcBorders>
            <w:vAlign w:val="center"/>
          </w:tcPr>
          <w:p>
            <w:pPr>
              <w:widowControl/>
              <w:jc w:val="left"/>
              <w:textAlignment w:val="center"/>
              <w:rPr>
                <w:rFonts w:ascii="仿宋_GB2312" w:hAnsi="Times New Roman" w:eastAsia="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80" w:type="dxa"/>
            <w:tcBorders>
              <w:top w:val="single" w:color="auto" w:sz="4" w:space="0"/>
              <w:left w:val="single" w:color="auto" w:sz="12" w:space="0"/>
              <w:bottom w:val="single" w:color="auto" w:sz="4" w:space="0"/>
              <w:right w:val="single" w:color="auto" w:sz="4" w:space="0"/>
            </w:tcBorders>
            <w:vAlign w:val="center"/>
          </w:tcPr>
          <w:p>
            <w:pPr>
              <w:widowControl/>
              <w:jc w:val="left"/>
              <w:textAlignment w:val="center"/>
              <w:rPr>
                <w:rFonts w:ascii="仿宋_GB2312" w:hAnsi="Times New Roman" w:eastAsia="仿宋_GB2312"/>
                <w:color w:val="auto"/>
                <w:sz w:val="24"/>
                <w:szCs w:val="24"/>
                <w:highlight w:val="none"/>
              </w:rPr>
            </w:pPr>
            <w:r>
              <w:rPr>
                <w:rStyle w:val="52"/>
                <w:rFonts w:eastAsia="宋体"/>
                <w:color w:val="auto"/>
                <w:highlight w:val="none"/>
                <w:lang w:bidi="ar"/>
              </w:rPr>
              <w:t>6</w:t>
            </w:r>
            <w:r>
              <w:rPr>
                <w:rStyle w:val="53"/>
                <w:rFonts w:hint="default"/>
                <w:color w:val="auto"/>
                <w:highlight w:val="none"/>
                <w:lang w:bidi="ar"/>
              </w:rPr>
              <w:t>、通风除臭系统节能运行</w:t>
            </w:r>
            <w:r>
              <w:rPr>
                <w:rStyle w:val="53"/>
                <w:color w:val="auto"/>
                <w:highlight w:val="none"/>
                <w:lang w:bidi="ar"/>
              </w:rPr>
              <w:t>管控技术体系</w:t>
            </w:r>
            <w:r>
              <w:rPr>
                <w:rStyle w:val="53"/>
                <w:rFonts w:hint="default"/>
                <w:color w:val="auto"/>
                <w:highlight w:val="none"/>
                <w:lang w:bidi="ar"/>
              </w:rPr>
              <w:t>编写费</w:t>
            </w:r>
          </w:p>
        </w:tc>
        <w:tc>
          <w:tcPr>
            <w:tcW w:w="1135"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color w:val="auto"/>
                <w:highlight w:val="none"/>
              </w:rPr>
            </w:pPr>
          </w:p>
        </w:tc>
        <w:tc>
          <w:tcPr>
            <w:tcW w:w="5911" w:type="dxa"/>
            <w:tcBorders>
              <w:top w:val="single" w:color="auto" w:sz="4" w:space="0"/>
              <w:left w:val="single" w:color="auto" w:sz="4" w:space="0"/>
              <w:bottom w:val="single" w:color="auto" w:sz="4" w:space="0"/>
              <w:right w:val="single" w:color="auto" w:sz="12" w:space="0"/>
            </w:tcBorders>
            <w:vAlign w:val="center"/>
          </w:tcPr>
          <w:p>
            <w:pPr>
              <w:widowControl/>
              <w:jc w:val="left"/>
              <w:textAlignment w:val="center"/>
              <w:rPr>
                <w:rFonts w:ascii="仿宋_GB2312" w:hAnsi="Times New Roman" w:eastAsia="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80" w:type="dxa"/>
            <w:tcBorders>
              <w:top w:val="single" w:color="auto" w:sz="4" w:space="0"/>
              <w:left w:val="single" w:color="auto" w:sz="12" w:space="0"/>
              <w:bottom w:val="single" w:color="auto" w:sz="4" w:space="0"/>
              <w:right w:val="single" w:color="auto" w:sz="4" w:space="0"/>
            </w:tcBorders>
            <w:vAlign w:val="center"/>
          </w:tcPr>
          <w:p>
            <w:pPr>
              <w:widowControl/>
              <w:jc w:val="left"/>
              <w:textAlignment w:val="center"/>
              <w:rPr>
                <w:rStyle w:val="52"/>
                <w:rFonts w:eastAsia="宋体"/>
                <w:color w:val="auto"/>
                <w:highlight w:val="none"/>
                <w:lang w:bidi="ar"/>
              </w:rPr>
            </w:pPr>
            <w:r>
              <w:rPr>
                <w:rFonts w:ascii="Times New Roman" w:hAnsi="Times New Roman" w:eastAsia="宋体" w:cs="Times New Roman"/>
                <w:color w:val="auto"/>
                <w:kern w:val="0"/>
                <w:sz w:val="24"/>
                <w:szCs w:val="24"/>
                <w:highlight w:val="none"/>
                <w:lang w:bidi="ar"/>
              </w:rPr>
              <w:t>7</w:t>
            </w:r>
            <w:r>
              <w:rPr>
                <w:rFonts w:hint="eastAsia" w:ascii="宋体" w:hAnsi="宋体" w:eastAsia="宋体" w:cs="宋体"/>
                <w:color w:val="auto"/>
                <w:kern w:val="0"/>
                <w:sz w:val="24"/>
                <w:szCs w:val="24"/>
                <w:highlight w:val="none"/>
                <w:lang w:bidi="ar"/>
              </w:rPr>
              <w:t>、通风除臭系统节能运行管控技术评估费</w:t>
            </w:r>
          </w:p>
        </w:tc>
        <w:tc>
          <w:tcPr>
            <w:tcW w:w="1135" w:type="dxa"/>
            <w:tcBorders>
              <w:top w:val="single" w:color="auto" w:sz="4" w:space="0"/>
              <w:left w:val="single" w:color="auto" w:sz="12" w:space="0"/>
              <w:bottom w:val="single" w:color="auto" w:sz="12" w:space="0"/>
              <w:right w:val="single" w:color="auto" w:sz="4" w:space="0"/>
            </w:tcBorders>
            <w:vAlign w:val="center"/>
          </w:tcPr>
          <w:p>
            <w:pPr>
              <w:widowControl/>
              <w:jc w:val="center"/>
              <w:textAlignment w:val="center"/>
              <w:rPr>
                <w:rFonts w:ascii="Times New Roman" w:hAnsi="Times New Roman" w:eastAsia="宋体" w:cs="Times New Roman"/>
                <w:color w:val="auto"/>
                <w:kern w:val="0"/>
                <w:sz w:val="24"/>
                <w:szCs w:val="24"/>
                <w:highlight w:val="none"/>
                <w:lang w:bidi="ar"/>
              </w:rPr>
            </w:pPr>
          </w:p>
        </w:tc>
        <w:tc>
          <w:tcPr>
            <w:tcW w:w="5911" w:type="dxa"/>
            <w:tcBorders>
              <w:top w:val="single" w:color="auto" w:sz="4" w:space="0"/>
              <w:left w:val="single" w:color="auto" w:sz="4" w:space="0"/>
              <w:bottom w:val="single" w:color="auto" w:sz="12" w:space="0"/>
              <w:right w:val="single" w:color="auto" w:sz="12" w:space="0"/>
            </w:tcBorders>
            <w:vAlign w:val="center"/>
          </w:tcPr>
          <w:p>
            <w:pPr>
              <w:widowControl/>
              <w:jc w:val="left"/>
              <w:textAlignment w:val="center"/>
              <w:rPr>
                <w:rFonts w:ascii="仿宋_GB2312" w:hAnsi="Times New Roman" w:eastAsia="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80" w:type="dxa"/>
            <w:tcBorders>
              <w:top w:val="single" w:color="auto" w:sz="4" w:space="0"/>
              <w:left w:val="single" w:color="auto" w:sz="12" w:space="0"/>
              <w:bottom w:val="single" w:color="auto" w:sz="4" w:space="0"/>
              <w:right w:val="single" w:color="auto" w:sz="4" w:space="0"/>
            </w:tcBorders>
            <w:vAlign w:val="center"/>
          </w:tcPr>
          <w:p>
            <w:pPr>
              <w:widowControl/>
              <w:jc w:val="left"/>
              <w:textAlignment w:val="center"/>
              <w:rPr>
                <w:rStyle w:val="52"/>
                <w:rFonts w:eastAsia="宋体"/>
                <w:color w:val="auto"/>
                <w:highlight w:val="none"/>
                <w:lang w:bidi="ar"/>
              </w:rPr>
            </w:pPr>
            <w:r>
              <w:rPr>
                <w:rFonts w:ascii="Times New Roman" w:hAnsi="Times New Roman" w:eastAsia="宋体" w:cs="Times New Roman"/>
                <w:color w:val="auto"/>
                <w:kern w:val="0"/>
                <w:sz w:val="24"/>
                <w:szCs w:val="24"/>
                <w:highlight w:val="none"/>
                <w:lang w:bidi="ar"/>
              </w:rPr>
              <w:t>8</w:t>
            </w:r>
            <w:r>
              <w:rPr>
                <w:rFonts w:hint="eastAsia" w:ascii="宋体" w:hAnsi="宋体" w:eastAsia="宋体" w:cs="宋体"/>
                <w:color w:val="auto"/>
                <w:kern w:val="0"/>
                <w:sz w:val="24"/>
                <w:szCs w:val="24"/>
                <w:highlight w:val="none"/>
                <w:lang w:bidi="ar"/>
              </w:rPr>
              <w:t>、专家咨询费</w:t>
            </w:r>
          </w:p>
        </w:tc>
        <w:tc>
          <w:tcPr>
            <w:tcW w:w="1135"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auto"/>
                <w:kern w:val="0"/>
                <w:sz w:val="24"/>
                <w:szCs w:val="24"/>
                <w:highlight w:val="none"/>
                <w:lang w:bidi="ar"/>
              </w:rPr>
            </w:pPr>
          </w:p>
        </w:tc>
        <w:tc>
          <w:tcPr>
            <w:tcW w:w="5911" w:type="dxa"/>
            <w:tcBorders>
              <w:top w:val="single" w:color="auto" w:sz="4" w:space="0"/>
              <w:left w:val="single" w:color="auto" w:sz="4" w:space="0"/>
              <w:bottom w:val="single" w:color="auto" w:sz="4" w:space="0"/>
              <w:right w:val="single" w:color="auto" w:sz="12" w:space="0"/>
            </w:tcBorders>
            <w:vAlign w:val="center"/>
          </w:tcPr>
          <w:p>
            <w:pPr>
              <w:widowControl/>
              <w:jc w:val="left"/>
              <w:textAlignment w:val="center"/>
              <w:rPr>
                <w:rFonts w:ascii="仿宋_GB2312" w:hAnsi="Times New Roman" w:eastAsia="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80" w:type="dxa"/>
            <w:tcBorders>
              <w:top w:val="single" w:color="auto" w:sz="4" w:space="0"/>
              <w:left w:val="single" w:color="auto" w:sz="12" w:space="0"/>
              <w:bottom w:val="single" w:color="auto" w:sz="4" w:space="0"/>
              <w:right w:val="single" w:color="auto" w:sz="4" w:space="0"/>
            </w:tcBorders>
            <w:vAlign w:val="center"/>
          </w:tcPr>
          <w:p>
            <w:pPr>
              <w:widowControl/>
              <w:jc w:val="left"/>
              <w:textAlignment w:val="center"/>
              <w:rPr>
                <w:rStyle w:val="52"/>
                <w:rFonts w:eastAsia="宋体"/>
                <w:color w:val="auto"/>
                <w:highlight w:val="none"/>
                <w:lang w:bidi="ar"/>
              </w:rPr>
            </w:pPr>
            <w:r>
              <w:rPr>
                <w:rFonts w:ascii="Times New Roman" w:hAnsi="Times New Roman" w:eastAsia="宋体" w:cs="Times New Roman"/>
                <w:color w:val="auto"/>
                <w:kern w:val="0"/>
                <w:sz w:val="24"/>
                <w:szCs w:val="24"/>
                <w:highlight w:val="none"/>
                <w:lang w:bidi="ar"/>
              </w:rPr>
              <w:t>9</w:t>
            </w:r>
            <w:r>
              <w:rPr>
                <w:rFonts w:hint="eastAsia" w:ascii="宋体" w:hAnsi="宋体" w:eastAsia="宋体" w:cs="宋体"/>
                <w:color w:val="auto"/>
                <w:kern w:val="0"/>
                <w:sz w:val="24"/>
                <w:szCs w:val="24"/>
                <w:highlight w:val="none"/>
                <w:lang w:bidi="ar"/>
              </w:rPr>
              <w:t>、研究报告编写费</w:t>
            </w:r>
          </w:p>
        </w:tc>
        <w:tc>
          <w:tcPr>
            <w:tcW w:w="1135"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auto"/>
                <w:kern w:val="0"/>
                <w:sz w:val="24"/>
                <w:szCs w:val="24"/>
                <w:highlight w:val="none"/>
                <w:lang w:bidi="ar"/>
              </w:rPr>
            </w:pPr>
          </w:p>
        </w:tc>
        <w:tc>
          <w:tcPr>
            <w:tcW w:w="5911" w:type="dxa"/>
            <w:tcBorders>
              <w:top w:val="single" w:color="auto" w:sz="4" w:space="0"/>
              <w:left w:val="single" w:color="auto" w:sz="4" w:space="0"/>
              <w:bottom w:val="single" w:color="auto" w:sz="4" w:space="0"/>
              <w:right w:val="single" w:color="auto" w:sz="12" w:space="0"/>
            </w:tcBorders>
            <w:vAlign w:val="center"/>
          </w:tcPr>
          <w:p>
            <w:pPr>
              <w:widowControl/>
              <w:jc w:val="left"/>
              <w:textAlignment w:val="center"/>
              <w:rPr>
                <w:rFonts w:ascii="仿宋_GB2312" w:hAnsi="Times New Roman" w:eastAsia="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80" w:type="dxa"/>
            <w:tcBorders>
              <w:top w:val="single" w:color="auto" w:sz="4" w:space="0"/>
              <w:left w:val="single" w:color="auto" w:sz="12" w:space="0"/>
              <w:bottom w:val="single" w:color="auto" w:sz="4" w:space="0"/>
              <w:right w:val="single" w:color="auto" w:sz="4" w:space="0"/>
            </w:tcBorders>
            <w:vAlign w:val="center"/>
          </w:tcPr>
          <w:p>
            <w:pPr>
              <w:widowControl/>
              <w:jc w:val="left"/>
              <w:textAlignment w:val="center"/>
              <w:rPr>
                <w:rStyle w:val="52"/>
                <w:rFonts w:eastAsia="宋体"/>
                <w:color w:val="auto"/>
                <w:highlight w:val="none"/>
                <w:lang w:bidi="ar"/>
              </w:rPr>
            </w:pPr>
            <w:r>
              <w:rPr>
                <w:rFonts w:ascii="Times New Roman" w:hAnsi="Times New Roman" w:eastAsia="宋体" w:cs="Times New Roman"/>
                <w:color w:val="auto"/>
                <w:kern w:val="0"/>
                <w:sz w:val="24"/>
                <w:szCs w:val="24"/>
                <w:highlight w:val="none"/>
                <w:lang w:bidi="ar"/>
              </w:rPr>
              <w:t>10</w:t>
            </w:r>
            <w:r>
              <w:rPr>
                <w:rFonts w:hint="eastAsia" w:ascii="宋体" w:hAnsi="宋体" w:eastAsia="宋体" w:cs="宋体"/>
                <w:color w:val="auto"/>
                <w:kern w:val="0"/>
                <w:sz w:val="24"/>
                <w:szCs w:val="24"/>
                <w:highlight w:val="none"/>
                <w:lang w:bidi="ar"/>
              </w:rPr>
              <w:t>、文印费</w:t>
            </w:r>
          </w:p>
        </w:tc>
        <w:tc>
          <w:tcPr>
            <w:tcW w:w="1135"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auto"/>
                <w:kern w:val="0"/>
                <w:sz w:val="24"/>
                <w:szCs w:val="24"/>
                <w:highlight w:val="none"/>
                <w:lang w:bidi="ar"/>
              </w:rPr>
            </w:pPr>
          </w:p>
        </w:tc>
        <w:tc>
          <w:tcPr>
            <w:tcW w:w="5911" w:type="dxa"/>
            <w:tcBorders>
              <w:top w:val="single" w:color="auto" w:sz="4" w:space="0"/>
              <w:left w:val="single" w:color="auto" w:sz="4" w:space="0"/>
              <w:bottom w:val="single" w:color="auto" w:sz="4" w:space="0"/>
              <w:right w:val="single" w:color="auto" w:sz="12" w:space="0"/>
            </w:tcBorders>
            <w:vAlign w:val="center"/>
          </w:tcPr>
          <w:p>
            <w:pPr>
              <w:widowControl/>
              <w:jc w:val="left"/>
              <w:textAlignment w:val="center"/>
              <w:rPr>
                <w:rFonts w:ascii="仿宋_GB2312" w:hAnsi="Times New Roman" w:eastAsia="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80" w:type="dxa"/>
            <w:tcBorders>
              <w:top w:val="single" w:color="auto" w:sz="4" w:space="0"/>
              <w:left w:val="single" w:color="auto" w:sz="12" w:space="0"/>
              <w:bottom w:val="single" w:color="auto" w:sz="4" w:space="0"/>
              <w:right w:val="single" w:color="auto" w:sz="4" w:space="0"/>
            </w:tcBorders>
            <w:vAlign w:val="center"/>
          </w:tcPr>
          <w:p>
            <w:pPr>
              <w:widowControl/>
              <w:jc w:val="left"/>
              <w:textAlignment w:val="center"/>
              <w:rPr>
                <w:rStyle w:val="52"/>
                <w:rFonts w:eastAsia="宋体"/>
                <w:color w:val="auto"/>
                <w:highlight w:val="none"/>
                <w:lang w:bidi="ar"/>
              </w:rPr>
            </w:pPr>
            <w:r>
              <w:rPr>
                <w:rFonts w:ascii="Times New Roman" w:hAnsi="Times New Roman" w:eastAsia="宋体" w:cs="Times New Roman"/>
                <w:color w:val="auto"/>
                <w:kern w:val="0"/>
                <w:sz w:val="24"/>
                <w:szCs w:val="24"/>
                <w:highlight w:val="none"/>
                <w:lang w:bidi="ar"/>
              </w:rPr>
              <w:t>11</w:t>
            </w:r>
            <w:r>
              <w:rPr>
                <w:rFonts w:hint="eastAsia" w:ascii="宋体" w:hAnsi="宋体" w:eastAsia="宋体" w:cs="宋体"/>
                <w:color w:val="auto"/>
                <w:kern w:val="0"/>
                <w:sz w:val="24"/>
                <w:szCs w:val="24"/>
                <w:highlight w:val="none"/>
                <w:lang w:bidi="ar"/>
              </w:rPr>
              <w:t>、管理费</w:t>
            </w:r>
          </w:p>
        </w:tc>
        <w:tc>
          <w:tcPr>
            <w:tcW w:w="1135"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auto"/>
                <w:kern w:val="0"/>
                <w:sz w:val="24"/>
                <w:szCs w:val="24"/>
                <w:highlight w:val="none"/>
                <w:lang w:bidi="ar"/>
              </w:rPr>
            </w:pPr>
          </w:p>
        </w:tc>
        <w:tc>
          <w:tcPr>
            <w:tcW w:w="5911" w:type="dxa"/>
            <w:tcBorders>
              <w:top w:val="single" w:color="auto" w:sz="4" w:space="0"/>
              <w:left w:val="single" w:color="auto" w:sz="4" w:space="0"/>
              <w:bottom w:val="single" w:color="auto" w:sz="4" w:space="0"/>
              <w:right w:val="single" w:color="auto" w:sz="12" w:space="0"/>
            </w:tcBorders>
            <w:vAlign w:val="center"/>
          </w:tcPr>
          <w:p>
            <w:pPr>
              <w:widowControl/>
              <w:jc w:val="left"/>
              <w:textAlignment w:val="center"/>
              <w:rPr>
                <w:rFonts w:ascii="仿宋_GB2312" w:hAnsi="Times New Roman" w:eastAsia="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80" w:type="dxa"/>
            <w:tcBorders>
              <w:top w:val="single" w:color="auto" w:sz="4" w:space="0"/>
              <w:left w:val="single" w:color="auto" w:sz="12" w:space="0"/>
              <w:bottom w:val="single" w:color="auto" w:sz="4" w:space="0"/>
              <w:right w:val="single" w:color="auto" w:sz="4" w:space="0"/>
            </w:tcBorders>
            <w:vAlign w:val="center"/>
          </w:tcPr>
          <w:p>
            <w:pPr>
              <w:widowControl/>
              <w:jc w:val="left"/>
              <w:textAlignment w:val="center"/>
              <w:rPr>
                <w:rFonts w:ascii="Times New Roman" w:hAnsi="Times New Roman" w:eastAsia="宋体" w:cs="Times New Roman"/>
                <w:color w:val="auto"/>
                <w:kern w:val="0"/>
                <w:sz w:val="24"/>
                <w:szCs w:val="24"/>
                <w:highlight w:val="none"/>
                <w:lang w:bidi="ar"/>
              </w:rPr>
            </w:pPr>
            <w:r>
              <w:rPr>
                <w:rFonts w:hint="eastAsia" w:ascii="Times New Roman" w:hAnsi="Times New Roman" w:eastAsia="宋体" w:cs="Times New Roman"/>
                <w:color w:val="auto"/>
                <w:kern w:val="0"/>
                <w:sz w:val="24"/>
                <w:szCs w:val="24"/>
                <w:highlight w:val="none"/>
                <w:lang w:bidi="ar"/>
              </w:rPr>
              <w:t>不含税总价</w:t>
            </w:r>
          </w:p>
        </w:tc>
        <w:tc>
          <w:tcPr>
            <w:tcW w:w="7046" w:type="dxa"/>
            <w:gridSpan w:val="2"/>
            <w:tcBorders>
              <w:top w:val="single" w:color="auto" w:sz="4" w:space="0"/>
              <w:left w:val="single" w:color="auto" w:sz="12" w:space="0"/>
              <w:bottom w:val="single" w:color="auto" w:sz="4" w:space="0"/>
              <w:right w:val="single" w:color="auto" w:sz="12" w:space="0"/>
            </w:tcBorders>
            <w:vAlign w:val="center"/>
          </w:tcPr>
          <w:p>
            <w:pPr>
              <w:widowControl/>
              <w:jc w:val="left"/>
              <w:textAlignment w:val="center"/>
              <w:rPr>
                <w:rFonts w:ascii="仿宋_GB2312" w:hAnsi="Times New Roman" w:eastAsia="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80" w:type="dxa"/>
            <w:tcBorders>
              <w:top w:val="single" w:color="auto" w:sz="4" w:space="0"/>
              <w:left w:val="single" w:color="auto" w:sz="12" w:space="0"/>
              <w:bottom w:val="single" w:color="auto" w:sz="4" w:space="0"/>
              <w:right w:val="single" w:color="auto" w:sz="4" w:space="0"/>
            </w:tcBorders>
            <w:vAlign w:val="center"/>
          </w:tcPr>
          <w:p>
            <w:pPr>
              <w:widowControl/>
              <w:jc w:val="left"/>
              <w:textAlignment w:val="center"/>
              <w:rPr>
                <w:rFonts w:ascii="Times New Roman" w:hAnsi="Times New Roman" w:eastAsia="宋体" w:cs="Times New Roman"/>
                <w:color w:val="auto"/>
                <w:kern w:val="0"/>
                <w:sz w:val="24"/>
                <w:szCs w:val="24"/>
                <w:highlight w:val="none"/>
                <w:lang w:bidi="ar"/>
              </w:rPr>
            </w:pPr>
            <w:r>
              <w:rPr>
                <w:rFonts w:hint="eastAsia" w:ascii="Times New Roman" w:hAnsi="Times New Roman" w:eastAsia="宋体" w:cs="Times New Roman"/>
                <w:color w:val="auto"/>
                <w:kern w:val="0"/>
                <w:sz w:val="24"/>
                <w:szCs w:val="24"/>
                <w:highlight w:val="none"/>
                <w:lang w:bidi="ar"/>
              </w:rPr>
              <w:t>税率</w:t>
            </w:r>
          </w:p>
        </w:tc>
        <w:tc>
          <w:tcPr>
            <w:tcW w:w="7046" w:type="dxa"/>
            <w:gridSpan w:val="2"/>
            <w:tcBorders>
              <w:top w:val="single" w:color="auto" w:sz="4" w:space="0"/>
              <w:left w:val="single" w:color="auto" w:sz="12" w:space="0"/>
              <w:bottom w:val="single" w:color="auto" w:sz="4" w:space="0"/>
              <w:right w:val="single" w:color="auto" w:sz="12" w:space="0"/>
            </w:tcBorders>
            <w:vAlign w:val="center"/>
          </w:tcPr>
          <w:p>
            <w:pPr>
              <w:widowControl/>
              <w:jc w:val="center"/>
              <w:textAlignment w:val="center"/>
              <w:rPr>
                <w:rFonts w:ascii="仿宋_GB2312" w:hAnsi="Times New Roman" w:eastAsia="仿宋_GB2312"/>
                <w:color w:val="auto"/>
                <w:sz w:val="24"/>
                <w:szCs w:val="24"/>
                <w:highlight w:val="none"/>
              </w:rPr>
            </w:pPr>
            <w:r>
              <w:rPr>
                <w:rFonts w:ascii="仿宋_GB2312" w:hAnsi="Times New Roman" w:eastAsia="仿宋_GB2312"/>
                <w:color w:val="auto"/>
                <w:sz w:val="24"/>
                <w:szCs w:val="24"/>
                <w:highlight w:val="none"/>
                <w:u w:val="single"/>
              </w:rPr>
              <w:t>X</w:t>
            </w:r>
            <w:r>
              <w:rPr>
                <w:rFonts w:hint="eastAsia" w:ascii="仿宋_GB2312" w:hAnsi="Times New Roman" w:eastAsia="仿宋_GB2312"/>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80" w:type="dxa"/>
            <w:tcBorders>
              <w:top w:val="single" w:color="auto" w:sz="4" w:space="0"/>
              <w:left w:val="single" w:color="auto" w:sz="12" w:space="0"/>
              <w:bottom w:val="single" w:color="auto" w:sz="12" w:space="0"/>
              <w:right w:val="single" w:color="auto" w:sz="4" w:space="0"/>
            </w:tcBorders>
            <w:vAlign w:val="center"/>
          </w:tcPr>
          <w:p>
            <w:pPr>
              <w:widowControl/>
              <w:jc w:val="left"/>
              <w:textAlignment w:val="center"/>
              <w:rPr>
                <w:rFonts w:ascii="Times New Roman" w:hAnsi="Times New Roman" w:eastAsia="宋体" w:cs="Times New Roman"/>
                <w:color w:val="auto"/>
                <w:kern w:val="0"/>
                <w:sz w:val="24"/>
                <w:szCs w:val="24"/>
                <w:highlight w:val="none"/>
                <w:lang w:bidi="ar"/>
              </w:rPr>
            </w:pPr>
            <w:r>
              <w:rPr>
                <w:rFonts w:hint="eastAsia" w:ascii="Times New Roman" w:hAnsi="Times New Roman" w:eastAsia="宋体" w:cs="Times New Roman"/>
                <w:color w:val="auto"/>
                <w:kern w:val="0"/>
                <w:sz w:val="24"/>
                <w:szCs w:val="24"/>
                <w:highlight w:val="none"/>
                <w:lang w:bidi="ar"/>
              </w:rPr>
              <w:t>含税总价</w:t>
            </w:r>
          </w:p>
        </w:tc>
        <w:tc>
          <w:tcPr>
            <w:tcW w:w="7046" w:type="dxa"/>
            <w:gridSpan w:val="2"/>
            <w:tcBorders>
              <w:top w:val="single" w:color="auto" w:sz="4" w:space="0"/>
              <w:left w:val="single" w:color="auto" w:sz="12" w:space="0"/>
              <w:bottom w:val="single" w:color="auto" w:sz="12" w:space="0"/>
              <w:right w:val="single" w:color="auto" w:sz="12" w:space="0"/>
            </w:tcBorders>
            <w:vAlign w:val="center"/>
          </w:tcPr>
          <w:p>
            <w:pPr>
              <w:widowControl/>
              <w:jc w:val="left"/>
              <w:textAlignment w:val="center"/>
              <w:rPr>
                <w:rFonts w:ascii="仿宋_GB2312" w:hAnsi="Times New Roman" w:eastAsia="仿宋_GB2312"/>
                <w:color w:val="auto"/>
                <w:sz w:val="24"/>
                <w:szCs w:val="24"/>
                <w:highlight w:val="none"/>
              </w:rPr>
            </w:pPr>
          </w:p>
        </w:tc>
      </w:tr>
    </w:tbl>
    <w:p>
      <w:pPr>
        <w:rPr>
          <w:color w:val="auto"/>
          <w:highlight w:val="none"/>
        </w:rPr>
      </w:pPr>
    </w:p>
    <w:p>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填报要求：</w:t>
      </w:r>
    </w:p>
    <w:p>
      <w:pPr>
        <w:adjustRightInd w:val="0"/>
        <w:snapToGrid w:val="0"/>
        <w:spacing w:line="360" w:lineRule="auto"/>
        <w:ind w:firstLine="415" w:firstLineChars="173"/>
        <w:jc w:val="left"/>
        <w:rPr>
          <w:rFonts w:ascii="宋体" w:hAnsi="宋体" w:cs="宋体"/>
          <w:color w:val="auto"/>
          <w:sz w:val="24"/>
          <w:szCs w:val="24"/>
          <w:highlight w:val="none"/>
        </w:rPr>
      </w:pPr>
      <w:r>
        <w:rPr>
          <w:rFonts w:hint="eastAsia" w:ascii="宋体" w:hAnsi="宋体" w:cs="宋体"/>
          <w:color w:val="auto"/>
          <w:sz w:val="24"/>
          <w:szCs w:val="24"/>
          <w:highlight w:val="none"/>
        </w:rPr>
        <w:t>1.供应商报价包含对本项目提供的服务及相关其他附带费用，费用含税。</w:t>
      </w:r>
    </w:p>
    <w:p>
      <w:pPr>
        <w:adjustRightInd w:val="0"/>
        <w:snapToGrid w:val="0"/>
        <w:spacing w:line="360" w:lineRule="auto"/>
        <w:ind w:firstLine="415" w:firstLineChars="173"/>
        <w:jc w:val="left"/>
        <w:rPr>
          <w:rFonts w:ascii="宋体" w:hAnsi="宋体" w:cs="宋体"/>
          <w:color w:val="auto"/>
          <w:sz w:val="24"/>
          <w:szCs w:val="24"/>
          <w:highlight w:val="none"/>
        </w:rPr>
      </w:pPr>
      <w:r>
        <w:rPr>
          <w:rFonts w:hint="eastAsia" w:ascii="宋体" w:hAnsi="宋体" w:cs="宋体"/>
          <w:color w:val="auto"/>
          <w:sz w:val="24"/>
          <w:szCs w:val="24"/>
          <w:highlight w:val="none"/>
        </w:rPr>
        <w:t>2.若分项费用的计算依据、过程和公式不便在表中表述，可单独另附表格或描述进行说明。</w:t>
      </w:r>
    </w:p>
    <w:p>
      <w:pPr>
        <w:pStyle w:val="3"/>
        <w:rPr>
          <w:color w:val="auto"/>
          <w:sz w:val="24"/>
          <w:szCs w:val="24"/>
          <w:highlight w:val="none"/>
        </w:rPr>
      </w:pPr>
    </w:p>
    <w:p>
      <w:pPr>
        <w:pStyle w:val="3"/>
        <w:ind w:firstLine="960" w:firstLineChars="400"/>
        <w:jc w:val="center"/>
        <w:rPr>
          <w:color w:val="auto"/>
          <w:highlight w:val="none"/>
        </w:rPr>
      </w:pPr>
      <w:r>
        <w:rPr>
          <w:rFonts w:hint="eastAsia"/>
          <w:color w:val="auto"/>
          <w:sz w:val="24"/>
          <w:szCs w:val="24"/>
          <w:highlight w:val="none"/>
        </w:rPr>
        <w:t xml:space="preserve">                                           供应商名称（加盖公章）</w:t>
      </w:r>
    </w:p>
    <w:p>
      <w:pPr>
        <w:jc w:val="right"/>
        <w:rPr>
          <w:color w:val="auto"/>
          <w:highlight w:val="none"/>
        </w:rPr>
      </w:pPr>
      <w:r>
        <w:rPr>
          <w:rFonts w:hint="eastAsia"/>
          <w:color w:val="auto"/>
          <w:highlight w:val="none"/>
        </w:rPr>
        <w:t xml:space="preserve">                                  </w:t>
      </w:r>
      <w:r>
        <w:rPr>
          <w:rFonts w:hint="eastAsia" w:ascii="宋体" w:hAnsi="宋体" w:cs="宋体"/>
          <w:color w:val="auto"/>
          <w:sz w:val="24"/>
          <w:szCs w:val="24"/>
          <w:highlight w:val="none"/>
          <w:lang w:val="en-GB"/>
        </w:rPr>
        <w:t xml:space="preserve">年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GB"/>
        </w:rPr>
        <w:t xml:space="preserve"> 月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GB"/>
        </w:rPr>
        <w:t xml:space="preserve"> 日 </w:t>
      </w:r>
      <w:r>
        <w:rPr>
          <w:rFonts w:ascii="宋体" w:hAnsi="宋体" w:cs="宋体"/>
          <w:color w:val="auto"/>
          <w:sz w:val="24"/>
          <w:szCs w:val="24"/>
          <w:highlight w:val="none"/>
          <w:lang w:val="en-GB"/>
        </w:rPr>
        <w:t xml:space="preserve"> </w:t>
      </w:r>
      <w:r>
        <w:rPr>
          <w:color w:val="auto"/>
          <w:highlight w:val="none"/>
        </w:rPr>
        <w:br w:type="page"/>
      </w:r>
    </w:p>
    <w:p>
      <w:pPr>
        <w:spacing w:line="360" w:lineRule="auto"/>
        <w:rPr>
          <w:rFonts w:ascii="黑体" w:hAnsi="黑体" w:eastAsia="黑体" w:cs="黑体"/>
          <w:b/>
          <w:bCs/>
          <w:color w:val="auto"/>
          <w:sz w:val="32"/>
          <w:szCs w:val="32"/>
          <w:highlight w:val="none"/>
        </w:rPr>
      </w:pPr>
      <w:bookmarkStart w:id="82" w:name="_Toc6058"/>
      <w:bookmarkStart w:id="83" w:name="_Toc87616402"/>
      <w:bookmarkStart w:id="84" w:name="_Toc16386"/>
      <w:bookmarkStart w:id="85" w:name="_Toc88209965"/>
      <w:r>
        <w:rPr>
          <w:rFonts w:hint="eastAsia" w:ascii="黑体" w:hAnsi="黑体" w:eastAsia="黑体" w:cs="黑体"/>
          <w:b/>
          <w:bCs/>
          <w:color w:val="auto"/>
          <w:sz w:val="32"/>
          <w:szCs w:val="32"/>
          <w:highlight w:val="none"/>
        </w:rPr>
        <w:t>6.其他资料</w:t>
      </w:r>
      <w:bookmarkEnd w:id="82"/>
      <w:bookmarkEnd w:id="83"/>
      <w:bookmarkEnd w:id="84"/>
      <w:bookmarkEnd w:id="85"/>
    </w:p>
    <w:p>
      <w:pPr>
        <w:pStyle w:val="16"/>
        <w:rPr>
          <w:color w:val="auto"/>
          <w:sz w:val="32"/>
          <w:szCs w:val="32"/>
          <w:highlight w:val="none"/>
        </w:rPr>
      </w:pPr>
      <w:r>
        <w:rPr>
          <w:rFonts w:hint="eastAsia"/>
          <w:color w:val="auto"/>
          <w:sz w:val="32"/>
          <w:szCs w:val="32"/>
          <w:highlight w:val="none"/>
        </w:rPr>
        <w:t>6.1研究方案模板</w:t>
      </w:r>
    </w:p>
    <w:p>
      <w:pPr>
        <w:rPr>
          <w:color w:val="auto"/>
          <w:highlight w:val="none"/>
        </w:rPr>
      </w:pPr>
    </w:p>
    <w:p>
      <w:pPr>
        <w:snapToGrid w:val="0"/>
        <w:jc w:val="center"/>
        <w:rPr>
          <w:rFonts w:ascii="仿宋_GB2312" w:hAnsi="仿宋_GB2312" w:eastAsia="仿宋_GB2312" w:cs="仿宋_GB2312"/>
          <w:color w:val="auto"/>
          <w:sz w:val="32"/>
          <w:szCs w:val="32"/>
          <w:highlight w:val="none"/>
        </w:rPr>
      </w:pPr>
    </w:p>
    <w:p>
      <w:pPr>
        <w:spacing w:line="600" w:lineRule="exact"/>
        <w:jc w:val="left"/>
        <w:rPr>
          <w:rFonts w:ascii="黑体" w:hAnsi="黑体" w:eastAsia="黑体" w:cs="黑体"/>
          <w:color w:val="auto"/>
          <w:sz w:val="32"/>
          <w:szCs w:val="32"/>
          <w:highlight w:val="none"/>
        </w:rPr>
      </w:pPr>
    </w:p>
    <w:p>
      <w:pPr>
        <w:spacing w:line="600" w:lineRule="exact"/>
        <w:jc w:val="center"/>
        <w:rPr>
          <w:rFonts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lang w:eastAsia="zh-CN"/>
        </w:rPr>
        <w:t>广州市净水有限公司地埋式净水厂通风除臭系统节能运行管控技术研究与应用</w:t>
      </w:r>
      <w:r>
        <w:rPr>
          <w:rFonts w:ascii="Times New Roman" w:hAnsi="Times New Roman" w:eastAsia="方正小标宋简体" w:cs="Times New Roman"/>
          <w:color w:val="auto"/>
          <w:sz w:val="44"/>
          <w:szCs w:val="44"/>
          <w:highlight w:val="none"/>
        </w:rPr>
        <w:t>研究方案</w:t>
      </w:r>
    </w:p>
    <w:p>
      <w:pPr>
        <w:pStyle w:val="21"/>
        <w:spacing w:before="0" w:beforeAutospacing="0" w:after="0" w:afterAutospacing="0" w:line="360" w:lineRule="auto"/>
        <w:jc w:val="center"/>
        <w:rPr>
          <w:rFonts w:ascii="Times New Roman" w:hAnsi="Times New Roman" w:eastAsia="黑体" w:cs="Times New Roman"/>
          <w:color w:val="auto"/>
          <w:sz w:val="32"/>
          <w:szCs w:val="32"/>
          <w:highlight w:val="none"/>
        </w:rPr>
      </w:pPr>
    </w:p>
    <w:p>
      <w:pPr>
        <w:pStyle w:val="21"/>
        <w:spacing w:before="0" w:beforeAutospacing="0" w:after="0" w:afterAutospacing="0" w:line="360" w:lineRule="auto"/>
        <w:jc w:val="center"/>
        <w:rPr>
          <w:rFonts w:ascii="Times New Roman" w:hAnsi="Times New Roman" w:eastAsia="黑体" w:cs="Times New Roman"/>
          <w:color w:val="auto"/>
          <w:sz w:val="32"/>
          <w:szCs w:val="32"/>
          <w:highlight w:val="none"/>
        </w:rPr>
      </w:pPr>
    </w:p>
    <w:p>
      <w:pPr>
        <w:pStyle w:val="21"/>
        <w:spacing w:before="0" w:beforeAutospacing="0" w:after="0" w:afterAutospacing="0"/>
        <w:ind w:firstLine="1265" w:firstLineChars="450"/>
        <w:jc w:val="both"/>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单位（公章）：</w:t>
      </w:r>
    </w:p>
    <w:p>
      <w:pPr>
        <w:pStyle w:val="21"/>
        <w:spacing w:before="0" w:beforeAutospacing="0" w:after="0" w:afterAutospacing="0"/>
        <w:ind w:firstLine="1265" w:firstLineChars="450"/>
        <w:jc w:val="both"/>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单位地址：</w:t>
      </w:r>
    </w:p>
    <w:p>
      <w:pPr>
        <w:pStyle w:val="21"/>
        <w:spacing w:before="0" w:beforeAutospacing="0" w:after="0" w:afterAutospacing="0"/>
        <w:ind w:firstLine="1265" w:firstLineChars="450"/>
        <w:jc w:val="both"/>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项目负责人：</w:t>
      </w:r>
    </w:p>
    <w:p>
      <w:pPr>
        <w:pStyle w:val="21"/>
        <w:spacing w:before="0" w:beforeAutospacing="0" w:after="0" w:afterAutospacing="0"/>
        <w:ind w:firstLine="1265" w:firstLineChars="450"/>
        <w:jc w:val="both"/>
        <w:rPr>
          <w:rFonts w:ascii="Times New Roman" w:hAnsi="Times New Roman" w:eastAsia="仿宋_GB2312" w:cs="Times New Roman"/>
          <w:b/>
          <w:color w:val="auto"/>
          <w:sz w:val="28"/>
          <w:szCs w:val="28"/>
          <w:highlight w:val="none"/>
        </w:rPr>
      </w:pPr>
      <w:r>
        <w:rPr>
          <w:rFonts w:hint="eastAsia" w:ascii="Times New Roman" w:hAnsi="Times New Roman" w:eastAsia="仿宋_GB2312" w:cs="Times New Roman"/>
          <w:b/>
          <w:color w:val="auto"/>
          <w:sz w:val="28"/>
          <w:szCs w:val="28"/>
          <w:highlight w:val="none"/>
        </w:rPr>
        <w:t>联系人：</w:t>
      </w:r>
    </w:p>
    <w:p>
      <w:pPr>
        <w:pStyle w:val="21"/>
        <w:spacing w:before="0" w:beforeAutospacing="0" w:after="0" w:afterAutospacing="0"/>
        <w:ind w:firstLine="1265" w:firstLineChars="450"/>
        <w:jc w:val="both"/>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联系电话：</w:t>
      </w:r>
    </w:p>
    <w:p>
      <w:pPr>
        <w:pStyle w:val="21"/>
        <w:spacing w:before="0" w:beforeAutospacing="0" w:after="0" w:afterAutospacing="0"/>
        <w:ind w:firstLine="1265" w:firstLineChars="450"/>
        <w:jc w:val="both"/>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电子邮箱：</w:t>
      </w:r>
    </w:p>
    <w:p>
      <w:pPr>
        <w:pStyle w:val="21"/>
        <w:spacing w:before="0" w:beforeAutospacing="0" w:after="0" w:afterAutospacing="0"/>
        <w:jc w:val="center"/>
        <w:rPr>
          <w:rFonts w:ascii="Times New Roman" w:hAnsi="Times New Roman" w:eastAsia="仿宋_GB2312" w:cs="Times New Roman"/>
          <w:b/>
          <w:color w:val="auto"/>
          <w:sz w:val="28"/>
          <w:szCs w:val="28"/>
          <w:highlight w:val="none"/>
        </w:rPr>
      </w:pPr>
    </w:p>
    <w:p>
      <w:pPr>
        <w:pStyle w:val="21"/>
        <w:spacing w:before="0" w:beforeAutospacing="0" w:after="0" w:afterAutospacing="0"/>
        <w:jc w:val="both"/>
        <w:rPr>
          <w:rFonts w:ascii="Times New Roman" w:hAnsi="Times New Roman" w:eastAsia="仿宋_GB2312" w:cs="Times New Roman"/>
          <w:b/>
          <w:color w:val="auto"/>
          <w:sz w:val="28"/>
          <w:szCs w:val="28"/>
          <w:highlight w:val="none"/>
        </w:rPr>
      </w:pPr>
    </w:p>
    <w:p>
      <w:pPr>
        <w:pStyle w:val="21"/>
        <w:spacing w:before="0" w:beforeAutospacing="0" w:after="0" w:afterAutospacing="0"/>
        <w:jc w:val="center"/>
        <w:rPr>
          <w:rFonts w:ascii="Times New Roman" w:hAnsi="Times New Roman" w:eastAsia="仿宋_GB2312" w:cs="Times New Roman"/>
          <w:b/>
          <w:color w:val="auto"/>
          <w:sz w:val="28"/>
          <w:szCs w:val="28"/>
          <w:highlight w:val="none"/>
        </w:rPr>
      </w:pPr>
      <w:r>
        <w:rPr>
          <w:rFonts w:hint="eastAsia" w:ascii="Times New Roman" w:hAnsi="Times New Roman" w:eastAsia="仿宋_GB2312" w:cs="Times New Roman"/>
          <w:b/>
          <w:color w:val="auto"/>
          <w:sz w:val="28"/>
          <w:szCs w:val="28"/>
          <w:highlight w:val="none"/>
        </w:rPr>
        <w:t>XXXX年XX月XX日</w:t>
      </w:r>
    </w:p>
    <w:p>
      <w:pPr>
        <w:pStyle w:val="21"/>
        <w:spacing w:before="0" w:beforeAutospacing="0" w:after="0" w:afterAutospacing="0"/>
        <w:ind w:firstLine="1265" w:firstLineChars="450"/>
        <w:jc w:val="both"/>
        <w:rPr>
          <w:rFonts w:ascii="Times New Roman" w:hAnsi="Times New Roman" w:eastAsia="仿宋_GB2312" w:cs="Times New Roman"/>
          <w:b/>
          <w:color w:val="auto"/>
          <w:sz w:val="28"/>
          <w:szCs w:val="28"/>
          <w:highlight w:val="none"/>
        </w:rPr>
      </w:pPr>
    </w:p>
    <w:p>
      <w:pPr>
        <w:spacing w:line="660" w:lineRule="exact"/>
        <w:rPr>
          <w:rFonts w:ascii="Times New Roman" w:hAnsi="Times New Roman" w:eastAsia="方正小标宋简体" w:cs="Times New Roman"/>
          <w:color w:val="auto"/>
          <w:sz w:val="36"/>
          <w:szCs w:val="36"/>
          <w:highlight w:val="none"/>
        </w:rPr>
      </w:pPr>
    </w:p>
    <w:p>
      <w:pPr>
        <w:spacing w:line="660" w:lineRule="exact"/>
        <w:rPr>
          <w:rFonts w:ascii="Times New Roman" w:hAnsi="Times New Roman" w:eastAsia="方正小标宋简体" w:cs="Times New Roman"/>
          <w:color w:val="auto"/>
          <w:sz w:val="36"/>
          <w:szCs w:val="36"/>
          <w:highlight w:val="none"/>
        </w:rPr>
        <w:sectPr>
          <w:footerReference r:id="rId7" w:type="default"/>
          <w:footerReference r:id="rId8" w:type="even"/>
          <w:pgSz w:w="11906" w:h="16838"/>
          <w:pgMar w:top="2098" w:right="1531" w:bottom="1985" w:left="1588" w:header="851" w:footer="1304" w:gutter="0"/>
          <w:pgNumType w:fmt="decimal"/>
          <w:cols w:space="720" w:num="1"/>
          <w:docGrid w:type="lines" w:linePitch="312" w:charSpace="0"/>
        </w:sectPr>
      </w:pPr>
    </w:p>
    <w:p>
      <w:pPr>
        <w:spacing w:line="660" w:lineRule="exact"/>
        <w:rPr>
          <w:rFonts w:ascii="Times New Roman" w:hAnsi="Times New Roman" w:eastAsia="方正小标宋简体" w:cs="Times New Roman"/>
          <w:color w:val="auto"/>
          <w:sz w:val="36"/>
          <w:szCs w:val="36"/>
          <w:highlight w:val="none"/>
        </w:rPr>
      </w:pPr>
    </w:p>
    <w:p>
      <w:pPr>
        <w:spacing w:line="66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申请材料真实性声明</w:t>
      </w:r>
    </w:p>
    <w:p>
      <w:pPr>
        <w:spacing w:line="660" w:lineRule="exact"/>
        <w:jc w:val="center"/>
        <w:rPr>
          <w:rFonts w:ascii="Times New Roman" w:hAnsi="Times New Roman" w:eastAsia="方正小标宋简体" w:cs="Times New Roman"/>
          <w:color w:val="auto"/>
          <w:sz w:val="44"/>
          <w:szCs w:val="44"/>
          <w:highlight w:val="none"/>
        </w:rPr>
      </w:pPr>
    </w:p>
    <w:p>
      <w:pPr>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w:t>
      </w:r>
      <w:r>
        <w:rPr>
          <w:rFonts w:hint="eastAsia" w:eastAsia="仿宋_GB2312" w:cs="Times New Roman"/>
          <w:color w:val="auto"/>
          <w:sz w:val="32"/>
          <w:szCs w:val="32"/>
          <w:highlight w:val="none"/>
        </w:rPr>
        <w:t>单位</w:t>
      </w:r>
      <w:r>
        <w:rPr>
          <w:rFonts w:ascii="Times New Roman" w:hAnsi="Times New Roman" w:eastAsia="仿宋_GB2312" w:cs="Times New Roman"/>
          <w:color w:val="auto"/>
          <w:sz w:val="32"/>
          <w:szCs w:val="32"/>
          <w:highlight w:val="none"/>
        </w:rPr>
        <w:t>在此郑重承诺：本</w:t>
      </w:r>
      <w:r>
        <w:rPr>
          <w:rFonts w:hint="eastAsia" w:ascii="Times New Roman" w:hAnsi="Times New Roman" w:eastAsia="仿宋_GB2312" w:cs="Times New Roman"/>
          <w:color w:val="auto"/>
          <w:sz w:val="32"/>
          <w:szCs w:val="32"/>
          <w:highlight w:val="none"/>
        </w:rPr>
        <w:t>单位</w:t>
      </w:r>
      <w:r>
        <w:rPr>
          <w:rFonts w:ascii="Times New Roman" w:hAnsi="Times New Roman" w:eastAsia="仿宋_GB2312" w:cs="Times New Roman"/>
          <w:color w:val="auto"/>
          <w:sz w:val="32"/>
          <w:szCs w:val="32"/>
          <w:highlight w:val="none"/>
        </w:rPr>
        <w:t>提供的项目及</w:t>
      </w:r>
      <w:r>
        <w:rPr>
          <w:rFonts w:hint="eastAsia" w:eastAsia="仿宋_GB2312" w:cs="Times New Roman"/>
          <w:color w:val="auto"/>
          <w:sz w:val="32"/>
          <w:szCs w:val="32"/>
          <w:highlight w:val="none"/>
        </w:rPr>
        <w:t>单位</w:t>
      </w:r>
      <w:r>
        <w:rPr>
          <w:rFonts w:ascii="Times New Roman" w:hAnsi="Times New Roman" w:eastAsia="仿宋_GB2312" w:cs="Times New Roman"/>
          <w:color w:val="auto"/>
          <w:sz w:val="32"/>
          <w:szCs w:val="32"/>
          <w:highlight w:val="none"/>
        </w:rPr>
        <w:t>材料真实可靠，无任何虚假成份，对所报项目</w:t>
      </w:r>
      <w:r>
        <w:rPr>
          <w:rFonts w:hint="eastAsia" w:eastAsia="仿宋_GB2312" w:cs="Times New Roman"/>
          <w:color w:val="auto"/>
          <w:sz w:val="32"/>
          <w:szCs w:val="32"/>
          <w:highlight w:val="none"/>
        </w:rPr>
        <w:t>（名称：</w:t>
      </w:r>
      <w:r>
        <w:rPr>
          <w:rFonts w:hint="eastAsia" w:eastAsia="仿宋_GB2312"/>
          <w:color w:val="auto"/>
          <w:sz w:val="32"/>
          <w:szCs w:val="32"/>
          <w:highlight w:val="none"/>
          <w:u w:val="single"/>
          <w:lang w:eastAsia="zh-CN"/>
        </w:rPr>
        <w:t>广州市净水有限公司地埋式净水厂通风除臭系统节能运行管控技术研究与应用</w:t>
      </w:r>
      <w:r>
        <w:rPr>
          <w:rFonts w:hint="eastAsia" w:eastAsia="仿宋_GB2312"/>
          <w:color w:val="auto"/>
          <w:sz w:val="32"/>
          <w:szCs w:val="32"/>
          <w:highlight w:val="none"/>
          <w:u w:val="single"/>
        </w:rPr>
        <w:t>项目</w:t>
      </w:r>
      <w:r>
        <w:rPr>
          <w:rFonts w:hint="eastAsia"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w:t>
      </w:r>
      <w:r>
        <w:rPr>
          <w:rFonts w:hint="eastAsia" w:eastAsia="仿宋_GB2312" w:cs="Times New Roman"/>
          <w:color w:val="auto"/>
          <w:sz w:val="32"/>
          <w:szCs w:val="32"/>
          <w:highlight w:val="none"/>
        </w:rPr>
        <w:t>单位</w:t>
      </w:r>
      <w:r>
        <w:rPr>
          <w:rFonts w:ascii="Times New Roman" w:hAnsi="Times New Roman" w:eastAsia="仿宋_GB2312" w:cs="Times New Roman"/>
          <w:color w:val="auto"/>
          <w:sz w:val="32"/>
          <w:szCs w:val="32"/>
          <w:highlight w:val="none"/>
        </w:rPr>
        <w:t>资料的真实性负责并承担相应的责任。</w:t>
      </w:r>
    </w:p>
    <w:p>
      <w:pPr>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特此承诺！</w:t>
      </w:r>
    </w:p>
    <w:p>
      <w:pPr>
        <w:ind w:firstLine="640" w:firstLineChars="200"/>
        <w:rPr>
          <w:rFonts w:ascii="Times New Roman" w:hAnsi="Times New Roman" w:eastAsia="仿宋_GB2312" w:cs="Times New Roman"/>
          <w:color w:val="auto"/>
          <w:sz w:val="32"/>
          <w:szCs w:val="32"/>
          <w:highlight w:val="none"/>
        </w:rPr>
      </w:pPr>
    </w:p>
    <w:p>
      <w:pPr>
        <w:ind w:firstLine="640" w:firstLineChars="200"/>
        <w:rPr>
          <w:rFonts w:ascii="Times New Roman" w:hAnsi="Times New Roman" w:eastAsia="仿宋_GB2312" w:cs="Times New Roman"/>
          <w:color w:val="auto"/>
          <w:sz w:val="32"/>
          <w:szCs w:val="32"/>
          <w:highlight w:val="none"/>
        </w:rPr>
      </w:pPr>
    </w:p>
    <w:p>
      <w:pPr>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rPr>
        <w:t>项目负责人：</w:t>
      </w:r>
    </w:p>
    <w:p>
      <w:pPr>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申报单位盖章</w:t>
      </w:r>
      <w:r>
        <w:rPr>
          <w:rFonts w:hint="eastAsia" w:eastAsia="仿宋_GB2312" w:cs="Times New Roman"/>
          <w:color w:val="auto"/>
          <w:sz w:val="32"/>
          <w:szCs w:val="32"/>
          <w:highlight w:val="none"/>
        </w:rPr>
        <w:t>）</w:t>
      </w:r>
    </w:p>
    <w:p>
      <w:pPr>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年  月  日</w:t>
      </w:r>
    </w:p>
    <w:p>
      <w:pPr>
        <w:spacing w:line="400" w:lineRule="exac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 xml:space="preserve"> </w:t>
      </w:r>
    </w:p>
    <w:p>
      <w:pPr>
        <w:autoSpaceDN w:val="0"/>
        <w:spacing w:line="500" w:lineRule="exact"/>
        <w:rPr>
          <w:rFonts w:ascii="Times New Roman" w:hAnsi="Times New Roman" w:eastAsia="仿宋_GB2312" w:cs="Times New Roman"/>
          <w:color w:val="auto"/>
          <w:sz w:val="32"/>
          <w:szCs w:val="32"/>
          <w:highlight w:val="none"/>
        </w:rPr>
      </w:pPr>
    </w:p>
    <w:p>
      <w:pPr>
        <w:autoSpaceDN w:val="0"/>
        <w:spacing w:line="500" w:lineRule="exact"/>
        <w:rPr>
          <w:rFonts w:ascii="Times New Roman" w:hAnsi="Times New Roman" w:eastAsia="仿宋_GB2312" w:cs="Times New Roman"/>
          <w:color w:val="auto"/>
          <w:sz w:val="32"/>
          <w:szCs w:val="32"/>
          <w:highlight w:val="none"/>
        </w:rPr>
      </w:pPr>
    </w:p>
    <w:p>
      <w:pPr>
        <w:spacing w:line="660" w:lineRule="exact"/>
        <w:jc w:val="center"/>
        <w:rPr>
          <w:rFonts w:eastAsia="方正小标宋简体" w:cs="Times New Roman"/>
          <w:color w:val="auto"/>
          <w:sz w:val="44"/>
          <w:szCs w:val="44"/>
          <w:highlight w:val="none"/>
        </w:rPr>
      </w:pPr>
      <w:r>
        <w:rPr>
          <w:rFonts w:ascii="Times New Roman" w:hAnsi="Times New Roman" w:eastAsia="黑体" w:cs="Times New Roman"/>
          <w:color w:val="auto"/>
          <w:sz w:val="32"/>
          <w:szCs w:val="32"/>
          <w:highlight w:val="none"/>
        </w:rPr>
        <w:br w:type="page"/>
      </w:r>
    </w:p>
    <w:p>
      <w:pPr>
        <w:spacing w:line="660" w:lineRule="exact"/>
        <w:jc w:val="center"/>
        <w:rPr>
          <w:rFonts w:ascii="Times New Roman" w:hAnsi="Times New Roman" w:eastAsia="方正小标宋简体" w:cs="Times New Roman"/>
          <w:color w:val="auto"/>
          <w:sz w:val="44"/>
          <w:szCs w:val="44"/>
          <w:highlight w:val="none"/>
        </w:rPr>
      </w:pPr>
      <w:r>
        <w:rPr>
          <w:rFonts w:hint="eastAsia" w:eastAsia="方正小标宋简体" w:cs="Times New Roman"/>
          <w:color w:val="auto"/>
          <w:sz w:val="44"/>
          <w:szCs w:val="44"/>
          <w:highlight w:val="none"/>
        </w:rPr>
        <w:t>知识产权无争议</w:t>
      </w:r>
      <w:r>
        <w:rPr>
          <w:rFonts w:ascii="Times New Roman" w:hAnsi="Times New Roman" w:eastAsia="方正小标宋简体" w:cs="Times New Roman"/>
          <w:color w:val="auto"/>
          <w:sz w:val="44"/>
          <w:szCs w:val="44"/>
          <w:highlight w:val="none"/>
        </w:rPr>
        <w:t>声明</w:t>
      </w:r>
    </w:p>
    <w:p>
      <w:pPr>
        <w:spacing w:line="660" w:lineRule="exact"/>
        <w:jc w:val="center"/>
        <w:rPr>
          <w:rFonts w:ascii="Times New Roman" w:hAnsi="Times New Roman" w:eastAsia="方正小标宋简体" w:cs="Times New Roman"/>
          <w:color w:val="auto"/>
          <w:sz w:val="44"/>
          <w:szCs w:val="44"/>
          <w:highlight w:val="none"/>
        </w:rPr>
      </w:pPr>
    </w:p>
    <w:p>
      <w:pPr>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w:t>
      </w:r>
      <w:r>
        <w:rPr>
          <w:rFonts w:hint="eastAsia" w:eastAsia="仿宋_GB2312" w:cs="Times New Roman"/>
          <w:color w:val="auto"/>
          <w:sz w:val="32"/>
          <w:szCs w:val="32"/>
          <w:highlight w:val="none"/>
        </w:rPr>
        <w:t>单位</w:t>
      </w:r>
      <w:r>
        <w:rPr>
          <w:rFonts w:ascii="Times New Roman" w:hAnsi="Times New Roman" w:eastAsia="仿宋_GB2312" w:cs="Times New Roman"/>
          <w:color w:val="auto"/>
          <w:sz w:val="32"/>
          <w:szCs w:val="32"/>
          <w:highlight w:val="none"/>
        </w:rPr>
        <w:t>在此郑重承诺：本</w:t>
      </w:r>
      <w:r>
        <w:rPr>
          <w:rFonts w:hint="eastAsia" w:ascii="Times New Roman" w:hAnsi="Times New Roman" w:eastAsia="仿宋_GB2312" w:cs="Times New Roman"/>
          <w:color w:val="auto"/>
          <w:sz w:val="32"/>
          <w:szCs w:val="32"/>
          <w:highlight w:val="none"/>
        </w:rPr>
        <w:t>单位</w:t>
      </w:r>
      <w:r>
        <w:rPr>
          <w:rFonts w:hint="eastAsia" w:eastAsia="仿宋_GB2312" w:cs="Times New Roman"/>
          <w:color w:val="auto"/>
          <w:sz w:val="32"/>
          <w:szCs w:val="32"/>
          <w:highlight w:val="none"/>
        </w:rPr>
        <w:t>在本项目（名称：</w:t>
      </w:r>
      <w:r>
        <w:rPr>
          <w:rFonts w:hint="eastAsia" w:eastAsia="仿宋_GB2312"/>
          <w:color w:val="auto"/>
          <w:sz w:val="32"/>
          <w:szCs w:val="32"/>
          <w:highlight w:val="none"/>
          <w:u w:val="single"/>
          <w:lang w:eastAsia="zh-CN"/>
        </w:rPr>
        <w:t>广州市净水有限公司地埋式净水厂通风除臭系统节能运行管控技术研究与应用</w:t>
      </w:r>
      <w:r>
        <w:rPr>
          <w:rFonts w:hint="eastAsia" w:eastAsia="仿宋_GB2312"/>
          <w:color w:val="auto"/>
          <w:sz w:val="32"/>
          <w:szCs w:val="32"/>
          <w:highlight w:val="none"/>
          <w:u w:val="single"/>
        </w:rPr>
        <w:t>项目</w:t>
      </w:r>
      <w:r>
        <w:rPr>
          <w:rFonts w:hint="eastAsia" w:eastAsia="仿宋_GB2312" w:cs="Times New Roman"/>
          <w:color w:val="auto"/>
          <w:sz w:val="32"/>
          <w:szCs w:val="32"/>
          <w:highlight w:val="none"/>
        </w:rPr>
        <w:t>）所采用的技术为自主知识产权或已获授权，无知识产权争议</w:t>
      </w:r>
      <w:r>
        <w:rPr>
          <w:rFonts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rPr>
        <w:t>实施过程中产生的任何知识产权纠纷由本单位负责。</w:t>
      </w:r>
    </w:p>
    <w:p>
      <w:pPr>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特此承诺！</w:t>
      </w:r>
    </w:p>
    <w:p>
      <w:pPr>
        <w:ind w:firstLine="640" w:firstLineChars="200"/>
        <w:rPr>
          <w:rFonts w:ascii="Times New Roman" w:hAnsi="Times New Roman" w:eastAsia="仿宋_GB2312" w:cs="Times New Roman"/>
          <w:color w:val="auto"/>
          <w:sz w:val="32"/>
          <w:szCs w:val="32"/>
          <w:highlight w:val="none"/>
        </w:rPr>
      </w:pPr>
    </w:p>
    <w:p>
      <w:pPr>
        <w:ind w:firstLine="640" w:firstLineChars="200"/>
        <w:rPr>
          <w:rFonts w:ascii="Times New Roman" w:hAnsi="Times New Roman" w:eastAsia="仿宋_GB2312" w:cs="Times New Roman"/>
          <w:color w:val="auto"/>
          <w:sz w:val="32"/>
          <w:szCs w:val="32"/>
          <w:highlight w:val="none"/>
        </w:rPr>
      </w:pPr>
    </w:p>
    <w:p>
      <w:pPr>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rPr>
        <w:t>项目负责人：</w:t>
      </w:r>
    </w:p>
    <w:p>
      <w:pPr>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申报单位盖章</w:t>
      </w:r>
      <w:r>
        <w:rPr>
          <w:rFonts w:hint="eastAsia" w:eastAsia="仿宋_GB2312" w:cs="Times New Roman"/>
          <w:color w:val="auto"/>
          <w:sz w:val="32"/>
          <w:szCs w:val="32"/>
          <w:highlight w:val="none"/>
        </w:rPr>
        <w:t>）</w:t>
      </w:r>
    </w:p>
    <w:p>
      <w:pPr>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年  月  日</w:t>
      </w:r>
    </w:p>
    <w:p>
      <w:pPr>
        <w:spacing w:line="400" w:lineRule="exac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 xml:space="preserve"> </w:t>
      </w:r>
    </w:p>
    <w:p>
      <w:pPr>
        <w:autoSpaceDN w:val="0"/>
        <w:spacing w:line="500" w:lineRule="exact"/>
        <w:rPr>
          <w:rFonts w:ascii="Times New Roman" w:hAnsi="Times New Roman" w:eastAsia="黑体" w:cs="Times New Roman"/>
          <w:color w:val="auto"/>
          <w:sz w:val="32"/>
          <w:szCs w:val="32"/>
          <w:highlight w:val="none"/>
        </w:rPr>
        <w:sectPr>
          <w:pgSz w:w="11906" w:h="16838"/>
          <w:pgMar w:top="2098" w:right="1531" w:bottom="1985" w:left="1588" w:header="851" w:footer="1304" w:gutter="0"/>
          <w:pgNumType w:fmt="decimal"/>
          <w:cols w:space="720" w:num="1"/>
          <w:docGrid w:type="lines" w:linePitch="312" w:charSpace="0"/>
        </w:sectPr>
      </w:pPr>
    </w:p>
    <w:p>
      <w:pPr>
        <w:autoSpaceDN w:val="0"/>
        <w:spacing w:line="560" w:lineRule="exac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一、项目</w:t>
      </w:r>
      <w:r>
        <w:rPr>
          <w:rFonts w:hint="eastAsia" w:eastAsia="黑体" w:cs="Times New Roman"/>
          <w:color w:val="auto"/>
          <w:sz w:val="32"/>
          <w:szCs w:val="32"/>
          <w:highlight w:val="none"/>
        </w:rPr>
        <w:t>背景</w:t>
      </w: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1.政策背景</w:t>
      </w: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（国家、广东省、广州市有关生态明建设、双碳政策等背景。）</w:t>
      </w: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2.国内外发展情况</w:t>
      </w: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（就通风除臭系统节能运行管控技术在国内或国外的发展情况进行说明。）</w:t>
      </w:r>
    </w:p>
    <w:p>
      <w:pPr>
        <w:rPr>
          <w:rFonts w:ascii="仿宋_GB2312" w:hAnsi="仿宋_GB2312" w:eastAsia="仿宋_GB2312" w:cs="仿宋_GB2312"/>
          <w:color w:val="auto"/>
          <w:sz w:val="30"/>
          <w:szCs w:val="30"/>
          <w:highlight w:val="none"/>
        </w:rPr>
      </w:pPr>
    </w:p>
    <w:p>
      <w:pPr>
        <w:numPr>
          <w:ilvl w:val="0"/>
          <w:numId w:val="9"/>
        </w:numPr>
        <w:autoSpaceDN w:val="0"/>
        <w:spacing w:line="560" w:lineRule="exact"/>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项目内容</w:t>
      </w:r>
      <w:r>
        <w:rPr>
          <w:rFonts w:hint="eastAsia" w:eastAsia="黑体" w:cs="Times New Roman"/>
          <w:color w:val="auto"/>
          <w:sz w:val="32"/>
          <w:szCs w:val="32"/>
          <w:highlight w:val="none"/>
        </w:rPr>
        <w:t>和方案</w:t>
      </w: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1.主要研究内容</w:t>
      </w: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2.研究方法及技术路线</w:t>
      </w: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3.技术创新性</w:t>
      </w: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4.技术关键点</w:t>
      </w: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5.前期研究基础及优势（模型构建需提供相关示意图）</w:t>
      </w:r>
    </w:p>
    <w:p>
      <w:pPr>
        <w:rPr>
          <w:rFonts w:ascii="仿宋_GB2312" w:hAnsi="仿宋_GB2312" w:eastAsia="仿宋_GB2312" w:cs="仿宋_GB2312"/>
          <w:color w:val="auto"/>
          <w:sz w:val="30"/>
          <w:szCs w:val="30"/>
          <w:highlight w:val="none"/>
        </w:rPr>
      </w:pPr>
    </w:p>
    <w:p>
      <w:pPr>
        <w:numPr>
          <w:ilvl w:val="0"/>
          <w:numId w:val="9"/>
        </w:numPr>
        <w:autoSpaceDN w:val="0"/>
        <w:spacing w:line="560" w:lineRule="exact"/>
        <w:rPr>
          <w:rFonts w:eastAsia="黑体" w:cs="Times New Roman"/>
          <w:color w:val="auto"/>
          <w:sz w:val="32"/>
          <w:szCs w:val="32"/>
          <w:highlight w:val="none"/>
        </w:rPr>
      </w:pPr>
      <w:r>
        <w:rPr>
          <w:rFonts w:hint="eastAsia" w:eastAsia="黑体" w:cs="Times New Roman"/>
          <w:color w:val="auto"/>
          <w:sz w:val="32"/>
          <w:szCs w:val="32"/>
          <w:highlight w:val="none"/>
        </w:rPr>
        <w:t>申报单位和人员情况</w:t>
      </w: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1.申报单位简介</w:t>
      </w: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2.项目负责人情况</w:t>
      </w: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3.主要研究人员</w:t>
      </w:r>
    </w:p>
    <w:p>
      <w:pPr>
        <w:rPr>
          <w:rFonts w:ascii="仿宋_GB2312" w:hAnsi="仿宋_GB2312" w:eastAsia="仿宋_GB2312" w:cs="仿宋_GB2312"/>
          <w:color w:val="auto"/>
          <w:sz w:val="30"/>
          <w:szCs w:val="30"/>
          <w:highlight w:val="none"/>
        </w:rPr>
      </w:pPr>
    </w:p>
    <w:p>
      <w:pPr>
        <w:numPr>
          <w:ilvl w:val="0"/>
          <w:numId w:val="9"/>
        </w:numPr>
        <w:autoSpaceDN w:val="0"/>
        <w:spacing w:line="560" w:lineRule="exact"/>
        <w:rPr>
          <w:rFonts w:eastAsia="黑体" w:cs="Times New Roman"/>
          <w:color w:val="auto"/>
          <w:sz w:val="32"/>
          <w:szCs w:val="32"/>
          <w:highlight w:val="none"/>
        </w:rPr>
      </w:pPr>
      <w:r>
        <w:rPr>
          <w:rFonts w:hint="eastAsia" w:eastAsia="黑体" w:cs="Times New Roman"/>
          <w:color w:val="auto"/>
          <w:sz w:val="32"/>
          <w:szCs w:val="32"/>
          <w:highlight w:val="none"/>
        </w:rPr>
        <w:t>项目报价</w:t>
      </w: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1.项目报价</w:t>
      </w: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（图表说明）</w:t>
      </w: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2.报价合理性分析</w:t>
      </w:r>
    </w:p>
    <w:p>
      <w:pPr>
        <w:ind w:firstLine="300" w:firstLineChars="1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（简述各部分报价的计算依据，并就其必要性和合理性进行说明）</w:t>
      </w:r>
    </w:p>
    <w:p>
      <w:pPr>
        <w:rPr>
          <w:color w:val="auto"/>
          <w:highlight w:val="none"/>
        </w:rPr>
      </w:pPr>
      <w:r>
        <w:rPr>
          <w:rFonts w:hint="eastAsia"/>
          <w:color w:val="auto"/>
          <w:highlight w:val="none"/>
        </w:rPr>
        <w:br w:type="page"/>
      </w:r>
    </w:p>
    <w:p>
      <w:pPr>
        <w:pStyle w:val="16"/>
        <w:rPr>
          <w:color w:val="auto"/>
          <w:sz w:val="32"/>
          <w:szCs w:val="32"/>
          <w:highlight w:val="none"/>
        </w:rPr>
      </w:pPr>
      <w:r>
        <w:rPr>
          <w:rFonts w:hint="eastAsia"/>
          <w:color w:val="auto"/>
          <w:sz w:val="32"/>
          <w:szCs w:val="32"/>
          <w:highlight w:val="none"/>
        </w:rPr>
        <w:t>6.2论文代表作信息表</w:t>
      </w:r>
    </w:p>
    <w:tbl>
      <w:tblPr>
        <w:tblStyle w:val="23"/>
        <w:tblW w:w="10244" w:type="dxa"/>
        <w:jc w:val="center"/>
        <w:tblLayout w:type="fixed"/>
        <w:tblCellMar>
          <w:top w:w="0" w:type="dxa"/>
          <w:left w:w="108" w:type="dxa"/>
          <w:bottom w:w="0" w:type="dxa"/>
          <w:right w:w="108" w:type="dxa"/>
        </w:tblCellMar>
      </w:tblPr>
      <w:tblGrid>
        <w:gridCol w:w="768"/>
        <w:gridCol w:w="3026"/>
        <w:gridCol w:w="1833"/>
        <w:gridCol w:w="1550"/>
        <w:gridCol w:w="1653"/>
        <w:gridCol w:w="1414"/>
      </w:tblGrid>
      <w:tr>
        <w:tblPrEx>
          <w:tblCellMar>
            <w:top w:w="0" w:type="dxa"/>
            <w:left w:w="108" w:type="dxa"/>
            <w:bottom w:w="0" w:type="dxa"/>
            <w:right w:w="108" w:type="dxa"/>
          </w:tblCellMar>
        </w:tblPrEx>
        <w:trPr>
          <w:trHeight w:val="375" w:hRule="atLeast"/>
          <w:jc w:val="center"/>
        </w:trPr>
        <w:tc>
          <w:tcPr>
            <w:tcW w:w="10244" w:type="dxa"/>
            <w:gridSpan w:val="6"/>
            <w:tcBorders>
              <w:top w:val="nil"/>
              <w:left w:val="nil"/>
              <w:bottom w:val="nil"/>
              <w:right w:val="nil"/>
            </w:tcBorders>
            <w:noWrap/>
            <w:vAlign w:val="center"/>
          </w:tcPr>
          <w:p>
            <w:pPr>
              <w:widowControl/>
              <w:jc w:val="center"/>
              <w:textAlignment w:val="center"/>
              <w:rPr>
                <w:rFonts w:ascii="方正小标宋简体" w:hAnsi="方正小标宋简体" w:eastAsia="方正小标宋简体" w:cs="方正小标宋简体"/>
                <w:b/>
                <w:bCs/>
                <w:color w:val="auto"/>
                <w:kern w:val="0"/>
                <w:sz w:val="32"/>
                <w:szCs w:val="32"/>
                <w:highlight w:val="none"/>
                <w:lang w:bidi="ar"/>
              </w:rPr>
            </w:pPr>
            <w:r>
              <w:rPr>
                <w:rFonts w:hint="eastAsia" w:ascii="方正小标宋简体" w:hAnsi="方正小标宋简体" w:eastAsia="方正小标宋简体" w:cs="方正小标宋简体"/>
                <w:b/>
                <w:bCs/>
                <w:color w:val="auto"/>
                <w:kern w:val="0"/>
                <w:sz w:val="32"/>
                <w:szCs w:val="32"/>
                <w:highlight w:val="none"/>
                <w:lang w:bidi="ar"/>
              </w:rPr>
              <w:t>科技成果——论文代表作信息表</w:t>
            </w:r>
          </w:p>
        </w:tc>
      </w:tr>
      <w:tr>
        <w:tblPrEx>
          <w:tblCellMar>
            <w:top w:w="0" w:type="dxa"/>
            <w:left w:w="108" w:type="dxa"/>
            <w:bottom w:w="0" w:type="dxa"/>
            <w:right w:w="108"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序号</w:t>
            </w:r>
          </w:p>
        </w:tc>
        <w:tc>
          <w:tcPr>
            <w:tcW w:w="30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代表作名称</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期刊名称</w:t>
            </w:r>
          </w:p>
        </w:tc>
        <w:tc>
          <w:tcPr>
            <w:tcW w:w="15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期刊分类</w:t>
            </w:r>
          </w:p>
        </w:tc>
        <w:tc>
          <w:tcPr>
            <w:tcW w:w="16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发表时间</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期刊分区</w:t>
            </w:r>
          </w:p>
        </w:tc>
      </w:tr>
      <w:tr>
        <w:tblPrEx>
          <w:tblCellMar>
            <w:top w:w="0" w:type="dxa"/>
            <w:left w:w="108" w:type="dxa"/>
            <w:bottom w:w="0" w:type="dxa"/>
            <w:right w:w="108"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p>
        </w:tc>
        <w:tc>
          <w:tcPr>
            <w:tcW w:w="3026" w:type="dxa"/>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eastAsia="宋体" w:cs="宋体"/>
                <w:color w:val="auto"/>
                <w:sz w:val="22"/>
                <w:highlight w:val="none"/>
              </w:rPr>
            </w:pPr>
          </w:p>
        </w:tc>
        <w:tc>
          <w:tcPr>
            <w:tcW w:w="183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auto"/>
                <w:sz w:val="22"/>
                <w:highlight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165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p>
        </w:tc>
        <w:tc>
          <w:tcPr>
            <w:tcW w:w="3026" w:type="dxa"/>
            <w:tcBorders>
              <w:top w:val="nil"/>
              <w:left w:val="nil"/>
              <w:bottom w:val="nil"/>
              <w:right w:val="nil"/>
            </w:tcBorders>
            <w:noWrap/>
            <w:vAlign w:val="center"/>
          </w:tcPr>
          <w:p>
            <w:pPr>
              <w:rPr>
                <w:rFonts w:ascii="宋体" w:hAnsi="宋体" w:eastAsia="宋体" w:cs="宋体"/>
                <w:color w:val="auto"/>
                <w:sz w:val="22"/>
                <w:highlight w:val="none"/>
              </w:rPr>
            </w:pPr>
          </w:p>
        </w:tc>
        <w:tc>
          <w:tcPr>
            <w:tcW w:w="18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auto"/>
                <w:sz w:val="22"/>
                <w:highlight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165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p>
        </w:tc>
        <w:tc>
          <w:tcPr>
            <w:tcW w:w="3026" w:type="dxa"/>
            <w:tcBorders>
              <w:top w:val="single" w:color="000000" w:sz="4" w:space="0"/>
              <w:left w:val="nil"/>
              <w:bottom w:val="single" w:color="000000" w:sz="4" w:space="0"/>
              <w:right w:val="single" w:color="000000" w:sz="4" w:space="0"/>
            </w:tcBorders>
            <w:noWrap/>
            <w:vAlign w:val="center"/>
          </w:tcPr>
          <w:p>
            <w:pPr>
              <w:rPr>
                <w:rFonts w:ascii="宋体" w:hAnsi="宋体" w:eastAsia="宋体" w:cs="宋体"/>
                <w:color w:val="auto"/>
                <w:sz w:val="22"/>
                <w:highlight w:val="none"/>
              </w:rPr>
            </w:pPr>
          </w:p>
        </w:tc>
        <w:tc>
          <w:tcPr>
            <w:tcW w:w="18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auto"/>
                <w:sz w:val="22"/>
                <w:highlight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165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p>
        </w:tc>
        <w:tc>
          <w:tcPr>
            <w:tcW w:w="3026" w:type="dxa"/>
            <w:tcBorders>
              <w:top w:val="single" w:color="000000" w:sz="4" w:space="0"/>
              <w:left w:val="nil"/>
              <w:bottom w:val="single" w:color="000000" w:sz="4" w:space="0"/>
              <w:right w:val="single" w:color="000000" w:sz="4" w:space="0"/>
            </w:tcBorders>
            <w:noWrap/>
            <w:vAlign w:val="center"/>
          </w:tcPr>
          <w:p>
            <w:pPr>
              <w:rPr>
                <w:rFonts w:ascii="宋体" w:hAnsi="宋体" w:eastAsia="宋体" w:cs="宋体"/>
                <w:color w:val="auto"/>
                <w:sz w:val="22"/>
                <w:highlight w:val="none"/>
              </w:rPr>
            </w:pPr>
          </w:p>
        </w:tc>
        <w:tc>
          <w:tcPr>
            <w:tcW w:w="18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auto"/>
                <w:sz w:val="22"/>
                <w:highlight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165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p>
        </w:tc>
        <w:tc>
          <w:tcPr>
            <w:tcW w:w="3026" w:type="dxa"/>
            <w:tcBorders>
              <w:top w:val="single" w:color="000000" w:sz="4" w:space="0"/>
              <w:left w:val="nil"/>
              <w:bottom w:val="single" w:color="000000" w:sz="4" w:space="0"/>
              <w:right w:val="single" w:color="000000" w:sz="4" w:space="0"/>
            </w:tcBorders>
            <w:noWrap/>
            <w:vAlign w:val="center"/>
          </w:tcPr>
          <w:p>
            <w:pPr>
              <w:rPr>
                <w:rFonts w:ascii="宋体" w:hAnsi="宋体" w:eastAsia="宋体" w:cs="宋体"/>
                <w:color w:val="auto"/>
                <w:sz w:val="22"/>
                <w:highlight w:val="none"/>
              </w:rPr>
            </w:pPr>
          </w:p>
        </w:tc>
        <w:tc>
          <w:tcPr>
            <w:tcW w:w="18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auto"/>
                <w:sz w:val="22"/>
                <w:highlight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165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p>
        </w:tc>
        <w:tc>
          <w:tcPr>
            <w:tcW w:w="3026" w:type="dxa"/>
            <w:tcBorders>
              <w:top w:val="single" w:color="000000" w:sz="4" w:space="0"/>
              <w:left w:val="nil"/>
              <w:bottom w:val="single" w:color="000000" w:sz="4" w:space="0"/>
              <w:right w:val="single" w:color="000000" w:sz="4" w:space="0"/>
            </w:tcBorders>
            <w:noWrap/>
            <w:vAlign w:val="center"/>
          </w:tcPr>
          <w:p>
            <w:pPr>
              <w:rPr>
                <w:rFonts w:ascii="宋体" w:hAnsi="宋体" w:eastAsia="宋体" w:cs="宋体"/>
                <w:color w:val="auto"/>
                <w:sz w:val="22"/>
                <w:highlight w:val="none"/>
              </w:rPr>
            </w:pPr>
          </w:p>
        </w:tc>
        <w:tc>
          <w:tcPr>
            <w:tcW w:w="18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auto"/>
                <w:sz w:val="22"/>
                <w:highlight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165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p>
        </w:tc>
        <w:tc>
          <w:tcPr>
            <w:tcW w:w="3026" w:type="dxa"/>
            <w:tcBorders>
              <w:top w:val="single" w:color="000000" w:sz="4" w:space="0"/>
              <w:left w:val="nil"/>
              <w:bottom w:val="single" w:color="000000" w:sz="4" w:space="0"/>
              <w:right w:val="single" w:color="000000" w:sz="4" w:space="0"/>
            </w:tcBorders>
            <w:noWrap/>
            <w:vAlign w:val="center"/>
          </w:tcPr>
          <w:p>
            <w:pPr>
              <w:rPr>
                <w:rFonts w:ascii="宋体" w:hAnsi="宋体" w:eastAsia="宋体" w:cs="宋体"/>
                <w:color w:val="auto"/>
                <w:sz w:val="22"/>
                <w:highlight w:val="none"/>
              </w:rPr>
            </w:pPr>
          </w:p>
        </w:tc>
        <w:tc>
          <w:tcPr>
            <w:tcW w:w="18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auto"/>
                <w:sz w:val="22"/>
                <w:highlight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165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r>
    </w:tbl>
    <w:p>
      <w:pPr>
        <w:pStyle w:val="1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p>
      <w:pPr>
        <w:pStyle w:val="1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1.以中国科学院文献情报中心《期刊分区表（2023年版）》的期刊分区为准。</w:t>
      </w:r>
    </w:p>
    <w:p>
      <w:pPr>
        <w:pStyle w:val="1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2.后附论文首页。</w:t>
      </w:r>
    </w:p>
    <w:p>
      <w:pPr>
        <w:pStyle w:val="16"/>
        <w:rPr>
          <w:rFonts w:ascii="仿宋_GB2312" w:hAnsi="仿宋_GB2312" w:eastAsia="仿宋_GB2312" w:cs="仿宋_GB2312"/>
          <w:color w:val="auto"/>
          <w:sz w:val="24"/>
          <w:szCs w:val="24"/>
          <w:highlight w:val="none"/>
        </w:rPr>
      </w:pPr>
    </w:p>
    <w:p>
      <w:pPr>
        <w:pStyle w:val="16"/>
        <w:rPr>
          <w:rFonts w:ascii="仿宋_GB2312" w:hAnsi="仿宋_GB2312" w:eastAsia="仿宋_GB2312" w:cs="仿宋_GB2312"/>
          <w:color w:val="auto"/>
          <w:sz w:val="24"/>
          <w:szCs w:val="24"/>
          <w:highlight w:val="none"/>
        </w:rPr>
      </w:pPr>
    </w:p>
    <w:p>
      <w:pPr>
        <w:pStyle w:val="3"/>
        <w:wordWrap w:val="0"/>
        <w:jc w:val="right"/>
        <w:rPr>
          <w:color w:val="auto"/>
          <w:highlight w:val="none"/>
        </w:rPr>
      </w:pPr>
      <w:r>
        <w:rPr>
          <w:rFonts w:hint="eastAsia"/>
          <w:color w:val="auto"/>
          <w:sz w:val="24"/>
          <w:szCs w:val="24"/>
          <w:highlight w:val="none"/>
        </w:rPr>
        <w:t xml:space="preserve">供应商名称（加盖公章）     </w:t>
      </w:r>
    </w:p>
    <w:p>
      <w:pPr>
        <w:pStyle w:val="16"/>
        <w:wordWrap w:val="0"/>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GB"/>
        </w:rPr>
        <w:t xml:space="preserve">年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GB"/>
        </w:rPr>
        <w:t xml:space="preserve"> 月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GB"/>
        </w:rPr>
        <w:t xml:space="preserve"> 日</w:t>
      </w:r>
      <w:r>
        <w:rPr>
          <w:rFonts w:hint="eastAsia" w:ascii="宋体" w:hAnsi="宋体" w:cs="宋体"/>
          <w:color w:val="auto"/>
          <w:sz w:val="24"/>
          <w:szCs w:val="24"/>
          <w:highlight w:val="none"/>
        </w:rPr>
        <w:t xml:space="preserve">        </w:t>
      </w:r>
    </w:p>
    <w:p>
      <w:pPr>
        <w:pStyle w:val="16"/>
        <w:jc w:val="right"/>
        <w:rPr>
          <w:rFonts w:ascii="宋体" w:hAnsi="宋体" w:cs="宋体"/>
          <w:color w:val="auto"/>
          <w:sz w:val="24"/>
          <w:szCs w:val="24"/>
          <w:highlight w:val="none"/>
        </w:rPr>
      </w:pPr>
    </w:p>
    <w:p>
      <w:pPr>
        <w:jc w:val="both"/>
        <w:rPr>
          <w:color w:val="auto"/>
          <w:highlight w:val="none"/>
        </w:rPr>
      </w:pPr>
      <w:r>
        <w:rPr>
          <w:color w:val="auto"/>
          <w:highlight w:val="none"/>
        </w:rPr>
        <w:br w:type="page"/>
      </w:r>
    </w:p>
    <w:p>
      <w:pPr>
        <w:pStyle w:val="16"/>
        <w:rPr>
          <w:color w:val="auto"/>
          <w:sz w:val="32"/>
          <w:szCs w:val="32"/>
          <w:highlight w:val="none"/>
        </w:rPr>
      </w:pPr>
      <w:r>
        <w:rPr>
          <w:rFonts w:hint="eastAsia"/>
          <w:color w:val="auto"/>
          <w:sz w:val="32"/>
          <w:szCs w:val="32"/>
          <w:highlight w:val="none"/>
        </w:rPr>
        <w:t>6.3专利信息表</w:t>
      </w:r>
    </w:p>
    <w:p>
      <w:pPr>
        <w:pStyle w:val="16"/>
        <w:rPr>
          <w:color w:val="auto"/>
          <w:sz w:val="32"/>
          <w:szCs w:val="32"/>
          <w:highlight w:val="none"/>
        </w:rPr>
      </w:pPr>
    </w:p>
    <w:tbl>
      <w:tblPr>
        <w:tblStyle w:val="23"/>
        <w:tblW w:w="10244" w:type="dxa"/>
        <w:jc w:val="center"/>
        <w:tblLayout w:type="fixed"/>
        <w:tblCellMar>
          <w:top w:w="0" w:type="dxa"/>
          <w:left w:w="108" w:type="dxa"/>
          <w:bottom w:w="0" w:type="dxa"/>
          <w:right w:w="108" w:type="dxa"/>
        </w:tblCellMar>
      </w:tblPr>
      <w:tblGrid>
        <w:gridCol w:w="768"/>
        <w:gridCol w:w="3026"/>
        <w:gridCol w:w="1833"/>
        <w:gridCol w:w="1550"/>
        <w:gridCol w:w="3067"/>
      </w:tblGrid>
      <w:tr>
        <w:tblPrEx>
          <w:tblCellMar>
            <w:top w:w="0" w:type="dxa"/>
            <w:left w:w="108" w:type="dxa"/>
            <w:bottom w:w="0" w:type="dxa"/>
            <w:right w:w="108" w:type="dxa"/>
          </w:tblCellMar>
        </w:tblPrEx>
        <w:trPr>
          <w:trHeight w:val="375" w:hRule="atLeast"/>
          <w:jc w:val="center"/>
        </w:trPr>
        <w:tc>
          <w:tcPr>
            <w:tcW w:w="10244" w:type="dxa"/>
            <w:gridSpan w:val="5"/>
            <w:tcBorders>
              <w:top w:val="nil"/>
              <w:left w:val="nil"/>
              <w:bottom w:val="nil"/>
              <w:right w:val="nil"/>
            </w:tcBorders>
            <w:noWrap/>
            <w:vAlign w:val="center"/>
          </w:tcPr>
          <w:p>
            <w:pPr>
              <w:widowControl/>
              <w:jc w:val="center"/>
              <w:textAlignment w:val="center"/>
              <w:rPr>
                <w:rFonts w:ascii="方正小标宋简体" w:hAnsi="方正小标宋简体" w:eastAsia="方正小标宋简体" w:cs="方正小标宋简体"/>
                <w:b/>
                <w:bCs/>
                <w:color w:val="auto"/>
                <w:kern w:val="0"/>
                <w:sz w:val="32"/>
                <w:szCs w:val="32"/>
                <w:highlight w:val="none"/>
                <w:lang w:bidi="ar"/>
              </w:rPr>
            </w:pPr>
            <w:r>
              <w:rPr>
                <w:rFonts w:hint="eastAsia" w:ascii="方正小标宋简体" w:hAnsi="方正小标宋简体" w:eastAsia="方正小标宋简体" w:cs="方正小标宋简体"/>
                <w:b/>
                <w:bCs/>
                <w:color w:val="auto"/>
                <w:kern w:val="0"/>
                <w:sz w:val="32"/>
                <w:szCs w:val="32"/>
                <w:highlight w:val="none"/>
                <w:lang w:bidi="ar"/>
              </w:rPr>
              <w:t>科技成果——专利信息表</w:t>
            </w:r>
          </w:p>
        </w:tc>
      </w:tr>
      <w:tr>
        <w:tblPrEx>
          <w:tblCellMar>
            <w:top w:w="0" w:type="dxa"/>
            <w:left w:w="108" w:type="dxa"/>
            <w:bottom w:w="0" w:type="dxa"/>
            <w:right w:w="108"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序号</w:t>
            </w:r>
          </w:p>
        </w:tc>
        <w:tc>
          <w:tcPr>
            <w:tcW w:w="30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专利名称</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专利号</w:t>
            </w:r>
          </w:p>
        </w:tc>
        <w:tc>
          <w:tcPr>
            <w:tcW w:w="15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IPC分类号</w:t>
            </w:r>
          </w:p>
        </w:tc>
        <w:tc>
          <w:tcPr>
            <w:tcW w:w="30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战略性新兴产业分类与国际专利分类</w:t>
            </w:r>
          </w:p>
        </w:tc>
      </w:tr>
      <w:tr>
        <w:tblPrEx>
          <w:tblCellMar>
            <w:top w:w="0" w:type="dxa"/>
            <w:left w:w="108" w:type="dxa"/>
            <w:bottom w:w="0" w:type="dxa"/>
            <w:right w:w="108"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p>
        </w:tc>
        <w:tc>
          <w:tcPr>
            <w:tcW w:w="3026" w:type="dxa"/>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eastAsia="宋体" w:cs="宋体"/>
                <w:color w:val="auto"/>
                <w:sz w:val="22"/>
                <w:highlight w:val="none"/>
              </w:rPr>
            </w:pPr>
          </w:p>
        </w:tc>
        <w:tc>
          <w:tcPr>
            <w:tcW w:w="183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auto"/>
                <w:sz w:val="22"/>
                <w:highlight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30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p>
        </w:tc>
        <w:tc>
          <w:tcPr>
            <w:tcW w:w="3026" w:type="dxa"/>
            <w:tcBorders>
              <w:top w:val="nil"/>
              <w:left w:val="nil"/>
              <w:bottom w:val="nil"/>
              <w:right w:val="nil"/>
            </w:tcBorders>
            <w:noWrap/>
            <w:vAlign w:val="center"/>
          </w:tcPr>
          <w:p>
            <w:pPr>
              <w:rPr>
                <w:rFonts w:ascii="宋体" w:hAnsi="宋体" w:eastAsia="宋体" w:cs="宋体"/>
                <w:color w:val="auto"/>
                <w:sz w:val="22"/>
                <w:highlight w:val="none"/>
              </w:rPr>
            </w:pPr>
          </w:p>
        </w:tc>
        <w:tc>
          <w:tcPr>
            <w:tcW w:w="18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auto"/>
                <w:sz w:val="22"/>
                <w:highlight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30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p>
        </w:tc>
        <w:tc>
          <w:tcPr>
            <w:tcW w:w="3026" w:type="dxa"/>
            <w:tcBorders>
              <w:top w:val="single" w:color="000000" w:sz="4" w:space="0"/>
              <w:left w:val="nil"/>
              <w:bottom w:val="single" w:color="000000" w:sz="4" w:space="0"/>
              <w:right w:val="single" w:color="000000" w:sz="4" w:space="0"/>
            </w:tcBorders>
            <w:noWrap/>
            <w:vAlign w:val="center"/>
          </w:tcPr>
          <w:p>
            <w:pPr>
              <w:rPr>
                <w:rFonts w:ascii="宋体" w:hAnsi="宋体" w:eastAsia="宋体" w:cs="宋体"/>
                <w:color w:val="auto"/>
                <w:sz w:val="22"/>
                <w:highlight w:val="none"/>
              </w:rPr>
            </w:pPr>
          </w:p>
        </w:tc>
        <w:tc>
          <w:tcPr>
            <w:tcW w:w="18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auto"/>
                <w:sz w:val="22"/>
                <w:highlight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30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p>
        </w:tc>
        <w:tc>
          <w:tcPr>
            <w:tcW w:w="3026" w:type="dxa"/>
            <w:tcBorders>
              <w:top w:val="single" w:color="000000" w:sz="4" w:space="0"/>
              <w:left w:val="nil"/>
              <w:bottom w:val="single" w:color="000000" w:sz="4" w:space="0"/>
              <w:right w:val="single" w:color="000000" w:sz="4" w:space="0"/>
            </w:tcBorders>
            <w:noWrap/>
            <w:vAlign w:val="center"/>
          </w:tcPr>
          <w:p>
            <w:pPr>
              <w:rPr>
                <w:rFonts w:ascii="宋体" w:hAnsi="宋体" w:eastAsia="宋体" w:cs="宋体"/>
                <w:color w:val="auto"/>
                <w:sz w:val="22"/>
                <w:highlight w:val="none"/>
              </w:rPr>
            </w:pPr>
          </w:p>
        </w:tc>
        <w:tc>
          <w:tcPr>
            <w:tcW w:w="18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auto"/>
                <w:sz w:val="22"/>
                <w:highlight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30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p>
        </w:tc>
        <w:tc>
          <w:tcPr>
            <w:tcW w:w="3026" w:type="dxa"/>
            <w:tcBorders>
              <w:top w:val="single" w:color="000000" w:sz="4" w:space="0"/>
              <w:left w:val="nil"/>
              <w:bottom w:val="single" w:color="000000" w:sz="4" w:space="0"/>
              <w:right w:val="single" w:color="000000" w:sz="4" w:space="0"/>
            </w:tcBorders>
            <w:noWrap/>
            <w:vAlign w:val="center"/>
          </w:tcPr>
          <w:p>
            <w:pPr>
              <w:rPr>
                <w:rFonts w:ascii="宋体" w:hAnsi="宋体" w:eastAsia="宋体" w:cs="宋体"/>
                <w:color w:val="auto"/>
                <w:sz w:val="22"/>
                <w:highlight w:val="none"/>
              </w:rPr>
            </w:pPr>
          </w:p>
        </w:tc>
        <w:tc>
          <w:tcPr>
            <w:tcW w:w="18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auto"/>
                <w:sz w:val="22"/>
                <w:highlight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30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p>
        </w:tc>
        <w:tc>
          <w:tcPr>
            <w:tcW w:w="3026" w:type="dxa"/>
            <w:tcBorders>
              <w:top w:val="single" w:color="000000" w:sz="4" w:space="0"/>
              <w:left w:val="nil"/>
              <w:bottom w:val="single" w:color="000000" w:sz="4" w:space="0"/>
              <w:right w:val="single" w:color="000000" w:sz="4" w:space="0"/>
            </w:tcBorders>
            <w:noWrap/>
            <w:vAlign w:val="center"/>
          </w:tcPr>
          <w:p>
            <w:pPr>
              <w:rPr>
                <w:rFonts w:ascii="宋体" w:hAnsi="宋体" w:eastAsia="宋体" w:cs="宋体"/>
                <w:color w:val="auto"/>
                <w:sz w:val="22"/>
                <w:highlight w:val="none"/>
              </w:rPr>
            </w:pPr>
          </w:p>
        </w:tc>
        <w:tc>
          <w:tcPr>
            <w:tcW w:w="18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auto"/>
                <w:sz w:val="22"/>
                <w:highlight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30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jc w:val="center"/>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p>
        </w:tc>
        <w:tc>
          <w:tcPr>
            <w:tcW w:w="3026" w:type="dxa"/>
            <w:tcBorders>
              <w:top w:val="single" w:color="000000" w:sz="4" w:space="0"/>
              <w:left w:val="nil"/>
              <w:bottom w:val="single" w:color="000000" w:sz="4" w:space="0"/>
              <w:right w:val="single" w:color="000000" w:sz="4" w:space="0"/>
            </w:tcBorders>
            <w:noWrap/>
            <w:vAlign w:val="center"/>
          </w:tcPr>
          <w:p>
            <w:pPr>
              <w:rPr>
                <w:rFonts w:ascii="宋体" w:hAnsi="宋体" w:eastAsia="宋体" w:cs="宋体"/>
                <w:color w:val="auto"/>
                <w:sz w:val="22"/>
                <w:highlight w:val="none"/>
              </w:rPr>
            </w:pPr>
          </w:p>
        </w:tc>
        <w:tc>
          <w:tcPr>
            <w:tcW w:w="18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auto"/>
                <w:sz w:val="22"/>
                <w:highlight w:val="none"/>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c>
          <w:tcPr>
            <w:tcW w:w="30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r>
    </w:tbl>
    <w:p>
      <w:pPr>
        <w:pStyle w:val="1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p>
      <w:pPr>
        <w:pStyle w:val="1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1.以战略性新兴产业分类与国际专利分类参照关系表（2021）（试行）分类为准。</w:t>
      </w:r>
    </w:p>
    <w:p>
      <w:pPr>
        <w:pStyle w:val="1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2.后附专利首页。</w:t>
      </w:r>
    </w:p>
    <w:p>
      <w:pPr>
        <w:pStyle w:val="1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3.附相关专利在国家知识产权局专利检索及分析系统中，IPC分类号页面截图，内容至少应包含：专利名称、专利号、IPC分类号，并加盖公章。</w:t>
      </w:r>
    </w:p>
    <w:p>
      <w:pPr>
        <w:pStyle w:val="16"/>
        <w:rPr>
          <w:rFonts w:ascii="仿宋_GB2312" w:hAnsi="仿宋_GB2312" w:eastAsia="仿宋_GB2312" w:cs="仿宋_GB2312"/>
          <w:color w:val="auto"/>
          <w:sz w:val="30"/>
          <w:szCs w:val="30"/>
          <w:highlight w:val="none"/>
        </w:rPr>
      </w:pPr>
    </w:p>
    <w:p>
      <w:pPr>
        <w:pStyle w:val="16"/>
        <w:rPr>
          <w:rFonts w:ascii="仿宋_GB2312" w:hAnsi="仿宋_GB2312" w:eastAsia="仿宋_GB2312" w:cs="仿宋_GB2312"/>
          <w:color w:val="auto"/>
          <w:sz w:val="30"/>
          <w:szCs w:val="30"/>
          <w:highlight w:val="none"/>
        </w:rPr>
      </w:pPr>
    </w:p>
    <w:p>
      <w:pPr>
        <w:pStyle w:val="3"/>
        <w:wordWrap w:val="0"/>
        <w:ind w:firstLine="0" w:firstLineChars="0"/>
        <w:jc w:val="right"/>
        <w:rPr>
          <w:color w:val="auto"/>
          <w:highlight w:val="none"/>
        </w:rPr>
      </w:pPr>
      <w:r>
        <w:rPr>
          <w:rFonts w:hint="eastAsia"/>
          <w:color w:val="auto"/>
          <w:sz w:val="24"/>
          <w:szCs w:val="24"/>
          <w:highlight w:val="none"/>
        </w:rPr>
        <w:t xml:space="preserve">供应商名称（加盖公章）     </w:t>
      </w:r>
    </w:p>
    <w:p>
      <w:pPr>
        <w:pStyle w:val="16"/>
        <w:wordWrap w:val="0"/>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GB"/>
        </w:rPr>
        <w:t xml:space="preserve">年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GB"/>
        </w:rPr>
        <w:t xml:space="preserve"> 月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GB"/>
        </w:rPr>
        <w:t xml:space="preserve"> 日</w:t>
      </w:r>
      <w:r>
        <w:rPr>
          <w:rFonts w:hint="eastAsia" w:ascii="宋体" w:hAnsi="宋体" w:cs="宋体"/>
          <w:color w:val="auto"/>
          <w:sz w:val="24"/>
          <w:szCs w:val="24"/>
          <w:highlight w:val="none"/>
        </w:rPr>
        <w:t xml:space="preserve">        </w:t>
      </w:r>
    </w:p>
    <w:p>
      <w:pPr>
        <w:pStyle w:val="16"/>
        <w:jc w:val="right"/>
        <w:rPr>
          <w:rFonts w:ascii="宋体" w:hAnsi="宋体" w:cs="宋体"/>
          <w:color w:val="auto"/>
          <w:sz w:val="24"/>
          <w:szCs w:val="24"/>
          <w:highlight w:val="none"/>
        </w:rPr>
      </w:pPr>
    </w:p>
    <w:p>
      <w:pPr>
        <w:adjustRightInd/>
        <w:snapToGrid/>
        <w:spacing w:line="240" w:lineRule="auto"/>
        <w:ind w:firstLine="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16"/>
        <w:adjustRightInd w:val="0"/>
        <w:snapToGrid w:val="0"/>
        <w:spacing w:line="600" w:lineRule="exact"/>
        <w:ind w:firstLine="570"/>
        <w:rPr>
          <w:rFonts w:ascii="仿宋_GB2312" w:eastAsia="仿宋_GB2312" w:hAnsiTheme="minorEastAsia"/>
          <w:color w:val="auto"/>
          <w:sz w:val="32"/>
          <w:szCs w:val="32"/>
          <w:highlight w:val="none"/>
        </w:rPr>
      </w:pPr>
      <w:r>
        <w:rPr>
          <w:rFonts w:ascii="仿宋_GB2312" w:eastAsia="仿宋_GB2312" w:hAnsiTheme="minorEastAsia"/>
          <w:color w:val="auto"/>
          <w:sz w:val="32"/>
          <w:szCs w:val="32"/>
          <w:highlight w:val="none"/>
        </w:rPr>
        <w:t>6.4</w:t>
      </w:r>
      <w:r>
        <w:rPr>
          <w:rFonts w:hint="eastAsia" w:ascii="仿宋_GB2312" w:eastAsia="仿宋_GB2312" w:hAnsiTheme="minorEastAsia"/>
          <w:color w:val="auto"/>
          <w:sz w:val="32"/>
          <w:szCs w:val="32"/>
          <w:highlight w:val="none"/>
        </w:rPr>
        <w:t>供应商应提供的其他资料</w:t>
      </w:r>
    </w:p>
    <w:sectPr>
      <w:footerReference r:id="rId9"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5121" o:spid="_x0000_s5121" o:spt="202" type="#_x0000_t202" style="position:absolute;left:0pt;margin-top:0pt;height:23.8pt;width:9.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6"/>
                </w:pPr>
              </w:p>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5122" o:spid="_x0000_s5122" o:spt="202" type="#_x0000_t202" style="position:absolute;left:0pt;margin-top:0pt;height:11pt;width:2.3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w:r>
    <w:r>
      <w:pict>
        <v:shape id="_x0000_s5123" o:spid="_x0000_s5123" o:spt="202" type="#_x0000_t202" style="position:absolute;left:0pt;margin-top:0pt;height:23.8pt;width:9.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6"/>
                </w:pPr>
              </w:p>
              <w:p/>
            </w:txbxContent>
          </v:textbox>
        </v:shape>
      </w:pic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5124" o:spid="_x0000_s5124" o:spt="202" type="#_x0000_t202" style="position:absolute;left:0pt;margin-top:0pt;height:11pt;width:2.3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w:rPr>
        <w:sz w:val="18"/>
      </w:rPr>
      <w:pict>
        <v:shape id="_x0000_s5127" o:spid="_x0000_s5127"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4"/>
      <w:rPr>
        <w:rStyle w:val="26"/>
      </w:rPr>
    </w:pPr>
    <w:r>
      <w:fldChar w:fldCharType="begin"/>
    </w:r>
    <w:r>
      <w:rPr>
        <w:rStyle w:val="26"/>
      </w:rPr>
      <w:instrText xml:space="preserve">PAGE  </w:instrText>
    </w:r>
    <w:r>
      <w:fldChar w:fldCharType="end"/>
    </w:r>
  </w:p>
  <w:p>
    <w:pPr>
      <w:pStyle w:val="16"/>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5125" o:spid="_x0000_s5125" o:spt="202" type="#_x0000_t202" style="position:absolute;left:0pt;margin-top:0pt;height:11pt;width:4.6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w:r>
    <w:r>
      <w:pict>
        <v:shape id="_x0000_s5126" o:spid="_x0000_s5126" o:spt="202" type="#_x0000_t202" style="position:absolute;left:0pt;margin-top:0pt;height:23.8pt;width:9.5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6"/>
                </w:pPr>
              </w:p>
              <w:p/>
            </w:txbxContent>
          </v:textbox>
        </v:shape>
      </w:pic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AFD46"/>
    <w:multiLevelType w:val="singleLevel"/>
    <w:tmpl w:val="BB4AFD46"/>
    <w:lvl w:ilvl="0" w:tentative="0">
      <w:start w:val="1"/>
      <w:numFmt w:val="decimal"/>
      <w:suff w:val="space"/>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AC9ACE6"/>
    <w:multiLevelType w:val="singleLevel"/>
    <w:tmpl w:val="DAC9ACE6"/>
    <w:lvl w:ilvl="0" w:tentative="0">
      <w:start w:val="1"/>
      <w:numFmt w:val="chineseCounting"/>
      <w:suff w:val="space"/>
      <w:lvlText w:val="第%1条"/>
      <w:lvlJc w:val="left"/>
      <w:rPr>
        <w:rFonts w:hint="eastAsia"/>
        <w:b/>
        <w:bCs/>
      </w:rPr>
    </w:lvl>
  </w:abstractNum>
  <w:abstractNum w:abstractNumId="3">
    <w:nsid w:val="209A7CF0"/>
    <w:multiLevelType w:val="singleLevel"/>
    <w:tmpl w:val="209A7CF0"/>
    <w:lvl w:ilvl="0" w:tentative="0">
      <w:start w:val="1"/>
      <w:numFmt w:val="decimal"/>
      <w:lvlText w:val="%1."/>
      <w:lvlJc w:val="left"/>
      <w:pPr>
        <w:tabs>
          <w:tab w:val="left" w:pos="312"/>
        </w:tabs>
      </w:pPr>
    </w:lvl>
  </w:abstractNum>
  <w:abstractNum w:abstractNumId="4">
    <w:nsid w:val="22447551"/>
    <w:multiLevelType w:val="singleLevel"/>
    <w:tmpl w:val="22447551"/>
    <w:lvl w:ilvl="0" w:tentative="0">
      <w:start w:val="2"/>
      <w:numFmt w:val="decimal"/>
      <w:suff w:val="nothing"/>
      <w:lvlText w:val="%1."/>
      <w:lvlJc w:val="left"/>
      <w:pPr>
        <w:ind w:left="567" w:firstLine="720"/>
      </w:p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67869D94"/>
    <w:multiLevelType w:val="singleLevel"/>
    <w:tmpl w:val="67869D94"/>
    <w:lvl w:ilvl="0" w:tentative="0">
      <w:start w:val="2"/>
      <w:numFmt w:val="chineseCounting"/>
      <w:suff w:val="nothing"/>
      <w:lvlText w:val="%1、"/>
      <w:lvlJc w:val="left"/>
      <w:rPr>
        <w:rFonts w:hint="eastAsia"/>
      </w:rPr>
    </w:lvl>
  </w:abstractNum>
  <w:abstractNum w:abstractNumId="7">
    <w:nsid w:val="705D32C3"/>
    <w:multiLevelType w:val="singleLevel"/>
    <w:tmpl w:val="705D32C3"/>
    <w:lvl w:ilvl="0" w:tentative="0">
      <w:start w:val="5"/>
      <w:numFmt w:val="decimal"/>
      <w:lvlText w:val="%1."/>
      <w:lvlJc w:val="left"/>
      <w:pPr>
        <w:tabs>
          <w:tab w:val="left" w:pos="312"/>
        </w:tabs>
      </w:pPr>
    </w:lvl>
  </w:abstractNum>
  <w:abstractNum w:abstractNumId="8">
    <w:nsid w:val="75395BED"/>
    <w:multiLevelType w:val="multilevel"/>
    <w:tmpl w:val="75395BED"/>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7"/>
  </w:num>
  <w:num w:numId="3">
    <w:abstractNumId w:val="5"/>
  </w:num>
  <w:num w:numId="4">
    <w:abstractNumId w:val="8"/>
  </w:num>
  <w:num w:numId="5">
    <w:abstractNumId w:val="4"/>
  </w:num>
  <w:num w:numId="6">
    <w:abstractNumId w:val="2"/>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5"/>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lNTNmYTg2YTk2YzBlZmY5MDJmNzVhNmU5MTU4MDEifQ=="/>
  </w:docVars>
  <w:rsids>
    <w:rsidRoot w:val="005D618A"/>
    <w:rsid w:val="00247C9C"/>
    <w:rsid w:val="00324983"/>
    <w:rsid w:val="003D4028"/>
    <w:rsid w:val="003D60BA"/>
    <w:rsid w:val="004024CC"/>
    <w:rsid w:val="00411689"/>
    <w:rsid w:val="00533301"/>
    <w:rsid w:val="0054308F"/>
    <w:rsid w:val="005A35F3"/>
    <w:rsid w:val="005D618A"/>
    <w:rsid w:val="006D24FA"/>
    <w:rsid w:val="007D42DB"/>
    <w:rsid w:val="008C1BEC"/>
    <w:rsid w:val="00911ECD"/>
    <w:rsid w:val="00A042E0"/>
    <w:rsid w:val="00A866F3"/>
    <w:rsid w:val="00B26BB1"/>
    <w:rsid w:val="00B26E21"/>
    <w:rsid w:val="00B50EE1"/>
    <w:rsid w:val="00B741D7"/>
    <w:rsid w:val="00B80F56"/>
    <w:rsid w:val="00CA4258"/>
    <w:rsid w:val="00CB3927"/>
    <w:rsid w:val="00D4533C"/>
    <w:rsid w:val="00DB11B4"/>
    <w:rsid w:val="00E64124"/>
    <w:rsid w:val="00F17EB0"/>
    <w:rsid w:val="00F83B64"/>
    <w:rsid w:val="00FB38E4"/>
    <w:rsid w:val="011C07DF"/>
    <w:rsid w:val="013E3461"/>
    <w:rsid w:val="01607FCF"/>
    <w:rsid w:val="01BB0F13"/>
    <w:rsid w:val="02090C75"/>
    <w:rsid w:val="02A23A3C"/>
    <w:rsid w:val="02DD6D8B"/>
    <w:rsid w:val="02E034A0"/>
    <w:rsid w:val="02FB196F"/>
    <w:rsid w:val="033755DF"/>
    <w:rsid w:val="035D130A"/>
    <w:rsid w:val="036C262D"/>
    <w:rsid w:val="039110A9"/>
    <w:rsid w:val="03AC246A"/>
    <w:rsid w:val="03AE6061"/>
    <w:rsid w:val="03B23056"/>
    <w:rsid w:val="03DA023E"/>
    <w:rsid w:val="03DC3EBA"/>
    <w:rsid w:val="03F9794D"/>
    <w:rsid w:val="04662845"/>
    <w:rsid w:val="046A2461"/>
    <w:rsid w:val="04F574FF"/>
    <w:rsid w:val="051C2970"/>
    <w:rsid w:val="05711A7E"/>
    <w:rsid w:val="060C3611"/>
    <w:rsid w:val="06C64829"/>
    <w:rsid w:val="070E7B6E"/>
    <w:rsid w:val="071D62B7"/>
    <w:rsid w:val="077D16D2"/>
    <w:rsid w:val="082A69F3"/>
    <w:rsid w:val="08675FC8"/>
    <w:rsid w:val="09884131"/>
    <w:rsid w:val="09B713FD"/>
    <w:rsid w:val="09EF6ACC"/>
    <w:rsid w:val="0A315056"/>
    <w:rsid w:val="0A3E3B7B"/>
    <w:rsid w:val="0A694621"/>
    <w:rsid w:val="0AA213B4"/>
    <w:rsid w:val="0AF61C7E"/>
    <w:rsid w:val="0AFB45AD"/>
    <w:rsid w:val="0B187D40"/>
    <w:rsid w:val="0B351E9B"/>
    <w:rsid w:val="0B4C50D3"/>
    <w:rsid w:val="0B806B92"/>
    <w:rsid w:val="0B827E94"/>
    <w:rsid w:val="0B842F76"/>
    <w:rsid w:val="0B8F3202"/>
    <w:rsid w:val="0BB77C49"/>
    <w:rsid w:val="0BD070E1"/>
    <w:rsid w:val="0BD65B6B"/>
    <w:rsid w:val="0C2361E7"/>
    <w:rsid w:val="0C247926"/>
    <w:rsid w:val="0C7E54E8"/>
    <w:rsid w:val="0D37662E"/>
    <w:rsid w:val="0D6A1455"/>
    <w:rsid w:val="0D716C1A"/>
    <w:rsid w:val="0D794204"/>
    <w:rsid w:val="0D9D13BC"/>
    <w:rsid w:val="0DBA12E6"/>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1C26637"/>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6B75753"/>
    <w:rsid w:val="17072F54"/>
    <w:rsid w:val="17635326"/>
    <w:rsid w:val="178D4AD1"/>
    <w:rsid w:val="17B803EA"/>
    <w:rsid w:val="1815096B"/>
    <w:rsid w:val="18236EFD"/>
    <w:rsid w:val="18377249"/>
    <w:rsid w:val="185D743E"/>
    <w:rsid w:val="189D5B1F"/>
    <w:rsid w:val="18A34CD0"/>
    <w:rsid w:val="19A53EA8"/>
    <w:rsid w:val="19B64DBC"/>
    <w:rsid w:val="19CB47EA"/>
    <w:rsid w:val="19EC6A4A"/>
    <w:rsid w:val="1A373ACF"/>
    <w:rsid w:val="1A7B10BA"/>
    <w:rsid w:val="1A895341"/>
    <w:rsid w:val="1B0D071F"/>
    <w:rsid w:val="1B3020AA"/>
    <w:rsid w:val="1B4568CE"/>
    <w:rsid w:val="1B9015B7"/>
    <w:rsid w:val="1B950DA6"/>
    <w:rsid w:val="1BF54245"/>
    <w:rsid w:val="1C3A035E"/>
    <w:rsid w:val="1C752741"/>
    <w:rsid w:val="1C762AA7"/>
    <w:rsid w:val="1C7A6810"/>
    <w:rsid w:val="1CBD546F"/>
    <w:rsid w:val="1D0E6976"/>
    <w:rsid w:val="1D5A79EE"/>
    <w:rsid w:val="1D923E12"/>
    <w:rsid w:val="1E0E2CD0"/>
    <w:rsid w:val="1E164317"/>
    <w:rsid w:val="1E6E2769"/>
    <w:rsid w:val="1E831280"/>
    <w:rsid w:val="1EBC4704"/>
    <w:rsid w:val="1ED47CA2"/>
    <w:rsid w:val="1EE522C8"/>
    <w:rsid w:val="1F172EB5"/>
    <w:rsid w:val="1F22070B"/>
    <w:rsid w:val="1F94592D"/>
    <w:rsid w:val="1FB860DE"/>
    <w:rsid w:val="203C5A02"/>
    <w:rsid w:val="209D4C94"/>
    <w:rsid w:val="20B44FCD"/>
    <w:rsid w:val="20E84705"/>
    <w:rsid w:val="218400BA"/>
    <w:rsid w:val="21AB1E2F"/>
    <w:rsid w:val="21D40498"/>
    <w:rsid w:val="22493963"/>
    <w:rsid w:val="22767047"/>
    <w:rsid w:val="228813B7"/>
    <w:rsid w:val="22E418F0"/>
    <w:rsid w:val="23451001"/>
    <w:rsid w:val="23A05588"/>
    <w:rsid w:val="240476A1"/>
    <w:rsid w:val="24E953B9"/>
    <w:rsid w:val="252D708C"/>
    <w:rsid w:val="25431AEB"/>
    <w:rsid w:val="257858B7"/>
    <w:rsid w:val="25B875EB"/>
    <w:rsid w:val="25BE3BFB"/>
    <w:rsid w:val="25BF43FD"/>
    <w:rsid w:val="25F86BCD"/>
    <w:rsid w:val="2605748B"/>
    <w:rsid w:val="260B2287"/>
    <w:rsid w:val="26396D26"/>
    <w:rsid w:val="263E12CD"/>
    <w:rsid w:val="264544A6"/>
    <w:rsid w:val="267702FB"/>
    <w:rsid w:val="269E416A"/>
    <w:rsid w:val="26A30712"/>
    <w:rsid w:val="26C11C6B"/>
    <w:rsid w:val="272100D3"/>
    <w:rsid w:val="272C72FC"/>
    <w:rsid w:val="273477E1"/>
    <w:rsid w:val="275131CB"/>
    <w:rsid w:val="278F6521"/>
    <w:rsid w:val="27A14592"/>
    <w:rsid w:val="27EB149D"/>
    <w:rsid w:val="27FD3E52"/>
    <w:rsid w:val="28021134"/>
    <w:rsid w:val="284130B3"/>
    <w:rsid w:val="28E11370"/>
    <w:rsid w:val="294A756A"/>
    <w:rsid w:val="29781BF8"/>
    <w:rsid w:val="297939E2"/>
    <w:rsid w:val="29C33ED0"/>
    <w:rsid w:val="29D5322D"/>
    <w:rsid w:val="29F11AD6"/>
    <w:rsid w:val="2A025DD9"/>
    <w:rsid w:val="2A2619CB"/>
    <w:rsid w:val="2A48356C"/>
    <w:rsid w:val="2A7317D3"/>
    <w:rsid w:val="2A7C2231"/>
    <w:rsid w:val="2A920E4F"/>
    <w:rsid w:val="2AA35184"/>
    <w:rsid w:val="2AAC57B8"/>
    <w:rsid w:val="2ABB753D"/>
    <w:rsid w:val="2AFE6EC4"/>
    <w:rsid w:val="2B345DDC"/>
    <w:rsid w:val="2B5E4A9B"/>
    <w:rsid w:val="2B7A49FA"/>
    <w:rsid w:val="2C5001C7"/>
    <w:rsid w:val="2C615D26"/>
    <w:rsid w:val="2C777084"/>
    <w:rsid w:val="2CB679ED"/>
    <w:rsid w:val="2CB73169"/>
    <w:rsid w:val="2CE83C37"/>
    <w:rsid w:val="2CEB2FFC"/>
    <w:rsid w:val="2D173C07"/>
    <w:rsid w:val="2D424A86"/>
    <w:rsid w:val="2DDA66B7"/>
    <w:rsid w:val="2E43476A"/>
    <w:rsid w:val="2E55425D"/>
    <w:rsid w:val="2E6F2D11"/>
    <w:rsid w:val="2E7B52DB"/>
    <w:rsid w:val="2ED60115"/>
    <w:rsid w:val="2F324CFE"/>
    <w:rsid w:val="2FA76A22"/>
    <w:rsid w:val="2FBA09F1"/>
    <w:rsid w:val="2FC254E7"/>
    <w:rsid w:val="2FEF2ACF"/>
    <w:rsid w:val="2FF93D20"/>
    <w:rsid w:val="30540211"/>
    <w:rsid w:val="30E45100"/>
    <w:rsid w:val="31112A0D"/>
    <w:rsid w:val="31177F87"/>
    <w:rsid w:val="3118711F"/>
    <w:rsid w:val="311F4B20"/>
    <w:rsid w:val="312D7741"/>
    <w:rsid w:val="316F137F"/>
    <w:rsid w:val="31815AF3"/>
    <w:rsid w:val="31C9409A"/>
    <w:rsid w:val="31DF525F"/>
    <w:rsid w:val="31E10D64"/>
    <w:rsid w:val="31EC162B"/>
    <w:rsid w:val="32324C2E"/>
    <w:rsid w:val="324167FF"/>
    <w:rsid w:val="3255396F"/>
    <w:rsid w:val="327171DF"/>
    <w:rsid w:val="33133EB9"/>
    <w:rsid w:val="334915B0"/>
    <w:rsid w:val="33537941"/>
    <w:rsid w:val="3391569E"/>
    <w:rsid w:val="341E3434"/>
    <w:rsid w:val="349A34DB"/>
    <w:rsid w:val="34BB4442"/>
    <w:rsid w:val="3584136B"/>
    <w:rsid w:val="35EE5A04"/>
    <w:rsid w:val="35F76384"/>
    <w:rsid w:val="35FF5AA4"/>
    <w:rsid w:val="360B7EBA"/>
    <w:rsid w:val="36416867"/>
    <w:rsid w:val="367D5DD4"/>
    <w:rsid w:val="369C32FD"/>
    <w:rsid w:val="36B23B4B"/>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2319C9"/>
    <w:rsid w:val="3B477B26"/>
    <w:rsid w:val="3B4F0A10"/>
    <w:rsid w:val="3B5B0FF1"/>
    <w:rsid w:val="3B7C2CE4"/>
    <w:rsid w:val="3BAF716B"/>
    <w:rsid w:val="3C0B5355"/>
    <w:rsid w:val="3C7E7F35"/>
    <w:rsid w:val="3CD4176B"/>
    <w:rsid w:val="3D1F44D9"/>
    <w:rsid w:val="3D5C38CD"/>
    <w:rsid w:val="3DA94408"/>
    <w:rsid w:val="3E5070F1"/>
    <w:rsid w:val="3E7569E0"/>
    <w:rsid w:val="3EC370CB"/>
    <w:rsid w:val="3F6C3589"/>
    <w:rsid w:val="3F850180"/>
    <w:rsid w:val="3F9004D6"/>
    <w:rsid w:val="3FB53538"/>
    <w:rsid w:val="3FEE7CFA"/>
    <w:rsid w:val="400E4D5E"/>
    <w:rsid w:val="40B05AAD"/>
    <w:rsid w:val="40E1138C"/>
    <w:rsid w:val="413814BA"/>
    <w:rsid w:val="41872511"/>
    <w:rsid w:val="41DF1251"/>
    <w:rsid w:val="424236D9"/>
    <w:rsid w:val="42466655"/>
    <w:rsid w:val="424E4DD4"/>
    <w:rsid w:val="42650575"/>
    <w:rsid w:val="42726782"/>
    <w:rsid w:val="42C82F57"/>
    <w:rsid w:val="435707E5"/>
    <w:rsid w:val="439927E1"/>
    <w:rsid w:val="43C76AF7"/>
    <w:rsid w:val="43D54C8A"/>
    <w:rsid w:val="43E97E4A"/>
    <w:rsid w:val="440D65DA"/>
    <w:rsid w:val="446828F0"/>
    <w:rsid w:val="45093E85"/>
    <w:rsid w:val="450B3BFA"/>
    <w:rsid w:val="45C13B4D"/>
    <w:rsid w:val="46054BCA"/>
    <w:rsid w:val="464C6AFC"/>
    <w:rsid w:val="468B0091"/>
    <w:rsid w:val="4698061E"/>
    <w:rsid w:val="46A107C3"/>
    <w:rsid w:val="46B02D60"/>
    <w:rsid w:val="46B15CE2"/>
    <w:rsid w:val="46BE113D"/>
    <w:rsid w:val="46E44B13"/>
    <w:rsid w:val="4703508A"/>
    <w:rsid w:val="475023F8"/>
    <w:rsid w:val="479A1E7B"/>
    <w:rsid w:val="479D361E"/>
    <w:rsid w:val="47B74789"/>
    <w:rsid w:val="47C87B80"/>
    <w:rsid w:val="47FF642C"/>
    <w:rsid w:val="48032A55"/>
    <w:rsid w:val="480F2B9D"/>
    <w:rsid w:val="48102176"/>
    <w:rsid w:val="48282920"/>
    <w:rsid w:val="483E1347"/>
    <w:rsid w:val="485321E0"/>
    <w:rsid w:val="48546AD3"/>
    <w:rsid w:val="48847404"/>
    <w:rsid w:val="48AE2615"/>
    <w:rsid w:val="48CA4868"/>
    <w:rsid w:val="48D77A31"/>
    <w:rsid w:val="48F005D3"/>
    <w:rsid w:val="49466522"/>
    <w:rsid w:val="49547ADD"/>
    <w:rsid w:val="49732351"/>
    <w:rsid w:val="498F4AF1"/>
    <w:rsid w:val="49B37AF6"/>
    <w:rsid w:val="49C05787"/>
    <w:rsid w:val="49CF518D"/>
    <w:rsid w:val="49D56585"/>
    <w:rsid w:val="49EC0F55"/>
    <w:rsid w:val="4A0A3D88"/>
    <w:rsid w:val="4A757BB4"/>
    <w:rsid w:val="4A7F3979"/>
    <w:rsid w:val="4ADA1F63"/>
    <w:rsid w:val="4AE23D89"/>
    <w:rsid w:val="4B2038D0"/>
    <w:rsid w:val="4B296E7D"/>
    <w:rsid w:val="4B79394E"/>
    <w:rsid w:val="4B877F28"/>
    <w:rsid w:val="4BC77561"/>
    <w:rsid w:val="4CD200BA"/>
    <w:rsid w:val="4CDE02C5"/>
    <w:rsid w:val="4D2044E7"/>
    <w:rsid w:val="4D8330BA"/>
    <w:rsid w:val="4D916BA6"/>
    <w:rsid w:val="4DC44169"/>
    <w:rsid w:val="4DE24E21"/>
    <w:rsid w:val="4DEC7CCB"/>
    <w:rsid w:val="4E1B19A3"/>
    <w:rsid w:val="4E48787F"/>
    <w:rsid w:val="4E8D5680"/>
    <w:rsid w:val="4EF0709E"/>
    <w:rsid w:val="4F0469A4"/>
    <w:rsid w:val="4F713D7E"/>
    <w:rsid w:val="4FBF5D0D"/>
    <w:rsid w:val="4FDA0C90"/>
    <w:rsid w:val="500E56F4"/>
    <w:rsid w:val="50540C73"/>
    <w:rsid w:val="50752AF8"/>
    <w:rsid w:val="50D05D25"/>
    <w:rsid w:val="51030009"/>
    <w:rsid w:val="51306880"/>
    <w:rsid w:val="513C6A7B"/>
    <w:rsid w:val="517300C9"/>
    <w:rsid w:val="51B31D16"/>
    <w:rsid w:val="52485B88"/>
    <w:rsid w:val="5266714D"/>
    <w:rsid w:val="52B21D26"/>
    <w:rsid w:val="52EC6EC2"/>
    <w:rsid w:val="532D486F"/>
    <w:rsid w:val="5333545B"/>
    <w:rsid w:val="535C3DB3"/>
    <w:rsid w:val="538D0E89"/>
    <w:rsid w:val="5450213C"/>
    <w:rsid w:val="546378B1"/>
    <w:rsid w:val="546711F3"/>
    <w:rsid w:val="546C3825"/>
    <w:rsid w:val="54B17344"/>
    <w:rsid w:val="54D062C6"/>
    <w:rsid w:val="54D24048"/>
    <w:rsid w:val="54D64CD5"/>
    <w:rsid w:val="54DD1CC8"/>
    <w:rsid w:val="5508638F"/>
    <w:rsid w:val="5532287C"/>
    <w:rsid w:val="55887D69"/>
    <w:rsid w:val="55A84374"/>
    <w:rsid w:val="55EE5D11"/>
    <w:rsid w:val="561A0928"/>
    <w:rsid w:val="56423872"/>
    <w:rsid w:val="569E06BC"/>
    <w:rsid w:val="56B279F0"/>
    <w:rsid w:val="56F20F86"/>
    <w:rsid w:val="57283E0B"/>
    <w:rsid w:val="579D710E"/>
    <w:rsid w:val="581F22F6"/>
    <w:rsid w:val="586E1E17"/>
    <w:rsid w:val="58862C35"/>
    <w:rsid w:val="58B77D99"/>
    <w:rsid w:val="58C14957"/>
    <w:rsid w:val="58C44EB1"/>
    <w:rsid w:val="58CC23D2"/>
    <w:rsid w:val="58E66050"/>
    <w:rsid w:val="596B36B6"/>
    <w:rsid w:val="59E63F07"/>
    <w:rsid w:val="59FC7994"/>
    <w:rsid w:val="5AE83A50"/>
    <w:rsid w:val="5B353193"/>
    <w:rsid w:val="5BA113F4"/>
    <w:rsid w:val="5BAB2917"/>
    <w:rsid w:val="5BFC33FA"/>
    <w:rsid w:val="5C3107A4"/>
    <w:rsid w:val="5C337866"/>
    <w:rsid w:val="5C3B1B93"/>
    <w:rsid w:val="5C9220DF"/>
    <w:rsid w:val="5D4A15F3"/>
    <w:rsid w:val="5D69542A"/>
    <w:rsid w:val="5D783B72"/>
    <w:rsid w:val="5E0930EF"/>
    <w:rsid w:val="5E3D4D53"/>
    <w:rsid w:val="5E4717E6"/>
    <w:rsid w:val="5E55774C"/>
    <w:rsid w:val="5E8A70FF"/>
    <w:rsid w:val="5EB80CF4"/>
    <w:rsid w:val="5F481E68"/>
    <w:rsid w:val="60045F96"/>
    <w:rsid w:val="60104DDC"/>
    <w:rsid w:val="605C0804"/>
    <w:rsid w:val="60913E6F"/>
    <w:rsid w:val="60A62FEE"/>
    <w:rsid w:val="611F0045"/>
    <w:rsid w:val="61733C3E"/>
    <w:rsid w:val="617A1B7C"/>
    <w:rsid w:val="6189617B"/>
    <w:rsid w:val="61B52BB6"/>
    <w:rsid w:val="61B749C2"/>
    <w:rsid w:val="61F66F47"/>
    <w:rsid w:val="62280D20"/>
    <w:rsid w:val="629C50CC"/>
    <w:rsid w:val="62B4786E"/>
    <w:rsid w:val="62B94A87"/>
    <w:rsid w:val="62CA2457"/>
    <w:rsid w:val="631303F2"/>
    <w:rsid w:val="638240A1"/>
    <w:rsid w:val="63833423"/>
    <w:rsid w:val="63A5257B"/>
    <w:rsid w:val="63BD3DCC"/>
    <w:rsid w:val="63C61741"/>
    <w:rsid w:val="64560967"/>
    <w:rsid w:val="6535464F"/>
    <w:rsid w:val="656B1D10"/>
    <w:rsid w:val="6579460B"/>
    <w:rsid w:val="65B841F9"/>
    <w:rsid w:val="66022B28"/>
    <w:rsid w:val="664A38E2"/>
    <w:rsid w:val="66581E87"/>
    <w:rsid w:val="666F1DE3"/>
    <w:rsid w:val="66766EBB"/>
    <w:rsid w:val="66FA11D5"/>
    <w:rsid w:val="67205C40"/>
    <w:rsid w:val="674302C7"/>
    <w:rsid w:val="6758715C"/>
    <w:rsid w:val="67CB09D8"/>
    <w:rsid w:val="67EE3B0F"/>
    <w:rsid w:val="680A5986"/>
    <w:rsid w:val="680D5F4B"/>
    <w:rsid w:val="68113F51"/>
    <w:rsid w:val="684D75AC"/>
    <w:rsid w:val="68B272C7"/>
    <w:rsid w:val="68E94770"/>
    <w:rsid w:val="68EC1CEF"/>
    <w:rsid w:val="68F949C9"/>
    <w:rsid w:val="68FD5F3D"/>
    <w:rsid w:val="695A4290"/>
    <w:rsid w:val="696F3649"/>
    <w:rsid w:val="6A267606"/>
    <w:rsid w:val="6A3240F1"/>
    <w:rsid w:val="6A334932"/>
    <w:rsid w:val="6A3353FF"/>
    <w:rsid w:val="6A372C18"/>
    <w:rsid w:val="6A5D63E6"/>
    <w:rsid w:val="6A5F24D1"/>
    <w:rsid w:val="6ACA70C4"/>
    <w:rsid w:val="6AD51554"/>
    <w:rsid w:val="6AE347EB"/>
    <w:rsid w:val="6B330365"/>
    <w:rsid w:val="6B434AF0"/>
    <w:rsid w:val="6B57675A"/>
    <w:rsid w:val="6B87098A"/>
    <w:rsid w:val="6BA22313"/>
    <w:rsid w:val="6BDD7B4D"/>
    <w:rsid w:val="6D52013C"/>
    <w:rsid w:val="6D9503B7"/>
    <w:rsid w:val="6DF004EC"/>
    <w:rsid w:val="6E54240F"/>
    <w:rsid w:val="6EBC0B3A"/>
    <w:rsid w:val="6EED597D"/>
    <w:rsid w:val="6EF51C7D"/>
    <w:rsid w:val="6F8363E5"/>
    <w:rsid w:val="6F841DCF"/>
    <w:rsid w:val="6FA6433B"/>
    <w:rsid w:val="6FA80CCD"/>
    <w:rsid w:val="6FAC3CC5"/>
    <w:rsid w:val="6FB76632"/>
    <w:rsid w:val="6FC746F5"/>
    <w:rsid w:val="6FE33EF5"/>
    <w:rsid w:val="70317AC6"/>
    <w:rsid w:val="704B26F7"/>
    <w:rsid w:val="70697B21"/>
    <w:rsid w:val="70863262"/>
    <w:rsid w:val="70A76ED3"/>
    <w:rsid w:val="71860B17"/>
    <w:rsid w:val="71A63A80"/>
    <w:rsid w:val="71AE04BF"/>
    <w:rsid w:val="71B22797"/>
    <w:rsid w:val="71CE2A46"/>
    <w:rsid w:val="723B27CC"/>
    <w:rsid w:val="72565C05"/>
    <w:rsid w:val="72687227"/>
    <w:rsid w:val="72A03FD9"/>
    <w:rsid w:val="73406CFF"/>
    <w:rsid w:val="7383028C"/>
    <w:rsid w:val="73A25E44"/>
    <w:rsid w:val="741F68CF"/>
    <w:rsid w:val="74DE7DCA"/>
    <w:rsid w:val="75252DF3"/>
    <w:rsid w:val="75621536"/>
    <w:rsid w:val="75BF3154"/>
    <w:rsid w:val="75DA4A2D"/>
    <w:rsid w:val="76400F7F"/>
    <w:rsid w:val="764A07CF"/>
    <w:rsid w:val="764F6B3D"/>
    <w:rsid w:val="76CD2B7B"/>
    <w:rsid w:val="76D80645"/>
    <w:rsid w:val="76E03371"/>
    <w:rsid w:val="76F37914"/>
    <w:rsid w:val="771211AA"/>
    <w:rsid w:val="77736C04"/>
    <w:rsid w:val="780E5898"/>
    <w:rsid w:val="782642CC"/>
    <w:rsid w:val="788C3D53"/>
    <w:rsid w:val="7894095E"/>
    <w:rsid w:val="78964555"/>
    <w:rsid w:val="78CF4963"/>
    <w:rsid w:val="79000679"/>
    <w:rsid w:val="7916258F"/>
    <w:rsid w:val="791C0FE5"/>
    <w:rsid w:val="79A416F0"/>
    <w:rsid w:val="79B03EB6"/>
    <w:rsid w:val="79B61437"/>
    <w:rsid w:val="79D35A59"/>
    <w:rsid w:val="7AE15A5C"/>
    <w:rsid w:val="7AF37579"/>
    <w:rsid w:val="7AF87F64"/>
    <w:rsid w:val="7B1C0C84"/>
    <w:rsid w:val="7B1E408D"/>
    <w:rsid w:val="7B5A62DF"/>
    <w:rsid w:val="7B7A04A8"/>
    <w:rsid w:val="7B8E4662"/>
    <w:rsid w:val="7BFC5A6F"/>
    <w:rsid w:val="7C0C3F6D"/>
    <w:rsid w:val="7C22163C"/>
    <w:rsid w:val="7C457B4B"/>
    <w:rsid w:val="7C595075"/>
    <w:rsid w:val="7C6B07B2"/>
    <w:rsid w:val="7D007C96"/>
    <w:rsid w:val="7D133243"/>
    <w:rsid w:val="7D306F70"/>
    <w:rsid w:val="7D945420"/>
    <w:rsid w:val="7D997857"/>
    <w:rsid w:val="7DD07A4B"/>
    <w:rsid w:val="7DDB7408"/>
    <w:rsid w:val="7E1001D8"/>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unhideWhenUsed/>
    <w:qFormat/>
    <w:uiPriority w:val="99"/>
    <w:pPr>
      <w:jc w:val="left"/>
    </w:pPr>
  </w:style>
  <w:style w:type="paragraph" w:styleId="9">
    <w:name w:val="Body Text 3"/>
    <w:basedOn w:val="1"/>
    <w:link w:val="43"/>
    <w:unhideWhenUsed/>
    <w:qFormat/>
    <w:uiPriority w:val="99"/>
    <w:pPr>
      <w:spacing w:after="120"/>
    </w:pPr>
    <w:rPr>
      <w:sz w:val="16"/>
      <w:szCs w:val="16"/>
    </w:rPr>
  </w:style>
  <w:style w:type="paragraph" w:styleId="10">
    <w:name w:val="Body Text Indent"/>
    <w:basedOn w:val="1"/>
    <w:next w:val="1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envelope return"/>
    <w:basedOn w:val="1"/>
    <w:qFormat/>
    <w:uiPriority w:val="0"/>
    <w:pPr>
      <w:snapToGrid w:val="0"/>
    </w:pPr>
    <w:rPr>
      <w:rFonts w:ascii="Arial" w:hAnsi="Arial"/>
      <w:szCs w:val="24"/>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spacing w:after="120" w:line="480" w:lineRule="auto"/>
      <w:ind w:left="420" w:leftChars="200"/>
    </w:pPr>
    <w:rPr>
      <w:rFonts w:ascii="Calibri" w:hAnsi="Calibri" w:eastAsia="宋体" w:cs="Times New Roman"/>
    </w:rPr>
  </w:style>
  <w:style w:type="paragraph" w:styleId="15">
    <w:name w:val="Balloon Text"/>
    <w:basedOn w:val="1"/>
    <w:link w:val="38"/>
    <w:semiHidden/>
    <w:unhideWhenUsed/>
    <w:qFormat/>
    <w:uiPriority w:val="99"/>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Body Text First Indent 2"/>
    <w:basedOn w:val="10"/>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page number"/>
    <w:basedOn w:val="25"/>
    <w:unhideWhenUsed/>
    <w:qFormat/>
    <w:uiPriority w:val="99"/>
  </w:style>
  <w:style w:type="character" w:styleId="27">
    <w:name w:val="Hyperlink"/>
    <w:basedOn w:val="25"/>
    <w:unhideWhenUsed/>
    <w:qFormat/>
    <w:uiPriority w:val="99"/>
    <w:rPr>
      <w:color w:val="0000FF" w:themeColor="hyperlink"/>
      <w:u w:val="single"/>
    </w:rPr>
  </w:style>
  <w:style w:type="character" w:styleId="28">
    <w:name w:val="annotation reference"/>
    <w:basedOn w:val="25"/>
    <w:semiHidden/>
    <w:unhideWhenUsed/>
    <w:qFormat/>
    <w:uiPriority w:val="99"/>
    <w:rPr>
      <w:sz w:val="21"/>
      <w:szCs w:val="21"/>
    </w:rPr>
  </w:style>
  <w:style w:type="paragraph" w:customStyle="1" w:styleId="29">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tabs>
        <w:tab w:val="left" w:pos="360"/>
      </w:tabs>
      <w:ind w:left="1080" w:leftChars="500" w:hanging="1080" w:hangingChars="500"/>
    </w:pPr>
    <w:rPr>
      <w:rFonts w:ascii="Arial" w:hAnsi="Arial"/>
      <w:sz w:val="24"/>
    </w:rPr>
  </w:style>
  <w:style w:type="paragraph" w:customStyle="1" w:styleId="30">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5"/>
    <w:link w:val="17"/>
    <w:semiHidden/>
    <w:qFormat/>
    <w:uiPriority w:val="99"/>
    <w:rPr>
      <w:sz w:val="18"/>
      <w:szCs w:val="18"/>
    </w:rPr>
  </w:style>
  <w:style w:type="character" w:customStyle="1" w:styleId="32">
    <w:name w:val="页脚 字符"/>
    <w:basedOn w:val="25"/>
    <w:link w:val="16"/>
    <w:qFormat/>
    <w:uiPriority w:val="99"/>
    <w:rPr>
      <w:sz w:val="18"/>
      <w:szCs w:val="18"/>
    </w:rPr>
  </w:style>
  <w:style w:type="character" w:customStyle="1" w:styleId="33">
    <w:name w:val="标题 1 字符"/>
    <w:basedOn w:val="25"/>
    <w:link w:val="4"/>
    <w:qFormat/>
    <w:uiPriority w:val="9"/>
    <w:rPr>
      <w:rFonts w:eastAsia="方正小标宋简体"/>
      <w:bCs/>
      <w:kern w:val="44"/>
      <w:sz w:val="44"/>
      <w:szCs w:val="44"/>
    </w:rPr>
  </w:style>
  <w:style w:type="character" w:customStyle="1" w:styleId="34">
    <w:name w:val="标题 2 字符"/>
    <w:basedOn w:val="25"/>
    <w:link w:val="5"/>
    <w:qFormat/>
    <w:uiPriority w:val="9"/>
    <w:rPr>
      <w:rFonts w:eastAsia="方正小标宋简体" w:asciiTheme="majorHAnsi" w:hAnsiTheme="majorHAnsi" w:cstheme="majorBidi"/>
      <w:bCs/>
      <w:sz w:val="36"/>
      <w:szCs w:val="32"/>
    </w:rPr>
  </w:style>
  <w:style w:type="character" w:customStyle="1" w:styleId="35">
    <w:name w:val="标题 3 字符"/>
    <w:basedOn w:val="25"/>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8">
    <w:name w:val="批注框文本 字符"/>
    <w:basedOn w:val="25"/>
    <w:link w:val="15"/>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30"/>
    <w:next w:val="30"/>
    <w:qFormat/>
    <w:uiPriority w:val="0"/>
    <w:pPr>
      <w:spacing w:after="373"/>
    </w:pPr>
    <w:rPr>
      <w:color w:val="auto"/>
    </w:rPr>
  </w:style>
  <w:style w:type="paragraph" w:customStyle="1" w:styleId="41">
    <w:name w:val="CM91"/>
    <w:basedOn w:val="30"/>
    <w:next w:val="30"/>
    <w:qFormat/>
    <w:uiPriority w:val="0"/>
    <w:pPr>
      <w:spacing w:after="160"/>
    </w:pPr>
    <w:rPr>
      <w:color w:val="auto"/>
    </w:rPr>
  </w:style>
  <w:style w:type="character" w:customStyle="1" w:styleId="42">
    <w:name w:val="正文文本 3 Char"/>
    <w:qFormat/>
    <w:uiPriority w:val="99"/>
    <w:rPr>
      <w:sz w:val="16"/>
      <w:szCs w:val="16"/>
    </w:rPr>
  </w:style>
  <w:style w:type="character" w:customStyle="1" w:styleId="43">
    <w:name w:val="正文文本 3 字符"/>
    <w:basedOn w:val="25"/>
    <w:link w:val="9"/>
    <w:semiHidden/>
    <w:qFormat/>
    <w:uiPriority w:val="99"/>
    <w:rPr>
      <w:sz w:val="16"/>
      <w:szCs w:val="16"/>
    </w:rPr>
  </w:style>
  <w:style w:type="character" w:customStyle="1" w:styleId="44">
    <w:name w:val="列表段落 字符"/>
    <w:link w:val="36"/>
    <w:qFormat/>
    <w:uiPriority w:val="34"/>
  </w:style>
  <w:style w:type="paragraph" w:customStyle="1" w:styleId="45">
    <w:name w:val="1"/>
    <w:basedOn w:val="1"/>
    <w:next w:val="13"/>
    <w:qFormat/>
    <w:uiPriority w:val="99"/>
    <w:rPr>
      <w:rFonts w:ascii="宋体" w:hAnsi="Courier New"/>
    </w:rPr>
  </w:style>
  <w:style w:type="paragraph" w:customStyle="1" w:styleId="46">
    <w:name w:val="WPSOffice手动目录 1"/>
    <w:qFormat/>
    <w:uiPriority w:val="0"/>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table" w:customStyle="1" w:styleId="50">
    <w:name w:val="网格型1"/>
    <w:basedOn w:val="2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1">
    <w:name w:val="font11"/>
    <w:basedOn w:val="25"/>
    <w:qFormat/>
    <w:uiPriority w:val="0"/>
    <w:rPr>
      <w:rFonts w:hint="eastAsia" w:ascii="宋体" w:hAnsi="宋体" w:eastAsia="宋体" w:cs="宋体"/>
      <w:b/>
      <w:bCs/>
      <w:color w:val="000000"/>
      <w:sz w:val="24"/>
      <w:szCs w:val="24"/>
      <w:u w:val="none"/>
    </w:rPr>
  </w:style>
  <w:style w:type="character" w:customStyle="1" w:styleId="52">
    <w:name w:val="font31"/>
    <w:basedOn w:val="25"/>
    <w:qFormat/>
    <w:uiPriority w:val="0"/>
    <w:rPr>
      <w:rFonts w:hint="default" w:ascii="Times New Roman" w:hAnsi="Times New Roman" w:cs="Times New Roman"/>
      <w:color w:val="000000"/>
      <w:sz w:val="24"/>
      <w:szCs w:val="24"/>
      <w:u w:val="none"/>
    </w:rPr>
  </w:style>
  <w:style w:type="character" w:customStyle="1" w:styleId="53">
    <w:name w:val="font21"/>
    <w:basedOn w:val="2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5121"/>
    <customShpInfo spid="_x0000_s5122"/>
    <customShpInfo spid="_x0000_s5123"/>
    <customShpInfo spid="_x0000_s5124"/>
    <customShpInfo spid="_x0000_s5127" textRotate="1"/>
    <customShpInfo spid="_x0000_s5125"/>
    <customShpInfo spid="_x0000_s51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29298</Words>
  <Characters>30311</Characters>
  <Lines>240</Lines>
  <Paragraphs>67</Paragraphs>
  <TotalTime>32</TotalTime>
  <ScaleCrop>false</ScaleCrop>
  <LinksUpToDate>false</LinksUpToDate>
  <CharactersWithSpaces>32550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2024-08-14T08:14:00Z</cp:lastPrinted>
  <dcterms:modified xsi:type="dcterms:W3CDTF">2024-10-16T07:56:53Z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D6176A9F3813413D93C65D082196C9FE</vt:lpwstr>
  </property>
</Properties>
</file>