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97" w:name="_GoBack"/>
      <w:bookmarkEnd w:id="197"/>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cstheme="minorBidi"/>
          <w:b w:val="0"/>
          <w:bCs w:val="0"/>
          <w:color w:val="auto"/>
          <w:sz w:val="52"/>
          <w:szCs w:val="52"/>
          <w:highlight w:val="none"/>
          <w:lang w:val="en-US" w:eastAsia="zh-CN"/>
        </w:rPr>
        <w:t>大坦沙分公司2024年三期仓库电梯采购项目（第二次）</w:t>
      </w:r>
    </w:p>
    <w:p>
      <w:pPr>
        <w:pStyle w:val="2"/>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3"/>
        <w:rPr>
          <w:rFonts w:ascii="仿宋_GB2312" w:eastAsia="仿宋_GB2312"/>
          <w:color w:val="auto"/>
          <w:sz w:val="32"/>
          <w:szCs w:val="32"/>
          <w:highlight w:val="none"/>
        </w:rPr>
      </w:pPr>
    </w:p>
    <w:p>
      <w:pPr>
        <w:rPr>
          <w:color w:val="auto"/>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rPr>
          <w:rFonts w:hint="eastAsia"/>
          <w:color w:val="auto"/>
          <w:highlight w:val="none"/>
        </w:rPr>
      </w:pPr>
      <w:bookmarkStart w:id="4" w:name="_Toc1669"/>
      <w:bookmarkStart w:id="5" w:name="_Toc11322"/>
      <w:bookmarkStart w:id="6" w:name="_Toc17801"/>
      <w:bookmarkStart w:id="7" w:name="_Toc31938"/>
      <w:bookmarkStart w:id="8" w:name="_Toc19609"/>
      <w:bookmarkStart w:id="9" w:name="_Toc7519"/>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48895</wp:posOffset>
                </wp:positionV>
                <wp:extent cx="958850" cy="0"/>
                <wp:effectExtent l="0" t="4445" r="0" b="5080"/>
                <wp:wrapNone/>
                <wp:docPr id="14"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3.85pt;height:0pt;width:75.5pt;z-index:251670528;mso-width-relative:page;mso-height-relative:page;" filled="f" stroked="t" coordsize="21600,21600" o:gfxdata="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jYlC9QAAAAHAQAADwAAAAAAAAABACAAAAAiAAAAZHJzL2Rvd25yZXYueG1sUEsBAhQAFAAA&#10;AAgAh07iQB7MImD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2332990</wp:posOffset>
                </wp:positionH>
                <wp:positionV relativeFrom="paragraph">
                  <wp:posOffset>518795</wp:posOffset>
                </wp:positionV>
                <wp:extent cx="958850" cy="0"/>
                <wp:effectExtent l="0" t="4445" r="0" b="5080"/>
                <wp:wrapNone/>
                <wp:docPr id="15"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7pt;margin-top:40.85pt;height:0pt;width:75.5pt;z-index:251671552;mso-width-relative:page;mso-height-relative:page;" filled="f" stroked="t" coordsize="21600,21600" o:gfxdata="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M84cWLrx&#10;u8/ff336cvv15+2Pb2zyImvUB6wpdOU28bTDsImZ8KGNNv+JCjsUXY9nXdUhMUGHL2fz+YwUF/eu&#10;6iEvREyvlbcsGw3HFEHvurTyztHl+TgpssL+DSaqTIn3CbmocazP8FPqXQA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N2hltcAAAAJAQAADwAAAAAAAAABACAAAAAiAAAAZHJzL2Rvd25yZXYueG1sUEsBAhQA&#10;FAAAAAgAh07iQGFJXO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广州市净水有限公司大坦沙分公司2024年三期仓库电梯采购项目（第二次）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广州市净水有限公司大坦沙分公司2024年三期仓库电梯采购项目（第二次）</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XJ-20240925-1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34.4</w:t>
      </w:r>
      <w:r>
        <w:rPr>
          <w:rFonts w:hint="eastAsia" w:ascii="仿宋" w:hAnsi="仿宋" w:eastAsia="仿宋" w:cs="仿宋"/>
          <w:color w:val="auto"/>
          <w:sz w:val="28"/>
          <w:szCs w:val="28"/>
          <w:highlight w:val="none"/>
          <w:u w:val="single"/>
        </w:rPr>
        <w:t>万元（人民币）</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1台2吨0.5m/s无机房载货电梯，安装在三期仓库预留电梯井道内（原井道图详见附件），中标单位中标后需对井道进行重新勘察并进行二次设计与井道修缮，满足应标电梯产品井道要求后方可安装。因电梯属于特种设备，本项目采购包安装，电梯安装完成后，由中标单位负责进行电梯后续电梯调试，报验和使用登记证办理等工作，并提供至少1年电梯三包和1年电梯维保，本项目费用应包含上述工作</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货期30天，工期60天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广州市荔湾区桥中南路7号大坦沙净水厂三期</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按国家和地方规定标准和规范进行设计和制造，包括但不限于：Q/RLDT 1—2020《电梯产品标准》、GB7588-2003《电梯制造与安装安全规范》及其修改单要求、GB/T 7588.1-2020《电梯制造与安装安全规范第1部分：乘客电梯和载货电梯》、GB/T 7588.2-2020《电梯制造与安装安全规范第2部分：电梯部件的设计原则、计算和检验》</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TSG T7001-2023《电梯监督检验和定期检验规则》，并由中标单位</w:t>
      </w:r>
      <w:r>
        <w:rPr>
          <w:rFonts w:hint="eastAsia" w:ascii="仿宋" w:hAnsi="仿宋" w:eastAsia="仿宋" w:cs="仿宋"/>
          <w:color w:val="auto"/>
          <w:kern w:val="2"/>
          <w:sz w:val="30"/>
          <w:szCs w:val="30"/>
          <w:highlight w:val="none"/>
          <w:lang w:val="en-US" w:eastAsia="zh-CN" w:bidi="ar-SA"/>
        </w:rPr>
        <w:t>向相</w:t>
      </w:r>
      <w:r>
        <w:rPr>
          <w:rFonts w:hint="eastAsia" w:ascii="仿宋_GB2312" w:eastAsia="仿宋_GB2312"/>
          <w:color w:val="auto"/>
          <w:sz w:val="28"/>
          <w:szCs w:val="28"/>
          <w:highlight w:val="none"/>
          <w:u w:val="single"/>
          <w:lang w:val="en-US" w:eastAsia="zh-CN"/>
        </w:rPr>
        <w:t>关政府部门进行报验和登记，通过相关政府部门检验，申请办理使用登记证。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1、中标</w:t>
      </w:r>
      <w:r>
        <w:rPr>
          <w:rFonts w:hint="eastAsia" w:ascii="仿宋" w:hAnsi="仿宋" w:eastAsia="仿宋" w:cs="仿宋"/>
          <w:color w:val="auto"/>
          <w:sz w:val="28"/>
          <w:szCs w:val="28"/>
          <w:highlight w:val="none"/>
          <w:u w:val="single"/>
          <w:lang w:val="zh-CN"/>
        </w:rPr>
        <w:t>单位拟担任本工程项目</w:t>
      </w:r>
      <w:r>
        <w:rPr>
          <w:rFonts w:hint="eastAsia" w:ascii="仿宋" w:hAnsi="仿宋" w:eastAsia="仿宋" w:cs="仿宋"/>
          <w:color w:val="auto"/>
          <w:sz w:val="28"/>
          <w:szCs w:val="28"/>
          <w:highlight w:val="none"/>
          <w:u w:val="single"/>
          <w:lang w:val="en-US" w:eastAsia="zh-CN"/>
        </w:rPr>
        <w:t>安全员</w:t>
      </w:r>
      <w:r>
        <w:rPr>
          <w:rFonts w:hint="eastAsia" w:ascii="仿宋" w:hAnsi="仿宋" w:eastAsia="仿宋" w:cs="仿宋"/>
          <w:color w:val="auto"/>
          <w:sz w:val="28"/>
          <w:szCs w:val="28"/>
          <w:highlight w:val="none"/>
          <w:u w:val="single"/>
          <w:lang w:val="zh-CN"/>
        </w:rPr>
        <w:t>的人员要求为：专职安全人员须具有安全生产考核合格证（C类）</w:t>
      </w:r>
      <w:r>
        <w:rPr>
          <w:rFonts w:hint="eastAsia" w:ascii="仿宋" w:hAnsi="仿宋" w:eastAsia="仿宋" w:cs="仿宋"/>
          <w:color w:val="auto"/>
          <w:sz w:val="28"/>
          <w:szCs w:val="28"/>
          <w:highlight w:val="none"/>
          <w:u w:val="single"/>
          <w:lang w:val="zh-CN" w:eastAsia="zh-CN"/>
        </w:rPr>
        <w:t>，</w:t>
      </w:r>
      <w:r>
        <w:rPr>
          <w:rFonts w:hint="eastAsia" w:ascii="仿宋" w:hAnsi="仿宋" w:eastAsia="仿宋" w:cs="仿宋"/>
          <w:color w:val="auto"/>
          <w:sz w:val="28"/>
          <w:szCs w:val="28"/>
          <w:highlight w:val="none"/>
          <w:u w:val="single"/>
          <w:lang w:val="zh-CN"/>
        </w:rPr>
        <w:t>项目负责人与专职安全人员不为同一人；</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val="zh-CN"/>
        </w:rPr>
        <w:t>报价单位拟担任</w:t>
      </w:r>
      <w:r>
        <w:rPr>
          <w:rFonts w:hint="eastAsia" w:ascii="仿宋" w:hAnsi="仿宋" w:eastAsia="仿宋" w:cs="仿宋"/>
          <w:color w:val="auto"/>
          <w:sz w:val="28"/>
          <w:szCs w:val="28"/>
          <w:highlight w:val="none"/>
          <w:u w:val="single"/>
          <w:lang w:val="en-US" w:eastAsia="zh-CN"/>
        </w:rPr>
        <w:t>特种作业</w:t>
      </w:r>
      <w:r>
        <w:rPr>
          <w:rFonts w:hint="eastAsia" w:ascii="仿宋" w:hAnsi="仿宋" w:eastAsia="仿宋" w:cs="仿宋"/>
          <w:color w:val="auto"/>
          <w:sz w:val="28"/>
          <w:szCs w:val="28"/>
          <w:highlight w:val="none"/>
          <w:u w:val="single"/>
          <w:lang w:val="zh-CN"/>
        </w:rPr>
        <w:t>的人员要求为：</w:t>
      </w:r>
      <w:r>
        <w:rPr>
          <w:rFonts w:hint="eastAsia" w:ascii="仿宋" w:hAnsi="仿宋" w:eastAsia="仿宋" w:cs="仿宋"/>
          <w:color w:val="auto"/>
          <w:sz w:val="28"/>
          <w:szCs w:val="28"/>
          <w:highlight w:val="none"/>
          <w:u w:val="single"/>
          <w:lang w:val="en-US" w:eastAsia="zh-CN"/>
        </w:rPr>
        <w:t>特种作业</w:t>
      </w:r>
      <w:r>
        <w:rPr>
          <w:rFonts w:hint="eastAsia" w:ascii="仿宋" w:hAnsi="仿宋" w:eastAsia="仿宋" w:cs="仿宋"/>
          <w:color w:val="auto"/>
          <w:sz w:val="28"/>
          <w:szCs w:val="28"/>
          <w:highlight w:val="none"/>
          <w:u w:val="single"/>
          <w:lang w:val="zh-CN"/>
        </w:rPr>
        <w:t>人员须具有</w:t>
      </w:r>
      <w:r>
        <w:rPr>
          <w:rFonts w:hint="eastAsia" w:ascii="仿宋" w:hAnsi="仿宋" w:eastAsia="仿宋" w:cs="仿宋"/>
          <w:color w:val="auto"/>
          <w:sz w:val="28"/>
          <w:szCs w:val="28"/>
          <w:highlight w:val="none"/>
          <w:u w:val="single"/>
          <w:lang w:val="en-US" w:eastAsia="zh-CN"/>
        </w:rPr>
        <w:t>相关特种作业操作证。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）报价单位应标的设备产品，如报价单位是其设备厂家，即应具有市场监督管理局颁发的许可电梯制造（含安装、修理、改造）《特种设备生产许可证》相关资质。如报价单位非应标设备厂家，</w:t>
      </w:r>
      <w:r>
        <w:rPr>
          <w:rFonts w:hint="eastAsia" w:ascii="仿宋_GB2312" w:eastAsia="仿宋_GB2312"/>
          <w:sz w:val="28"/>
          <w:szCs w:val="28"/>
        </w:rPr>
        <w:t>应具有设备厂家</w:t>
      </w:r>
      <w:r>
        <w:rPr>
          <w:rFonts w:hint="eastAsia" w:ascii="仿宋_GB2312" w:eastAsia="仿宋_GB2312"/>
          <w:sz w:val="28"/>
          <w:szCs w:val="28"/>
          <w:lang w:val="en-US" w:eastAsia="zh-CN"/>
        </w:rPr>
        <w:t>授予报价单位针对本项目的唯一项目授权书，如出现两家（或以上）报价单位报价同品牌参与本项目，则同品牌的报价单位响应文件无效，</w:t>
      </w:r>
      <w:r>
        <w:rPr>
          <w:rFonts w:hint="eastAsia" w:ascii="仿宋_GB2312" w:eastAsia="仿宋_GB2312"/>
          <w:color w:val="auto"/>
          <w:sz w:val="28"/>
          <w:szCs w:val="28"/>
          <w:highlight w:val="none"/>
          <w:lang w:val="en-US" w:eastAsia="zh-CN"/>
        </w:rPr>
        <w:t>且</w:t>
      </w:r>
      <w:r>
        <w:rPr>
          <w:rFonts w:hint="eastAsia" w:ascii="仿宋_GB2312" w:eastAsia="仿宋_GB2312"/>
          <w:color w:val="auto"/>
          <w:sz w:val="28"/>
          <w:szCs w:val="28"/>
          <w:highlight w:val="none"/>
          <w:lang w:eastAsia="zh-CN"/>
        </w:rPr>
        <w:t>应具有设备厂家的授权销售</w:t>
      </w:r>
      <w:r>
        <w:rPr>
          <w:rFonts w:hint="eastAsia" w:ascii="仿宋_GB2312" w:eastAsia="仿宋_GB2312"/>
          <w:color w:val="auto"/>
          <w:sz w:val="28"/>
          <w:szCs w:val="28"/>
          <w:highlight w:val="none"/>
          <w:lang w:val="en-US" w:eastAsia="zh-CN"/>
        </w:rPr>
        <w:t>和</w:t>
      </w:r>
      <w:r>
        <w:rPr>
          <w:rFonts w:hint="eastAsia" w:ascii="仿宋_GB2312" w:eastAsia="仿宋_GB2312"/>
          <w:color w:val="auto"/>
          <w:sz w:val="28"/>
          <w:szCs w:val="28"/>
          <w:highlight w:val="none"/>
          <w:lang w:eastAsia="zh-CN"/>
        </w:rPr>
        <w:t>安装证明，且</w:t>
      </w:r>
      <w:r>
        <w:rPr>
          <w:rFonts w:hint="eastAsia" w:ascii="仿宋_GB2312" w:eastAsia="仿宋_GB2312"/>
          <w:color w:val="auto"/>
          <w:sz w:val="28"/>
          <w:szCs w:val="28"/>
          <w:highlight w:val="none"/>
          <w:lang w:val="en-US" w:eastAsia="zh-CN"/>
        </w:rPr>
        <w:t>提供</w:t>
      </w:r>
      <w:r>
        <w:rPr>
          <w:rFonts w:hint="eastAsia" w:ascii="仿宋_GB2312" w:eastAsia="仿宋_GB2312"/>
          <w:color w:val="auto"/>
          <w:sz w:val="28"/>
          <w:szCs w:val="28"/>
          <w:highlight w:val="none"/>
          <w:lang w:eastAsia="zh-CN"/>
        </w:rPr>
        <w:t>设备产家应具有市场监督管理局颁发的许可电梯制造（含安装、修理、改造）《特种设备生产许可证》相关资质。（须提供有效的资质证书复印件）；</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autoSpaceDE w:val="0"/>
        <w:autoSpaceDN w:val="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autoSpaceDE w:val="0"/>
        <w:autoSpaceDN w:val="0"/>
        <w:rPr>
          <w:rFonts w:hint="eastAsia" w:ascii="仿宋" w:hAnsi="仿宋" w:eastAsia="仿宋" w:cs="仿宋"/>
          <w:color w:val="auto"/>
          <w:sz w:val="28"/>
          <w:szCs w:val="28"/>
          <w:highlight w:val="none"/>
          <w:u w:val="single"/>
          <w:lang w:val="zh-CN"/>
        </w:rPr>
      </w:pP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lang w:val="zh-CN"/>
        </w:rPr>
        <w:t>报价单位拟担任本工程项目</w:t>
      </w:r>
      <w:r>
        <w:rPr>
          <w:rFonts w:hint="eastAsia" w:ascii="仿宋" w:hAnsi="仿宋" w:eastAsia="仿宋" w:cs="仿宋"/>
          <w:color w:val="auto"/>
          <w:sz w:val="28"/>
          <w:szCs w:val="28"/>
          <w:highlight w:val="none"/>
          <w:u w:val="single"/>
          <w:lang w:val="en-US" w:eastAsia="zh-CN"/>
        </w:rPr>
        <w:t>安全员</w:t>
      </w:r>
      <w:r>
        <w:rPr>
          <w:rFonts w:hint="eastAsia" w:ascii="仿宋" w:hAnsi="仿宋" w:eastAsia="仿宋" w:cs="仿宋"/>
          <w:color w:val="auto"/>
          <w:sz w:val="28"/>
          <w:szCs w:val="28"/>
          <w:highlight w:val="none"/>
          <w:u w:val="single"/>
          <w:lang w:val="zh-CN"/>
        </w:rPr>
        <w:t>的人员要求为：专职安全人员须具有安全生产考核合格证（C类）。</w:t>
      </w:r>
    </w:p>
    <w:p>
      <w:pPr>
        <w:autoSpaceDE w:val="0"/>
        <w:autoSpaceDN w:val="0"/>
        <w:rPr>
          <w:rFonts w:hint="eastAsia" w:ascii="仿宋_GB2312" w:eastAsia="仿宋_GB2312"/>
          <w:color w:val="auto"/>
          <w:sz w:val="28"/>
          <w:szCs w:val="28"/>
          <w:highlight w:val="none"/>
          <w:u w:val="single"/>
        </w:rPr>
      </w:pP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val="zh-CN"/>
        </w:rPr>
        <w:t>报价单位拟担任</w:t>
      </w:r>
      <w:r>
        <w:rPr>
          <w:rFonts w:hint="eastAsia" w:ascii="仿宋" w:hAnsi="仿宋" w:eastAsia="仿宋" w:cs="仿宋"/>
          <w:color w:val="auto"/>
          <w:sz w:val="28"/>
          <w:szCs w:val="28"/>
          <w:highlight w:val="none"/>
          <w:u w:val="single"/>
          <w:lang w:val="en-US" w:eastAsia="zh-CN"/>
        </w:rPr>
        <w:t>特种作业</w:t>
      </w:r>
      <w:r>
        <w:rPr>
          <w:rFonts w:hint="eastAsia" w:ascii="仿宋" w:hAnsi="仿宋" w:eastAsia="仿宋" w:cs="仿宋"/>
          <w:color w:val="auto"/>
          <w:sz w:val="28"/>
          <w:szCs w:val="28"/>
          <w:highlight w:val="none"/>
          <w:u w:val="single"/>
          <w:lang w:val="zh-CN"/>
        </w:rPr>
        <w:t>的人员要求为：</w:t>
      </w:r>
      <w:r>
        <w:rPr>
          <w:rFonts w:hint="eastAsia" w:ascii="仿宋" w:hAnsi="仿宋" w:eastAsia="仿宋" w:cs="仿宋"/>
          <w:color w:val="auto"/>
          <w:sz w:val="28"/>
          <w:szCs w:val="28"/>
          <w:highlight w:val="none"/>
          <w:u w:val="single"/>
          <w:lang w:val="en-US" w:eastAsia="zh-CN"/>
        </w:rPr>
        <w:t>特种作业</w:t>
      </w:r>
      <w:r>
        <w:rPr>
          <w:rFonts w:hint="eastAsia" w:ascii="仿宋" w:hAnsi="仿宋" w:eastAsia="仿宋" w:cs="仿宋"/>
          <w:color w:val="auto"/>
          <w:sz w:val="28"/>
          <w:szCs w:val="28"/>
          <w:highlight w:val="none"/>
          <w:u w:val="single"/>
          <w:lang w:val="zh-CN"/>
        </w:rPr>
        <w:t>人员须具有</w:t>
      </w:r>
      <w:r>
        <w:rPr>
          <w:rFonts w:hint="eastAsia" w:ascii="仿宋" w:hAnsi="仿宋" w:eastAsia="仿宋" w:cs="仿宋"/>
          <w:color w:val="auto"/>
          <w:sz w:val="28"/>
          <w:szCs w:val="28"/>
          <w:highlight w:val="none"/>
          <w:u w:val="single"/>
          <w:lang w:val="en-US" w:eastAsia="zh-CN"/>
        </w:rPr>
        <w:t>相关特种作业操作证</w:t>
      </w:r>
      <w:r>
        <w:rPr>
          <w:rFonts w:hint="eastAsia" w:ascii="仿宋" w:hAnsi="仿宋" w:eastAsia="仿宋" w:cs="仿宋"/>
          <w:color w:val="auto"/>
          <w:sz w:val="28"/>
          <w:szCs w:val="28"/>
          <w:highlight w:val="none"/>
          <w:u w:val="single"/>
          <w:lang w:val="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3"/>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3"/>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ind w:firstLine="0"/>
        <w:rPr>
          <w:rFonts w:hint="eastAsia" w:ascii="仿宋_GB2312" w:eastAsia="仿宋_GB2312" w:hAnsiTheme="majorEastAsia"/>
          <w:color w:val="auto"/>
          <w:sz w:val="28"/>
          <w:szCs w:val="28"/>
          <w:highlight w:val="none"/>
        </w:rPr>
      </w:pPr>
    </w:p>
    <w:p>
      <w:pPr>
        <w:pStyle w:val="4"/>
        <w:rPr>
          <w:rFonts w:hint="eastAsia"/>
          <w:color w:val="auto"/>
          <w:highlight w:val="none"/>
        </w:rPr>
      </w:pPr>
      <w:bookmarkStart w:id="13" w:name="_Toc10891"/>
    </w:p>
    <w:p>
      <w:pPr>
        <w:rPr>
          <w:rFonts w:hint="eastAsia"/>
          <w:color w:val="auto"/>
          <w:highlight w:val="none"/>
        </w:rPr>
      </w:pPr>
    </w:p>
    <w:p>
      <w:pPr>
        <w:pStyle w:val="2"/>
        <w:rPr>
          <w:rFonts w:hint="eastAsia"/>
        </w:rPr>
      </w:pPr>
    </w:p>
    <w:p>
      <w:pPr>
        <w:pStyle w:val="4"/>
        <w:rPr>
          <w:rFonts w:hint="eastAsia"/>
          <w:color w:val="auto"/>
          <w:highlight w:val="none"/>
        </w:rPr>
      </w:pPr>
      <w:bookmarkStart w:id="14" w:name="_Toc9448"/>
      <w:bookmarkStart w:id="15" w:name="_Toc2331"/>
      <w:bookmarkStart w:id="16" w:name="_Toc19295"/>
      <w:bookmarkStart w:id="17" w:name="_Toc25603"/>
      <w:bookmarkStart w:id="18" w:name="_Toc23749"/>
      <w:bookmarkStart w:id="19" w:name="_Toc16557"/>
      <w:bookmarkStart w:id="20" w:name="_Toc2324"/>
      <w:bookmarkStart w:id="21" w:name="_Toc16705"/>
      <w:bookmarkStart w:id="22" w:name="_Toc32588"/>
      <w:bookmarkStart w:id="23" w:name="_Toc7340"/>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2326005</wp:posOffset>
                </wp:positionH>
                <wp:positionV relativeFrom="paragraph">
                  <wp:posOffset>34925</wp:posOffset>
                </wp:positionV>
                <wp:extent cx="958850" cy="0"/>
                <wp:effectExtent l="0" t="4445" r="0" b="5080"/>
                <wp:wrapNone/>
                <wp:docPr id="16"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15pt;margin-top:2.75pt;height:0pt;width:75.5pt;z-index:251672576;mso-width-relative:page;mso-height-relative:page;" filled="f" stroked="t" coordsize="21600,21600" o:gfxdata="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RJuOLMgaUb//np&#10;26+Pn++//Lj//pVNrrNGfcAFha7dNp52GLYxEz400eY/UWGHouvxrKs6JCbo8Ho2n89IcfHgqh7z&#10;QsT0SnnLslFzTBF026W1d44uz8dJkRX2rzFRZUp8SMhFjWN9hp/OCBxoGBsaAjJtIELo2pKL3mh5&#10;q43JGRjb3dpEtoc8EOXL/Aj3r7BcZAPYDXHFNYxKp0C+dJKlYyClHL0QnluwSnJmFD2obBEgLBJo&#10;c0kklTaOOsgSD6Jma+flsWhdzunyS4+nQc3T9ee+ZD8+zt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4VRHdQAAAAHAQAADwAAAAAAAAABACAAAAAiAAAAZHJzL2Rvd25yZXYueG1sUEsBAhQAFAAA&#10;AAgAh07iQOcCSAL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2333625</wp:posOffset>
                </wp:positionH>
                <wp:positionV relativeFrom="paragraph">
                  <wp:posOffset>533400</wp:posOffset>
                </wp:positionV>
                <wp:extent cx="958850" cy="0"/>
                <wp:effectExtent l="0" t="4445" r="0" b="5080"/>
                <wp:wrapNone/>
                <wp:docPr id="17"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3.75pt;margin-top:42pt;height:0pt;width:75.5pt;z-index:251673600;mso-width-relative:page;mso-height-relative:page;" filled="f" stroked="t" coordsize="21600,21600" o:gfxdata="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qx6IB1gAAAAkBAAAPAAAAAAAAAAEAIAAAACIAAABkcnMvZG93bnJldi54bWxQSwECFAAU&#10;AAAACACHTuJAmIc2g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2303145</wp:posOffset>
                </wp:positionH>
                <wp:positionV relativeFrom="paragraph">
                  <wp:posOffset>34925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1.35pt;margin-top:2.75pt;height:0pt;width:75.5pt;z-index:251660288;mso-width-relative:page;mso-height-relative:page;" filled="f" stroked="t" coordsize="21600,21600" o:gfxdata="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8z3j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4445" r="0" b="508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YUbP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fmFGz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303"/>
      <w:bookmarkStart w:id="29" w:name="_Toc7040"/>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color w:val="auto"/>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20594"/>
      <w:bookmarkStart w:id="36" w:name="_Toc23581"/>
      <w:bookmarkStart w:id="37" w:name="_Toc19050"/>
      <w:bookmarkStart w:id="38" w:name="_Toc4952"/>
      <w:bookmarkStart w:id="39" w:name="_Toc7118"/>
      <w:bookmarkStart w:id="40" w:name="_Toc10930"/>
      <w:bookmarkStart w:id="41" w:name="_Toc7437"/>
      <w:bookmarkStart w:id="42" w:name="_Toc19759"/>
      <w:bookmarkStart w:id="43" w:name="_Toc14870"/>
      <w:bookmarkStart w:id="44" w:name="_Toc3156"/>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7"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Ggw8c8gEAAOIDAAAOAAAAZHJzL2Uyb0RvYy54bWytU72O&#10;EzEQ7pF4B8s92SRSu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g2/4s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oMPH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22212"/>
      <w:bookmarkStart w:id="46" w:name="_Toc6308"/>
      <w:bookmarkStart w:id="47" w:name="_Toc21840"/>
      <w:bookmarkStart w:id="48" w:name="_Toc32607"/>
      <w:bookmarkStart w:id="49" w:name="_Toc7831"/>
      <w:bookmarkStart w:id="50" w:name="_Toc30530"/>
      <w:bookmarkStart w:id="51" w:name="_Toc13898"/>
      <w:bookmarkStart w:id="52" w:name="_Toc12177"/>
      <w:bookmarkStart w:id="53" w:name="_Toc88209941"/>
      <w:bookmarkStart w:id="54" w:name="_Toc21079"/>
      <w:bookmarkStart w:id="55" w:name="_Toc29484"/>
      <w:bookmarkStart w:id="56" w:name="_Toc29345"/>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2333625</wp:posOffset>
                </wp:positionH>
                <wp:positionV relativeFrom="paragraph">
                  <wp:posOffset>232410</wp:posOffset>
                </wp:positionV>
                <wp:extent cx="958850" cy="0"/>
                <wp:effectExtent l="0" t="4445" r="0" b="5080"/>
                <wp:wrapNone/>
                <wp:docPr id="18"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3.75pt;margin-top:18.3pt;height:0pt;width:75.5pt;z-index:251674624;mso-width-relative:page;mso-height-relative:page;" filled="f" stroked="t" coordsize="21600,21600" o:gfxdata="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WkSqO8OLHX8&#10;56dvvz5+vvvy4+77VzZfZI2GgDW5btxNPO0w3MRM+NBGm/9EhR2KrsezruqQmKDDF4vlckGKi/ur&#10;6iEuREyvlLcsGw3HFEF3fdp456h5Ps6KrLB/jYkyU+B9QE5qHBsyPBXJBNAwtjQEZNpAhNB1JRa9&#10;0fJaG5MjMHa7jYlsD3kgypf5Ee5fbjnJFrAf/crVOCq9AvnSSZaOgZRy9EJ4LsEqyZlR9KCyRYBQ&#10;J9DmEk9KbRxVkCUeRc3Wzstj0bqcU/NLjadBzdP1575E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SFITh1wAAAAkBAAAPAAAAAAAAAAEAIAAAACIAAABkcnMvZG93bnJldi54bWxQSwECFAAU&#10;AAAACACHTuJAJK2W0v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9"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bKOhS8wEAAOQDAAAOAAAAZHJzL2Uyb0RvYy54bWytU72O&#10;EzEQ7pF4B8s92SQi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V5w5sHTj&#10;Pz99+/Xx892XH3ffv7Lp8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so6FL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color w:val="auto"/>
          <w:highlight w:val="none"/>
        </w:rPr>
      </w:pPr>
    </w:p>
    <w:p>
      <w:pPr>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pStyle w:val="4"/>
        <w:jc w:val="both"/>
        <w:rPr>
          <w:rFonts w:hint="eastAsia"/>
          <w:color w:val="auto"/>
          <w:highlight w:val="none"/>
        </w:rPr>
      </w:pPr>
    </w:p>
    <w:p>
      <w:pPr>
        <w:rPr>
          <w:rFonts w:hint="eastAsia"/>
        </w:rPr>
      </w:pPr>
    </w:p>
    <w:p>
      <w:pPr>
        <w:pStyle w:val="2"/>
        <w:rPr>
          <w:rFonts w:hint="eastAsia"/>
        </w:rPr>
      </w:pPr>
    </w:p>
    <w:bookmarkEnd w:id="60"/>
    <w:p>
      <w:pPr>
        <w:pStyle w:val="14"/>
        <w:numPr>
          <w:ilvl w:val="0"/>
          <w:numId w:val="4"/>
        </w:numPr>
        <w:adjustRightInd w:val="0"/>
        <w:snapToGrid w:val="0"/>
        <w:spacing w:line="300" w:lineRule="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项目情况介绍</w:t>
      </w:r>
    </w:p>
    <w:p>
      <w:pPr>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采购1台2吨0.5m/s无机房载货电梯，安装在三期仓库预留电梯井道内（原井道图详见下图），中标单位中标后需对井道进行重新勘察并进行二次设计与井道修缮，满足应标电梯产品井道要求后方可安装。因电梯属于特种设备，本项目采购包安装，电梯安装完成后，由中标单位负责进行电梯后续电梯调试，技监局报验和使用登记证办理等工作，并提供至少1年电梯三包和1年电梯维保，本项目费用应包含上述工作。</w:t>
      </w:r>
    </w:p>
    <w:p>
      <w:pPr>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2719705" cy="4509135"/>
            <wp:effectExtent l="0" t="0" r="444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2719705" cy="4509135"/>
                    </a:xfrm>
                    <a:prstGeom prst="rect">
                      <a:avLst/>
                    </a:prstGeom>
                    <a:noFill/>
                    <a:ln>
                      <a:noFill/>
                    </a:ln>
                  </pic:spPr>
                </pic:pic>
              </a:graphicData>
            </a:graphic>
          </wp:inline>
        </w:drawing>
      </w:r>
    </w:p>
    <w:p>
      <w:pPr>
        <w:ind w:firstLine="420" w:firstLineChars="20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1楼平面图</w:t>
      </w:r>
    </w:p>
    <w:p>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4953000" cy="761492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rcRect b="3212"/>
                    <a:stretch>
                      <a:fillRect/>
                    </a:stretch>
                  </pic:blipFill>
                  <pic:spPr>
                    <a:xfrm>
                      <a:off x="0" y="0"/>
                      <a:ext cx="4953000" cy="7614920"/>
                    </a:xfrm>
                    <a:prstGeom prst="rect">
                      <a:avLst/>
                    </a:prstGeom>
                    <a:noFill/>
                    <a:ln>
                      <a:noFill/>
                    </a:ln>
                  </pic:spPr>
                </pic:pic>
              </a:graphicData>
            </a:graphic>
          </wp:inline>
        </w:drawing>
      </w:r>
    </w:p>
    <w:p>
      <w:pPr>
        <w:ind w:firstLine="420" w:firstLineChars="20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2楼平面图</w:t>
      </w:r>
    </w:p>
    <w:p>
      <w:pPr>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429250" cy="7590790"/>
            <wp:effectExtent l="0" t="0" r="0" b="1016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5429250" cy="7590790"/>
                    </a:xfrm>
                    <a:prstGeom prst="rect">
                      <a:avLst/>
                    </a:prstGeom>
                    <a:noFill/>
                    <a:ln>
                      <a:noFill/>
                    </a:ln>
                  </pic:spPr>
                </pic:pic>
              </a:graphicData>
            </a:graphic>
          </wp:inline>
        </w:drawing>
      </w:r>
    </w:p>
    <w:p>
      <w:pPr>
        <w:ind w:firstLine="420" w:firstLineChars="20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井道图</w:t>
      </w:r>
    </w:p>
    <w:p>
      <w:pPr>
        <w:ind w:firstLine="420" w:firstLineChars="200"/>
        <w:jc w:val="center"/>
        <w:rPr>
          <w:rFonts w:hint="eastAsia" w:ascii="仿宋" w:hAnsi="仿宋" w:eastAsia="仿宋" w:cs="仿宋"/>
          <w:color w:val="auto"/>
          <w:highlight w:val="none"/>
          <w:lang w:val="en-US" w:eastAsia="zh-CN"/>
        </w:rPr>
      </w:pPr>
    </w:p>
    <w:p>
      <w:pPr>
        <w:pStyle w:val="14"/>
        <w:numPr>
          <w:ilvl w:val="0"/>
          <w:numId w:val="5"/>
        </w:numPr>
        <w:adjustRightInd w:val="0"/>
        <w:snapToGrid w:val="0"/>
        <w:spacing w:line="300" w:lineRule="auto"/>
        <w:rPr>
          <w:rFonts w:hint="eastAsia" w:ascii="仿宋" w:hAnsi="仿宋" w:eastAsia="仿宋" w:cs="仿宋"/>
          <w:color w:val="auto"/>
          <w:sz w:val="28"/>
          <w:szCs w:val="28"/>
          <w:highlight w:val="none"/>
          <w:lang w:val="zh-CN"/>
        </w:rPr>
      </w:pPr>
      <w:r>
        <w:rPr>
          <w:rFonts w:hint="eastAsia" w:ascii="仿宋" w:hAnsi="仿宋" w:eastAsia="仿宋" w:cs="仿宋"/>
          <w:b/>
          <w:color w:val="auto"/>
          <w:sz w:val="28"/>
          <w:szCs w:val="28"/>
          <w:highlight w:val="none"/>
          <w:lang w:val="zh-CN"/>
        </w:rPr>
        <w:t>项目技术要求</w:t>
      </w:r>
    </w:p>
    <w:p>
      <w:p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一）电梯设备选用参照或相当于三菱品牌、日立品牌、奥的斯品牌的产品，交货时必须提供文件证书：3C认证、产品及其国家要求安全配件的型式试验合格证、原厂证明文件、出厂检测报告及其相关随机文件。以上文件需盖公章。</w:t>
      </w:r>
    </w:p>
    <w:p>
      <w:pPr>
        <w:pStyle w:val="2"/>
        <w:ind w:firstLine="600" w:firstLineChars="200"/>
        <w:rPr>
          <w:rFonts w:hint="default"/>
          <w:lang w:val="en-US" w:eastAsia="zh-CN"/>
        </w:rPr>
      </w:pPr>
      <w:r>
        <w:rPr>
          <w:rFonts w:hint="eastAsia" w:ascii="仿宋" w:hAnsi="仿宋" w:eastAsia="仿宋" w:cs="仿宋"/>
          <w:color w:val="auto"/>
          <w:kern w:val="2"/>
          <w:sz w:val="30"/>
          <w:szCs w:val="30"/>
          <w:highlight w:val="none"/>
          <w:lang w:val="en-US" w:eastAsia="zh-CN" w:bidi="ar-SA"/>
        </w:rPr>
        <w:t>递交响应文件时须提供货梯</w:t>
      </w:r>
      <w:r>
        <w:rPr>
          <w:rFonts w:hint="eastAsia" w:ascii="仿宋" w:hAnsi="仿宋" w:eastAsia="仿宋" w:cs="仿宋"/>
          <w:color w:val="auto"/>
          <w:sz w:val="30"/>
          <w:szCs w:val="30"/>
          <w:highlight w:val="none"/>
          <w:lang w:val="en-US" w:eastAsia="zh-CN"/>
        </w:rPr>
        <w:t>技术规格表，技术参数须满足或优于本次采购货梯技术要求。（加盖单位公章）</w:t>
      </w:r>
    </w:p>
    <w:p>
      <w:p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按国家和地方规定标准和规范进行设计和制造，包括但不限于：</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Q/RLDT 1—2020《电梯产品标准》</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GB7588-2003《电梯制造与安装安全规范》及其修改单要求</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GB/T 7588.1-2020《电梯制造与安装安全规范第1部分：乘客电梯和载货电梯》</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GB/T 7588.2-2020《电梯制造与安装安全规范第2部分：电梯部件的设计原则、计算和检验》</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TSG T7001-2023《电梯监督检验和定期检验规则》</w:t>
      </w:r>
    </w:p>
    <w:p>
      <w:pPr>
        <w:numPr>
          <w:ilvl w:val="0"/>
          <w:numId w:val="0"/>
        </w:numPr>
        <w:spacing w:line="276" w:lineRule="auto"/>
        <w:rPr>
          <w:rFonts w:hint="default"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（二）</w:t>
      </w:r>
      <w:r>
        <w:rPr>
          <w:rFonts w:hint="eastAsia" w:ascii="仿宋" w:hAnsi="仿宋" w:eastAsia="仿宋" w:cs="仿宋"/>
          <w:color w:val="auto"/>
          <w:kern w:val="2"/>
          <w:sz w:val="30"/>
          <w:szCs w:val="30"/>
          <w:highlight w:val="none"/>
          <w:lang w:val="en-US" w:eastAsia="zh-CN" w:bidi="ar-SA"/>
        </w:rPr>
        <w:t>货梯</w:t>
      </w:r>
      <w:r>
        <w:rPr>
          <w:rFonts w:hint="eastAsia" w:ascii="仿宋" w:hAnsi="仿宋" w:eastAsia="仿宋" w:cs="仿宋"/>
          <w:color w:val="auto"/>
          <w:sz w:val="30"/>
          <w:szCs w:val="30"/>
          <w:highlight w:val="none"/>
          <w:lang w:val="en-US" w:eastAsia="zh-CN"/>
        </w:rPr>
        <w:t>技术规格</w:t>
      </w:r>
    </w:p>
    <w:tbl>
      <w:tblPr>
        <w:tblStyle w:val="50"/>
        <w:tblW w:w="98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6"/>
        <w:gridCol w:w="2491"/>
        <w:gridCol w:w="2491"/>
        <w:gridCol w:w="24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1" w:line="202" w:lineRule="auto"/>
              <w:ind w:left="55"/>
              <w:rPr>
                <w:rFonts w:hint="eastAsia" w:ascii="仿宋" w:hAnsi="仿宋" w:eastAsia="仿宋" w:cs="仿宋"/>
                <w:color w:val="auto"/>
                <w:highlight w:val="none"/>
                <w:lang w:val="en-US" w:eastAsia="zh-CN"/>
              </w:rPr>
            </w:pPr>
            <w:r>
              <w:rPr>
                <w:rFonts w:hint="eastAsia" w:ascii="仿宋" w:hAnsi="仿宋" w:eastAsia="仿宋" w:cs="仿宋"/>
                <w:spacing w:val="-1"/>
                <w:lang w:val="en-US" w:eastAsia="zh-CN"/>
              </w:rPr>
              <w:t>电梯形式</w:t>
            </w:r>
          </w:p>
        </w:tc>
        <w:tc>
          <w:tcPr>
            <w:tcW w:w="7481" w:type="dxa"/>
            <w:gridSpan w:val="3"/>
          </w:tcPr>
          <w:p>
            <w:pPr>
              <w:pStyle w:val="49"/>
              <w:autoSpaceDE w:val="0"/>
              <w:autoSpaceDN w:val="0"/>
              <w:spacing w:before="38" w:line="205" w:lineRule="auto"/>
              <w:ind w:left="43"/>
              <w:rPr>
                <w:rFonts w:hint="eastAsia" w:ascii="仿宋" w:hAnsi="仿宋" w:eastAsia="仿宋" w:cs="仿宋"/>
                <w:color w:val="auto"/>
                <w:highlight w:val="none"/>
              </w:rPr>
            </w:pPr>
            <w:r>
              <w:rPr>
                <w:rFonts w:hint="eastAsia" w:ascii="仿宋" w:hAnsi="仿宋" w:eastAsia="仿宋" w:cs="仿宋"/>
                <w:lang w:val="en-US" w:eastAsia="zh-CN"/>
              </w:rPr>
              <w:t>无机房货梯</w:t>
            </w:r>
            <w:r>
              <w:rPr>
                <w:rFonts w:hint="eastAsia" w:ascii="仿宋" w:hAnsi="仿宋" w:eastAsia="仿宋" w:cs="仿宋"/>
                <w:color w:val="auto"/>
                <w:highlight w:val="none"/>
              </w:rPr>
              <w:t>LF-MRL2000-2S30(单开门)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1" w:line="202" w:lineRule="auto"/>
              <w:ind w:left="50"/>
              <w:rPr>
                <w:rFonts w:hint="eastAsia" w:ascii="仿宋" w:hAnsi="仿宋" w:eastAsia="仿宋" w:cs="仿宋"/>
                <w:color w:val="auto"/>
                <w:highlight w:val="none"/>
              </w:rPr>
            </w:pPr>
            <w:r>
              <w:rPr>
                <w:rFonts w:hint="eastAsia" w:ascii="仿宋" w:hAnsi="仿宋" w:eastAsia="仿宋" w:cs="仿宋"/>
                <w:color w:val="auto"/>
                <w:spacing w:val="-1"/>
                <w:highlight w:val="none"/>
              </w:rPr>
              <w:t>台数</w:t>
            </w:r>
          </w:p>
        </w:tc>
        <w:tc>
          <w:tcPr>
            <w:tcW w:w="7481" w:type="dxa"/>
            <w:gridSpan w:val="3"/>
          </w:tcPr>
          <w:p>
            <w:pPr>
              <w:pStyle w:val="49"/>
              <w:autoSpaceDE w:val="0"/>
              <w:autoSpaceDN w:val="0"/>
              <w:spacing w:before="49" w:line="193" w:lineRule="auto"/>
              <w:ind w:left="52"/>
              <w:rPr>
                <w:rFonts w:hint="eastAsia" w:ascii="仿宋" w:hAnsi="仿宋" w:eastAsia="仿宋" w:cs="仿宋"/>
                <w:color w:val="auto"/>
                <w:highlight w:val="none"/>
              </w:rPr>
            </w:pPr>
            <w:r>
              <w:rPr>
                <w:rFonts w:hint="eastAsia" w:ascii="仿宋" w:hAnsi="仿宋" w:eastAsia="仿宋" w:cs="仿宋"/>
                <w:color w:val="auto"/>
                <w:highlight w:val="none"/>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39" w:line="204" w:lineRule="auto"/>
              <w:ind w:left="41"/>
              <w:rPr>
                <w:rFonts w:hint="eastAsia" w:ascii="仿宋" w:hAnsi="仿宋" w:eastAsia="仿宋" w:cs="仿宋"/>
                <w:color w:val="auto"/>
                <w:highlight w:val="none"/>
              </w:rPr>
            </w:pPr>
            <w:r>
              <w:rPr>
                <w:rFonts w:hint="eastAsia" w:ascii="仿宋" w:hAnsi="仿宋" w:eastAsia="仿宋" w:cs="仿宋"/>
                <w:color w:val="auto"/>
                <w:spacing w:val="5"/>
                <w:highlight w:val="none"/>
              </w:rPr>
              <w:t>载重量(</w:t>
            </w:r>
            <w:r>
              <w:rPr>
                <w:rFonts w:hint="eastAsia" w:ascii="仿宋" w:hAnsi="仿宋" w:eastAsia="仿宋" w:cs="仿宋"/>
                <w:color w:val="auto"/>
                <w:highlight w:val="none"/>
              </w:rPr>
              <w:t>kg</w:t>
            </w:r>
            <w:r>
              <w:rPr>
                <w:rFonts w:hint="eastAsia" w:ascii="仿宋" w:hAnsi="仿宋" w:eastAsia="仿宋" w:cs="仿宋"/>
                <w:color w:val="auto"/>
                <w:spacing w:val="5"/>
                <w:highlight w:val="none"/>
              </w:rPr>
              <w:t>)</w:t>
            </w:r>
          </w:p>
        </w:tc>
        <w:tc>
          <w:tcPr>
            <w:tcW w:w="7481" w:type="dxa"/>
            <w:gridSpan w:val="3"/>
          </w:tcPr>
          <w:p>
            <w:pPr>
              <w:pStyle w:val="49"/>
              <w:autoSpaceDE w:val="0"/>
              <w:autoSpaceDN w:val="0"/>
              <w:spacing w:before="46" w:line="196" w:lineRule="auto"/>
              <w:ind w:left="33"/>
              <w:rPr>
                <w:rFonts w:hint="eastAsia" w:ascii="仿宋" w:hAnsi="仿宋" w:eastAsia="仿宋" w:cs="仿宋"/>
                <w:color w:val="auto"/>
                <w:highlight w:val="none"/>
              </w:rPr>
            </w:pPr>
            <w:r>
              <w:rPr>
                <w:rFonts w:hint="eastAsia" w:ascii="仿宋" w:hAnsi="仿宋" w:eastAsia="仿宋" w:cs="仿宋"/>
                <w:color w:val="auto"/>
                <w:highlight w:val="none"/>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0" w:line="203" w:lineRule="auto"/>
              <w:ind w:left="41"/>
              <w:rPr>
                <w:rFonts w:hint="eastAsia" w:ascii="仿宋" w:hAnsi="仿宋" w:eastAsia="仿宋" w:cs="仿宋"/>
                <w:color w:val="auto"/>
                <w:highlight w:val="none"/>
              </w:rPr>
            </w:pPr>
            <w:r>
              <w:rPr>
                <w:rFonts w:hint="eastAsia" w:ascii="仿宋" w:hAnsi="仿宋" w:eastAsia="仿宋" w:cs="仿宋"/>
                <w:color w:val="auto"/>
                <w:spacing w:val="4"/>
                <w:highlight w:val="none"/>
              </w:rPr>
              <w:t>速度(m/</w:t>
            </w:r>
            <w:r>
              <w:rPr>
                <w:rFonts w:hint="eastAsia" w:ascii="仿宋" w:hAnsi="仿宋" w:eastAsia="仿宋" w:cs="仿宋"/>
                <w:color w:val="auto"/>
                <w:highlight w:val="none"/>
              </w:rPr>
              <w:t>min</w:t>
            </w:r>
            <w:r>
              <w:rPr>
                <w:rFonts w:hint="eastAsia" w:ascii="仿宋" w:hAnsi="仿宋" w:eastAsia="仿宋" w:cs="仿宋"/>
                <w:color w:val="auto"/>
                <w:spacing w:val="4"/>
                <w:highlight w:val="none"/>
              </w:rPr>
              <w:t>)</w:t>
            </w:r>
          </w:p>
        </w:tc>
        <w:tc>
          <w:tcPr>
            <w:tcW w:w="7481" w:type="dxa"/>
            <w:gridSpan w:val="3"/>
          </w:tcPr>
          <w:p>
            <w:pPr>
              <w:pStyle w:val="49"/>
              <w:autoSpaceDE w:val="0"/>
              <w:autoSpaceDN w:val="0"/>
              <w:spacing w:before="47" w:line="195" w:lineRule="auto"/>
              <w:ind w:left="34"/>
              <w:rPr>
                <w:rFonts w:hint="eastAsia" w:ascii="仿宋" w:hAnsi="仿宋" w:eastAsia="仿宋" w:cs="仿宋"/>
                <w:color w:val="auto"/>
                <w:highlight w:val="none"/>
              </w:rPr>
            </w:pPr>
            <w:r>
              <w:rPr>
                <w:rFonts w:hint="eastAsia" w:ascii="仿宋" w:hAnsi="仿宋" w:eastAsia="仿宋" w:cs="仿宋"/>
                <w:color w:val="auto"/>
                <w:spacing w:val="-1"/>
                <w:highlight w:val="none"/>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层/站/门</w:t>
            </w:r>
          </w:p>
        </w:tc>
        <w:tc>
          <w:tcPr>
            <w:tcW w:w="7481" w:type="dxa"/>
            <w:gridSpan w:val="3"/>
          </w:tcPr>
          <w:p>
            <w:pPr>
              <w:pStyle w:val="49"/>
              <w:autoSpaceDE w:val="0"/>
              <w:autoSpaceDN w:val="0"/>
              <w:spacing w:before="48" w:line="194" w:lineRule="auto"/>
              <w:ind w:left="33"/>
              <w:rPr>
                <w:rFonts w:hint="eastAsia" w:ascii="仿宋" w:hAnsi="仿宋" w:eastAsia="仿宋" w:cs="仿宋"/>
                <w:color w:val="auto"/>
                <w:highlight w:val="none"/>
              </w:rPr>
            </w:pPr>
            <w:r>
              <w:rPr>
                <w:rFonts w:hint="eastAsia" w:ascii="仿宋" w:hAnsi="仿宋" w:eastAsia="仿宋" w:cs="仿宋"/>
                <w:color w:val="auto"/>
                <w:spacing w:val="1"/>
                <w:highlight w:val="none"/>
              </w:rPr>
              <w:t>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2" w:line="201"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rPr>
              <w:t>服务楼层</w:t>
            </w:r>
          </w:p>
        </w:tc>
        <w:tc>
          <w:tcPr>
            <w:tcW w:w="7481" w:type="dxa"/>
            <w:gridSpan w:val="3"/>
          </w:tcPr>
          <w:p>
            <w:pPr>
              <w:pStyle w:val="49"/>
              <w:autoSpaceDE w:val="0"/>
              <w:autoSpaceDN w:val="0"/>
              <w:spacing w:before="48" w:line="194" w:lineRule="auto"/>
              <w:ind w:left="52"/>
              <w:rPr>
                <w:rFonts w:hint="eastAsia" w:ascii="仿宋" w:hAnsi="仿宋" w:eastAsia="仿宋" w:cs="仿宋"/>
                <w:color w:val="auto"/>
                <w:highlight w:val="none"/>
              </w:rPr>
            </w:pPr>
            <w:r>
              <w:rPr>
                <w:rFonts w:hint="eastAsia" w:ascii="仿宋" w:hAnsi="仿宋" w:eastAsia="仿宋" w:cs="仿宋"/>
                <w:color w:val="auto"/>
                <w:spacing w:val="-4"/>
                <w:highlight w:val="no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37"/>
              <w:rPr>
                <w:rFonts w:hint="eastAsia" w:ascii="仿宋" w:hAnsi="仿宋" w:eastAsia="仿宋" w:cs="仿宋"/>
                <w:color w:val="auto"/>
                <w:highlight w:val="none"/>
              </w:rPr>
            </w:pPr>
            <w:r>
              <w:rPr>
                <w:rFonts w:hint="eastAsia" w:ascii="仿宋" w:hAnsi="仿宋" w:eastAsia="仿宋" w:cs="仿宋"/>
                <w:color w:val="auto"/>
                <w:spacing w:val="4"/>
                <w:highlight w:val="none"/>
              </w:rPr>
              <w:t>基站</w:t>
            </w:r>
          </w:p>
        </w:tc>
        <w:tc>
          <w:tcPr>
            <w:tcW w:w="7481" w:type="dxa"/>
            <w:gridSpan w:val="3"/>
          </w:tcPr>
          <w:p>
            <w:pPr>
              <w:pStyle w:val="49"/>
              <w:autoSpaceDE w:val="0"/>
              <w:autoSpaceDN w:val="0"/>
              <w:spacing w:before="48" w:line="194" w:lineRule="auto"/>
              <w:ind w:left="33"/>
              <w:rPr>
                <w:rFonts w:hint="eastAsia" w:ascii="仿宋" w:hAnsi="仿宋" w:eastAsia="仿宋" w:cs="仿宋"/>
                <w:color w:val="auto"/>
                <w:highlight w:val="none"/>
              </w:rPr>
            </w:pPr>
            <w:r>
              <w:rPr>
                <w:rFonts w:hint="eastAsia" w:ascii="仿宋" w:hAnsi="仿宋" w:eastAsia="仿宋" w:cs="仿宋"/>
                <w:color w:val="auto"/>
                <w:spacing w:val="1"/>
                <w:highlight w:val="none"/>
                <w:lang w:eastAsia="zh-CN"/>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2386" w:type="dxa"/>
          </w:tcPr>
          <w:p>
            <w:pPr>
              <w:pStyle w:val="49"/>
              <w:autoSpaceDE w:val="0"/>
              <w:autoSpaceDN w:val="0"/>
              <w:spacing w:before="45" w:line="197" w:lineRule="auto"/>
              <w:ind w:left="37"/>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 xml:space="preserve">控制系统 </w:t>
            </w:r>
          </w:p>
        </w:tc>
        <w:tc>
          <w:tcPr>
            <w:tcW w:w="7481" w:type="dxa"/>
            <w:gridSpan w:val="3"/>
          </w:tcPr>
          <w:p>
            <w:pPr>
              <w:pStyle w:val="49"/>
              <w:autoSpaceDE w:val="0"/>
              <w:autoSpaceDN w:val="0"/>
              <w:spacing w:before="48" w:line="194" w:lineRule="auto"/>
              <w:ind w:left="33"/>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ELS05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rPr>
              <w:t>驱动方式</w:t>
            </w:r>
          </w:p>
        </w:tc>
        <w:tc>
          <w:tcPr>
            <w:tcW w:w="7481" w:type="dxa"/>
            <w:gridSpan w:val="3"/>
          </w:tcPr>
          <w:p>
            <w:pPr>
              <w:pStyle w:val="49"/>
              <w:autoSpaceDE w:val="0"/>
              <w:autoSpaceDN w:val="0"/>
              <w:spacing w:before="42" w:line="200" w:lineRule="auto"/>
              <w:ind w:left="33"/>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微机控制交流变频调压调速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2386" w:type="dxa"/>
          </w:tcPr>
          <w:p>
            <w:pPr>
              <w:pStyle w:val="49"/>
              <w:autoSpaceDE w:val="0"/>
              <w:autoSpaceDN w:val="0"/>
              <w:spacing w:before="43" w:line="199" w:lineRule="auto"/>
              <w:ind w:left="38"/>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驱动主机</w:t>
            </w:r>
          </w:p>
        </w:tc>
        <w:tc>
          <w:tcPr>
            <w:tcW w:w="7481" w:type="dxa"/>
            <w:gridSpan w:val="3"/>
          </w:tcPr>
          <w:p>
            <w:pPr>
              <w:pStyle w:val="49"/>
              <w:autoSpaceDE w:val="0"/>
              <w:autoSpaceDN w:val="0"/>
              <w:spacing w:before="42" w:line="200" w:lineRule="auto"/>
              <w:ind w:left="33"/>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永磁同步曳引机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55"/>
              <w:rPr>
                <w:rFonts w:hint="eastAsia" w:ascii="仿宋" w:hAnsi="仿宋" w:eastAsia="仿宋" w:cs="仿宋"/>
                <w:color w:val="auto"/>
                <w:highlight w:val="none"/>
              </w:rPr>
            </w:pPr>
            <w:r>
              <w:rPr>
                <w:rFonts w:hint="eastAsia" w:ascii="仿宋" w:hAnsi="仿宋" w:eastAsia="仿宋" w:cs="仿宋"/>
                <w:color w:val="auto"/>
                <w:spacing w:val="-3"/>
                <w:highlight w:val="none"/>
              </w:rPr>
              <w:t>电源</w:t>
            </w:r>
          </w:p>
        </w:tc>
        <w:tc>
          <w:tcPr>
            <w:tcW w:w="7481" w:type="dxa"/>
            <w:gridSpan w:val="3"/>
          </w:tcPr>
          <w:p>
            <w:pPr>
              <w:pStyle w:val="49"/>
              <w:autoSpaceDE w:val="0"/>
              <w:autoSpaceDN w:val="0"/>
              <w:spacing w:before="45" w:line="197" w:lineRule="auto"/>
              <w:ind w:left="37"/>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动力电源：</w:t>
            </w:r>
            <w:r>
              <w:rPr>
                <w:rFonts w:hint="eastAsia" w:ascii="仿宋" w:hAnsi="仿宋" w:eastAsia="仿宋" w:cs="仿宋"/>
                <w:color w:val="auto"/>
                <w:highlight w:val="none"/>
                <w:lang w:eastAsia="zh-CN"/>
              </w:rPr>
              <w:t>AC</w:t>
            </w:r>
            <w:r>
              <w:rPr>
                <w:rFonts w:hint="eastAsia" w:ascii="仿宋" w:hAnsi="仿宋" w:eastAsia="仿宋" w:cs="仿宋"/>
                <w:color w:val="auto"/>
                <w:spacing w:val="3"/>
                <w:highlight w:val="none"/>
                <w:lang w:eastAsia="zh-CN"/>
              </w:rPr>
              <w:t>3相 380V 50</w:t>
            </w:r>
            <w:r>
              <w:rPr>
                <w:rFonts w:hint="eastAsia" w:ascii="仿宋" w:hAnsi="仿宋" w:eastAsia="仿宋" w:cs="仿宋"/>
                <w:color w:val="auto"/>
                <w:highlight w:val="none"/>
                <w:lang w:eastAsia="zh-CN"/>
              </w:rPr>
              <w:t>Hz</w:t>
            </w:r>
            <w:r>
              <w:rPr>
                <w:rFonts w:hint="eastAsia" w:ascii="仿宋" w:hAnsi="仿宋" w:eastAsia="仿宋" w:cs="仿宋"/>
                <w:color w:val="auto"/>
                <w:spacing w:val="3"/>
                <w:highlight w:val="none"/>
                <w:lang w:eastAsia="zh-CN"/>
              </w:rPr>
              <w:t xml:space="preserve"> 照明电源：</w:t>
            </w:r>
            <w:r>
              <w:rPr>
                <w:rFonts w:hint="eastAsia" w:ascii="仿宋" w:hAnsi="仿宋" w:eastAsia="仿宋" w:cs="仿宋"/>
                <w:color w:val="auto"/>
                <w:highlight w:val="none"/>
                <w:lang w:eastAsia="zh-CN"/>
              </w:rPr>
              <w:t>AC</w:t>
            </w:r>
            <w:r>
              <w:rPr>
                <w:rFonts w:hint="eastAsia" w:ascii="仿宋" w:hAnsi="仿宋" w:eastAsia="仿宋" w:cs="仿宋"/>
                <w:color w:val="auto"/>
                <w:spacing w:val="2"/>
                <w:highlight w:val="none"/>
                <w:lang w:eastAsia="zh-CN"/>
              </w:rPr>
              <w:t xml:space="preserve"> 220V 50 </w:t>
            </w:r>
            <w:r>
              <w:rPr>
                <w:rFonts w:hint="eastAsia" w:ascii="仿宋" w:hAnsi="仿宋" w:eastAsia="仿宋" w:cs="仿宋"/>
                <w:color w:val="auto"/>
                <w:highlight w:val="none"/>
                <w:lang w:eastAsia="zh-CN"/>
              </w:rPr>
              <w:t>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2386" w:type="dxa"/>
          </w:tcPr>
          <w:p>
            <w:pPr>
              <w:pStyle w:val="49"/>
              <w:autoSpaceDE w:val="0"/>
              <w:autoSpaceDN w:val="0"/>
              <w:spacing w:before="44" w:line="198"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rPr>
              <w:t>控制方式</w:t>
            </w:r>
          </w:p>
        </w:tc>
        <w:tc>
          <w:tcPr>
            <w:tcW w:w="7481" w:type="dxa"/>
            <w:gridSpan w:val="3"/>
          </w:tcPr>
          <w:p>
            <w:pPr>
              <w:pStyle w:val="49"/>
              <w:autoSpaceDE w:val="0"/>
              <w:autoSpaceDN w:val="0"/>
              <w:spacing w:before="47" w:line="195" w:lineRule="auto"/>
              <w:ind w:left="37"/>
              <w:rPr>
                <w:rFonts w:hint="eastAsia" w:ascii="仿宋" w:hAnsi="仿宋" w:eastAsia="仿宋" w:cs="仿宋"/>
                <w:color w:val="auto"/>
                <w:highlight w:val="none"/>
              </w:rPr>
            </w:pPr>
            <w:r>
              <w:rPr>
                <w:rFonts w:hint="eastAsia" w:ascii="仿宋" w:hAnsi="仿宋" w:eastAsia="仿宋" w:cs="仿宋"/>
                <w:color w:val="auto"/>
                <w:spacing w:val="2"/>
                <w:highlight w:val="none"/>
              </w:rPr>
              <w:t>单控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rPr>
              <w:t>井道尺寸(宽×深)(</w:t>
            </w:r>
            <w:r>
              <w:rPr>
                <w:rFonts w:hint="eastAsia" w:ascii="仿宋" w:hAnsi="仿宋" w:eastAsia="仿宋" w:cs="仿宋"/>
                <w:color w:val="auto"/>
                <w:highlight w:val="none"/>
              </w:rPr>
              <w:t>mm</w:t>
            </w:r>
            <w:r>
              <w:rPr>
                <w:rFonts w:hint="eastAsia" w:ascii="仿宋" w:hAnsi="仿宋" w:eastAsia="仿宋" w:cs="仿宋"/>
                <w:color w:val="auto"/>
                <w:spacing w:val="3"/>
                <w:highlight w:val="none"/>
              </w:rPr>
              <w:t>)</w:t>
            </w:r>
          </w:p>
        </w:tc>
        <w:tc>
          <w:tcPr>
            <w:tcW w:w="7481" w:type="dxa"/>
            <w:gridSpan w:val="3"/>
          </w:tcPr>
          <w:p>
            <w:pPr>
              <w:pStyle w:val="49"/>
              <w:autoSpaceDE w:val="0"/>
              <w:autoSpaceDN w:val="0"/>
              <w:spacing w:before="51" w:line="191" w:lineRule="auto"/>
              <w:ind w:left="33"/>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2850</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37"/>
              <w:rPr>
                <w:rFonts w:hint="eastAsia" w:ascii="仿宋" w:hAnsi="仿宋" w:eastAsia="仿宋" w:cs="仿宋"/>
                <w:color w:val="auto"/>
                <w:highlight w:val="none"/>
              </w:rPr>
            </w:pPr>
            <w:r>
              <w:rPr>
                <w:rFonts w:hint="eastAsia" w:ascii="仿宋" w:hAnsi="仿宋" w:eastAsia="仿宋" w:cs="仿宋"/>
                <w:color w:val="auto"/>
                <w:spacing w:val="4"/>
                <w:highlight w:val="none"/>
              </w:rPr>
              <w:t>机房位置</w:t>
            </w:r>
          </w:p>
        </w:tc>
        <w:tc>
          <w:tcPr>
            <w:tcW w:w="7481" w:type="dxa"/>
            <w:gridSpan w:val="3"/>
          </w:tcPr>
          <w:p>
            <w:pPr>
              <w:pStyle w:val="49"/>
              <w:autoSpaceDE w:val="0"/>
              <w:autoSpaceDN w:val="0"/>
              <w:spacing w:before="47" w:line="195" w:lineRule="auto"/>
              <w:ind w:left="37"/>
              <w:rPr>
                <w:rFonts w:hint="eastAsia" w:ascii="仿宋" w:hAnsi="仿宋" w:eastAsia="仿宋" w:cs="仿宋"/>
                <w:color w:val="auto"/>
                <w:highlight w:val="none"/>
              </w:rPr>
            </w:pPr>
            <w:r>
              <w:rPr>
                <w:rFonts w:hint="eastAsia" w:ascii="仿宋" w:hAnsi="仿宋" w:eastAsia="仿宋" w:cs="仿宋"/>
                <w:color w:val="auto"/>
                <w:spacing w:val="2"/>
                <w:highlight w:val="none"/>
              </w:rPr>
              <w:t>无机房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4" w:line="198" w:lineRule="auto"/>
              <w:ind w:left="44"/>
              <w:rPr>
                <w:rFonts w:hint="eastAsia" w:ascii="仿宋" w:hAnsi="仿宋" w:eastAsia="仿宋" w:cs="仿宋"/>
                <w:color w:val="auto"/>
                <w:highlight w:val="none"/>
              </w:rPr>
            </w:pPr>
            <w:r>
              <w:rPr>
                <w:rFonts w:hint="eastAsia" w:ascii="仿宋" w:hAnsi="仿宋" w:eastAsia="仿宋" w:cs="仿宋"/>
                <w:color w:val="auto"/>
                <w:spacing w:val="2"/>
                <w:highlight w:val="none"/>
              </w:rPr>
              <w:t>井道总高(m)</w:t>
            </w:r>
          </w:p>
        </w:tc>
        <w:tc>
          <w:tcPr>
            <w:tcW w:w="7481" w:type="dxa"/>
            <w:gridSpan w:val="3"/>
          </w:tcPr>
          <w:p>
            <w:pPr>
              <w:pStyle w:val="49"/>
              <w:autoSpaceDE w:val="0"/>
              <w:autoSpaceDN w:val="0"/>
              <w:spacing w:before="52" w:line="190" w:lineRule="auto"/>
              <w:ind w:left="52"/>
              <w:rPr>
                <w:rFonts w:hint="eastAsia" w:ascii="仿宋" w:hAnsi="仿宋" w:eastAsia="仿宋" w:cs="仿宋"/>
                <w:color w:val="auto"/>
                <w:highlight w:val="none"/>
                <w:lang w:val="en-US" w:eastAsia="zh-CN"/>
              </w:rPr>
            </w:pPr>
            <w:r>
              <w:rPr>
                <w:rFonts w:hint="eastAsia" w:ascii="仿宋" w:hAnsi="仿宋" w:eastAsia="仿宋" w:cs="仿宋"/>
                <w:color w:val="auto"/>
                <w:spacing w:val="-2"/>
                <w:highlight w:val="none"/>
                <w:lang w:val="en-US" w:eastAsia="zh-CN"/>
              </w:rPr>
              <w:t>10.45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rPr>
              <w:t>提升高度(m)</w:t>
            </w:r>
          </w:p>
        </w:tc>
        <w:tc>
          <w:tcPr>
            <w:tcW w:w="7481" w:type="dxa"/>
            <w:gridSpan w:val="3"/>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1"/>
                <w:highlight w:val="none"/>
                <w:lang w:eastAsia="zh-CN"/>
              </w:rPr>
              <w:t>4</w:t>
            </w:r>
            <w:r>
              <w:rPr>
                <w:rFonts w:hint="eastAsia" w:ascii="仿宋" w:hAnsi="仿宋" w:eastAsia="仿宋" w:cs="仿宋"/>
                <w:color w:val="auto"/>
                <w:spacing w:val="-1"/>
                <w:highlight w:val="none"/>
              </w:rPr>
              <w:t>.</w:t>
            </w:r>
            <w:r>
              <w:rPr>
                <w:rFonts w:hint="eastAsia" w:ascii="仿宋" w:hAnsi="仿宋" w:eastAsia="仿宋" w:cs="仿宋"/>
                <w:color w:val="auto"/>
                <w:spacing w:val="-1"/>
                <w:highlight w:val="none"/>
                <w:lang w:eastAsia="zh-CN"/>
              </w:rPr>
              <w:t>5</w:t>
            </w:r>
            <w:r>
              <w:rPr>
                <w:rFonts w:hint="eastAsia" w:ascii="仿宋" w:hAnsi="仿宋" w:eastAsia="仿宋" w:cs="仿宋"/>
                <w:color w:val="auto"/>
                <w:spacing w:val="-1"/>
                <w:highlight w:val="none"/>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41"/>
              <w:rPr>
                <w:rFonts w:hint="eastAsia" w:ascii="仿宋" w:hAnsi="仿宋" w:eastAsia="仿宋" w:cs="仿宋"/>
                <w:color w:val="auto"/>
                <w:highlight w:val="none"/>
              </w:rPr>
            </w:pPr>
            <w:r>
              <w:rPr>
                <w:rFonts w:hint="eastAsia" w:ascii="仿宋" w:hAnsi="仿宋" w:eastAsia="仿宋" w:cs="仿宋"/>
                <w:color w:val="auto"/>
                <w:spacing w:val="3"/>
                <w:highlight w:val="none"/>
              </w:rPr>
              <w:t>顶层净高(</w:t>
            </w:r>
            <w:r>
              <w:rPr>
                <w:rFonts w:hint="eastAsia" w:ascii="仿宋" w:hAnsi="仿宋" w:eastAsia="仿宋" w:cs="仿宋"/>
                <w:color w:val="auto"/>
                <w:highlight w:val="none"/>
              </w:rPr>
              <w:t>mm</w:t>
            </w:r>
            <w:r>
              <w:rPr>
                <w:rFonts w:hint="eastAsia" w:ascii="仿宋" w:hAnsi="仿宋" w:eastAsia="仿宋" w:cs="仿宋"/>
                <w:color w:val="auto"/>
                <w:spacing w:val="3"/>
                <w:highlight w:val="none"/>
              </w:rPr>
              <w:t>)</w:t>
            </w:r>
          </w:p>
        </w:tc>
        <w:tc>
          <w:tcPr>
            <w:tcW w:w="7481" w:type="dxa"/>
            <w:gridSpan w:val="3"/>
          </w:tcPr>
          <w:p>
            <w:pPr>
              <w:pStyle w:val="49"/>
              <w:autoSpaceDE w:val="0"/>
              <w:autoSpaceDN w:val="0"/>
              <w:spacing w:before="53" w:line="189" w:lineRule="auto"/>
              <w:ind w:left="33"/>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底坑净深(</w:t>
            </w:r>
            <w:r>
              <w:rPr>
                <w:rFonts w:hint="eastAsia" w:ascii="仿宋" w:hAnsi="仿宋" w:eastAsia="仿宋" w:cs="仿宋"/>
                <w:color w:val="auto"/>
                <w:highlight w:val="none"/>
              </w:rPr>
              <w:t>mm</w:t>
            </w:r>
            <w:r>
              <w:rPr>
                <w:rFonts w:hint="eastAsia" w:ascii="仿宋" w:hAnsi="仿宋" w:eastAsia="仿宋" w:cs="仿宋"/>
                <w:color w:val="auto"/>
                <w:spacing w:val="4"/>
                <w:highlight w:val="none"/>
              </w:rPr>
              <w:t>)</w:t>
            </w:r>
          </w:p>
        </w:tc>
        <w:tc>
          <w:tcPr>
            <w:tcW w:w="7481" w:type="dxa"/>
            <w:gridSpan w:val="3"/>
          </w:tcPr>
          <w:p>
            <w:pPr>
              <w:pStyle w:val="49"/>
              <w:autoSpaceDE w:val="0"/>
              <w:autoSpaceDN w:val="0"/>
              <w:spacing w:before="54" w:line="188" w:lineRule="auto"/>
              <w:ind w:left="52"/>
              <w:rPr>
                <w:rFonts w:hint="eastAsia" w:ascii="仿宋" w:hAnsi="仿宋" w:eastAsia="仿宋" w:cs="仿宋"/>
                <w:color w:val="auto"/>
                <w:highlight w:val="none"/>
              </w:rPr>
            </w:pPr>
            <w:r>
              <w:rPr>
                <w:rFonts w:hint="eastAsia" w:ascii="仿宋" w:hAnsi="仿宋" w:eastAsia="仿宋" w:cs="仿宋"/>
                <w:color w:val="auto"/>
                <w:spacing w:val="-4"/>
                <w:highlight w:val="none"/>
              </w:rPr>
              <w:t>1450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轿内尺寸(宽×深)(</w:t>
            </w:r>
            <w:r>
              <w:rPr>
                <w:rFonts w:hint="eastAsia" w:ascii="仿宋" w:hAnsi="仿宋" w:eastAsia="仿宋" w:cs="仿宋"/>
                <w:color w:val="auto"/>
                <w:highlight w:val="none"/>
              </w:rPr>
              <w:t>mm</w:t>
            </w:r>
            <w:r>
              <w:rPr>
                <w:rFonts w:hint="eastAsia" w:ascii="仿宋" w:hAnsi="仿宋" w:eastAsia="仿宋" w:cs="仿宋"/>
                <w:color w:val="auto"/>
                <w:spacing w:val="3"/>
                <w:highlight w:val="none"/>
              </w:rPr>
              <w:t>)</w:t>
            </w:r>
          </w:p>
        </w:tc>
        <w:tc>
          <w:tcPr>
            <w:tcW w:w="7481" w:type="dxa"/>
            <w:gridSpan w:val="3"/>
          </w:tcPr>
          <w:p>
            <w:pPr>
              <w:pStyle w:val="49"/>
              <w:autoSpaceDE w:val="0"/>
              <w:autoSpaceDN w:val="0"/>
              <w:spacing w:before="54" w:line="188" w:lineRule="auto"/>
              <w:ind w:left="52"/>
              <w:rPr>
                <w:rFonts w:hint="eastAsia" w:ascii="仿宋" w:hAnsi="仿宋" w:eastAsia="仿宋" w:cs="仿宋"/>
                <w:color w:val="auto"/>
                <w:highlight w:val="none"/>
              </w:rPr>
            </w:pPr>
            <w:r>
              <w:rPr>
                <w:rFonts w:hint="eastAsia" w:ascii="仿宋" w:hAnsi="仿宋" w:eastAsia="仿宋" w:cs="仿宋"/>
                <w:color w:val="auto"/>
                <w:spacing w:val="-2"/>
                <w:highlight w:val="none"/>
              </w:rPr>
              <w:t>1600×2500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轿厢天花</w:t>
            </w:r>
          </w:p>
        </w:tc>
        <w:tc>
          <w:tcPr>
            <w:tcW w:w="7481" w:type="dxa"/>
            <w:gridSpan w:val="3"/>
          </w:tcPr>
          <w:p>
            <w:pPr>
              <w:pStyle w:val="49"/>
              <w:autoSpaceDE w:val="0"/>
              <w:autoSpaceDN w:val="0"/>
              <w:spacing w:before="48" w:line="194" w:lineRule="auto"/>
              <w:ind w:left="43"/>
              <w:rPr>
                <w:rFonts w:hint="eastAsia" w:ascii="仿宋" w:hAnsi="仿宋" w:eastAsia="仿宋" w:cs="仿宋"/>
                <w:color w:val="auto"/>
                <w:highlight w:val="none"/>
              </w:rPr>
            </w:pPr>
            <w:r>
              <w:rPr>
                <w:rFonts w:hint="eastAsia" w:ascii="仿宋" w:hAnsi="仿宋" w:eastAsia="仿宋" w:cs="仿宋"/>
                <w:color w:val="auto"/>
                <w:highlight w:val="none"/>
              </w:rPr>
              <w:t>LED</w:t>
            </w:r>
            <w:r>
              <w:rPr>
                <w:rFonts w:hint="eastAsia" w:ascii="仿宋" w:hAnsi="仿宋" w:eastAsia="仿宋" w:cs="仿宋"/>
                <w:color w:val="auto"/>
                <w:spacing w:val="4"/>
                <w:highlight w:val="none"/>
              </w:rPr>
              <w:t>筒灯型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7" w:line="195" w:lineRule="auto"/>
              <w:ind w:left="40"/>
              <w:rPr>
                <w:rFonts w:hint="eastAsia" w:ascii="仿宋" w:hAnsi="仿宋" w:eastAsia="仿宋" w:cs="仿宋"/>
                <w:color w:val="auto"/>
                <w:highlight w:val="none"/>
              </w:rPr>
            </w:pPr>
            <w:r>
              <w:rPr>
                <w:rFonts w:hint="eastAsia" w:ascii="仿宋" w:hAnsi="仿宋" w:eastAsia="仿宋" w:cs="仿宋"/>
                <w:color w:val="auto"/>
                <w:spacing w:val="4"/>
                <w:highlight w:val="none"/>
              </w:rPr>
              <w:t>轿厢高度(</w:t>
            </w:r>
            <w:r>
              <w:rPr>
                <w:rFonts w:hint="eastAsia" w:ascii="仿宋" w:hAnsi="仿宋" w:eastAsia="仿宋" w:cs="仿宋"/>
                <w:color w:val="auto"/>
                <w:highlight w:val="none"/>
              </w:rPr>
              <w:t>mm</w:t>
            </w:r>
            <w:r>
              <w:rPr>
                <w:rFonts w:hint="eastAsia" w:ascii="仿宋" w:hAnsi="仿宋" w:eastAsia="仿宋" w:cs="仿宋"/>
                <w:color w:val="auto"/>
                <w:spacing w:val="4"/>
                <w:highlight w:val="none"/>
              </w:rPr>
              <w:t>)</w:t>
            </w:r>
          </w:p>
        </w:tc>
        <w:tc>
          <w:tcPr>
            <w:tcW w:w="7481" w:type="dxa"/>
            <w:gridSpan w:val="3"/>
          </w:tcPr>
          <w:p>
            <w:pPr>
              <w:pStyle w:val="49"/>
              <w:autoSpaceDE w:val="0"/>
              <w:autoSpaceDN w:val="0"/>
              <w:spacing w:before="50" w:line="192" w:lineRule="auto"/>
              <w:ind w:left="38"/>
              <w:rPr>
                <w:rFonts w:hint="eastAsia" w:ascii="仿宋" w:hAnsi="仿宋" w:eastAsia="仿宋" w:cs="仿宋"/>
                <w:color w:val="auto"/>
                <w:highlight w:val="none"/>
              </w:rPr>
            </w:pPr>
            <w:r>
              <w:rPr>
                <w:rFonts w:hint="eastAsia" w:ascii="仿宋" w:hAnsi="仿宋" w:eastAsia="仿宋" w:cs="仿宋"/>
                <w:color w:val="auto"/>
                <w:spacing w:val="2"/>
                <w:highlight w:val="none"/>
              </w:rPr>
              <w:t>天花高度_2</w:t>
            </w:r>
            <w:r>
              <w:rPr>
                <w:rFonts w:hint="eastAsia" w:ascii="仿宋" w:hAnsi="仿宋" w:eastAsia="仿宋" w:cs="仿宋"/>
                <w:color w:val="auto"/>
                <w:spacing w:val="2"/>
                <w:highlight w:val="none"/>
                <w:lang w:eastAsia="zh-CN"/>
              </w:rPr>
              <w:t>2</w:t>
            </w:r>
            <w:r>
              <w:rPr>
                <w:rFonts w:hint="eastAsia" w:ascii="仿宋" w:hAnsi="仿宋" w:eastAsia="仿宋" w:cs="仿宋"/>
                <w:color w:val="auto"/>
                <w:spacing w:val="2"/>
                <w:highlight w:val="none"/>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9" w:line="193"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轿厢前壁</w:t>
            </w:r>
          </w:p>
        </w:tc>
        <w:tc>
          <w:tcPr>
            <w:tcW w:w="7481" w:type="dxa"/>
            <w:gridSpan w:val="3"/>
          </w:tcPr>
          <w:p>
            <w:pPr>
              <w:pStyle w:val="49"/>
              <w:autoSpaceDE w:val="0"/>
              <w:autoSpaceDN w:val="0"/>
              <w:spacing w:before="50" w:line="192"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rPr>
              <w:t>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56"/>
              <w:rPr>
                <w:rFonts w:hint="eastAsia" w:ascii="仿宋" w:hAnsi="仿宋" w:eastAsia="仿宋" w:cs="仿宋"/>
                <w:color w:val="auto"/>
                <w:highlight w:val="none"/>
              </w:rPr>
            </w:pPr>
            <w:r>
              <w:rPr>
                <w:rFonts w:hint="eastAsia" w:ascii="仿宋" w:hAnsi="仿宋" w:eastAsia="仿宋" w:cs="仿宋"/>
                <w:color w:val="auto"/>
                <w:spacing w:val="-1"/>
                <w:highlight w:val="none"/>
              </w:rPr>
              <w:t>门灯横梁</w:t>
            </w:r>
          </w:p>
        </w:tc>
        <w:tc>
          <w:tcPr>
            <w:tcW w:w="7481" w:type="dxa"/>
            <w:gridSpan w:val="3"/>
          </w:tcPr>
          <w:p>
            <w:pPr>
              <w:pStyle w:val="49"/>
              <w:autoSpaceDE w:val="0"/>
              <w:autoSpaceDN w:val="0"/>
              <w:spacing w:before="51" w:line="191"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rPr>
              <w:t>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0" w:line="192"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轿厢侧壁</w:t>
            </w:r>
          </w:p>
        </w:tc>
        <w:tc>
          <w:tcPr>
            <w:tcW w:w="7481" w:type="dxa"/>
            <w:gridSpan w:val="3"/>
          </w:tcPr>
          <w:p>
            <w:pPr>
              <w:pStyle w:val="49"/>
              <w:autoSpaceDE w:val="0"/>
              <w:autoSpaceDN w:val="0"/>
              <w:spacing w:before="51" w:line="191"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rPr>
              <w:t>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轿厢后壁</w:t>
            </w:r>
          </w:p>
        </w:tc>
        <w:tc>
          <w:tcPr>
            <w:tcW w:w="7481" w:type="dxa"/>
            <w:gridSpan w:val="3"/>
          </w:tcPr>
          <w:p>
            <w:pPr>
              <w:pStyle w:val="49"/>
              <w:autoSpaceDE w:val="0"/>
              <w:autoSpaceDN w:val="0"/>
              <w:spacing w:before="52" w:line="190"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rPr>
              <w:t>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2"/>
                <w:highlight w:val="none"/>
              </w:rPr>
              <w:t>轿门</w:t>
            </w:r>
          </w:p>
        </w:tc>
        <w:tc>
          <w:tcPr>
            <w:tcW w:w="7481" w:type="dxa"/>
            <w:gridSpan w:val="3"/>
          </w:tcPr>
          <w:p>
            <w:pPr>
              <w:pStyle w:val="49"/>
              <w:autoSpaceDE w:val="0"/>
              <w:autoSpaceDN w:val="0"/>
              <w:spacing w:before="52" w:line="190"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rPr>
              <w:t>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2386" w:type="dxa"/>
          </w:tcPr>
          <w:p>
            <w:pPr>
              <w:pStyle w:val="49"/>
              <w:autoSpaceDE w:val="0"/>
              <w:autoSpaceDN w:val="0"/>
              <w:spacing w:before="52" w:line="190"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轿厢地面</w:t>
            </w:r>
          </w:p>
        </w:tc>
        <w:tc>
          <w:tcPr>
            <w:tcW w:w="7481" w:type="dxa"/>
            <w:gridSpan w:val="3"/>
          </w:tcPr>
          <w:p>
            <w:pPr>
              <w:pStyle w:val="49"/>
              <w:autoSpaceDE w:val="0"/>
              <w:autoSpaceDN w:val="0"/>
              <w:spacing w:before="52" w:line="190" w:lineRule="auto"/>
              <w:ind w:left="38"/>
              <w:rPr>
                <w:rFonts w:hint="eastAsia" w:ascii="仿宋" w:hAnsi="仿宋" w:eastAsia="仿宋" w:cs="仿宋"/>
                <w:color w:val="auto"/>
                <w:highlight w:val="none"/>
              </w:rPr>
            </w:pPr>
            <w:r>
              <w:rPr>
                <w:rFonts w:hint="eastAsia" w:ascii="仿宋" w:hAnsi="仿宋" w:eastAsia="仿宋" w:cs="仿宋"/>
                <w:color w:val="auto"/>
                <w:spacing w:val="3"/>
                <w:highlight w:val="none"/>
              </w:rPr>
              <w:t>花纹钢地板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轿厢不锈钢材质牌号</w:t>
            </w:r>
          </w:p>
        </w:tc>
        <w:tc>
          <w:tcPr>
            <w:tcW w:w="7481" w:type="dxa"/>
            <w:gridSpan w:val="3"/>
          </w:tcPr>
          <w:p>
            <w:pPr>
              <w:pStyle w:val="49"/>
              <w:autoSpaceDE w:val="0"/>
              <w:autoSpaceDN w:val="0"/>
              <w:spacing w:before="57" w:line="184" w:lineRule="auto"/>
              <w:ind w:left="30"/>
              <w:rPr>
                <w:rFonts w:hint="eastAsia" w:ascii="仿宋" w:hAnsi="仿宋" w:eastAsia="仿宋" w:cs="仿宋"/>
                <w:color w:val="auto"/>
                <w:highlight w:val="none"/>
              </w:rPr>
            </w:pPr>
            <w:r>
              <w:rPr>
                <w:rFonts w:hint="eastAsia" w:ascii="仿宋" w:hAnsi="仿宋" w:eastAsia="仿宋" w:cs="仿宋"/>
                <w:color w:val="auto"/>
                <w:highlight w:val="none"/>
              </w:rPr>
              <w:t>SUS</w:t>
            </w:r>
            <w:r>
              <w:rPr>
                <w:rFonts w:hint="eastAsia" w:ascii="仿宋" w:hAnsi="仿宋" w:eastAsia="仿宋" w:cs="仿宋"/>
                <w:color w:val="auto"/>
                <w:spacing w:val="1"/>
                <w:highlight w:val="none"/>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rPr>
              <w:t>开门方向</w:t>
            </w:r>
          </w:p>
        </w:tc>
        <w:tc>
          <w:tcPr>
            <w:tcW w:w="7481" w:type="dxa"/>
            <w:gridSpan w:val="3"/>
          </w:tcPr>
          <w:p>
            <w:pPr>
              <w:pStyle w:val="49"/>
              <w:autoSpaceDE w:val="0"/>
              <w:autoSpaceDN w:val="0"/>
              <w:spacing w:before="53" w:line="189"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rPr>
              <w:t>左开门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rPr>
              <w:t>开门尺寸(宽×高)(</w:t>
            </w:r>
            <w:r>
              <w:rPr>
                <w:rFonts w:hint="eastAsia" w:ascii="仿宋" w:hAnsi="仿宋" w:eastAsia="仿宋" w:cs="仿宋"/>
                <w:color w:val="auto"/>
                <w:highlight w:val="none"/>
              </w:rPr>
              <w:t>mm</w:t>
            </w:r>
            <w:r>
              <w:rPr>
                <w:rFonts w:hint="eastAsia" w:ascii="仿宋" w:hAnsi="仿宋" w:eastAsia="仿宋" w:cs="仿宋"/>
                <w:color w:val="auto"/>
                <w:spacing w:val="3"/>
                <w:highlight w:val="none"/>
              </w:rPr>
              <w:t>)</w:t>
            </w:r>
          </w:p>
        </w:tc>
        <w:tc>
          <w:tcPr>
            <w:tcW w:w="7481" w:type="dxa"/>
            <w:gridSpan w:val="3"/>
          </w:tcPr>
          <w:p>
            <w:pPr>
              <w:pStyle w:val="49"/>
              <w:autoSpaceDE w:val="0"/>
              <w:autoSpaceDN w:val="0"/>
              <w:spacing w:before="4" w:line="241" w:lineRule="auto"/>
              <w:ind w:left="52"/>
              <w:rPr>
                <w:rFonts w:hint="eastAsia" w:ascii="仿宋" w:hAnsi="仿宋" w:eastAsia="仿宋" w:cs="仿宋"/>
                <w:color w:val="auto"/>
                <w:highlight w:val="none"/>
              </w:rPr>
            </w:pPr>
            <w:r>
              <w:rPr>
                <w:rFonts w:hint="eastAsia" w:ascii="仿宋" w:hAnsi="仿宋" w:eastAsia="仿宋" w:cs="仿宋"/>
                <w:color w:val="auto"/>
                <w:spacing w:val="-1"/>
                <w:highlight w:val="none"/>
              </w:rPr>
              <w:t>1500×2100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5" w:line="187"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轿厢操纵箱</w:t>
            </w:r>
          </w:p>
        </w:tc>
        <w:tc>
          <w:tcPr>
            <w:tcW w:w="7481" w:type="dxa"/>
            <w:gridSpan w:val="3"/>
          </w:tcPr>
          <w:p>
            <w:pPr>
              <w:pStyle w:val="49"/>
              <w:autoSpaceDE w:val="0"/>
              <w:autoSpaceDN w:val="0"/>
              <w:spacing w:before="54" w:line="188" w:lineRule="auto"/>
              <w:ind w:left="46"/>
              <w:rPr>
                <w:rFonts w:hint="eastAsia" w:ascii="仿宋" w:hAnsi="仿宋" w:eastAsia="仿宋" w:cs="仿宋"/>
                <w:color w:val="auto"/>
                <w:highlight w:val="none"/>
              </w:rPr>
            </w:pPr>
            <w:r>
              <w:rPr>
                <w:rFonts w:hint="eastAsia" w:ascii="仿宋" w:hAnsi="仿宋" w:eastAsia="仿宋" w:cs="仿宋"/>
                <w:color w:val="auto"/>
                <w:highlight w:val="none"/>
              </w:rPr>
              <w:t>GOP</w:t>
            </w:r>
            <w:r>
              <w:rPr>
                <w:rFonts w:hint="eastAsia" w:ascii="仿宋" w:hAnsi="仿宋" w:eastAsia="仿宋" w:cs="仿宋"/>
                <w:color w:val="auto"/>
                <w:spacing w:val="1"/>
                <w:highlight w:val="none"/>
              </w:rPr>
              <w:t>-195_发纹不锈钢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5" w:line="187"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操纵箱按钮</w:t>
            </w:r>
          </w:p>
        </w:tc>
        <w:tc>
          <w:tcPr>
            <w:tcW w:w="7481" w:type="dxa"/>
            <w:gridSpan w:val="3"/>
          </w:tcPr>
          <w:p>
            <w:pPr>
              <w:pStyle w:val="49"/>
              <w:autoSpaceDE w:val="0"/>
              <w:autoSpaceDN w:val="0"/>
              <w:spacing w:before="57" w:line="184" w:lineRule="auto"/>
              <w:ind w:left="46"/>
              <w:rPr>
                <w:rFonts w:hint="eastAsia" w:ascii="仿宋" w:hAnsi="仿宋" w:eastAsia="仿宋" w:cs="仿宋"/>
                <w:color w:val="auto"/>
                <w:highlight w:val="none"/>
              </w:rPr>
            </w:pPr>
            <w:r>
              <w:rPr>
                <w:rFonts w:hint="eastAsia" w:ascii="仿宋" w:hAnsi="仿宋" w:eastAsia="仿宋" w:cs="仿宋"/>
                <w:color w:val="auto"/>
                <w:spacing w:val="-1"/>
                <w:highlight w:val="none"/>
              </w:rPr>
              <w:t>GL-MOA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4" w:line="188"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轿厢位置指层</w:t>
            </w:r>
          </w:p>
        </w:tc>
        <w:tc>
          <w:tcPr>
            <w:tcW w:w="7481" w:type="dxa"/>
            <w:gridSpan w:val="3"/>
          </w:tcPr>
          <w:p>
            <w:pPr>
              <w:pStyle w:val="49"/>
              <w:autoSpaceDE w:val="0"/>
              <w:autoSpaceDN w:val="0"/>
              <w:spacing w:before="54" w:line="188" w:lineRule="auto"/>
              <w:ind w:left="38"/>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点阵数显_设置于主操纵箱;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6" w:line="186" w:lineRule="auto"/>
              <w:ind w:left="56"/>
              <w:rPr>
                <w:rFonts w:hint="eastAsia" w:ascii="仿宋" w:hAnsi="仿宋" w:eastAsia="仿宋" w:cs="仿宋"/>
                <w:color w:val="auto"/>
                <w:highlight w:val="none"/>
              </w:rPr>
            </w:pPr>
            <w:r>
              <w:rPr>
                <w:rFonts w:hint="eastAsia" w:ascii="仿宋" w:hAnsi="仿宋" w:eastAsia="仿宋" w:cs="仿宋"/>
                <w:color w:val="auto"/>
                <w:spacing w:val="-3"/>
                <w:highlight w:val="none"/>
              </w:rPr>
              <w:t>门套</w:t>
            </w:r>
          </w:p>
        </w:tc>
        <w:tc>
          <w:tcPr>
            <w:tcW w:w="7481" w:type="dxa"/>
            <w:gridSpan w:val="3"/>
          </w:tcPr>
          <w:p>
            <w:pPr>
              <w:pStyle w:val="49"/>
              <w:autoSpaceDE w:val="0"/>
              <w:autoSpaceDN w:val="0"/>
              <w:spacing w:before="53" w:line="189"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所有层_小门套_1.2mm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lang w:eastAsia="zh-CN"/>
              </w:rPr>
              <w:t>纹不锈钢_</w:t>
            </w:r>
            <w:r>
              <w:rPr>
                <w:rFonts w:hint="eastAsia" w:ascii="仿宋" w:hAnsi="仿宋" w:eastAsia="仿宋" w:cs="仿宋"/>
                <w:color w:val="auto"/>
                <w:highlight w:val="none"/>
                <w:lang w:eastAsia="zh-CN"/>
              </w:rPr>
              <w:t>SUS</w:t>
            </w:r>
            <w:r>
              <w:rPr>
                <w:rFonts w:hint="eastAsia" w:ascii="仿宋" w:hAnsi="仿宋" w:eastAsia="仿宋" w:cs="仿宋"/>
                <w:color w:val="auto"/>
                <w:spacing w:val="3"/>
                <w:highlight w:val="none"/>
                <w:lang w:eastAsia="zh-CN"/>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5"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层（厅）门</w:t>
            </w:r>
          </w:p>
        </w:tc>
        <w:tc>
          <w:tcPr>
            <w:tcW w:w="7481" w:type="dxa"/>
            <w:gridSpan w:val="3"/>
          </w:tcPr>
          <w:p>
            <w:pPr>
              <w:pStyle w:val="49"/>
              <w:autoSpaceDE w:val="0"/>
              <w:autoSpaceDN w:val="0"/>
              <w:spacing w:before="54" w:line="188"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所有层_1.2mm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lang w:eastAsia="zh-CN"/>
              </w:rPr>
              <w:t>发纹不锈钢_</w:t>
            </w:r>
            <w:r>
              <w:rPr>
                <w:rFonts w:hint="eastAsia" w:ascii="仿宋" w:hAnsi="仿宋" w:eastAsia="仿宋" w:cs="仿宋"/>
                <w:color w:val="auto"/>
                <w:highlight w:val="none"/>
                <w:lang w:eastAsia="zh-CN"/>
              </w:rPr>
              <w:t>SUS</w:t>
            </w:r>
            <w:r>
              <w:rPr>
                <w:rFonts w:hint="eastAsia" w:ascii="仿宋" w:hAnsi="仿宋" w:eastAsia="仿宋" w:cs="仿宋"/>
                <w:color w:val="auto"/>
                <w:spacing w:val="3"/>
                <w:highlight w:val="none"/>
                <w:lang w:eastAsia="zh-CN"/>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5" w:lineRule="auto"/>
              <w:ind w:left="42"/>
              <w:rPr>
                <w:rFonts w:hint="eastAsia" w:ascii="仿宋" w:hAnsi="仿宋" w:eastAsia="仿宋" w:cs="仿宋"/>
                <w:color w:val="auto"/>
                <w:highlight w:val="none"/>
              </w:rPr>
            </w:pPr>
            <w:r>
              <w:rPr>
                <w:rFonts w:hint="eastAsia" w:ascii="仿宋" w:hAnsi="仿宋" w:eastAsia="仿宋" w:cs="仿宋"/>
                <w:color w:val="auto"/>
                <w:spacing w:val="3"/>
                <w:highlight w:val="none"/>
              </w:rPr>
              <w:t>厅外召唤箱</w:t>
            </w:r>
          </w:p>
        </w:tc>
        <w:tc>
          <w:tcPr>
            <w:tcW w:w="7481" w:type="dxa"/>
            <w:gridSpan w:val="3"/>
          </w:tcPr>
          <w:p>
            <w:pPr>
              <w:pStyle w:val="49"/>
              <w:autoSpaceDE w:val="0"/>
              <w:autoSpaceDN w:val="0"/>
              <w:spacing w:before="54" w:line="188"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所有层_</w:t>
            </w:r>
            <w:r>
              <w:rPr>
                <w:rFonts w:hint="eastAsia" w:ascii="仿宋" w:hAnsi="仿宋" w:eastAsia="仿宋" w:cs="仿宋"/>
                <w:color w:val="auto"/>
                <w:highlight w:val="none"/>
                <w:lang w:eastAsia="zh-CN"/>
              </w:rPr>
              <w:t>VIB</w:t>
            </w:r>
            <w:r>
              <w:rPr>
                <w:rFonts w:hint="eastAsia" w:ascii="仿宋" w:hAnsi="仿宋" w:eastAsia="仿宋" w:cs="仿宋"/>
                <w:color w:val="auto"/>
                <w:spacing w:val="3"/>
                <w:highlight w:val="none"/>
                <w:lang w:eastAsia="zh-CN"/>
              </w:rPr>
              <w:t>-658_点阵数显_</w:t>
            </w:r>
            <w:r>
              <w:rPr>
                <w:rFonts w:hint="eastAsia" w:ascii="仿宋" w:hAnsi="仿宋" w:eastAsia="仿宋" w:cs="仿宋"/>
                <w:color w:val="auto"/>
                <w:spacing w:val="3"/>
                <w:highlight w:val="none"/>
                <w:lang w:val="en-US" w:eastAsia="zh-CN"/>
              </w:rPr>
              <w:t>304</w:t>
            </w:r>
            <w:r>
              <w:rPr>
                <w:rFonts w:hint="eastAsia" w:ascii="仿宋" w:hAnsi="仿宋" w:eastAsia="仿宋" w:cs="仿宋"/>
                <w:color w:val="auto"/>
                <w:spacing w:val="3"/>
                <w:highlight w:val="none"/>
                <w:lang w:eastAsia="zh-CN"/>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4"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外召按钮</w:t>
            </w:r>
          </w:p>
        </w:tc>
        <w:tc>
          <w:tcPr>
            <w:tcW w:w="7481" w:type="dxa"/>
            <w:gridSpan w:val="3"/>
          </w:tcPr>
          <w:p>
            <w:pPr>
              <w:pStyle w:val="49"/>
              <w:autoSpaceDE w:val="0"/>
              <w:autoSpaceDN w:val="0"/>
              <w:spacing w:before="55" w:line="187" w:lineRule="auto"/>
              <w:ind w:left="36"/>
              <w:rPr>
                <w:rFonts w:hint="eastAsia" w:ascii="仿宋" w:hAnsi="仿宋" w:eastAsia="仿宋" w:cs="仿宋"/>
                <w:color w:val="auto"/>
                <w:highlight w:val="none"/>
              </w:rPr>
            </w:pPr>
            <w:r>
              <w:rPr>
                <w:rFonts w:hint="eastAsia" w:ascii="仿宋" w:hAnsi="仿宋" w:eastAsia="仿宋" w:cs="仿宋"/>
                <w:color w:val="auto"/>
                <w:spacing w:val="5"/>
                <w:highlight w:val="none"/>
              </w:rPr>
              <w:t>所有层_</w:t>
            </w:r>
            <w:r>
              <w:rPr>
                <w:rFonts w:hint="eastAsia" w:ascii="仿宋" w:hAnsi="仿宋" w:eastAsia="仿宋" w:cs="仿宋"/>
                <w:color w:val="auto"/>
                <w:highlight w:val="none"/>
              </w:rPr>
              <w:t>GL</w:t>
            </w:r>
            <w:r>
              <w:rPr>
                <w:rFonts w:hint="eastAsia" w:ascii="仿宋" w:hAnsi="仿宋" w:eastAsia="仿宋" w:cs="仿宋"/>
                <w:color w:val="auto"/>
                <w:spacing w:val="5"/>
                <w:highlight w:val="none"/>
              </w:rPr>
              <w:t>-</w:t>
            </w:r>
            <w:r>
              <w:rPr>
                <w:rFonts w:hint="eastAsia" w:ascii="仿宋" w:hAnsi="仿宋" w:eastAsia="仿宋" w:cs="仿宋"/>
                <w:color w:val="auto"/>
                <w:highlight w:val="none"/>
              </w:rPr>
              <w:t>MOA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restart"/>
          </w:tcPr>
          <w:p>
            <w:pPr>
              <w:autoSpaceDE w:val="0"/>
              <w:autoSpaceDN w:val="0"/>
              <w:spacing w:line="286" w:lineRule="auto"/>
              <w:rPr>
                <w:rFonts w:hint="eastAsia" w:ascii="仿宋" w:hAnsi="仿宋" w:eastAsia="仿宋" w:cs="仿宋"/>
                <w:color w:val="auto"/>
                <w:highlight w:val="none"/>
              </w:rPr>
            </w:pPr>
          </w:p>
          <w:p>
            <w:pPr>
              <w:autoSpaceDE w:val="0"/>
              <w:autoSpaceDN w:val="0"/>
              <w:spacing w:line="286" w:lineRule="auto"/>
              <w:rPr>
                <w:rFonts w:hint="eastAsia" w:ascii="仿宋" w:hAnsi="仿宋" w:eastAsia="仿宋" w:cs="仿宋"/>
                <w:color w:val="auto"/>
                <w:highlight w:val="none"/>
              </w:rPr>
            </w:pPr>
          </w:p>
          <w:p>
            <w:pPr>
              <w:autoSpaceDE w:val="0"/>
              <w:autoSpaceDN w:val="0"/>
              <w:spacing w:line="286" w:lineRule="auto"/>
              <w:rPr>
                <w:rFonts w:hint="eastAsia" w:ascii="仿宋" w:hAnsi="仿宋" w:eastAsia="仿宋" w:cs="仿宋"/>
                <w:color w:val="auto"/>
                <w:highlight w:val="none"/>
              </w:rPr>
            </w:pPr>
          </w:p>
          <w:p>
            <w:pPr>
              <w:autoSpaceDE w:val="0"/>
              <w:autoSpaceDN w:val="0"/>
              <w:spacing w:line="287" w:lineRule="auto"/>
              <w:rPr>
                <w:rFonts w:hint="eastAsia" w:ascii="仿宋" w:hAnsi="仿宋" w:eastAsia="仿宋" w:cs="仿宋"/>
                <w:color w:val="auto"/>
                <w:highlight w:val="none"/>
              </w:rPr>
            </w:pPr>
          </w:p>
          <w:p>
            <w:pPr>
              <w:autoSpaceDE w:val="0"/>
              <w:autoSpaceDN w:val="0"/>
              <w:spacing w:line="287" w:lineRule="auto"/>
              <w:rPr>
                <w:rFonts w:hint="eastAsia" w:ascii="仿宋" w:hAnsi="仿宋" w:eastAsia="仿宋" w:cs="仿宋"/>
                <w:color w:val="auto"/>
                <w:highlight w:val="none"/>
              </w:rPr>
            </w:pPr>
          </w:p>
          <w:p>
            <w:pPr>
              <w:pStyle w:val="49"/>
              <w:autoSpaceDE w:val="0"/>
              <w:autoSpaceDN w:val="0"/>
              <w:spacing w:before="56" w:line="206" w:lineRule="auto"/>
              <w:ind w:left="36"/>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功能</w:t>
            </w:r>
          </w:p>
          <w:p>
            <w:pPr>
              <w:pStyle w:val="49"/>
              <w:autoSpaceDE w:val="0"/>
              <w:autoSpaceDN w:val="0"/>
              <w:spacing w:before="50" w:line="188" w:lineRule="auto"/>
              <w:rPr>
                <w:rFonts w:hint="eastAsia" w:ascii="仿宋" w:hAnsi="仿宋" w:eastAsia="仿宋" w:cs="仿宋"/>
                <w:color w:val="auto"/>
                <w:highlight w:val="none"/>
              </w:rPr>
            </w:pPr>
          </w:p>
        </w:tc>
        <w:tc>
          <w:tcPr>
            <w:tcW w:w="2491" w:type="dxa"/>
          </w:tcPr>
          <w:p>
            <w:pPr>
              <w:pStyle w:val="49"/>
              <w:autoSpaceDE w:val="0"/>
              <w:autoSpaceDN w:val="0"/>
              <w:spacing w:before="34" w:line="196" w:lineRule="auto"/>
              <w:ind w:left="32"/>
              <w:rPr>
                <w:rFonts w:hint="eastAsia" w:ascii="仿宋" w:hAnsi="仿宋" w:eastAsia="仿宋" w:cs="仿宋"/>
                <w:color w:val="auto"/>
                <w:highlight w:val="none"/>
              </w:rPr>
            </w:pPr>
            <w:r>
              <w:rPr>
                <w:rFonts w:hint="eastAsia" w:ascii="仿宋" w:hAnsi="仿宋" w:eastAsia="仿宋" w:cs="仿宋"/>
                <w:color w:val="auto"/>
                <w:spacing w:val="4"/>
                <w:highlight w:val="none"/>
              </w:rPr>
              <w:t>超速电气保护功能</w:t>
            </w:r>
          </w:p>
        </w:tc>
        <w:tc>
          <w:tcPr>
            <w:tcW w:w="2491" w:type="dxa"/>
          </w:tcPr>
          <w:p>
            <w:pPr>
              <w:pStyle w:val="49"/>
              <w:autoSpaceDE w:val="0"/>
              <w:autoSpaceDN w:val="0"/>
              <w:spacing w:before="36" w:line="194" w:lineRule="auto"/>
              <w:ind w:left="35"/>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停车在非门区报警功能</w:t>
            </w:r>
          </w:p>
        </w:tc>
        <w:tc>
          <w:tcPr>
            <w:tcW w:w="2499" w:type="dxa"/>
          </w:tcPr>
          <w:p>
            <w:pPr>
              <w:pStyle w:val="49"/>
              <w:autoSpaceDE w:val="0"/>
              <w:autoSpaceDN w:val="0"/>
              <w:spacing w:before="36" w:line="194"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rPr>
              <w:t>延长开门时间功能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35" w:line="194" w:lineRule="auto"/>
              <w:ind w:left="50"/>
              <w:rPr>
                <w:rFonts w:hint="eastAsia" w:ascii="仿宋" w:hAnsi="仿宋" w:eastAsia="仿宋" w:cs="仿宋"/>
                <w:color w:val="auto"/>
                <w:highlight w:val="none"/>
              </w:rPr>
            </w:pPr>
            <w:r>
              <w:rPr>
                <w:rFonts w:hint="eastAsia" w:ascii="仿宋" w:hAnsi="仿宋" w:eastAsia="仿宋" w:cs="仿宋"/>
                <w:color w:val="auto"/>
                <w:spacing w:val="2"/>
                <w:highlight w:val="none"/>
              </w:rPr>
              <w:t>电动机过热保护功能</w:t>
            </w:r>
          </w:p>
        </w:tc>
        <w:tc>
          <w:tcPr>
            <w:tcW w:w="2491" w:type="dxa"/>
          </w:tcPr>
          <w:p>
            <w:pPr>
              <w:pStyle w:val="49"/>
              <w:autoSpaceDE w:val="0"/>
              <w:autoSpaceDN w:val="0"/>
              <w:spacing w:before="36" w:line="193" w:lineRule="auto"/>
              <w:ind w:left="39"/>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轿内通风自动控制功能</w:t>
            </w:r>
          </w:p>
        </w:tc>
        <w:tc>
          <w:tcPr>
            <w:tcW w:w="2499" w:type="dxa"/>
          </w:tcPr>
          <w:p>
            <w:pPr>
              <w:pStyle w:val="49"/>
              <w:autoSpaceDE w:val="0"/>
              <w:autoSpaceDN w:val="0"/>
              <w:spacing w:before="34" w:line="195"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反向内指令自动消除功能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38" w:line="192"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rPr>
              <w:t>警铃报警功能</w:t>
            </w:r>
          </w:p>
        </w:tc>
        <w:tc>
          <w:tcPr>
            <w:tcW w:w="2491" w:type="dxa"/>
          </w:tcPr>
          <w:p>
            <w:pPr>
              <w:pStyle w:val="49"/>
              <w:autoSpaceDE w:val="0"/>
              <w:autoSpaceDN w:val="0"/>
              <w:spacing w:before="38" w:line="192" w:lineRule="auto"/>
              <w:ind w:left="40"/>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集选控制:全集选控制运行功能</w:t>
            </w:r>
          </w:p>
        </w:tc>
        <w:tc>
          <w:tcPr>
            <w:tcW w:w="2499" w:type="dxa"/>
          </w:tcPr>
          <w:p>
            <w:pPr>
              <w:pStyle w:val="49"/>
              <w:autoSpaceDE w:val="0"/>
              <w:autoSpaceDN w:val="0"/>
              <w:spacing w:before="38" w:line="192"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抱闸动作双安全检测功能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38" w:line="191" w:lineRule="auto"/>
              <w:ind w:left="50"/>
              <w:rPr>
                <w:rFonts w:hint="eastAsia" w:ascii="仿宋" w:hAnsi="仿宋" w:eastAsia="仿宋" w:cs="仿宋"/>
                <w:color w:val="auto"/>
                <w:highlight w:val="none"/>
              </w:rPr>
            </w:pPr>
            <w:r>
              <w:rPr>
                <w:rFonts w:hint="eastAsia" w:ascii="仿宋" w:hAnsi="仿宋" w:eastAsia="仿宋" w:cs="仿宋"/>
                <w:color w:val="auto"/>
                <w:spacing w:val="1"/>
                <w:highlight w:val="none"/>
              </w:rPr>
              <w:t>电梯服务支援系统</w:t>
            </w:r>
          </w:p>
        </w:tc>
        <w:tc>
          <w:tcPr>
            <w:tcW w:w="2491" w:type="dxa"/>
          </w:tcPr>
          <w:p>
            <w:pPr>
              <w:pStyle w:val="49"/>
              <w:autoSpaceDE w:val="0"/>
              <w:autoSpaceDN w:val="0"/>
              <w:spacing w:before="39" w:line="190" w:lineRule="auto"/>
              <w:ind w:left="43"/>
              <w:rPr>
                <w:rFonts w:hint="eastAsia" w:ascii="仿宋" w:hAnsi="仿宋" w:eastAsia="仿宋" w:cs="仿宋"/>
                <w:color w:val="auto"/>
                <w:highlight w:val="none"/>
              </w:rPr>
            </w:pPr>
            <w:r>
              <w:rPr>
                <w:rFonts w:hint="eastAsia" w:ascii="仿宋" w:hAnsi="仿宋" w:eastAsia="仿宋" w:cs="仿宋"/>
                <w:color w:val="auto"/>
                <w:spacing w:val="2"/>
                <w:highlight w:val="none"/>
              </w:rPr>
              <w:t>消防迫降功能:2,1层</w:t>
            </w:r>
          </w:p>
        </w:tc>
        <w:tc>
          <w:tcPr>
            <w:tcW w:w="2499" w:type="dxa"/>
          </w:tcPr>
          <w:p>
            <w:pPr>
              <w:pStyle w:val="49"/>
              <w:autoSpaceDE w:val="0"/>
              <w:autoSpaceDN w:val="0"/>
              <w:spacing w:before="39" w:line="190"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rPr>
              <w:t>层高自测定功能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1" w:line="189"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rPr>
              <w:t>故障自动检测功能</w:t>
            </w:r>
          </w:p>
        </w:tc>
        <w:tc>
          <w:tcPr>
            <w:tcW w:w="2491" w:type="dxa"/>
          </w:tcPr>
          <w:p>
            <w:pPr>
              <w:pStyle w:val="49"/>
              <w:autoSpaceDE w:val="0"/>
              <w:autoSpaceDN w:val="0"/>
              <w:spacing w:before="42" w:line="188" w:lineRule="auto"/>
              <w:ind w:left="38"/>
              <w:rPr>
                <w:rFonts w:hint="eastAsia" w:ascii="仿宋" w:hAnsi="仿宋" w:eastAsia="仿宋" w:cs="仿宋"/>
                <w:color w:val="auto"/>
                <w:highlight w:val="none"/>
              </w:rPr>
            </w:pPr>
            <w:r>
              <w:rPr>
                <w:rFonts w:hint="eastAsia" w:ascii="仿宋" w:hAnsi="仿宋" w:eastAsia="仿宋" w:cs="仿宋"/>
                <w:color w:val="auto"/>
                <w:spacing w:val="3"/>
                <w:highlight w:val="none"/>
              </w:rPr>
              <w:t>底坑对讲机通讯功能</w:t>
            </w:r>
          </w:p>
        </w:tc>
        <w:tc>
          <w:tcPr>
            <w:tcW w:w="2499" w:type="dxa"/>
          </w:tcPr>
          <w:p>
            <w:pPr>
              <w:pStyle w:val="49"/>
              <w:autoSpaceDE w:val="0"/>
              <w:autoSpaceDN w:val="0"/>
              <w:spacing w:before="41" w:line="189" w:lineRule="auto"/>
              <w:ind w:left="4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开门异常自动选层功能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1" w:line="189" w:lineRule="auto"/>
              <w:ind w:left="38"/>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开门时间自动调整功能</w:t>
            </w:r>
          </w:p>
        </w:tc>
        <w:tc>
          <w:tcPr>
            <w:tcW w:w="2491" w:type="dxa"/>
          </w:tcPr>
          <w:p>
            <w:pPr>
              <w:pStyle w:val="49"/>
              <w:autoSpaceDE w:val="0"/>
              <w:autoSpaceDN w:val="0"/>
              <w:spacing w:before="41" w:line="189" w:lineRule="auto"/>
              <w:ind w:left="42"/>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开门时间自动控制功能</w:t>
            </w:r>
          </w:p>
        </w:tc>
        <w:tc>
          <w:tcPr>
            <w:tcW w:w="2499" w:type="dxa"/>
          </w:tcPr>
          <w:p>
            <w:pPr>
              <w:pStyle w:val="49"/>
              <w:autoSpaceDE w:val="0"/>
              <w:autoSpaceDN w:val="0"/>
              <w:spacing w:before="41" w:line="189"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轿内照明自动控制功能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2" w:line="188"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rPr>
              <w:t>运行次数显示功能</w:t>
            </w:r>
          </w:p>
        </w:tc>
        <w:tc>
          <w:tcPr>
            <w:tcW w:w="2491" w:type="dxa"/>
          </w:tcPr>
          <w:p>
            <w:pPr>
              <w:pStyle w:val="49"/>
              <w:autoSpaceDE w:val="0"/>
              <w:autoSpaceDN w:val="0"/>
              <w:spacing w:before="42" w:line="188" w:lineRule="auto"/>
              <w:ind w:left="37"/>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位置异常自动校正功能</w:t>
            </w:r>
          </w:p>
        </w:tc>
        <w:tc>
          <w:tcPr>
            <w:tcW w:w="2499" w:type="dxa"/>
          </w:tcPr>
          <w:p>
            <w:pPr>
              <w:pStyle w:val="49"/>
              <w:autoSpaceDE w:val="0"/>
              <w:autoSpaceDN w:val="0"/>
              <w:spacing w:before="42" w:line="188"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超载保护功能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3" w:line="187"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rPr>
              <w:t>轿内慢速运行功能</w:t>
            </w:r>
          </w:p>
        </w:tc>
        <w:tc>
          <w:tcPr>
            <w:tcW w:w="2491" w:type="dxa"/>
          </w:tcPr>
          <w:p>
            <w:pPr>
              <w:pStyle w:val="49"/>
              <w:autoSpaceDE w:val="0"/>
              <w:autoSpaceDN w:val="0"/>
              <w:spacing w:before="45" w:line="185" w:lineRule="auto"/>
              <w:ind w:left="45"/>
              <w:rPr>
                <w:rFonts w:hint="eastAsia" w:ascii="仿宋" w:hAnsi="仿宋" w:eastAsia="仿宋" w:cs="仿宋"/>
                <w:color w:val="auto"/>
                <w:highlight w:val="none"/>
              </w:rPr>
            </w:pPr>
            <w:r>
              <w:rPr>
                <w:rFonts w:hint="eastAsia" w:ascii="仿宋" w:hAnsi="仿宋" w:eastAsia="仿宋" w:cs="仿宋"/>
                <w:color w:val="auto"/>
                <w:spacing w:val="2"/>
                <w:highlight w:val="none"/>
              </w:rPr>
              <w:t>泊梯功能:2,1层</w:t>
            </w:r>
          </w:p>
        </w:tc>
        <w:tc>
          <w:tcPr>
            <w:tcW w:w="2499" w:type="dxa"/>
          </w:tcPr>
          <w:p>
            <w:pPr>
              <w:pStyle w:val="49"/>
              <w:autoSpaceDE w:val="0"/>
              <w:autoSpaceDN w:val="0"/>
              <w:spacing w:before="43" w:line="187" w:lineRule="auto"/>
              <w:ind w:left="4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开关门时间超常保护功能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4" w:line="186"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rPr>
              <w:t>轿顶检修操作功能</w:t>
            </w:r>
          </w:p>
        </w:tc>
        <w:tc>
          <w:tcPr>
            <w:tcW w:w="2491" w:type="dxa"/>
          </w:tcPr>
          <w:p>
            <w:pPr>
              <w:pStyle w:val="49"/>
              <w:autoSpaceDE w:val="0"/>
              <w:autoSpaceDN w:val="0"/>
              <w:spacing w:before="44" w:line="186"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rPr>
              <w:t>专用运行功能</w:t>
            </w:r>
          </w:p>
        </w:tc>
        <w:tc>
          <w:tcPr>
            <w:tcW w:w="2499" w:type="dxa"/>
          </w:tcPr>
          <w:p>
            <w:pPr>
              <w:pStyle w:val="49"/>
              <w:autoSpaceDE w:val="0"/>
              <w:autoSpaceDN w:val="0"/>
              <w:spacing w:before="44" w:line="186"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故障低速自救运行功能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5" w:line="184" w:lineRule="auto"/>
              <w:ind w:left="33"/>
              <w:rPr>
                <w:rFonts w:hint="eastAsia" w:ascii="仿宋" w:hAnsi="仿宋" w:eastAsia="仿宋" w:cs="仿宋"/>
                <w:color w:val="auto"/>
                <w:highlight w:val="none"/>
              </w:rPr>
            </w:pPr>
            <w:r>
              <w:rPr>
                <w:rFonts w:hint="eastAsia" w:ascii="仿宋" w:hAnsi="仿宋" w:eastAsia="仿宋" w:cs="仿宋"/>
                <w:color w:val="auto"/>
                <w:spacing w:val="4"/>
                <w:highlight w:val="none"/>
              </w:rPr>
              <w:t>起动补偿功能</w:t>
            </w:r>
          </w:p>
        </w:tc>
        <w:tc>
          <w:tcPr>
            <w:tcW w:w="2491" w:type="dxa"/>
          </w:tcPr>
          <w:p>
            <w:pPr>
              <w:pStyle w:val="49"/>
              <w:autoSpaceDE w:val="0"/>
              <w:autoSpaceDN w:val="0"/>
              <w:spacing w:before="45" w:line="185"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rPr>
              <w:t>故障自动存储功能</w:t>
            </w:r>
          </w:p>
        </w:tc>
        <w:tc>
          <w:tcPr>
            <w:tcW w:w="2499" w:type="dxa"/>
          </w:tcPr>
          <w:p>
            <w:pPr>
              <w:pStyle w:val="49"/>
              <w:autoSpaceDE w:val="0"/>
              <w:autoSpaceDN w:val="0"/>
              <w:spacing w:before="45" w:line="184"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停电应急照明功能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5" w:line="185" w:lineRule="auto"/>
              <w:ind w:left="50"/>
              <w:rPr>
                <w:rFonts w:hint="eastAsia" w:ascii="仿宋" w:hAnsi="仿宋" w:eastAsia="仿宋" w:cs="仿宋"/>
                <w:color w:val="auto"/>
                <w:highlight w:val="none"/>
              </w:rPr>
            </w:pPr>
            <w:r>
              <w:rPr>
                <w:rFonts w:hint="eastAsia" w:ascii="仿宋" w:hAnsi="仿宋" w:eastAsia="仿宋" w:cs="仿宋"/>
                <w:color w:val="auto"/>
                <w:spacing w:val="2"/>
                <w:highlight w:val="none"/>
              </w:rPr>
              <w:t>电动机空转保护功能</w:t>
            </w:r>
          </w:p>
        </w:tc>
        <w:tc>
          <w:tcPr>
            <w:tcW w:w="2491" w:type="dxa"/>
          </w:tcPr>
          <w:p>
            <w:pPr>
              <w:pStyle w:val="49"/>
              <w:autoSpaceDE w:val="0"/>
              <w:autoSpaceDN w:val="0"/>
              <w:spacing w:before="45" w:line="184"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rPr>
              <w:t>待机定期自检功能</w:t>
            </w:r>
          </w:p>
        </w:tc>
        <w:tc>
          <w:tcPr>
            <w:tcW w:w="2499" w:type="dxa"/>
          </w:tcPr>
          <w:p>
            <w:pPr>
              <w:pStyle w:val="49"/>
              <w:autoSpaceDE w:val="0"/>
              <w:autoSpaceDN w:val="0"/>
              <w:spacing w:before="45" w:line="185"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超速机械保护功能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6" w:line="182" w:lineRule="auto"/>
              <w:ind w:left="51"/>
              <w:rPr>
                <w:rFonts w:hint="eastAsia" w:ascii="仿宋" w:hAnsi="仿宋" w:eastAsia="仿宋" w:cs="仿宋"/>
                <w:color w:val="auto"/>
                <w:highlight w:val="none"/>
              </w:rPr>
            </w:pPr>
            <w:r>
              <w:rPr>
                <w:rFonts w:hint="eastAsia" w:ascii="仿宋" w:hAnsi="仿宋" w:eastAsia="仿宋" w:cs="仿宋"/>
                <w:color w:val="auto"/>
                <w:spacing w:val="1"/>
                <w:highlight w:val="none"/>
              </w:rPr>
              <w:t>门停止运行功能</w:t>
            </w:r>
          </w:p>
        </w:tc>
        <w:tc>
          <w:tcPr>
            <w:tcW w:w="2491" w:type="dxa"/>
          </w:tcPr>
          <w:p>
            <w:pPr>
              <w:pStyle w:val="49"/>
              <w:autoSpaceDE w:val="0"/>
              <w:autoSpaceDN w:val="0"/>
              <w:spacing w:before="46" w:line="182" w:lineRule="auto"/>
              <w:ind w:left="41"/>
              <w:rPr>
                <w:rFonts w:hint="eastAsia" w:ascii="仿宋" w:hAnsi="仿宋" w:eastAsia="仿宋" w:cs="仿宋"/>
                <w:color w:val="auto"/>
                <w:highlight w:val="none"/>
              </w:rPr>
            </w:pPr>
            <w:r>
              <w:rPr>
                <w:rFonts w:hint="eastAsia" w:ascii="仿宋" w:hAnsi="仿宋" w:eastAsia="仿宋" w:cs="仿宋"/>
                <w:color w:val="auto"/>
                <w:spacing w:val="3"/>
                <w:highlight w:val="none"/>
              </w:rPr>
              <w:t>无呼自返基站功能:2,1层</w:t>
            </w:r>
          </w:p>
        </w:tc>
        <w:tc>
          <w:tcPr>
            <w:tcW w:w="2499" w:type="dxa"/>
          </w:tcPr>
          <w:p>
            <w:pPr>
              <w:pStyle w:val="49"/>
              <w:autoSpaceDE w:val="0"/>
              <w:autoSpaceDN w:val="0"/>
              <w:spacing w:before="47" w:line="181" w:lineRule="auto"/>
              <w:ind w:left="42"/>
              <w:rPr>
                <w:rFonts w:hint="eastAsia" w:ascii="仿宋" w:hAnsi="仿宋" w:eastAsia="仿宋" w:cs="仿宋"/>
                <w:color w:val="auto"/>
                <w:highlight w:val="none"/>
              </w:rPr>
            </w:pPr>
            <w:r>
              <w:rPr>
                <w:rFonts w:hint="eastAsia" w:ascii="仿宋" w:hAnsi="仿宋" w:eastAsia="仿宋" w:cs="仿宋"/>
                <w:color w:val="auto"/>
                <w:spacing w:val="3"/>
                <w:highlight w:val="none"/>
              </w:rPr>
              <w:t>对讲机通讯功能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9" w:line="180" w:lineRule="auto"/>
              <w:ind w:left="32"/>
              <w:rPr>
                <w:rFonts w:hint="eastAsia" w:ascii="仿宋" w:hAnsi="仿宋" w:eastAsia="仿宋" w:cs="仿宋"/>
                <w:color w:val="auto"/>
                <w:highlight w:val="none"/>
              </w:rPr>
            </w:pPr>
            <w:r>
              <w:rPr>
                <w:rFonts w:hint="eastAsia" w:ascii="仿宋" w:hAnsi="仿宋" w:eastAsia="仿宋" w:cs="仿宋"/>
                <w:color w:val="auto"/>
                <w:spacing w:val="4"/>
                <w:highlight w:val="none"/>
              </w:rPr>
              <w:t>超载报警功能</w:t>
            </w:r>
          </w:p>
        </w:tc>
        <w:tc>
          <w:tcPr>
            <w:tcW w:w="2491" w:type="dxa"/>
          </w:tcPr>
          <w:p>
            <w:pPr>
              <w:pStyle w:val="49"/>
              <w:autoSpaceDE w:val="0"/>
              <w:autoSpaceDN w:val="0"/>
              <w:spacing w:before="48" w:line="181"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rPr>
              <w:t>满载直驶运行功能</w:t>
            </w:r>
          </w:p>
        </w:tc>
        <w:tc>
          <w:tcPr>
            <w:tcW w:w="2499" w:type="dxa"/>
          </w:tcPr>
          <w:p>
            <w:pPr>
              <w:autoSpaceDE w:val="0"/>
              <w:autoSpaceDN w:val="0"/>
              <w:spacing w:line="218" w:lineRule="exact"/>
              <w:rPr>
                <w:rFonts w:hint="eastAsia" w:ascii="仿宋" w:hAnsi="仿宋" w:eastAsia="仿宋" w:cs="仿宋"/>
                <w:color w:val="auto"/>
                <w:sz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2386" w:type="dxa"/>
            <w:vMerge w:val="continue"/>
          </w:tcPr>
          <w:p>
            <w:pPr>
              <w:pStyle w:val="49"/>
              <w:autoSpaceDE w:val="0"/>
              <w:autoSpaceDN w:val="0"/>
              <w:spacing w:before="50" w:line="188" w:lineRule="auto"/>
              <w:ind w:left="42"/>
              <w:rPr>
                <w:rFonts w:hint="eastAsia" w:ascii="仿宋" w:hAnsi="仿宋" w:eastAsia="仿宋" w:cs="仿宋"/>
                <w:color w:val="auto"/>
                <w:highlight w:val="none"/>
              </w:rPr>
            </w:pPr>
          </w:p>
        </w:tc>
        <w:tc>
          <w:tcPr>
            <w:tcW w:w="2491" w:type="dxa"/>
          </w:tcPr>
          <w:p>
            <w:pPr>
              <w:pStyle w:val="49"/>
              <w:autoSpaceDE w:val="0"/>
              <w:autoSpaceDN w:val="0"/>
              <w:spacing w:before="50" w:line="188"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五方通话功能</w:t>
            </w:r>
          </w:p>
        </w:tc>
        <w:tc>
          <w:tcPr>
            <w:tcW w:w="2491" w:type="dxa"/>
          </w:tcPr>
          <w:p>
            <w:pPr>
              <w:pStyle w:val="49"/>
              <w:autoSpaceDE w:val="0"/>
              <w:autoSpaceDN w:val="0"/>
              <w:spacing w:before="50" w:line="188"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rPr>
              <w:t>消防员专用功能</w:t>
            </w:r>
          </w:p>
        </w:tc>
        <w:tc>
          <w:tcPr>
            <w:tcW w:w="2499" w:type="dxa"/>
          </w:tcPr>
          <w:p>
            <w:pPr>
              <w:autoSpaceDE w:val="0"/>
              <w:autoSpaceDN w:val="0"/>
              <w:spacing w:line="225" w:lineRule="exact"/>
              <w:rPr>
                <w:rFonts w:hint="eastAsia" w:ascii="仿宋" w:hAnsi="仿宋" w:eastAsia="仿宋" w:cs="仿宋"/>
                <w:color w:val="auto"/>
                <w:sz w:val="19"/>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2386" w:type="dxa"/>
          </w:tcPr>
          <w:p>
            <w:pPr>
              <w:pStyle w:val="49"/>
              <w:autoSpaceDE w:val="0"/>
              <w:autoSpaceDN w:val="0"/>
              <w:spacing w:before="48" w:line="203" w:lineRule="auto"/>
              <w:ind w:left="56"/>
              <w:rPr>
                <w:rFonts w:hint="eastAsia" w:ascii="仿宋" w:hAnsi="仿宋" w:eastAsia="仿宋" w:cs="仿宋"/>
                <w:color w:val="auto"/>
                <w:highlight w:val="none"/>
              </w:rPr>
            </w:pPr>
            <w:r>
              <w:rPr>
                <w:rFonts w:hint="eastAsia" w:ascii="仿宋" w:hAnsi="仿宋" w:eastAsia="仿宋" w:cs="仿宋"/>
                <w:color w:val="auto"/>
                <w:highlight w:val="none"/>
              </w:rPr>
              <w:t>门保护装置</w:t>
            </w:r>
          </w:p>
        </w:tc>
        <w:tc>
          <w:tcPr>
            <w:tcW w:w="7481" w:type="dxa"/>
            <w:gridSpan w:val="3"/>
          </w:tcPr>
          <w:p>
            <w:pPr>
              <w:pStyle w:val="49"/>
              <w:autoSpaceDE w:val="0"/>
              <w:autoSpaceDN w:val="0"/>
              <w:spacing w:before="48" w:line="203" w:lineRule="auto"/>
              <w:ind w:left="41"/>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光幕+安全触板保护功能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2386" w:type="dxa"/>
          </w:tcPr>
          <w:p>
            <w:pPr>
              <w:pStyle w:val="49"/>
              <w:autoSpaceDE w:val="0"/>
              <w:autoSpaceDN w:val="0"/>
              <w:spacing w:before="53" w:line="201"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rPr>
              <w:t>对讲系统</w:t>
            </w:r>
          </w:p>
        </w:tc>
        <w:tc>
          <w:tcPr>
            <w:tcW w:w="7481" w:type="dxa"/>
            <w:gridSpan w:val="3"/>
          </w:tcPr>
          <w:p>
            <w:pPr>
              <w:pStyle w:val="49"/>
              <w:autoSpaceDE w:val="0"/>
              <w:autoSpaceDN w:val="0"/>
              <w:spacing w:before="50" w:line="204" w:lineRule="auto"/>
              <w:ind w:left="32"/>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机房（无机房时为控制柜）至监控中心的布线：线材、线管及敷设工程由</w:t>
            </w:r>
            <w:r>
              <w:rPr>
                <w:rFonts w:hint="eastAsia" w:ascii="仿宋" w:hAnsi="仿宋" w:eastAsia="仿宋" w:cs="仿宋"/>
                <w:color w:val="auto"/>
                <w:spacing w:val="3"/>
                <w:highlight w:val="none"/>
                <w:lang w:val="en-US" w:eastAsia="zh-CN"/>
              </w:rPr>
              <w:t>卖</w:t>
            </w:r>
            <w:r>
              <w:rPr>
                <w:rFonts w:hint="eastAsia" w:ascii="仿宋" w:hAnsi="仿宋" w:eastAsia="仿宋" w:cs="仿宋"/>
                <w:color w:val="auto"/>
                <w:spacing w:val="3"/>
                <w:highlight w:val="none"/>
                <w:lang w:eastAsia="zh-CN"/>
              </w:rPr>
              <w:t>方负责。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9867" w:type="dxa"/>
            <w:gridSpan w:val="4"/>
          </w:tcPr>
          <w:p>
            <w:pPr>
              <w:pStyle w:val="49"/>
              <w:autoSpaceDE w:val="0"/>
              <w:autoSpaceDN w:val="0"/>
              <w:spacing w:before="43" w:line="199" w:lineRule="auto"/>
              <w:ind w:left="40"/>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所有层无水泥牛腿，改由钢牛腿安装。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9867" w:type="dxa"/>
            <w:gridSpan w:val="4"/>
          </w:tcPr>
          <w:p>
            <w:pPr>
              <w:pStyle w:val="49"/>
              <w:autoSpaceDE w:val="0"/>
              <w:autoSpaceDN w:val="0"/>
              <w:spacing w:before="46" w:line="195"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井道壁结构是：砖墙+圈梁，井道壁厚是：200</w:t>
            </w:r>
            <w:r>
              <w:rPr>
                <w:rFonts w:hint="eastAsia" w:ascii="仿宋" w:hAnsi="仿宋" w:eastAsia="仿宋" w:cs="仿宋"/>
                <w:color w:val="auto"/>
                <w:highlight w:val="none"/>
                <w:lang w:eastAsia="zh-CN"/>
              </w:rPr>
              <w:t>mm</w:t>
            </w:r>
            <w:r>
              <w:rPr>
                <w:rFonts w:hint="eastAsia" w:ascii="仿宋" w:hAnsi="仿宋" w:eastAsia="仿宋" w:cs="仿宋"/>
                <w:color w:val="auto"/>
                <w:spacing w:val="3"/>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9867" w:type="dxa"/>
            <w:gridSpan w:val="4"/>
          </w:tcPr>
          <w:p>
            <w:pPr>
              <w:pStyle w:val="49"/>
              <w:autoSpaceDE w:val="0"/>
              <w:autoSpaceDN w:val="0"/>
              <w:spacing w:before="68" w:line="207" w:lineRule="auto"/>
              <w:ind w:left="42"/>
              <w:rPr>
                <w:rFonts w:hint="eastAsia" w:ascii="仿宋" w:hAnsi="仿宋" w:eastAsia="仿宋" w:cs="仿宋"/>
                <w:color w:val="auto"/>
                <w:highlight w:val="none"/>
              </w:rPr>
            </w:pPr>
            <w:r>
              <w:rPr>
                <w:rFonts w:hint="eastAsia" w:ascii="仿宋" w:hAnsi="仿宋" w:eastAsia="仿宋" w:cs="仿宋"/>
                <w:color w:val="auto"/>
                <w:spacing w:val="4"/>
                <w:highlight w:val="none"/>
                <w:lang w:eastAsia="zh-CN"/>
              </w:rPr>
              <w:t>混凝土墙的抗压强度不得小于C25，由卖方配发拉爆螺栓井道四壁</w:t>
            </w:r>
            <w:r>
              <w:rPr>
                <w:rFonts w:hint="eastAsia" w:ascii="仿宋" w:hAnsi="仿宋" w:eastAsia="仿宋" w:cs="仿宋"/>
                <w:color w:val="auto"/>
                <w:spacing w:val="3"/>
                <w:highlight w:val="none"/>
                <w:lang w:eastAsia="zh-CN"/>
              </w:rPr>
              <w:t>(包括各层统腰圈梁)应是垂直的，井道垂直度偏差为0～+30</w:t>
            </w:r>
            <w:r>
              <w:rPr>
                <w:rFonts w:hint="eastAsia" w:ascii="仿宋" w:hAnsi="仿宋" w:eastAsia="仿宋" w:cs="仿宋"/>
                <w:color w:val="auto"/>
                <w:highlight w:val="none"/>
                <w:lang w:eastAsia="zh-CN"/>
              </w:rPr>
              <w:t>mm</w:t>
            </w:r>
            <w:r>
              <w:rPr>
                <w:rFonts w:hint="eastAsia" w:ascii="仿宋" w:hAnsi="仿宋" w:eastAsia="仿宋" w:cs="仿宋"/>
                <w:color w:val="auto"/>
                <w:position w:val="2"/>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9867" w:type="dxa"/>
            <w:gridSpan w:val="4"/>
          </w:tcPr>
          <w:p>
            <w:pPr>
              <w:pStyle w:val="49"/>
              <w:autoSpaceDE w:val="0"/>
              <w:autoSpaceDN w:val="0"/>
              <w:spacing w:before="48" w:line="194" w:lineRule="auto"/>
              <w:ind w:left="39"/>
              <w:rPr>
                <w:rFonts w:hint="eastAsia" w:ascii="仿宋" w:hAnsi="仿宋" w:eastAsia="仿宋" w:cs="仿宋"/>
                <w:color w:val="auto"/>
                <w:highlight w:val="none"/>
              </w:rPr>
            </w:pPr>
            <w:r>
              <w:rPr>
                <w:rFonts w:hint="eastAsia" w:ascii="仿宋" w:hAnsi="仿宋" w:eastAsia="仿宋" w:cs="仿宋"/>
                <w:color w:val="auto"/>
                <w:highlight w:val="none"/>
              </w:rPr>
              <w:t>底坑以下为实地。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9867" w:type="dxa"/>
            <w:gridSpan w:val="4"/>
          </w:tcPr>
          <w:p>
            <w:pPr>
              <w:pStyle w:val="49"/>
              <w:autoSpaceDE w:val="0"/>
              <w:autoSpaceDN w:val="0"/>
              <w:spacing w:before="45" w:line="222"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井道的墙壁、地板和屋顶应能大量吸收电梯运行</w:t>
            </w:r>
            <w:r>
              <w:rPr>
                <w:rFonts w:hint="eastAsia" w:ascii="仿宋" w:hAnsi="仿宋" w:eastAsia="仿宋" w:cs="仿宋"/>
                <w:color w:val="auto"/>
                <w:spacing w:val="2"/>
                <w:highlight w:val="none"/>
                <w:lang w:eastAsia="zh-CN"/>
              </w:rPr>
              <w:t>时产生的噪音。</w:t>
            </w:r>
          </w:p>
          <w:p>
            <w:pPr>
              <w:pStyle w:val="49"/>
              <w:autoSpaceDE w:val="0"/>
              <w:autoSpaceDN w:val="0"/>
              <w:spacing w:line="206" w:lineRule="auto"/>
              <w:ind w:left="55"/>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电梯不应与卧室、起居室(厅)紧邻布置。</w:t>
            </w:r>
          </w:p>
          <w:p>
            <w:pPr>
              <w:pStyle w:val="49"/>
              <w:autoSpaceDE w:val="0"/>
              <w:autoSpaceDN w:val="0"/>
              <w:spacing w:before="17" w:line="205" w:lineRule="auto"/>
              <w:ind w:left="41"/>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凡受条件限制需要紧邻布置时，必须由</w:t>
            </w:r>
            <w:r>
              <w:rPr>
                <w:rFonts w:hint="eastAsia" w:ascii="仿宋" w:hAnsi="仿宋" w:eastAsia="仿宋" w:cs="仿宋"/>
                <w:color w:val="auto"/>
                <w:spacing w:val="3"/>
                <w:highlight w:val="none"/>
                <w:lang w:val="en-US" w:eastAsia="zh-CN"/>
              </w:rPr>
              <w:t>中标</w:t>
            </w:r>
            <w:r>
              <w:rPr>
                <w:rFonts w:hint="eastAsia" w:ascii="仿宋" w:hAnsi="仿宋" w:eastAsia="仿宋" w:cs="仿宋"/>
                <w:color w:val="auto"/>
                <w:spacing w:val="3"/>
                <w:highlight w:val="none"/>
                <w:lang w:eastAsia="zh-CN"/>
              </w:rPr>
              <w:t>单位负责采取隔声、减振措施。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rPr>
              <w:t>钢牛腿提供</w:t>
            </w:r>
          </w:p>
        </w:tc>
        <w:tc>
          <w:tcPr>
            <w:tcW w:w="7481" w:type="dxa"/>
            <w:gridSpan w:val="3"/>
          </w:tcPr>
          <w:p>
            <w:pPr>
              <w:pStyle w:val="49"/>
              <w:autoSpaceDE w:val="0"/>
              <w:autoSpaceDN w:val="0"/>
              <w:spacing w:before="49" w:line="193"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卖方提供(10</w:t>
            </w:r>
            <w:r>
              <w:rPr>
                <w:rFonts w:hint="eastAsia" w:ascii="仿宋" w:hAnsi="仿宋" w:eastAsia="仿宋" w:cs="仿宋"/>
                <w:color w:val="auto"/>
                <w:highlight w:val="none"/>
                <w:lang w:eastAsia="zh-CN"/>
              </w:rPr>
              <w:t>mm</w:t>
            </w:r>
            <w:r>
              <w:rPr>
                <w:rFonts w:hint="eastAsia" w:ascii="仿宋" w:hAnsi="仿宋" w:eastAsia="仿宋" w:cs="仿宋"/>
                <w:color w:val="auto"/>
                <w:spacing w:val="2"/>
                <w:highlight w:val="none"/>
                <w:lang w:eastAsia="zh-CN"/>
              </w:rPr>
              <w:t>≤地面装饰厚度≤60</w:t>
            </w:r>
            <w:r>
              <w:rPr>
                <w:rFonts w:hint="eastAsia" w:ascii="仿宋" w:hAnsi="仿宋" w:eastAsia="仿宋" w:cs="仿宋"/>
                <w:color w:val="auto"/>
                <w:highlight w:val="none"/>
                <w:lang w:eastAsia="zh-CN"/>
              </w:rPr>
              <w:t>mm</w:t>
            </w:r>
            <w:r>
              <w:rPr>
                <w:rFonts w:hint="eastAsia" w:ascii="仿宋" w:hAnsi="仿宋" w:eastAsia="仿宋" w:cs="仿宋"/>
                <w:color w:val="auto"/>
                <w:spacing w:val="2"/>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1" w:line="190"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rPr>
              <w:t>消防开关位置</w:t>
            </w:r>
          </w:p>
        </w:tc>
        <w:tc>
          <w:tcPr>
            <w:tcW w:w="7481" w:type="dxa"/>
            <w:gridSpan w:val="3"/>
          </w:tcPr>
          <w:p>
            <w:pPr>
              <w:pStyle w:val="49"/>
              <w:autoSpaceDE w:val="0"/>
              <w:autoSpaceDN w:val="0"/>
              <w:spacing w:before="50" w:line="191"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嵌入式消防开关(与召唤箱同侧)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轿门门锁</w:t>
            </w:r>
          </w:p>
        </w:tc>
        <w:tc>
          <w:tcPr>
            <w:tcW w:w="7481" w:type="dxa"/>
            <w:gridSpan w:val="3"/>
          </w:tcPr>
          <w:p>
            <w:pPr>
              <w:pStyle w:val="49"/>
              <w:autoSpaceDE w:val="0"/>
              <w:autoSpaceDN w:val="0"/>
              <w:spacing w:before="52" w:line="189" w:lineRule="auto"/>
              <w:ind w:left="34"/>
              <w:rPr>
                <w:rFonts w:hint="eastAsia" w:ascii="仿宋" w:hAnsi="仿宋" w:eastAsia="仿宋" w:cs="仿宋"/>
                <w:color w:val="auto"/>
                <w:highlight w:val="none"/>
              </w:rPr>
            </w:pPr>
            <w:r>
              <w:rPr>
                <w:rFonts w:hint="eastAsia" w:ascii="仿宋" w:hAnsi="仿宋" w:eastAsia="仿宋" w:cs="仿宋"/>
                <w:color w:val="auto"/>
                <w:spacing w:val="2"/>
                <w:highlight w:val="none"/>
              </w:rPr>
              <w:t>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spacing w:val="3"/>
                <w:highlight w:val="none"/>
              </w:rPr>
            </w:pPr>
            <w:r>
              <w:rPr>
                <w:rFonts w:hint="eastAsia" w:ascii="仿宋" w:hAnsi="仿宋" w:eastAsia="仿宋" w:cs="仿宋"/>
                <w:color w:val="auto"/>
                <w:spacing w:val="3"/>
                <w:highlight w:val="none"/>
              </w:rPr>
              <w:t>双架构通讯</w:t>
            </w:r>
          </w:p>
        </w:tc>
        <w:tc>
          <w:tcPr>
            <w:tcW w:w="7481" w:type="dxa"/>
            <w:gridSpan w:val="3"/>
          </w:tcPr>
          <w:p>
            <w:pPr>
              <w:pStyle w:val="49"/>
              <w:autoSpaceDE w:val="0"/>
              <w:autoSpaceDN w:val="0"/>
              <w:spacing w:before="52" w:line="189" w:lineRule="auto"/>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双线路scl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spacing w:val="3"/>
                <w:highlight w:val="none"/>
                <w:lang w:val="en-US" w:eastAsia="zh-CN"/>
              </w:rPr>
            </w:pPr>
            <w:r>
              <w:rPr>
                <w:rFonts w:hint="eastAsia" w:ascii="仿宋" w:hAnsi="仿宋" w:eastAsia="仿宋" w:cs="仿宋"/>
                <w:color w:val="auto"/>
                <w:spacing w:val="3"/>
                <w:highlight w:val="none"/>
                <w:lang w:val="en-US" w:eastAsia="zh-CN"/>
              </w:rPr>
              <w:t>其他要求：</w:t>
            </w:r>
          </w:p>
        </w:tc>
        <w:tc>
          <w:tcPr>
            <w:tcW w:w="7481" w:type="dxa"/>
            <w:gridSpan w:val="3"/>
          </w:tcPr>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rPr>
            </w:pPr>
            <w:r>
              <w:rPr>
                <w:rFonts w:hint="eastAsia" w:ascii="仿宋" w:hAnsi="仿宋" w:eastAsia="仿宋" w:cs="仿宋"/>
                <w:color w:val="auto"/>
                <w:spacing w:val="3"/>
                <w:highlight w:val="none"/>
                <w:lang w:eastAsia="zh-CN"/>
              </w:rPr>
              <w:t>设防烈度7度以上:如发生设防烈度7度以下的地震，电梯结构仍可就近停层开门放人；</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rPr>
            </w:pPr>
            <w:r>
              <w:rPr>
                <w:rFonts w:hint="eastAsia" w:ascii="仿宋" w:hAnsi="仿宋" w:eastAsia="仿宋" w:cs="仿宋"/>
                <w:b/>
                <w:bCs/>
                <w:color w:val="auto"/>
                <w:highlight w:val="none"/>
                <w:lang w:eastAsia="zh-CN" w:bidi="ar"/>
              </w:rPr>
              <w:t>驱动主机绝缘等级：F级；</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rPr>
            </w:pPr>
            <w:r>
              <w:rPr>
                <w:rFonts w:hint="eastAsia" w:ascii="仿宋" w:hAnsi="仿宋" w:eastAsia="仿宋" w:cs="仿宋"/>
                <w:color w:val="auto"/>
                <w:spacing w:val="2"/>
                <w:highlight w:val="none"/>
                <w:lang w:eastAsia="zh-CN"/>
              </w:rPr>
              <w:t>双层轿架结构；</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rPr>
            </w:pPr>
            <w:r>
              <w:rPr>
                <w:rFonts w:hint="eastAsia" w:ascii="仿宋" w:hAnsi="仿宋" w:eastAsia="仿宋" w:cs="仿宋"/>
                <w:b/>
                <w:bCs/>
                <w:color w:val="auto"/>
                <w:sz w:val="16"/>
                <w:szCs w:val="16"/>
                <w:highlight w:val="none"/>
                <w:lang w:eastAsia="zh-CN" w:bidi="ar"/>
              </w:rPr>
              <w:t>控制柜满足指标：宽电压设计（380V±15%）符合轿厢110%额定载荷时以额定速度正常运行</w:t>
            </w:r>
          </w:p>
        </w:tc>
      </w:tr>
    </w:tbl>
    <w:p>
      <w:pPr>
        <w:pStyle w:val="14"/>
        <w:numPr>
          <w:ilvl w:val="0"/>
          <w:numId w:val="8"/>
        </w:numPr>
        <w:adjustRightInd w:val="0"/>
        <w:snapToGrid w:val="0"/>
        <w:spacing w:line="300" w:lineRule="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其他要求：</w:t>
      </w:r>
    </w:p>
    <w:p>
      <w:pPr>
        <w:numPr>
          <w:ilvl w:val="0"/>
          <w:numId w:val="0"/>
        </w:numPr>
        <w:spacing w:line="276" w:lineRule="auto"/>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1.电梯不能安装任何远程控制或远程监控的设备功能，并由设备厂家出具承诺函保证。（递交响应文件时提供，加盖设备厂家公章）</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2.中标单位中标后需对井道进行重新勘察并进行二次设计与井道</w:t>
      </w:r>
      <w:r>
        <w:rPr>
          <w:rFonts w:hint="eastAsia" w:ascii="仿宋" w:hAnsi="仿宋" w:eastAsia="仿宋" w:cs="仿宋"/>
          <w:color w:val="auto"/>
          <w:sz w:val="28"/>
          <w:szCs w:val="28"/>
          <w:highlight w:val="none"/>
          <w:u w:val="none"/>
          <w:lang w:val="en-US" w:eastAsia="zh-CN"/>
        </w:rPr>
        <w:t>修缮施工，满足应标电梯产品井道要求及国标要求后方可安装。</w:t>
      </w:r>
    </w:p>
    <w:p>
      <w:pPr>
        <w:numPr>
          <w:ilvl w:val="0"/>
          <w:numId w:val="0"/>
        </w:numPr>
        <w:spacing w:line="276"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xml:space="preserve">    3.本项目为设备采购包安装，除电梯设备安装外，还应包含所有安装材料与工程量（不限于电源侧至电梯的工程量与材料等）。</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4.本项目为设备采购包安装，中标单位应具备电梯安装资质和能力，并负责向相关部门进行报验和登记，并申请办理使用登记证。</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本项目竣工验收后，还需中标单位提供一年三包维保，中标单位应具备电梯维保资质和能力；若由设备厂家提供三包维保，设备厂家应具备电梯维保资质和能力，并由设备厂家提供承诺函证明由原厂提供维保服务。</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p>
    <w:p>
      <w:pPr>
        <w:pStyle w:val="14"/>
        <w:adjustRightInd w:val="0"/>
        <w:snapToGrid w:val="0"/>
        <w:spacing w:line="300" w:lineRule="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三、项目商务要求</w:t>
      </w:r>
    </w:p>
    <w:p>
      <w:pPr>
        <w:keepNext w:val="0"/>
        <w:keepLines w:val="0"/>
        <w:pageBreakBefore w:val="0"/>
        <w:kinsoku/>
        <w:wordWrap/>
        <w:overflowPunct/>
        <w:topLinePunct w:val="0"/>
        <w:autoSpaceDE w:val="0"/>
        <w:autoSpaceDN w:val="0"/>
        <w:bidi w:val="0"/>
        <w:spacing w:line="520" w:lineRule="exact"/>
        <w:ind w:left="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货</w:t>
      </w:r>
      <w:r>
        <w:rPr>
          <w:rFonts w:hint="eastAsia" w:ascii="仿宋" w:hAnsi="仿宋" w:eastAsia="仿宋" w:cs="仿宋"/>
          <w:color w:val="auto"/>
          <w:sz w:val="28"/>
          <w:szCs w:val="28"/>
          <w:highlight w:val="none"/>
        </w:rPr>
        <w:t>期：</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具体日期以甲方（业主）发出的通知为准。</w:t>
      </w:r>
    </w:p>
    <w:p>
      <w:pPr>
        <w:keepNext w:val="0"/>
        <w:keepLines w:val="0"/>
        <w:pageBreakBefore w:val="0"/>
        <w:kinsoku/>
        <w:wordWrap/>
        <w:overflowPunct/>
        <w:topLinePunct w:val="0"/>
        <w:autoSpaceDE w:val="0"/>
        <w:autoSpaceDN w:val="0"/>
        <w:bidi w:val="0"/>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2.工期：60日，开工日期以甲方（业主）发出的通知为准，竣工时间以取得特种设备使用登记证和甲方竣工报告为准。</w:t>
      </w:r>
    </w:p>
    <w:p>
      <w:pPr>
        <w:keepNext w:val="0"/>
        <w:keepLines w:val="0"/>
        <w:pageBreakBefore w:val="0"/>
        <w:kinsoku/>
        <w:wordWrap/>
        <w:overflowPunct/>
        <w:topLinePunct w:val="0"/>
        <w:autoSpaceDE w:val="0"/>
        <w:autoSpaceDN w:val="0"/>
        <w:bidi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.质量要求：</w:t>
      </w:r>
      <w:r>
        <w:rPr>
          <w:rFonts w:hint="eastAsia" w:ascii="仿宋" w:hAnsi="仿宋" w:eastAsia="仿宋" w:cs="仿宋"/>
          <w:color w:val="auto"/>
          <w:sz w:val="28"/>
          <w:szCs w:val="28"/>
          <w:highlight w:val="none"/>
          <w:lang w:val="en-US" w:eastAsia="zh-CN"/>
        </w:rPr>
        <w:t>竣工质量须符合使用需求和相关行业标准。</w:t>
      </w:r>
    </w:p>
    <w:p>
      <w:pPr>
        <w:keepNext w:val="0"/>
        <w:keepLines w:val="0"/>
        <w:pageBreakBefore w:val="0"/>
        <w:kinsoku/>
        <w:wordWrap/>
        <w:overflowPunct/>
        <w:topLinePunct w:val="0"/>
        <w:autoSpaceDE w:val="0"/>
        <w:autoSpaceDN w:val="0"/>
        <w:bidi w:val="0"/>
        <w:spacing w:line="520" w:lineRule="exact"/>
        <w:ind w:left="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.质保期：</w:t>
      </w:r>
      <w:r>
        <w:rPr>
          <w:rFonts w:hint="eastAsia" w:ascii="仿宋" w:hAnsi="仿宋" w:eastAsia="仿宋" w:cs="仿宋"/>
          <w:color w:val="auto"/>
          <w:sz w:val="28"/>
          <w:szCs w:val="28"/>
          <w:highlight w:val="none"/>
          <w:lang w:val="en-US" w:eastAsia="zh-CN"/>
        </w:rPr>
        <w:t>质保期12个月。</w:t>
      </w:r>
    </w:p>
    <w:p>
      <w:pPr>
        <w:keepNext w:val="0"/>
        <w:keepLines w:val="0"/>
        <w:pageBreakBefore w:val="0"/>
        <w:kinsoku/>
        <w:wordWrap/>
        <w:overflowPunct/>
        <w:topLinePunct w:val="0"/>
        <w:autoSpaceDE w:val="0"/>
        <w:autoSpaceDN w:val="0"/>
        <w:bidi w:val="0"/>
        <w:spacing w:line="520" w:lineRule="exact"/>
        <w:ind w:left="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5.三包维保期：12个月，以电梯使用合格登记证上发证日期起；</w:t>
      </w:r>
    </w:p>
    <w:p>
      <w:pPr>
        <w:keepNext w:val="0"/>
        <w:keepLines w:val="0"/>
        <w:pageBreakBefore w:val="0"/>
        <w:numPr>
          <w:ilvl w:val="0"/>
          <w:numId w:val="0"/>
        </w:numPr>
        <w:kinsoku/>
        <w:wordWrap/>
        <w:overflowPunct/>
        <w:topLinePunct w:val="0"/>
        <w:autoSpaceDE w:val="0"/>
        <w:autoSpaceDN w:val="0"/>
        <w:bidi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付款方式：</w:t>
      </w:r>
      <w:r>
        <w:rPr>
          <w:rFonts w:hint="eastAsia" w:ascii="仿宋" w:hAnsi="仿宋" w:eastAsia="仿宋" w:cs="仿宋"/>
          <w:color w:val="auto"/>
          <w:sz w:val="28"/>
          <w:szCs w:val="28"/>
          <w:highlight w:val="none"/>
          <w:lang w:val="en-US" w:eastAsia="zh-CN"/>
        </w:rPr>
        <w:t>详见合同范本。</w:t>
      </w:r>
    </w:p>
    <w:p>
      <w:pPr>
        <w:autoSpaceDE w:val="0"/>
        <w:autoSpaceDN w:val="0"/>
        <w:ind w:firstLine="560" w:firstLineChars="200"/>
        <w:rPr>
          <w:rFonts w:hint="eastAsia" w:ascii="仿宋" w:hAnsi="仿宋" w:eastAsia="仿宋" w:cs="仿宋"/>
          <w:bCs/>
          <w:color w:val="auto"/>
          <w:sz w:val="28"/>
          <w:szCs w:val="28"/>
          <w:highlight w:val="none"/>
          <w:lang w:val="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安全文明施工要求：</w:t>
      </w:r>
    </w:p>
    <w:p>
      <w:pPr>
        <w:autoSpaceDE w:val="0"/>
        <w:autoSpaceDN w:val="0"/>
        <w:ind w:firstLine="560" w:firstLineChars="200"/>
        <w:rPr>
          <w:rFonts w:hint="eastAsia"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（1）在工程进行中，承包单位要注意保护场内的各种管线和设施。若有任何损坏，须立即通知有关部门和发包人，并由损坏单位承担损失和修复费用。</w:t>
      </w:r>
    </w:p>
    <w:p>
      <w:pPr>
        <w:autoSpaceDE w:val="0"/>
        <w:autoSpaceDN w:val="0"/>
        <w:ind w:firstLine="560" w:firstLineChars="200"/>
        <w:rPr>
          <w:rFonts w:hint="eastAsia"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w:t>
      </w: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zh-CN"/>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Cs/>
          <w:color w:val="auto"/>
          <w:sz w:val="28"/>
          <w:szCs w:val="28"/>
          <w:highlight w:val="none"/>
          <w:lang w:val="zh-CN"/>
        </w:rPr>
        <w:t>（</w:t>
      </w: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zh-CN"/>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47"/>
        <w:keepNext w:val="0"/>
        <w:keepLines w:val="0"/>
        <w:pageBreakBefore w:val="0"/>
        <w:numPr>
          <w:ilvl w:val="0"/>
          <w:numId w:val="0"/>
        </w:numPr>
        <w:kinsoku/>
        <w:wordWrap/>
        <w:overflowPunct/>
        <w:topLinePunct w:val="0"/>
        <w:bidi w:val="0"/>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总包及分包规定：不允许</w:t>
      </w:r>
      <w:r>
        <w:rPr>
          <w:rFonts w:hint="eastAsia" w:ascii="仿宋" w:hAnsi="仿宋" w:eastAsia="仿宋" w:cs="仿宋"/>
          <w:color w:val="auto"/>
          <w:sz w:val="28"/>
          <w:szCs w:val="28"/>
          <w:highlight w:val="none"/>
          <w:lang w:val="en-US" w:eastAsia="zh-CN"/>
        </w:rPr>
        <w:t>违法</w:t>
      </w:r>
      <w:r>
        <w:rPr>
          <w:rFonts w:hint="eastAsia" w:ascii="仿宋" w:hAnsi="仿宋" w:eastAsia="仿宋" w:cs="仿宋"/>
          <w:color w:val="auto"/>
          <w:sz w:val="28"/>
          <w:szCs w:val="28"/>
          <w:highlight w:val="none"/>
        </w:rPr>
        <w:t>分包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转包</w:t>
      </w:r>
      <w:r>
        <w:rPr>
          <w:rFonts w:hint="eastAsia" w:ascii="仿宋" w:hAnsi="仿宋" w:eastAsia="仿宋" w:cs="仿宋"/>
          <w:color w:val="auto"/>
          <w:sz w:val="28"/>
          <w:szCs w:val="28"/>
          <w:highlight w:val="none"/>
          <w:lang w:eastAsia="zh-CN"/>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lang w:val="zh-CN"/>
        </w:rPr>
        <w:t>.承包方式：单价包干。</w:t>
      </w:r>
      <w:r>
        <w:rPr>
          <w:rFonts w:hint="eastAsia" w:ascii="仿宋" w:hAnsi="仿宋" w:eastAsia="仿宋" w:cs="仿宋"/>
          <w:color w:val="auto"/>
          <w:sz w:val="28"/>
          <w:szCs w:val="28"/>
          <w:highlight w:val="none"/>
        </w:rPr>
        <w:t>（单价包干要求附工程量清单）</w:t>
      </w:r>
    </w:p>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4"/>
        <w:rPr>
          <w:color w:val="auto"/>
          <w:highlight w:val="none"/>
        </w:rPr>
      </w:pPr>
      <w:bookmarkStart w:id="61" w:name="_Toc29835"/>
      <w:bookmarkStart w:id="62" w:name="_Toc23330"/>
      <w:bookmarkStart w:id="63" w:name="_Toc1284"/>
      <w:bookmarkStart w:id="64" w:name="_Toc15570"/>
      <w:bookmarkStart w:id="65" w:name="_Toc18538"/>
      <w:bookmarkStart w:id="66" w:name="_Toc4680"/>
      <w:bookmarkStart w:id="67" w:name="_Toc23353"/>
      <w:bookmarkStart w:id="68" w:name="_Toc1496"/>
      <w:bookmarkStart w:id="69" w:name="_Toc12135"/>
      <w:bookmarkStart w:id="70" w:name="_Toc537"/>
      <w:bookmarkStart w:id="71" w:name="_Toc2592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9"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Xt/h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8"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86wQ38QEAAOI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mVWaAhYk+PG3cTTDsNNzHQPbbT5T0TYoah6PKuqDokJOnyxWC4XpLe4v6oe&#10;4kLE9Ep5y7LRcEwRdNenjXeOWufjrIgK+9eYKDMF3gfkpMaxIcPPFwQONIotjQCZNhAddF2JRW+0&#10;vNbG5AiM3W5jIttDHofyZX6E+5dbTrIF7Ee/cjUOSq9AvnSSpWMgoRy9D55LsEpyZhQ9p2wRINQJ&#10;tLnEk1IbRxVkiUdRs7Xz8li0LufU+lLjaUzzbP25L9EPT3P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86wQ3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19088"/>
      <w:bookmarkStart w:id="73" w:name="_Toc19686"/>
      <w:bookmarkStart w:id="74" w:name="_Toc8183"/>
      <w:bookmarkStart w:id="75" w:name="_Toc88209949"/>
      <w:bookmarkStart w:id="76" w:name="_Toc12968"/>
      <w:bookmarkStart w:id="77" w:name="_Toc1375"/>
      <w:bookmarkStart w:id="78" w:name="_Toc12721"/>
      <w:bookmarkStart w:id="79" w:name="_Toc13309"/>
      <w:bookmarkStart w:id="80" w:name="_Toc323"/>
      <w:bookmarkStart w:id="81" w:name="_Toc22797"/>
      <w:bookmarkStart w:id="82" w:name="_Toc12980"/>
      <w:bookmarkStart w:id="83" w:name="_Toc87616386"/>
      <w:bookmarkStart w:id="84" w:name="_Toc2250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仿宋_GB2312" w:hAnsi="仿宋_GB2312" w:eastAsia="仿宋_GB2312" w:cs="仿宋_GB2312"/>
          <w:b/>
          <w:color w:val="auto"/>
          <w:kern w:val="0"/>
          <w:highlight w:val="none"/>
          <w:lang w:val="en-US" w:eastAsia="zh-CN"/>
        </w:rPr>
      </w:pPr>
      <w:r>
        <w:rPr>
          <w:rFonts w:hint="eastAsia" w:ascii="仿宋_GB2312" w:hAnsi="仿宋_GB2312" w:eastAsia="仿宋_GB2312" w:cs="仿宋_GB2312"/>
          <w:b/>
          <w:color w:val="auto"/>
          <w:kern w:val="0"/>
          <w:highlight w:val="none"/>
          <w:lang w:val="en-US" w:eastAsia="zh-CN"/>
        </w:rPr>
        <w:t xml:space="preserve"> </w:t>
      </w: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spacing w:after="0" w:line="240" w:lineRule="auto"/>
        <w:jc w:val="right"/>
        <w:rPr>
          <w:rFonts w:hint="eastAsia" w:ascii="宋体" w:hAnsi="宋体" w:eastAsia="宋体" w:cs="Times New Roman"/>
          <w:b/>
          <w:color w:val="auto"/>
          <w:sz w:val="44"/>
          <w:highlight w:val="none"/>
          <w:lang w:val="en-US" w:eastAsia="zh-CN"/>
        </w:rPr>
      </w:pPr>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 xml:space="preserve">                                      </w:t>
      </w:r>
    </w:p>
    <w:p>
      <w:pPr>
        <w:jc w:val="center"/>
        <w:rPr>
          <w:b/>
          <w:color w:val="auto"/>
          <w:sz w:val="52"/>
          <w:szCs w:val="84"/>
          <w:highlight w:val="none"/>
        </w:rPr>
      </w:pPr>
    </w:p>
    <w:p>
      <w:pPr>
        <w:pStyle w:val="2"/>
        <w:rPr>
          <w:b/>
          <w:color w:val="auto"/>
          <w:sz w:val="52"/>
          <w:szCs w:val="84"/>
          <w:highlight w:val="none"/>
        </w:rPr>
      </w:pPr>
    </w:p>
    <w:p>
      <w:pPr>
        <w:pStyle w:val="3"/>
        <w:rPr>
          <w:b/>
          <w:color w:val="auto"/>
          <w:sz w:val="52"/>
          <w:szCs w:val="84"/>
          <w:highlight w:val="none"/>
        </w:rPr>
      </w:pPr>
    </w:p>
    <w:p>
      <w:pPr>
        <w:rPr>
          <w:b/>
          <w:color w:val="auto"/>
          <w:sz w:val="52"/>
          <w:szCs w:val="84"/>
          <w:highlight w:val="none"/>
        </w:rPr>
      </w:pPr>
    </w:p>
    <w:p>
      <w:pPr>
        <w:pStyle w:val="2"/>
        <w:rPr>
          <w:b/>
          <w:color w:val="auto"/>
          <w:sz w:val="52"/>
          <w:szCs w:val="84"/>
          <w:highlight w:val="none"/>
        </w:rPr>
      </w:pPr>
    </w:p>
    <w:p>
      <w:pPr>
        <w:rPr>
          <w:rFonts w:hint="eastAsia" w:ascii="仿宋_GB2312" w:hAnsi="仿宋_GB2312" w:eastAsia="仿宋_GB2312" w:cs="仿宋_GB2312"/>
          <w:b/>
          <w:color w:val="auto"/>
          <w:kern w:val="0"/>
          <w:highlight w:val="none"/>
          <w:lang w:val="en-US" w:eastAsia="zh-CN"/>
        </w:rPr>
      </w:pPr>
      <w:r>
        <w:rPr>
          <w:rFonts w:hint="eastAsia" w:ascii="仿宋_GB2312" w:hAnsi="仿宋_GB2312" w:eastAsia="仿宋_GB2312" w:cs="仿宋_GB2312"/>
          <w:b/>
          <w:color w:val="auto"/>
          <w:kern w:val="0"/>
          <w:highlight w:val="none"/>
          <w:lang w:val="en-US" w:eastAsia="zh-CN"/>
        </w:rPr>
        <w:t xml:space="preserve"> </w:t>
      </w: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jc w:val="right"/>
        <w:rPr>
          <w:b/>
          <w:color w:val="auto"/>
          <w:sz w:val="52"/>
          <w:szCs w:val="84"/>
          <w:highlight w:val="none"/>
        </w:rPr>
      </w:pPr>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 xml:space="preserve">                                     </w:t>
      </w:r>
    </w:p>
    <w:p>
      <w:pPr>
        <w:pStyle w:val="10"/>
        <w:rPr>
          <w:color w:val="auto"/>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rPr>
          <w:rFonts w:hint="eastAsia" w:eastAsiaTheme="minorEastAsia"/>
          <w:color w:val="auto"/>
          <w:sz w:val="30"/>
          <w:highlight w:val="none"/>
          <w:lang w:eastAsia="zh-CN"/>
        </w:rPr>
      </w:pPr>
      <w:r>
        <w:rPr>
          <w:rFonts w:hint="eastAsia"/>
          <w:color w:val="auto"/>
          <w:sz w:val="30"/>
          <w:highlight w:val="none"/>
        </w:rPr>
        <w:t>项目名称：</w:t>
      </w:r>
      <w:r>
        <w:rPr>
          <w:rFonts w:hint="eastAsia"/>
          <w:color w:val="auto"/>
          <w:sz w:val="30"/>
          <w:highlight w:val="none"/>
          <w:lang w:eastAsia="zh-CN"/>
        </w:rPr>
        <w:t>大坦沙分公司2024年三期仓库电梯采购项目（第二次）</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51"/>
        <w:spacing w:line="500" w:lineRule="exact"/>
        <w:jc w:val="center"/>
        <w:rPr>
          <w:rFonts w:ascii="宋体" w:hAnsi="宋体" w:eastAsia="宋体" w:cs="宋体"/>
          <w:b/>
          <w:bCs/>
          <w:color w:val="auto"/>
          <w:sz w:val="36"/>
          <w:szCs w:val="36"/>
          <w:highlight w:val="none"/>
          <w:lang w:val="zh-CN" w:eastAsia="zh-CN"/>
        </w:rPr>
      </w:pPr>
    </w:p>
    <w:p>
      <w:pPr>
        <w:spacing w:line="360" w:lineRule="auto"/>
        <w:ind w:firstLine="720" w:firstLineChars="300"/>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3"/>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rPr>
      </w:pPr>
    </w:p>
    <w:p>
      <w:pPr>
        <w:spacing w:line="360" w:lineRule="auto"/>
        <w:rPr>
          <w:rFonts w:hint="eastAsia"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大坦沙分公司2024年三期仓库电梯采购项目（第二次）</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bookmarkStart w:id="85" w:name="_Toc518992986"/>
      <w:bookmarkStart w:id="86" w:name="_Toc183666513"/>
      <w:bookmarkStart w:id="87" w:name="_Toc1018"/>
      <w:bookmarkStart w:id="88" w:name="_Toc520190026"/>
      <w:bookmarkStart w:id="89" w:name="_Toc474245210"/>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85"/>
      <w:bookmarkEnd w:id="86"/>
      <w:bookmarkEnd w:id="87"/>
      <w:bookmarkEnd w:id="88"/>
      <w:bookmarkEnd w:id="89"/>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keepNext w:val="0"/>
        <w:keepLines w:val="0"/>
        <w:pageBreakBefore w:val="0"/>
        <w:widowControl w:val="0"/>
        <w:kinsoku/>
        <w:wordWrap/>
        <w:overflowPunct/>
        <w:topLinePunct w:val="0"/>
        <w:autoSpaceDE/>
        <w:autoSpaceDN/>
        <w:bidi w:val="0"/>
        <w:adjustRightInd/>
        <w:snapToGrid/>
        <w:spacing w:after="156" w:afterLines="50" w:line="360" w:lineRule="auto"/>
        <w:ind w:firstLine="480" w:firstLineChars="200"/>
        <w:textAlignment w:val="auto"/>
        <w:rPr>
          <w:rFonts w:hint="eastAsia" w:ascii="宋体" w:hAnsi="宋体" w:cs="宋体"/>
          <w:color w:val="auto"/>
          <w:kern w:val="0"/>
          <w:sz w:val="24"/>
          <w:szCs w:val="24"/>
          <w:highlight w:val="none"/>
          <w:lang w:val="en-US" w:eastAsia="zh-CN"/>
        </w:rPr>
      </w:pPr>
      <w:bookmarkStart w:id="90" w:name="_Toc17140"/>
      <w:bookmarkStart w:id="91" w:name="_Toc520190027"/>
      <w:bookmarkStart w:id="92" w:name="_Toc518992987"/>
      <w:bookmarkStart w:id="93" w:name="_Toc474245211"/>
      <w:r>
        <w:rPr>
          <w:rFonts w:hint="eastAsia" w:ascii="宋体" w:hAnsi="宋体" w:cs="宋体"/>
          <w:color w:val="auto"/>
          <w:kern w:val="0"/>
          <w:sz w:val="24"/>
          <w:szCs w:val="24"/>
          <w:highlight w:val="none"/>
          <w:lang w:val="en-US" w:eastAsia="zh-CN"/>
        </w:rPr>
        <w:t>2.1供货范围必须符合招标文件的技术与安装尺寸要求，详见附件11技术需求</w:t>
      </w:r>
      <w:r>
        <w:rPr>
          <w:rFonts w:hint="eastAsia"/>
          <w:color w:val="auto"/>
          <w:highlight w:val="none"/>
          <w:lang w:val="en-US" w:eastAsia="zh-CN"/>
        </w:rPr>
        <w:t>书</w:t>
      </w:r>
      <w:r>
        <w:rPr>
          <w:rFonts w:hint="eastAsia" w:ascii="宋体" w:hAnsi="宋体" w:cs="宋体"/>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2.2乙方负责安装、调试、报验及一年维保，若货物尺寸、规格原因，导致无法正常安装调试及报验验收，甲方有权要求乙方无条件退换货并恢复电梯井道原样，退换过程所产生费用由乙方承担。</w:t>
      </w:r>
    </w:p>
    <w:p>
      <w:pPr>
        <w:spacing w:after="156"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2.3</w:t>
      </w:r>
      <w:r>
        <w:rPr>
          <w:rFonts w:hint="eastAsia" w:ascii="宋体" w:hAnsi="宋体" w:cs="宋体"/>
          <w:color w:val="auto"/>
          <w:kern w:val="0"/>
          <w:sz w:val="24"/>
          <w:szCs w:val="24"/>
          <w:highlight w:val="none"/>
          <w:lang w:val="zh-CN"/>
        </w:rPr>
        <w:t>其他技术需求见附件。</w:t>
      </w:r>
      <w:bookmarkEnd w:id="90"/>
      <w:bookmarkStart w:id="94" w:name="_Toc26357"/>
      <w:bookmarkStart w:id="95" w:name="_Toc107447235"/>
      <w:bookmarkStart w:id="96" w:name="_Toc107446842"/>
      <w:bookmarkStart w:id="97" w:name="_Toc183666514"/>
    </w:p>
    <w:p>
      <w:pPr>
        <w:spacing w:after="156"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3.1 交货日期 ：合同签订之日起30日内完成供货（如需有不同交货时间注明）,具体交货时间以甲方通知为准。</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3.2 交货地点： </w:t>
      </w:r>
      <w:r>
        <w:rPr>
          <w:rFonts w:hint="eastAsia" w:ascii="宋体" w:hAnsi="宋体" w:cs="宋体"/>
          <w:bCs/>
          <w:color w:val="auto"/>
          <w:sz w:val="24"/>
          <w:szCs w:val="24"/>
          <w:highlight w:val="none"/>
          <w:lang w:val="en-US" w:eastAsia="zh-CN"/>
        </w:rPr>
        <w:t>广州市荔湾区桥中南路7号大坦沙分公司</w:t>
      </w:r>
      <w:r>
        <w:rPr>
          <w:rFonts w:hint="eastAsia" w:ascii="宋体" w:hAnsi="宋体" w:eastAsia="宋体" w:cs="宋体"/>
          <w:bCs/>
          <w:color w:val="auto"/>
          <w:sz w:val="24"/>
          <w:szCs w:val="24"/>
          <w:highlight w:val="none"/>
          <w:lang w:val="en-US" w:eastAsia="zh-CN"/>
        </w:rPr>
        <w:t xml:space="preserve"> ,最终具体交货地点以甲方通知为准。</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3.3 交货方式：乙方在设备运至交货地</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en-US" w:eastAsia="zh-CN"/>
        </w:rPr>
        <w:t>个工作日前通知甲方。</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3.4 安装调试的开始日期暂定为：  年  月  日（具体</w:t>
      </w:r>
      <w:r>
        <w:rPr>
          <w:rFonts w:hint="eastAsia" w:ascii="宋体" w:hAnsi="宋体" w:cs="宋体"/>
          <w:bCs/>
          <w:color w:val="auto"/>
          <w:sz w:val="24"/>
          <w:szCs w:val="24"/>
          <w:highlight w:val="none"/>
        </w:rPr>
        <w:t>以甲方通知为准</w:t>
      </w:r>
      <w:r>
        <w:rPr>
          <w:rFonts w:hint="eastAsia" w:ascii="宋体" w:hAnsi="宋体" w:cs="宋体"/>
          <w:bCs/>
          <w:color w:val="auto"/>
          <w:sz w:val="24"/>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3.5安装调试工期（自安装开始日期至验收合格并取得特种设备使用登记证）：90天</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s="宋体"/>
          <w:b/>
          <w:color w:val="auto"/>
          <w:sz w:val="24"/>
          <w:szCs w:val="24"/>
          <w:highlight w:val="none"/>
        </w:rPr>
      </w:pPr>
      <w:r>
        <w:rPr>
          <w:rFonts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w:t>
      </w:r>
      <w:r>
        <w:rPr>
          <w:rFonts w:hint="eastAsia" w:ascii="宋体" w:hAnsi="宋体" w:cs="宋体"/>
          <w:color w:val="auto"/>
          <w:kern w:val="0"/>
          <w:sz w:val="24"/>
          <w:szCs w:val="24"/>
          <w:highlight w:val="none"/>
          <w:u w:val="single"/>
          <w:lang w:val="en-US" w:eastAsia="zh-CN"/>
        </w:rPr>
        <w:t>井道修缮</w:t>
      </w:r>
      <w:r>
        <w:rPr>
          <w:rFonts w:hint="eastAsia" w:ascii="宋体" w:hAnsi="宋体" w:cs="宋体"/>
          <w:color w:val="auto"/>
          <w:kern w:val="0"/>
          <w:sz w:val="24"/>
          <w:szCs w:val="24"/>
          <w:highlight w:val="none"/>
          <w:u w:val="single"/>
          <w:lang w:val="zh-CN"/>
        </w:rPr>
        <w:t>、设备及随机附件的制造、包装、运输（设备运输过程中所需的相关手续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）、装卸、安装、调试、验收、</w:t>
      </w:r>
      <w:r>
        <w:rPr>
          <w:rFonts w:hint="eastAsia" w:ascii="宋体" w:hAnsi="宋体" w:cs="宋体"/>
          <w:color w:val="auto"/>
          <w:kern w:val="0"/>
          <w:sz w:val="24"/>
          <w:szCs w:val="24"/>
          <w:highlight w:val="none"/>
          <w:u w:val="single"/>
          <w:lang w:val="en-US" w:eastAsia="zh-CN"/>
        </w:rPr>
        <w:t>使用登记办理</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三包维保</w:t>
      </w:r>
      <w:r>
        <w:rPr>
          <w:rFonts w:hint="eastAsia" w:ascii="宋体" w:hAnsi="宋体" w:cs="宋体"/>
          <w:color w:val="auto"/>
          <w:kern w:val="0"/>
          <w:sz w:val="24"/>
          <w:szCs w:val="24"/>
          <w:highlight w:val="none"/>
          <w:u w:val="single"/>
          <w:lang w:val="zh-CN"/>
        </w:rPr>
        <w:t>、技术服务（包括技术资料、图纸的提供）、质保期保修、税费、保险费等全部费用。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98" w:name="_Toc518992989"/>
      <w:bookmarkStart w:id="99" w:name="_Toc474245213"/>
      <w:bookmarkStart w:id="100" w:name="_Toc520190029"/>
      <w:bookmarkStart w:id="101" w:name="_Toc107447236"/>
      <w:bookmarkStart w:id="102" w:name="_Toc10744684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hint="eastAsia" w:ascii="宋体" w:hAnsi="宋体" w:cs="宋体"/>
          <w:color w:val="auto"/>
          <w:sz w:val="24"/>
          <w:szCs w:val="24"/>
          <w:highlight w:val="none"/>
        </w:rPr>
      </w:pPr>
      <w:bookmarkStart w:id="103" w:name="_Toc14703"/>
      <w:bookmarkStart w:id="104" w:name="_Toc183666516"/>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预付款担保</w:t>
      </w:r>
      <w:r>
        <w:rPr>
          <w:rFonts w:hint="eastAsia" w:ascii="宋体" w:hAnsi="宋体" w:cs="宋体"/>
          <w:bCs/>
          <w:color w:val="auto"/>
          <w:sz w:val="24"/>
          <w:szCs w:val="24"/>
          <w:highlight w:val="none"/>
        </w:rPr>
        <w:t>后</w:t>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0"/>
        </w:tabs>
        <w:adjustRightInd w:val="0"/>
        <w:snapToGrid w:val="0"/>
        <w:spacing w:line="384" w:lineRule="auto"/>
        <w:ind w:firstLine="480" w:firstLineChars="200"/>
        <w:jc w:val="left"/>
        <w:rPr>
          <w:rFonts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rPr>
        <w:t>.1.1预付款担保</w:t>
      </w:r>
    </w:p>
    <w:p>
      <w:pPr>
        <w:tabs>
          <w:tab w:val="left" w:pos="0"/>
        </w:tabs>
        <w:adjustRightInd w:val="0"/>
        <w:snapToGrid w:val="0"/>
        <w:spacing w:line="384" w:lineRule="auto"/>
        <w:ind w:firstLine="480" w:firstLineChars="200"/>
        <w:jc w:val="left"/>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rPr>
        <w:t>（1）预付款担保的担保金额应与预付款金额相同。预付款从应支付给乙方的进度款中扣回。</w:t>
      </w:r>
    </w:p>
    <w:p>
      <w:pPr>
        <w:tabs>
          <w:tab w:val="left" w:pos="0"/>
        </w:tabs>
        <w:adjustRightInd w:val="0"/>
        <w:snapToGrid w:val="0"/>
        <w:spacing w:line="384" w:lineRule="auto"/>
        <w:ind w:firstLine="480" w:firstLineChars="200"/>
        <w:jc w:val="left"/>
        <w:rPr>
          <w:rFonts w:hint="default" w:ascii="Times New Roman" w:hAnsi="Times New Roman" w:cs="Times New Roman"/>
          <w:color w:val="auto"/>
          <w:sz w:val="21"/>
          <w:highlight w:val="none"/>
        </w:rPr>
      </w:pPr>
      <w:r>
        <w:rPr>
          <w:rFonts w:hint="eastAsia" w:ascii="宋体" w:hAnsi="宋体" w:cs="宋体"/>
          <w:b w:val="0"/>
          <w:bCs w:val="0"/>
          <w:color w:val="auto"/>
          <w:sz w:val="24"/>
          <w:highlight w:val="none"/>
        </w:rPr>
        <w:t xml:space="preserve">（2）预付款担保应在预付款扣清后14天内退还给乙方。甲方不承担乙方与预付款担保有关的任何利息或其他类似的费用或收益。 </w:t>
      </w:r>
      <w:r>
        <w:rPr>
          <w:rFonts w:hint="eastAsia" w:ascii="宋体" w:hAnsi="宋体" w:cs="宋体"/>
          <w:b/>
          <w:bCs/>
          <w:color w:val="auto"/>
          <w:sz w:val="24"/>
          <w:highlight w:val="none"/>
        </w:rPr>
        <w:t xml:space="preserve"> </w:t>
      </w:r>
      <w:r>
        <w:rPr>
          <w:rFonts w:hint="eastAsia" w:ascii="宋体" w:hAnsi="宋体" w:cs="宋体"/>
          <w:color w:val="auto"/>
          <w:sz w:val="24"/>
          <w:highlight w:val="none"/>
        </w:rPr>
        <w:t xml:space="preserve">  </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调试完毕，</w:t>
      </w:r>
      <w:r>
        <w:rPr>
          <w:rFonts w:hint="eastAsia" w:ascii="宋体" w:hAnsi="宋体" w:cs="宋体"/>
          <w:color w:val="auto"/>
          <w:sz w:val="24"/>
          <w:szCs w:val="24"/>
          <w:highlight w:val="none"/>
          <w:lang w:val="en-US" w:eastAsia="zh-CN"/>
        </w:rPr>
        <w:t>取得特种设备使用登记证和竣工验收后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乙方提交请款资料及等额增值税专用发票</w:t>
      </w:r>
      <w:r>
        <w:rPr>
          <w:rFonts w:hint="eastAsia" w:ascii="宋体" w:hAnsi="宋体" w:cs="宋体"/>
          <w:color w:val="auto"/>
          <w:sz w:val="24"/>
          <w:szCs w:val="24"/>
          <w:highlight w:val="none"/>
          <w:lang w:val="en-US" w:eastAsia="zh-CN"/>
        </w:rPr>
        <w:t>30个工作日内</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支付至合同暂定总价的80%（含预付款）。</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5.2.2甲方或</w:t>
      </w: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val="en-US" w:eastAsia="zh-CN"/>
        </w:rPr>
        <w:t>委托有资质第三方机构结算审核后，由乙方提交</w:t>
      </w:r>
      <w:r>
        <w:rPr>
          <w:rFonts w:hint="eastAsia" w:ascii="宋体" w:hAnsi="宋体" w:cs="宋体"/>
          <w:color w:val="auto"/>
          <w:sz w:val="24"/>
          <w:szCs w:val="24"/>
          <w:highlight w:val="none"/>
        </w:rPr>
        <w:t>请款资料及等额增值税专用发票后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质保期按合同第</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rPr>
        <w:t>条规定执行，质保期满且乙方不存在违约情形，乙方提交请款资料及等额增值税专用发票，甲方审核无误后在 15 个工作日内支付合同结算价的5％（质保金）给乙方(无息)。</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500" w:lineRule="exact"/>
        <w:ind w:firstLine="960" w:firstLineChars="400"/>
        <w:rPr>
          <w:rFonts w:ascii="宋体" w:hAnsi="宋体" w:cs="宋体"/>
          <w:color w:val="auto"/>
          <w:sz w:val="24"/>
          <w:szCs w:val="24"/>
          <w:highlight w:val="none"/>
          <w:u w:val="singl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r>
        <w:rPr>
          <w:rFonts w:ascii="宋体" w:hAnsi="宋体" w:cs="宋体"/>
          <w:color w:val="auto"/>
          <w:sz w:val="24"/>
          <w:szCs w:val="24"/>
          <w:highlight w:val="none"/>
          <w:u w:val="single"/>
        </w:rPr>
        <w:t xml:space="preserve"> </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360" w:lineRule="auto"/>
        <w:ind w:firstLine="960" w:firstLineChars="400"/>
        <w:rPr>
          <w:rFonts w:ascii="宋体" w:hAnsi="宋体" w:cs="宋体"/>
          <w:color w:val="auto"/>
          <w:sz w:val="24"/>
          <w:szCs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其他</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 xml:space="preserve">       </w:t>
      </w:r>
    </w:p>
    <w:p>
      <w:pPr>
        <w:autoSpaceDE w:val="0"/>
        <w:autoSpaceDN w:val="0"/>
        <w:adjustRightInd w:val="0"/>
        <w:spacing w:after="0" w:line="360" w:lineRule="auto"/>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2"/>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1、符合甲方要求</w:t>
      </w:r>
      <w:r>
        <w:rPr>
          <w:rFonts w:hint="eastAsia" w:cs="宋体"/>
          <w:color w:val="auto"/>
          <w:highlight w:val="none"/>
          <w:lang w:eastAsia="zh-CN"/>
        </w:rPr>
        <w:t>（</w:t>
      </w:r>
      <w:r>
        <w:rPr>
          <w:rFonts w:hint="eastAsia" w:cs="宋体"/>
          <w:color w:val="auto"/>
          <w:highlight w:val="none"/>
          <w:lang w:val="en-US" w:eastAsia="zh-CN"/>
        </w:rPr>
        <w:t>详见附件保函格式</w:t>
      </w:r>
      <w:r>
        <w:rPr>
          <w:rFonts w:hint="eastAsia" w:cs="宋体"/>
          <w:color w:val="auto"/>
          <w:highlight w:val="none"/>
          <w:lang w:eastAsia="zh-CN"/>
        </w:rPr>
        <w:t>）</w:t>
      </w:r>
      <w:r>
        <w:rPr>
          <w:rFonts w:hint="eastAsia" w:cs="宋体"/>
          <w:color w:val="auto"/>
          <w:highlight w:val="none"/>
        </w:rPr>
        <w:t>的银行独立保函，</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2"/>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103"/>
    <w:bookmarkEnd w:id="104"/>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交货要求：乙方应在交货时向甲方提供出厂合格证、产品质量证明文件、操作维修手册（手册应包含设备情况、系统和主要部件常见故障、保养要求、紧急维修电话等内容）等。</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highlight w:val="none"/>
        </w:rPr>
      </w:pPr>
      <w:bookmarkStart w:id="105" w:name="_Toc520190030"/>
      <w:bookmarkStart w:id="106" w:name="_Toc474245215"/>
      <w:bookmarkStart w:id="107" w:name="_Toc518992990"/>
      <w:bookmarkStart w:id="108" w:name="_Toc183666534"/>
      <w:bookmarkStart w:id="109" w:name="_Toc257"/>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05"/>
      <w:bookmarkEnd w:id="106"/>
      <w:bookmarkEnd w:id="107"/>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10" w:name="_Toc107447244"/>
      <w:bookmarkStart w:id="111" w:name="_Toc107446851"/>
      <w:r>
        <w:rPr>
          <w:rFonts w:hint="eastAsia" w:ascii="宋体" w:hAnsi="宋体" w:cs="宋体"/>
          <w:bCs/>
          <w:color w:val="auto"/>
          <w:sz w:val="24"/>
          <w:szCs w:val="24"/>
          <w:highlight w:val="none"/>
        </w:rPr>
        <w:t>标志</w:t>
      </w:r>
    </w:p>
    <w:bookmarkEnd w:id="110"/>
    <w:bookmarkEnd w:id="111"/>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12" w:name="_Toc520190032"/>
      <w:bookmarkStart w:id="113" w:name="_Toc518992992"/>
      <w:bookmarkStart w:id="114" w:name="_Toc183666521"/>
      <w:bookmarkStart w:id="115" w:name="_Toc9269"/>
      <w:bookmarkStart w:id="116" w:name="_Toc474245218"/>
      <w:bookmarkStart w:id="117" w:name="_Toc306350457"/>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12"/>
    <w:bookmarkEnd w:id="113"/>
    <w:bookmarkEnd w:id="114"/>
    <w:bookmarkEnd w:id="115"/>
    <w:bookmarkEnd w:id="116"/>
    <w:bookmarkEnd w:id="117"/>
    <w:p>
      <w:pPr>
        <w:adjustRightInd w:val="0"/>
        <w:snapToGrid w:val="0"/>
        <w:spacing w:before="156" w:beforeLines="50" w:after="156" w:afterLines="50" w:line="360" w:lineRule="auto"/>
        <w:ind w:firstLine="482" w:firstLineChars="200"/>
        <w:rPr>
          <w:rFonts w:ascii="宋体" w:hAnsi="宋体" w:cs="宋体"/>
          <w:color w:val="auto"/>
          <w:sz w:val="24"/>
          <w:szCs w:val="24"/>
          <w:highlight w:val="none"/>
        </w:rPr>
      </w:pPr>
      <w:bookmarkStart w:id="118" w:name="_Toc183666522"/>
      <w:bookmarkStart w:id="119" w:name="_Toc18496"/>
      <w:bookmarkStart w:id="120" w:name="_Toc306350458"/>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hint="eastAsia" w:ascii="宋体" w:hAnsi="宋体" w:cs="宋体"/>
          <w:b/>
          <w:color w:val="auto"/>
          <w:sz w:val="24"/>
          <w:szCs w:val="24"/>
          <w:highlight w:val="none"/>
          <w:lang w:val="en-US" w:eastAsia="zh-CN"/>
        </w:rPr>
      </w:pPr>
      <w:bookmarkStart w:id="121" w:name="_Toc474245220"/>
      <w:bookmarkStart w:id="122" w:name="_Toc520190034"/>
      <w:bookmarkStart w:id="123" w:name="_Toc518992994"/>
      <w:bookmarkStart w:id="124" w:name="_Toc183666523"/>
      <w:bookmarkStart w:id="125" w:name="_Toc4682"/>
      <w:bookmarkStart w:id="126" w:name="_Toc306350459"/>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安装要求</w:t>
      </w:r>
    </w:p>
    <w:p>
      <w:pPr>
        <w:adjustRightInd w:val="0"/>
        <w:spacing w:line="360" w:lineRule="auto"/>
        <w:ind w:firstLine="420"/>
        <w:jc w:val="left"/>
        <w:textAlignment w:val="baseline"/>
        <w:rPr>
          <w:rFonts w:ascii="宋体" w:hAnsi="宋体"/>
          <w:color w:val="auto"/>
          <w:kern w:val="0"/>
          <w:highlight w:val="none"/>
        </w:rPr>
      </w:pPr>
      <w:r>
        <w:rPr>
          <w:rFonts w:hint="eastAsia" w:ascii="宋体" w:hAnsi="宋体" w:cs="宋体"/>
          <w:color w:val="auto"/>
          <w:kern w:val="0"/>
          <w:sz w:val="24"/>
          <w:szCs w:val="20"/>
          <w:highlight w:val="none"/>
        </w:rPr>
        <w:t>10.1安装调试时间：具体以甲方通知为准。</w:t>
      </w:r>
    </w:p>
    <w:p>
      <w:pPr>
        <w:spacing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10.1.1乙方应具有建设主管部门颁发的《安全生产许可证》</w:t>
      </w:r>
      <w:r>
        <w:rPr>
          <w:rFonts w:hint="eastAsia" w:ascii="宋体" w:hAnsi="宋体" w:eastAsia="宋体" w:cs="宋体"/>
          <w:color w:val="auto"/>
          <w:kern w:val="0"/>
          <w:sz w:val="24"/>
          <w:szCs w:val="20"/>
          <w:highlight w:val="none"/>
          <w:lang w:val="en-US" w:eastAsia="zh-CN"/>
        </w:rPr>
        <w:t>和</w:t>
      </w:r>
      <w:r>
        <w:rPr>
          <w:rFonts w:hint="eastAsia" w:ascii="宋体" w:hAnsi="宋体" w:eastAsia="宋体" w:cs="宋体"/>
          <w:color w:val="auto"/>
          <w:kern w:val="0"/>
          <w:sz w:val="24"/>
          <w:szCs w:val="20"/>
          <w:highlight w:val="none"/>
        </w:rPr>
        <w:t>市场监督管理局</w:t>
      </w:r>
      <w:r>
        <w:rPr>
          <w:rFonts w:hint="eastAsia" w:ascii="宋体" w:hAnsi="宋体" w:eastAsia="宋体" w:cs="宋体"/>
          <w:color w:val="auto"/>
          <w:kern w:val="0"/>
          <w:sz w:val="24"/>
          <w:szCs w:val="20"/>
          <w:highlight w:val="none"/>
          <w:lang w:val="hr-HR"/>
        </w:rPr>
        <w:t>颁发的</w:t>
      </w:r>
      <w:r>
        <w:rPr>
          <w:rFonts w:hint="eastAsia" w:ascii="宋体" w:hAnsi="宋体" w:eastAsia="宋体" w:cs="宋体"/>
          <w:color w:val="auto"/>
          <w:kern w:val="0"/>
          <w:sz w:val="24"/>
          <w:szCs w:val="20"/>
          <w:highlight w:val="none"/>
          <w:lang w:val="en-US" w:eastAsia="zh-CN"/>
        </w:rPr>
        <w:t>许可电梯安装（含维修）《特种设备生产许可证》或许可电梯制造（含安装、修理、改造）《特种设备生产许可证》的</w:t>
      </w:r>
      <w:r>
        <w:rPr>
          <w:rFonts w:hint="eastAsia" w:ascii="宋体" w:hAnsi="宋体" w:eastAsia="宋体" w:cs="宋体"/>
          <w:color w:val="auto"/>
          <w:kern w:val="0"/>
          <w:sz w:val="24"/>
          <w:szCs w:val="20"/>
          <w:highlight w:val="none"/>
          <w:lang w:val="hr-HR"/>
        </w:rPr>
        <w:t>相关资质</w:t>
      </w:r>
      <w:r>
        <w:rPr>
          <w:rFonts w:hint="eastAsia" w:ascii="宋体" w:hAnsi="宋体" w:cs="宋体"/>
          <w:color w:val="auto"/>
          <w:kern w:val="0"/>
          <w:sz w:val="24"/>
          <w:szCs w:val="20"/>
          <w:highlight w:val="none"/>
        </w:rPr>
        <w:t>。</w:t>
      </w:r>
    </w:p>
    <w:p>
      <w:pPr>
        <w:spacing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10.1.2拟担任本项目安装负责人的人员要求为：（1）具有</w:t>
      </w:r>
      <w:r>
        <w:rPr>
          <w:rFonts w:ascii="宋体" w:hAnsi="宋体" w:cs="宋体"/>
          <w:color w:val="auto"/>
          <w:kern w:val="0"/>
          <w:sz w:val="24"/>
          <w:highlight w:val="none"/>
        </w:rPr>
        <w:t>机电工程专业二级(或以上级别)的建造师</w:t>
      </w:r>
      <w:r>
        <w:rPr>
          <w:rFonts w:hint="eastAsia" w:ascii="宋体" w:hAnsi="宋体" w:cs="宋体"/>
          <w:color w:val="auto"/>
          <w:kern w:val="0"/>
          <w:sz w:val="24"/>
          <w:szCs w:val="20"/>
          <w:highlight w:val="none"/>
        </w:rPr>
        <w:t>；（2）持有项目负责人安全生产考核合格证（B）类。</w:t>
      </w:r>
    </w:p>
    <w:p>
      <w:pPr>
        <w:spacing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专职安全人员须具有安全生产考核合格证（C类）。</w:t>
      </w:r>
    </w:p>
    <w:p>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szCs w:val="20"/>
          <w:highlight w:val="none"/>
        </w:rPr>
        <w:t>项目负责人与专职安全人员不能为同一人，并均应属于乙方企业信息登记中的在册人员</w:t>
      </w:r>
      <w:r>
        <w:rPr>
          <w:rFonts w:hint="eastAsia" w:ascii="宋体" w:hAnsi="宋体"/>
          <w:color w:val="auto"/>
          <w:kern w:val="0"/>
          <w:sz w:val="24"/>
          <w:highlight w:val="none"/>
        </w:rPr>
        <w:t>（签订本合同时应同时提供这两类人员近三个月社保缴纳证明作为附件附于本合同中）</w:t>
      </w:r>
      <w:r>
        <w:rPr>
          <w:rFonts w:hint="eastAsia" w:ascii="宋体" w:hAnsi="宋体" w:cs="宋体"/>
          <w:color w:val="auto"/>
          <w:kern w:val="0"/>
          <w:sz w:val="24"/>
          <w:highlight w:val="none"/>
        </w:rPr>
        <w:t>。</w:t>
      </w:r>
    </w:p>
    <w:p>
      <w:pPr>
        <w:pStyle w:val="2"/>
        <w:rPr>
          <w:rFonts w:hint="eastAsia" w:eastAsia="宋体"/>
          <w:color w:val="auto"/>
          <w:highlight w:val="none"/>
          <w:lang w:eastAsia="zh-CN"/>
        </w:rPr>
      </w:pPr>
    </w:p>
    <w:p>
      <w:pPr>
        <w:pStyle w:val="3"/>
        <w:ind w:left="0" w:firstLine="480" w:firstLineChars="200"/>
        <w:rPr>
          <w:rFonts w:hint="eastAsia"/>
          <w:color w:val="auto"/>
          <w:highlight w:val="none"/>
          <w:lang w:eastAsia="zh-CN"/>
        </w:rPr>
      </w:pPr>
      <w:r>
        <w:rPr>
          <w:rFonts w:hint="eastAsia" w:asciiTheme="minorEastAsia" w:hAnsiTheme="minorEastAsia" w:eastAsiaTheme="minorEastAsia" w:cstheme="minorEastAsia"/>
          <w:color w:val="auto"/>
          <w:sz w:val="24"/>
          <w:szCs w:val="24"/>
          <w:highlight w:val="none"/>
        </w:rPr>
        <w:t>乙方不得随意更换项目负责人及</w:t>
      </w:r>
      <w:r>
        <w:rPr>
          <w:rFonts w:hint="eastAsia" w:asciiTheme="minorEastAsia" w:hAnsiTheme="minorEastAsia" w:eastAsiaTheme="minorEastAsia" w:cstheme="minorEastAsia"/>
          <w:color w:val="auto"/>
          <w:sz w:val="24"/>
          <w:szCs w:val="24"/>
          <w:highlight w:val="none"/>
          <w:lang w:val="en-US" w:eastAsia="zh-CN"/>
        </w:rPr>
        <w:t>附件10中的</w:t>
      </w:r>
      <w:r>
        <w:rPr>
          <w:rFonts w:hint="eastAsia" w:asciiTheme="minorEastAsia" w:hAnsiTheme="minorEastAsia" w:eastAsiaTheme="minorEastAsia" w:cstheme="minorEastAsia"/>
          <w:color w:val="auto"/>
          <w:sz w:val="24"/>
          <w:szCs w:val="24"/>
          <w:highlight w:val="none"/>
        </w:rPr>
        <w:t>相关人员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人员名单应与乙方在响应文件中所载明的人员一致）</w:t>
      </w:r>
      <w:r>
        <w:rPr>
          <w:rFonts w:hint="eastAsia" w:asciiTheme="minorEastAsia" w:hAnsiTheme="minorEastAsia" w:eastAsiaTheme="minorEastAsia" w:cstheme="minorEastAsia"/>
          <w:color w:val="auto"/>
          <w:sz w:val="24"/>
          <w:szCs w:val="24"/>
          <w:highlight w:val="none"/>
        </w:rPr>
        <w:t>，如确须更换，应提前征得甲方同意。如有违反，甲方有权解除合同并要求乙方支付</w:t>
      </w:r>
      <w:r>
        <w:rPr>
          <w:rFonts w:hint="eastAsia" w:asciiTheme="minorEastAsia" w:hAnsiTheme="minorEastAsia" w:eastAsiaTheme="minorEastAsia" w:cstheme="minorEastAsia"/>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u w:val="single"/>
        </w:rPr>
        <w:t>元/人次</w:t>
      </w:r>
      <w:r>
        <w:rPr>
          <w:rFonts w:hint="eastAsia" w:asciiTheme="minorEastAsia" w:hAnsiTheme="minorEastAsia" w:eastAsiaTheme="minorEastAsia" w:cstheme="minorEastAsia"/>
          <w:color w:val="auto"/>
          <w:sz w:val="24"/>
          <w:szCs w:val="24"/>
          <w:highlight w:val="none"/>
        </w:rPr>
        <w:t>作为违约金，以及赔偿由此造成的一切损失(包含质量安全事故、工期延误、增加投资等)。</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rPr>
        <w:t>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21"/>
      <w:bookmarkEnd w:id="122"/>
      <w:bookmarkEnd w:id="123"/>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lang w:val="en-US" w:eastAsia="zh-CN"/>
        </w:rPr>
        <w:t>领取特种设备使用登记证</w:t>
      </w:r>
      <w:r>
        <w:rPr>
          <w:rFonts w:hint="eastAsia" w:ascii="宋体" w:hAnsi="宋体" w:cs="宋体"/>
          <w:color w:val="auto"/>
          <w:kern w:val="0"/>
          <w:sz w:val="24"/>
          <w:szCs w:val="24"/>
          <w:highlight w:val="none"/>
          <w:lang w:val="zh-CN"/>
        </w:rPr>
        <w:t>之日起</w:t>
      </w:r>
      <w:r>
        <w:rPr>
          <w:rFonts w:ascii="宋体" w:hAnsi="宋体" w:cs="宋体"/>
          <w:color w:val="auto"/>
          <w:sz w:val="24"/>
          <w:szCs w:val="24"/>
          <w:highlight w:val="none"/>
          <w:u w:val="single"/>
        </w:rPr>
        <w:t xml:space="preserve"> </w:t>
      </w:r>
      <w:r>
        <w:rPr>
          <w:rFonts w:hint="eastAsia" w:ascii="宋体" w:hAnsi="宋体" w:cs="宋体"/>
          <w:color w:val="auto"/>
          <w:kern w:val="0"/>
          <w:sz w:val="24"/>
          <w:highlight w:val="none"/>
          <w:u w:val="single"/>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年</w:t>
      </w:r>
      <w:r>
        <w:rPr>
          <w:rFonts w:hint="eastAsia" w:ascii="宋体" w:hAnsi="宋体" w:cs="宋体"/>
          <w:color w:val="auto"/>
          <w:kern w:val="0"/>
          <w:sz w:val="24"/>
          <w:highlight w:val="none"/>
        </w:rPr>
        <w:t>且不得低于法定规定保修时间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zh-CN"/>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w:t>
      </w:r>
      <w:r>
        <w:rPr>
          <w:rFonts w:hint="eastAsia" w:ascii="宋体" w:hAnsi="宋体" w:cs="宋体"/>
          <w:color w:val="auto"/>
          <w:kern w:val="0"/>
          <w:sz w:val="24"/>
          <w:szCs w:val="24"/>
          <w:highlight w:val="none"/>
          <w:lang w:val="en-US" w:eastAsia="zh-CN"/>
        </w:rPr>
        <w:t>出现</w:t>
      </w:r>
      <w:r>
        <w:rPr>
          <w:rFonts w:hint="eastAsia" w:ascii="宋体" w:hAnsi="宋体" w:cs="宋体"/>
          <w:color w:val="auto"/>
          <w:kern w:val="0"/>
          <w:sz w:val="24"/>
          <w:szCs w:val="24"/>
          <w:highlight w:val="none"/>
          <w:lang w:val="zh-CN"/>
        </w:rPr>
        <w:t>质量问题，乙方需无条件免费更换设备并支付合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w:t>
      </w:r>
    </w:p>
    <w:p>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1</w:t>
      </w:r>
      <w:r>
        <w:rPr>
          <w:rFonts w:ascii="宋体" w:hAnsi="宋体" w:cs="宋体"/>
          <w:bCs/>
          <w:color w:val="auto"/>
          <w:sz w:val="24"/>
          <w:szCs w:val="24"/>
          <w:highlight w:val="none"/>
        </w:rPr>
        <w:t xml:space="preserve">.3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keepNext w:val="0"/>
        <w:keepLines w:val="0"/>
        <w:pageBreakBefore w:val="0"/>
        <w:widowControl w:val="0"/>
        <w:kinsoku/>
        <w:wordWrap/>
        <w:overflowPunct/>
        <w:topLinePunct w:val="0"/>
        <w:autoSpaceDE/>
        <w:autoSpaceDN/>
        <w:bidi w:val="0"/>
        <w:spacing w:line="360" w:lineRule="auto"/>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1</w:t>
      </w:r>
      <w:r>
        <w:rPr>
          <w:rFonts w:ascii="宋体" w:hAnsi="宋体" w:cs="宋体"/>
          <w:bCs/>
          <w:color w:val="auto"/>
          <w:sz w:val="24"/>
          <w:szCs w:val="24"/>
          <w:highlight w:val="none"/>
        </w:rPr>
        <w:t xml:space="preserve">.4 </w:t>
      </w:r>
      <w:r>
        <w:rPr>
          <w:rFonts w:hint="eastAsia" w:ascii="宋体" w:hAnsi="宋体" w:cs="宋体"/>
          <w:bCs/>
          <w:color w:val="auto"/>
          <w:sz w:val="24"/>
          <w:szCs w:val="24"/>
          <w:highlight w:val="none"/>
        </w:rPr>
        <w:t>质量保修期间，如合同设备出现故障，乙方应在收到甲方通知后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124"/>
      <w:bookmarkEnd w:id="125"/>
      <w:bookmarkEnd w:id="126"/>
      <w:bookmarkStart w:id="127" w:name="_Toc107447250"/>
      <w:bookmarkStart w:id="128" w:name="_Toc518992997"/>
      <w:bookmarkStart w:id="129" w:name="_Toc27734"/>
      <w:bookmarkStart w:id="130" w:name="_Toc520190037"/>
      <w:bookmarkStart w:id="131" w:name="_Toc306350464"/>
      <w:bookmarkStart w:id="132" w:name="_Toc474245223"/>
      <w:bookmarkStart w:id="133" w:name="_Toc183666528"/>
      <w:bookmarkStart w:id="134" w:name="_Toc107446857"/>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highlight w:val="none"/>
        </w:rPr>
      </w:pPr>
      <w:bookmarkStart w:id="135" w:name="_Toc183666529"/>
      <w:bookmarkStart w:id="136" w:name="_Toc306350465"/>
      <w:bookmarkStart w:id="137" w:name="_Toc5166"/>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0"/>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.3 </w:t>
      </w:r>
      <w:r>
        <w:rPr>
          <w:rFonts w:hint="eastAsia" w:ascii="宋体" w:hAnsi="宋体" w:cs="宋体"/>
          <w:bCs/>
          <w:color w:val="auto"/>
          <w:sz w:val="24"/>
          <w:szCs w:val="24"/>
          <w:highlight w:val="none"/>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highlight w:val="none"/>
        </w:rPr>
        <w:t>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20</w:t>
      </w:r>
      <w:r>
        <w:rPr>
          <w:rFonts w:ascii="宋体" w:hAnsi="宋体" w:cs="宋体"/>
          <w:bCs/>
          <w:color w:val="auto"/>
          <w:sz w:val="24"/>
          <w:szCs w:val="24"/>
          <w:highlight w:val="none"/>
          <w:u w:val="single"/>
        </w:rPr>
        <w:t>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bookmarkStart w:id="138" w:name="_Toc107447253"/>
      <w:bookmarkStart w:id="139" w:name="_Toc107446860"/>
      <w:bookmarkStart w:id="140" w:name="_Toc107446861"/>
      <w:bookmarkStart w:id="141" w:name="_Toc118086592"/>
      <w:bookmarkStart w:id="142" w:name="_Toc107447254"/>
      <w:bookmarkStart w:id="143" w:name="_Toc518992998"/>
      <w:bookmarkStart w:id="144" w:name="_Toc520190038"/>
      <w:bookmarkStart w:id="145" w:name="_Toc474245224"/>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 xml:space="preserve">.1.1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 xml:space="preserve">.1.3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 xml:space="preserve">.1.4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 xml:space="preserve">.2 </w:t>
      </w:r>
      <w:r>
        <w:rPr>
          <w:rFonts w:hint="eastAsia" w:ascii="宋体" w:hAnsi="宋体" w:cs="宋体"/>
          <w:bCs/>
          <w:color w:val="auto"/>
          <w:sz w:val="24"/>
          <w:szCs w:val="24"/>
          <w:highlight w:val="none"/>
        </w:rPr>
        <w:t>乙方解除合同</w:t>
      </w:r>
    </w:p>
    <w:p>
      <w:pPr>
        <w:spacing w:line="360" w:lineRule="auto"/>
        <w:ind w:firstLine="482"/>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3</w:t>
      </w:r>
      <w:r>
        <w:rPr>
          <w:rFonts w:hint="eastAsia" w:ascii="宋体" w:hAnsi="宋体" w:cs="宋体"/>
          <w:bCs/>
          <w:color w:val="auto"/>
          <w:sz w:val="24"/>
          <w:szCs w:val="24"/>
          <w:highlight w:val="none"/>
          <w:u w:val="single"/>
          <w:lang w:val="en-US" w:eastAsia="zh-CN"/>
        </w:rPr>
        <w:t>0</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w:t>
      </w: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0"/>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6</w:t>
      </w:r>
      <w:r>
        <w:rPr>
          <w:rFonts w:ascii="宋体" w:hAnsi="宋体" w:cs="宋体"/>
          <w:bCs/>
          <w:color w:val="auto"/>
          <w:sz w:val="24"/>
          <w:szCs w:val="24"/>
          <w:highlight w:val="none"/>
        </w:rPr>
        <w:t>.1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08"/>
    <w:bookmarkEnd w:id="109"/>
    <w:bookmarkEnd w:id="135"/>
    <w:bookmarkEnd w:id="136"/>
    <w:bookmarkEnd w:id="137"/>
    <w:bookmarkEnd w:id="138"/>
    <w:bookmarkEnd w:id="139"/>
    <w:bookmarkEnd w:id="140"/>
    <w:bookmarkEnd w:id="141"/>
    <w:bookmarkEnd w:id="142"/>
    <w:bookmarkEnd w:id="143"/>
    <w:bookmarkEnd w:id="144"/>
    <w:bookmarkEnd w:id="145"/>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附件：1.成交通知书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2.廉洁协议</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3.物品采购安全协议书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4.营运项目承包单位日常履约考评参照表（安全）</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5.安全管理协议书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6.履约保函</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7.预付款保函</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8.消防安全承诺书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9.报价单</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项目投入人员架构表</w:t>
      </w:r>
    </w:p>
    <w:p>
      <w:pPr>
        <w:spacing w:line="360" w:lineRule="auto"/>
        <w:ind w:firstLine="1200" w:firstLineChars="5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11.技术需求书</w:t>
      </w:r>
    </w:p>
    <w:tbl>
      <w:tblPr>
        <w:tblStyle w:val="24"/>
        <w:tblpPr w:leftFromText="180" w:rightFromText="180" w:vertAnchor="text" w:horzAnchor="page" w:tblpX="1358" w:tblpY="77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numPr>
          <w:ilvl w:val="0"/>
          <w:numId w:val="0"/>
        </w:numPr>
        <w:spacing w:line="360" w:lineRule="auto"/>
        <w:rPr>
          <w:rFonts w:hint="eastAsia" w:eastAsia="宋体"/>
          <w:color w:val="auto"/>
          <w:highlight w:val="none"/>
          <w:lang w:val="en-US" w:eastAsia="zh-CN"/>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附件1成交通知书</w:t>
      </w:r>
    </w:p>
    <w:p>
      <w:pPr>
        <w:pStyle w:val="4"/>
        <w:rPr>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(以下称乙方</w:t>
      </w:r>
      <w:r>
        <w:rPr>
          <w:rFonts w:ascii="宋体" w:hAnsi="宋体"/>
          <w:color w:val="auto"/>
          <w:sz w:val="24"/>
          <w:highlight w:val="none"/>
        </w:rPr>
        <w:t>)，特此订立本协议共同遵照执行。</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第一条甲乙双方的权利和义务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合同（以下简称：主合同），自觉履行合同约定的相关义务。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第二条甲方的义务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60" w:lineRule="auto"/>
        <w:ind w:left="15" w:leftChars="7"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(八）不得存在其他违反廉洁规定的行为。</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第三条乙方的义务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5"/>
        <w:rPr>
          <w:color w:val="auto"/>
          <w:sz w:val="24"/>
          <w:highlight w:val="none"/>
        </w:rPr>
      </w:pPr>
      <w:r>
        <w:rPr>
          <w:rFonts w:hint="eastAsia"/>
          <w:color w:val="auto"/>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color w:val="auto"/>
          <w:sz w:val="24"/>
          <w:highlight w:val="none"/>
        </w:rPr>
      </w:pPr>
      <w:r>
        <w:rPr>
          <w:rFonts w:hint="eastAsia" w:ascii="宋体" w:hAnsi="宋体"/>
          <w:color w:val="auto"/>
          <w:sz w:val="24"/>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(八）不得存在其他违反廉洁规定的行为。</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第四条违约责任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480" w:firstLineChars="200"/>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2、解除主合同；</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乙方无条件接受甲方的处理决定并承担给甲方造成的损失，全额返还通过不正当手段获取的非法所得，并承担相应的法律责任。</w:t>
      </w:r>
    </w:p>
    <w:p>
      <w:pPr>
        <w:spacing w:after="0" w:line="240" w:lineRule="auto"/>
        <w:rPr>
          <w:rFonts w:ascii="宋体" w:hAnsi="宋体" w:cs="宋体"/>
          <w:color w:val="auto"/>
          <w:kern w:val="0"/>
          <w:sz w:val="24"/>
          <w:szCs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szCs w:val="24"/>
          <w:highlight w:val="none"/>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ascii="宋体" w:hAnsi="宋体"/>
          <w:color w:val="auto"/>
          <w:sz w:val="24"/>
          <w:highlight w:val="none"/>
        </w:rPr>
        <w:t>本协议作为</w:t>
      </w:r>
      <w:r>
        <w:rPr>
          <w:rFonts w:hint="eastAsia" w:ascii="宋体" w:hAnsi="宋体"/>
          <w:color w:val="auto"/>
          <w:sz w:val="24"/>
          <w:highlight w:val="none"/>
          <w:u w:val="single"/>
        </w:rPr>
        <w:t>（合同名称）+（合同编号）</w:t>
      </w:r>
      <w:r>
        <w:rPr>
          <w:rFonts w:hint="eastAsia" w:ascii="宋体" w:hAnsi="宋体"/>
          <w:color w:val="auto"/>
          <w:sz w:val="24"/>
          <w:highlight w:val="none"/>
        </w:rPr>
        <w:t>合同的附件，并具有同等的法律效力，本协议自双方签字盖章之日起生效，与主合同同时终止。</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第七条</w:t>
      </w:r>
      <w:r>
        <w:rPr>
          <w:rFonts w:hint="eastAsia" w:ascii="宋体" w:hAnsi="宋体"/>
          <w:color w:val="auto"/>
          <w:sz w:val="24"/>
          <w:highlight w:val="none"/>
        </w:rPr>
        <w:t>本协议甲方、乙方双方执持数量与主合同一致</w:t>
      </w:r>
      <w:r>
        <w:rPr>
          <w:rFonts w:ascii="宋体" w:hAnsi="宋体"/>
          <w:color w:val="auto"/>
          <w:sz w:val="24"/>
          <w:highlight w:val="none"/>
        </w:rPr>
        <w:t>。</w:t>
      </w:r>
    </w:p>
    <w:p>
      <w:pPr>
        <w:spacing w:line="360" w:lineRule="auto"/>
        <w:rPr>
          <w:rFonts w:hint="eastAsia" w:ascii="宋体" w:hAnsi="宋体" w:eastAsia="宋体"/>
          <w:color w:val="auto"/>
          <w:sz w:val="24"/>
          <w:highlight w:val="none"/>
          <w:lang w:eastAsia="zh-CN"/>
        </w:rPr>
      </w:pPr>
    </w:p>
    <w:p>
      <w:pPr>
        <w:spacing w:line="360" w:lineRule="auto"/>
        <w:rPr>
          <w:rFonts w:ascii="宋体" w:hAnsi="宋体"/>
          <w:color w:val="auto"/>
          <w:sz w:val="24"/>
          <w:highlight w:val="none"/>
        </w:rPr>
      </w:pPr>
      <w:r>
        <w:rPr>
          <w:rFonts w:hint="eastAsia" w:ascii="宋体" w:hAnsi="宋体"/>
          <w:color w:val="auto"/>
          <w:sz w:val="24"/>
          <w:highlight w:val="none"/>
        </w:rPr>
        <w:t>甲方（盖章）：                     乙方（盖章）：</w:t>
      </w:r>
    </w:p>
    <w:p>
      <w:pPr>
        <w:pStyle w:val="34"/>
        <w:tabs>
          <w:tab w:val="left" w:pos="5100"/>
        </w:tabs>
        <w:spacing w:line="360" w:lineRule="auto"/>
        <w:ind w:left="7200" w:firstLine="0" w:firstLineChars="0"/>
        <w:jc w:val="left"/>
        <w:rPr>
          <w:rFonts w:ascii="宋体" w:hAnsi="宋体"/>
          <w:color w:val="auto"/>
          <w:sz w:val="24"/>
          <w:highlight w:val="none"/>
        </w:rPr>
      </w:pPr>
    </w:p>
    <w:p>
      <w:pPr>
        <w:tabs>
          <w:tab w:val="left" w:pos="5100"/>
        </w:tabs>
        <w:spacing w:line="360"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60" w:lineRule="auto"/>
        <w:rPr>
          <w:rFonts w:hint="eastAsia" w:ascii="宋体" w:hAnsi="宋体"/>
          <w:color w:val="auto"/>
          <w:sz w:val="24"/>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pStyle w:val="23"/>
        <w:rPr>
          <w:color w:val="auto"/>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0" w:firstLineChars="200"/>
        <w:jc w:val="left"/>
        <w:rPr>
          <w:rFonts w:ascii="等线" w:hAnsi="等线" w:eastAsia="等线"/>
          <w:b/>
          <w:color w:val="auto"/>
          <w:sz w:val="24"/>
          <w:highlight w:val="none"/>
        </w:rPr>
      </w:pPr>
      <w:r>
        <w:rPr>
          <w:rFonts w:hint="eastAsia" w:ascii="等线" w:hAnsi="等线" w:eastAsia="等线"/>
          <w:b/>
          <w:color w:val="auto"/>
          <w:sz w:val="24"/>
          <w:highlight w:val="none"/>
        </w:rPr>
        <w:t>一、本协议与主合同的关系</w:t>
      </w:r>
    </w:p>
    <w:p>
      <w:pPr>
        <w:adjustRightInd w:val="0"/>
        <w:snapToGrid w:val="0"/>
        <w:spacing w:line="560" w:lineRule="exact"/>
        <w:ind w:firstLine="480" w:firstLineChars="200"/>
        <w:jc w:val="left"/>
        <w:rPr>
          <w:rFonts w:ascii="等线" w:hAnsi="等线" w:eastAsia="等线"/>
          <w:color w:val="auto"/>
          <w:sz w:val="24"/>
          <w:highlight w:val="none"/>
        </w:rPr>
      </w:pPr>
      <w:r>
        <w:rPr>
          <w:rFonts w:hint="eastAsia" w:ascii="等线" w:hAnsi="等线" w:eastAsia="等线"/>
          <w:color w:val="auto"/>
          <w:sz w:val="24"/>
          <w:highlight w:val="none"/>
        </w:rPr>
        <w:t>本协议作为</w:t>
      </w:r>
      <w:r>
        <w:rPr>
          <w:rFonts w:hint="eastAsia" w:ascii="等线" w:hAnsi="等线" w:eastAsia="等线"/>
          <w:color w:val="auto"/>
          <w:sz w:val="24"/>
          <w:highlight w:val="none"/>
          <w:u w:val="single"/>
        </w:rPr>
        <w:t xml:space="preserve">                          </w:t>
      </w:r>
      <w:r>
        <w:rPr>
          <w:rFonts w:hint="eastAsia" w:ascii="等线" w:hAnsi="等线" w:eastAsia="等线"/>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spacing w:line="560" w:lineRule="exact"/>
        <w:ind w:firstLine="480" w:firstLineChars="200"/>
        <w:rPr>
          <w:rFonts w:ascii="等线" w:hAnsi="等线" w:eastAsia="等线"/>
          <w:color w:val="auto"/>
          <w:sz w:val="24"/>
          <w:highlight w:val="none"/>
        </w:rPr>
      </w:pPr>
      <w:r>
        <w:rPr>
          <w:rFonts w:hint="eastAsia" w:ascii="等线" w:hAnsi="等线" w:eastAsia="等线"/>
          <w:b/>
          <w:color w:val="auto"/>
          <w:sz w:val="24"/>
          <w:highlight w:val="none"/>
        </w:rPr>
        <w:t>四、补充条款：</w:t>
      </w:r>
      <w:r>
        <w:rPr>
          <w:rFonts w:hint="eastAsia" w:ascii="等线" w:hAnsi="等线" w:eastAsia="等线"/>
          <w:color w:val="auto"/>
          <w:sz w:val="24"/>
          <w:highlight w:val="none"/>
          <w:u w:val="single"/>
        </w:rPr>
        <w:t xml:space="preserve">      </w:t>
      </w:r>
      <w:r>
        <w:rPr>
          <w:rFonts w:hint="eastAsia" w:ascii="等线" w:hAnsi="等线" w:eastAsia="等线"/>
          <w:color w:val="auto"/>
          <w:sz w:val="24"/>
          <w:highlight w:val="none"/>
          <w:u w:val="single"/>
          <w:lang w:val="en-US" w:eastAsia="zh-CN"/>
        </w:rPr>
        <w:t>无</w:t>
      </w:r>
      <w:r>
        <w:rPr>
          <w:rFonts w:hint="eastAsia" w:ascii="等线" w:hAnsi="等线" w:eastAsia="等线"/>
          <w:color w:val="auto"/>
          <w:sz w:val="24"/>
          <w:highlight w:val="none"/>
          <w:u w:val="single"/>
        </w:rPr>
        <w:t xml:space="preserve">   </w:t>
      </w:r>
      <w:r>
        <w:rPr>
          <w:rFonts w:ascii="等线" w:hAnsi="等线" w:eastAsia="等线"/>
          <w:color w:val="auto"/>
          <w:sz w:val="24"/>
          <w:highlight w:val="none"/>
          <w:u w:val="single"/>
        </w:rPr>
        <w:t xml:space="preserve"> </w:t>
      </w:r>
      <w:r>
        <w:rPr>
          <w:rFonts w:hint="eastAsia" w:ascii="等线" w:hAnsi="等线" w:eastAsia="等线"/>
          <w:color w:val="auto"/>
          <w:sz w:val="24"/>
          <w:highlight w:val="none"/>
          <w:u w:val="single"/>
        </w:rPr>
        <w:t xml:space="preserve">       </w:t>
      </w:r>
      <w:r>
        <w:rPr>
          <w:rFonts w:hint="eastAsia" w:ascii="等线" w:hAnsi="等线" w:eastAsia="等线"/>
          <w:color w:val="auto"/>
          <w:sz w:val="24"/>
          <w:highlight w:val="none"/>
        </w:rPr>
        <w:t>。</w:t>
      </w:r>
    </w:p>
    <w:p>
      <w:pPr>
        <w:adjustRightInd w:val="0"/>
        <w:snapToGrid w:val="0"/>
        <w:spacing w:line="560" w:lineRule="exact"/>
        <w:ind w:firstLine="480" w:firstLineChars="200"/>
        <w:jc w:val="left"/>
        <w:rPr>
          <w:rFonts w:ascii="等线" w:hAnsi="等线" w:eastAsia="等线"/>
          <w:b/>
          <w:color w:val="auto"/>
          <w:sz w:val="24"/>
          <w:highlight w:val="none"/>
        </w:rPr>
      </w:pPr>
      <w:r>
        <w:rPr>
          <w:rFonts w:hint="eastAsia" w:ascii="等线" w:hAnsi="等线" w:eastAsia="等线"/>
          <w:b/>
          <w:color w:val="auto"/>
          <w:sz w:val="24"/>
          <w:highlight w:val="none"/>
        </w:rPr>
        <w:t>五、附则</w:t>
      </w:r>
    </w:p>
    <w:p>
      <w:pPr>
        <w:adjustRightInd w:val="0"/>
        <w:snapToGrid w:val="0"/>
        <w:spacing w:line="560" w:lineRule="exact"/>
        <w:ind w:firstLine="480" w:firstLineChars="200"/>
        <w:jc w:val="left"/>
        <w:rPr>
          <w:rFonts w:ascii="等线" w:hAnsi="等线" w:eastAsia="等线"/>
          <w:color w:val="auto"/>
          <w:sz w:val="24"/>
          <w:highlight w:val="none"/>
        </w:rPr>
      </w:pPr>
      <w:r>
        <w:rPr>
          <w:rFonts w:hint="eastAsia" w:ascii="等线" w:hAnsi="等线" w:eastAsia="等线"/>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等线" w:hAnsi="等线" w:eastAsia="等线"/>
          <w:color w:val="auto"/>
          <w:sz w:val="24"/>
          <w:highlight w:val="none"/>
        </w:rPr>
      </w:pPr>
      <w:r>
        <w:rPr>
          <w:rFonts w:hint="eastAsia" w:ascii="等线" w:hAnsi="等线" w:eastAsia="等线"/>
          <w:color w:val="auto"/>
          <w:sz w:val="24"/>
          <w:highlight w:val="none"/>
        </w:rPr>
        <w:t>（二）本协议与主合同同时签订、同时终止、同时生效，具有相同的法律效力，自甲方、乙方双方签字、盖章生效，甲方、乙方双方执持数量与主合同一致。</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甲方：</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签约代表：</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联系电话：</w:t>
            </w:r>
          </w:p>
          <w:p>
            <w:pPr>
              <w:widowControl w:val="0"/>
              <w:adjustRightInd w:val="0"/>
              <w:snapToGrid w:val="0"/>
              <w:spacing w:line="560" w:lineRule="exact"/>
              <w:ind w:firstLine="240" w:firstLineChars="100"/>
              <w:jc w:val="right"/>
              <w:textAlignment w:val="baseline"/>
              <w:rPr>
                <w:rFonts w:ascii="等线" w:hAnsi="等线" w:eastAsia="等线"/>
                <w:color w:val="auto"/>
                <w:sz w:val="24"/>
                <w:highlight w:val="none"/>
              </w:rPr>
            </w:pPr>
            <w:r>
              <w:rPr>
                <w:rFonts w:hint="eastAsia" w:ascii="等线" w:hAnsi="等线" w:eastAsia="等线"/>
                <w:color w:val="auto"/>
                <w:sz w:val="24"/>
                <w:highlight w:val="none"/>
              </w:rPr>
              <w:t>年</w:t>
            </w:r>
            <w:r>
              <w:rPr>
                <w:rFonts w:ascii="等线" w:hAnsi="等线" w:eastAsia="等线"/>
                <w:color w:val="auto"/>
                <w:sz w:val="24"/>
                <w:highlight w:val="none"/>
              </w:rPr>
              <w:t xml:space="preserve">    </w:t>
            </w:r>
            <w:r>
              <w:rPr>
                <w:rFonts w:hint="eastAsia" w:ascii="等线" w:hAnsi="等线" w:eastAsia="等线"/>
                <w:color w:val="auto"/>
                <w:sz w:val="24"/>
                <w:highlight w:val="none"/>
              </w:rPr>
              <w:t>月</w:t>
            </w:r>
            <w:r>
              <w:rPr>
                <w:rFonts w:ascii="等线" w:hAnsi="等线" w:eastAsia="等线"/>
                <w:color w:val="auto"/>
                <w:sz w:val="24"/>
                <w:highlight w:val="none"/>
              </w:rPr>
              <w:t xml:space="preserve">    </w:t>
            </w:r>
            <w:r>
              <w:rPr>
                <w:rFonts w:hint="eastAsia" w:ascii="等线" w:hAnsi="等线" w:eastAsia="等线"/>
                <w:color w:val="auto"/>
                <w:sz w:val="24"/>
                <w:highlight w:val="none"/>
              </w:rPr>
              <w:t>日</w:t>
            </w:r>
          </w:p>
        </w:tc>
        <w:tc>
          <w:tcPr>
            <w:tcW w:w="4474" w:type="dxa"/>
            <w:noWrap w:val="0"/>
            <w:vAlign w:val="top"/>
          </w:tcPr>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乙方：</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签约代表：</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联系电话：</w:t>
            </w:r>
          </w:p>
          <w:p>
            <w:pPr>
              <w:widowControl w:val="0"/>
              <w:adjustRightInd w:val="0"/>
              <w:snapToGrid w:val="0"/>
              <w:spacing w:line="560" w:lineRule="exact"/>
              <w:jc w:val="right"/>
              <w:textAlignment w:val="baseline"/>
              <w:rPr>
                <w:rFonts w:ascii="等线" w:hAnsi="等线" w:eastAsia="等线"/>
                <w:color w:val="auto"/>
                <w:sz w:val="24"/>
                <w:highlight w:val="none"/>
              </w:rPr>
            </w:pPr>
            <w:r>
              <w:rPr>
                <w:rFonts w:hint="eastAsia" w:ascii="等线" w:hAnsi="等线" w:eastAsia="等线"/>
                <w:color w:val="auto"/>
                <w:sz w:val="24"/>
                <w:highlight w:val="none"/>
              </w:rPr>
              <w:t>年</w:t>
            </w:r>
            <w:r>
              <w:rPr>
                <w:rFonts w:ascii="等线" w:hAnsi="等线" w:eastAsia="等线"/>
                <w:color w:val="auto"/>
                <w:sz w:val="24"/>
                <w:highlight w:val="none"/>
              </w:rPr>
              <w:t xml:space="preserve">    </w:t>
            </w:r>
            <w:r>
              <w:rPr>
                <w:rFonts w:hint="eastAsia" w:ascii="等线" w:hAnsi="等线" w:eastAsia="等线"/>
                <w:color w:val="auto"/>
                <w:sz w:val="24"/>
                <w:highlight w:val="none"/>
              </w:rPr>
              <w:t>月</w:t>
            </w:r>
            <w:r>
              <w:rPr>
                <w:rFonts w:ascii="等线" w:hAnsi="等线" w:eastAsia="等线"/>
                <w:color w:val="auto"/>
                <w:sz w:val="24"/>
                <w:highlight w:val="none"/>
              </w:rPr>
              <w:t xml:space="preserve">    </w:t>
            </w:r>
            <w:r>
              <w:rPr>
                <w:rFonts w:hint="eastAsia" w:ascii="等线" w:hAnsi="等线" w:eastAsia="等线"/>
                <w:color w:val="auto"/>
                <w:sz w:val="24"/>
                <w:highlight w:val="none"/>
              </w:rPr>
              <w:t>日</w:t>
            </w:r>
          </w:p>
        </w:tc>
      </w:tr>
    </w:tbl>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Cs w:val="21"/>
          <w:highlight w:val="none"/>
        </w:rPr>
        <w:t>营运项目承包单位日常履约考评参照表（安全）</w:t>
      </w:r>
    </w:p>
    <w:tbl>
      <w:tblPr>
        <w:tblStyle w:val="24"/>
        <w:tblpPr w:leftFromText="180" w:rightFromText="180" w:vertAnchor="text" w:horzAnchor="page" w:tblpX="1641" w:tblpY="1074"/>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缺施工方案扣合同金额的6%或700；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缺施工方案扣合同金额的3%或3500；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缺施工方案扣合同金额的1.5%或5000；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缺施工方案扣合同金额的0.5%或1万；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缺应急预案扣合同金额的6%或700；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缺应急预案扣合同金额的3%或3500；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缺应急预案扣合同金额的1.5%或5000；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缺应急预案扣合同金额的0.5%或1万；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缺安全架构扣合同金额的10%或2000；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缺安全架构扣合同金额的2%或1万；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缺安全架构扣合同金额的1%或2万；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扣合同金额的0.5%～1%；</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扣合同金额的0.3%～0.4%；</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注：1、与安全管理相关的考评内容具体考评标准内容参照广州市净水有限公司标准《工程项目安全管理规范》（Q/GZJSA 1-2021）执行。</w:t>
            </w:r>
          </w:p>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13"/>
                <w:szCs w:val="13"/>
                <w:highlight w:val="none"/>
              </w:rPr>
              <w:t>2.本处理标准出自《广州净水公司工程项目承包单位质量安全考评细则（试行）》。</w:t>
            </w:r>
          </w:p>
          <w:p>
            <w:pPr>
              <w:pStyle w:val="23"/>
              <w:keepNext w:val="0"/>
              <w:keepLines w:val="0"/>
              <w:pageBreakBefore w:val="0"/>
              <w:kinsoku/>
              <w:wordWrap/>
              <w:overflowPunct/>
              <w:topLinePunct w:val="0"/>
              <w:bidi w:val="0"/>
              <w:adjustRightInd w:val="0"/>
              <w:snapToGrid w:val="0"/>
              <w:spacing w:line="360" w:lineRule="auto"/>
              <w:ind w:firstLine="1126"/>
              <w:rPr>
                <w:rFonts w:hint="eastAsia" w:ascii="仿宋" w:hAnsi="仿宋" w:eastAsia="仿宋" w:cs="仿宋"/>
                <w:color w:val="auto"/>
                <w:highlight w:val="none"/>
                <w:lang w:val="en-US" w:eastAsia="zh-CN"/>
              </w:rPr>
            </w:pPr>
          </w:p>
        </w:tc>
      </w:tr>
    </w:tbl>
    <w:p>
      <w:pPr>
        <w:keepNext w:val="0"/>
        <w:keepLines w:val="0"/>
        <w:pageBreakBefore w:val="0"/>
        <w:widowControl w:val="0"/>
        <w:kinsoku/>
        <w:wordWrap/>
        <w:overflowPunct/>
        <w:bidi w:val="0"/>
        <w:spacing w:line="500" w:lineRule="exac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500" w:lineRule="exac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500" w:lineRule="exact"/>
        <w:rPr>
          <w:rFonts w:hint="eastAsia" w:ascii="宋体" w:hAnsi="宋体" w:eastAsia="宋体" w:cs="宋体"/>
          <w:b/>
          <w:bCs/>
          <w:color w:val="auto"/>
          <w:sz w:val="21"/>
          <w:szCs w:val="21"/>
          <w:highlight w:val="none"/>
          <w:lang w:val="en-US" w:eastAsia="zh-CN"/>
        </w:rPr>
      </w:pPr>
    </w:p>
    <w:p>
      <w:pPr>
        <w:pStyle w:val="2"/>
        <w:rPr>
          <w:rFonts w:hint="eastAsia"/>
          <w:lang w:val="en-US" w:eastAsia="zh-CN"/>
        </w:rPr>
      </w:pPr>
    </w:p>
    <w:p>
      <w:pPr>
        <w:keepNext w:val="0"/>
        <w:keepLines w:val="0"/>
        <w:pageBreakBefore w:val="0"/>
        <w:widowControl w:val="0"/>
        <w:kinsoku/>
        <w:wordWrap/>
        <w:overflowPunct/>
        <w:bidi w:val="0"/>
        <w:spacing w:line="500" w:lineRule="exac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500" w:lineRule="exac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5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营运项目承包单位综合履约考评表（安全）</w:t>
      </w:r>
    </w:p>
    <w:tbl>
      <w:tblPr>
        <w:tblStyle w:val="24"/>
        <w:tblW w:w="9300" w:type="dxa"/>
        <w:jc w:val="center"/>
        <w:tblLayout w:type="autofit"/>
        <w:tblCellMar>
          <w:top w:w="0" w:type="dxa"/>
          <w:left w:w="0" w:type="dxa"/>
          <w:bottom w:w="0" w:type="dxa"/>
          <w:right w:w="0" w:type="dxa"/>
        </w:tblCellMar>
      </w:tblPr>
      <w:tblGrid>
        <w:gridCol w:w="344"/>
        <w:gridCol w:w="436"/>
        <w:gridCol w:w="436"/>
        <w:gridCol w:w="3338"/>
        <w:gridCol w:w="947"/>
        <w:gridCol w:w="760"/>
        <w:gridCol w:w="760"/>
        <w:gridCol w:w="760"/>
        <w:gridCol w:w="760"/>
        <w:gridCol w:w="759"/>
      </w:tblGrid>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缺施工方案扣4～8分/项；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缺应急预案扣4～8分/项；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缺安全架构扣5～10分/项；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12"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注：1、综合考评满分100分，各考评项目扣分不设上限；</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2、监理单位考评只作为参考及履职依据，不计入考评，无监理单位不需填写；</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3、“公司考评”业务主管部门和安全办针对本部门检查发现的内容进行扣（奖）分，项目部已经进行扣（奖）分的不重复执行；</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4、各分公司考评填写相应的得（扣）分数值，如奖2分则填写“2”，扣2分则填写“-2”；</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5、单项“综合考评”=项目部考评+公司考评；综合考评总分=各单项“综合考评”+100</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6、最后得分=综合考评总分X类别系数；</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 xml:space="preserve">    7、各考评项目具体考评标准内容参照广州市净水有限公司标准《工程项目安全管理规范》（Q/GZJSA 1-2021）执行。 </w:t>
            </w:r>
          </w:p>
          <w:p>
            <w:pPr>
              <w:keepNext w:val="0"/>
              <w:keepLines w:val="0"/>
              <w:pageBreakBefore w:val="0"/>
              <w:kinsoku/>
              <w:wordWrap/>
              <w:overflowPunct/>
              <w:topLinePunct w:val="0"/>
              <w:bidi w:val="0"/>
              <w:adjustRightInd w:val="0"/>
              <w:snapToGrid w:val="0"/>
              <w:spacing w:line="360" w:lineRule="auto"/>
              <w:ind w:firstLine="260" w:firstLineChars="200"/>
              <w:contextualSpacing/>
              <w:jc w:val="left"/>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8、本处理标准出自《广州净水公司工程项目承包单位质量安全考评细则（试行）》。</w:t>
            </w:r>
          </w:p>
          <w:p>
            <w:pPr>
              <w:pStyle w:val="23"/>
              <w:keepNext w:val="0"/>
              <w:keepLines w:val="0"/>
              <w:pageBreakBefore w:val="0"/>
              <w:kinsoku/>
              <w:wordWrap/>
              <w:overflowPunct/>
              <w:topLinePunct w:val="0"/>
              <w:bidi w:val="0"/>
              <w:adjustRightInd w:val="0"/>
              <w:snapToGrid w:val="0"/>
              <w:spacing w:line="360" w:lineRule="auto"/>
              <w:ind w:firstLine="1126"/>
              <w:rPr>
                <w:rFonts w:hint="eastAsia" w:ascii="仿宋" w:hAnsi="仿宋" w:eastAsia="仿宋" w:cs="仿宋"/>
                <w:color w:val="auto"/>
                <w:highlight w:val="none"/>
              </w:rPr>
            </w:pPr>
          </w:p>
        </w:tc>
      </w:tr>
    </w:tbl>
    <w:p>
      <w:pPr>
        <w:rPr>
          <w:color w:val="auto"/>
          <w:highlight w:val="none"/>
        </w:rPr>
      </w:pPr>
    </w:p>
    <w:p>
      <w:pPr>
        <w:spacing w:line="360" w:lineRule="auto"/>
        <w:rPr>
          <w:rFonts w:ascii="宋体" w:hAnsi="宋体" w:cs="宋体"/>
          <w:b/>
          <w:color w:val="auto"/>
          <w:sz w:val="24"/>
          <w:highlight w:val="none"/>
        </w:rPr>
      </w:pPr>
    </w:p>
    <w:p>
      <w:pPr>
        <w:pStyle w:val="10"/>
        <w:rPr>
          <w:rFonts w:ascii="宋体" w:hAnsi="宋体" w:cs="宋体"/>
          <w:b/>
          <w:color w:val="auto"/>
          <w:sz w:val="24"/>
          <w:highlight w:val="none"/>
        </w:rPr>
      </w:pPr>
    </w:p>
    <w:p>
      <w:pPr>
        <w:spacing w:line="360" w:lineRule="auto"/>
        <w:rPr>
          <w:rFonts w:ascii="宋体" w:hAnsi="宋体" w:cs="宋体"/>
          <w:b/>
          <w:color w:val="auto"/>
          <w:szCs w:val="21"/>
          <w:highlight w:val="none"/>
        </w:rPr>
      </w:pPr>
      <w:r>
        <w:rPr>
          <w:rFonts w:hint="eastAsia" w:ascii="仿宋_GB2312" w:hAnsi="宋体" w:eastAsia="仿宋_GB2312"/>
          <w:b/>
          <w:color w:val="auto"/>
          <w:sz w:val="24"/>
          <w:highlight w:val="none"/>
          <w:lang w:val="en-US" w:eastAsia="zh-CN"/>
        </w:rPr>
        <w:t>附件5</w:t>
      </w:r>
      <w:r>
        <w:rPr>
          <w:rFonts w:hint="eastAsia" w:ascii="仿宋_GB2312" w:hAnsi="宋体" w:eastAsia="仿宋_GB2312"/>
          <w:b/>
          <w:color w:val="auto"/>
          <w:sz w:val="24"/>
          <w:highlight w:val="none"/>
        </w:rPr>
        <w:t>：</w:t>
      </w:r>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46"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乙方：</w:t>
      </w:r>
      <w:r>
        <w:rPr>
          <w:rFonts w:hint="eastAsia" w:ascii="宋体" w:hAnsi="宋体"/>
          <w:color w:val="auto"/>
          <w:sz w:val="24"/>
          <w:highlight w:val="none"/>
          <w:u w:val="single"/>
          <w:lang w:val="en-US" w:eastAsia="zh-CN"/>
        </w:rPr>
        <w:t xml:space="preserve">             </w:t>
      </w:r>
      <w:r>
        <w:rPr>
          <w:rFonts w:hint="eastAsia" w:ascii="宋体" w:hAnsi="宋体" w:cs="Arial"/>
          <w:color w:val="auto"/>
          <w:kern w:val="0"/>
          <w:sz w:val="24"/>
          <w:highlight w:val="none"/>
        </w:rPr>
        <w:t xml:space="preserve"> </w:t>
      </w:r>
    </w:p>
    <w:p>
      <w:pPr>
        <w:adjustRightInd w:val="0"/>
        <w:snapToGrid w:val="0"/>
        <w:spacing w:line="560" w:lineRule="exact"/>
        <w:jc w:val="left"/>
        <w:rPr>
          <w:rStyle w:val="27"/>
          <w:rFonts w:ascii="宋体" w:hAnsi="宋体" w:eastAsia="宋体"/>
          <w:b w:val="0"/>
          <w:color w:val="auto"/>
          <w:highlight w:val="none"/>
          <w:u w:val="single"/>
        </w:rPr>
      </w:pPr>
    </w:p>
    <w:bookmarkEnd w:id="146"/>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s="宋体"/>
          <w:color w:val="auto"/>
          <w:sz w:val="24"/>
          <w:highlight w:val="none"/>
          <w:u w:val="single"/>
          <w:lang w:val="en-US" w:eastAsia="zh-CN"/>
        </w:rPr>
        <w:t xml:space="preserve">本协议作为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合同的组</w:t>
      </w:r>
      <w:r>
        <w:rPr>
          <w:rFonts w:hint="eastAsia" w:ascii="宋体" w:hAnsi="宋体" w:eastAsia="宋体"/>
          <w:color w:val="auto"/>
          <w:sz w:val="24"/>
          <w:highlight w:val="none"/>
        </w:rPr>
        <w:t>成部分，与主合同具有同等法律效力。</w:t>
      </w:r>
    </w:p>
    <w:p>
      <w:pPr>
        <w:adjustRightInd w:val="0"/>
        <w:snapToGrid w:val="0"/>
        <w:spacing w:line="560" w:lineRule="exact"/>
        <w:ind w:firstLine="482" w:firstLineChars="200"/>
        <w:jc w:val="left"/>
        <w:rPr>
          <w:rFonts w:ascii="宋体" w:hAnsi="宋体" w:eastAsia="宋体"/>
          <w:b/>
          <w:color w:val="auto"/>
          <w:sz w:val="24"/>
          <w:highlight w:val="none"/>
        </w:rPr>
      </w:pPr>
      <w:r>
        <w:rPr>
          <w:rFonts w:ascii="宋体" w:hAnsi="宋体" w:eastAsia="宋体"/>
          <w:b/>
          <w:color w:val="auto"/>
          <w:sz w:val="24"/>
          <w:highlight w:val="none"/>
        </w:rPr>
        <w:t xml:space="preserve"> 二、</w:t>
      </w:r>
      <w:r>
        <w:rPr>
          <w:rFonts w:hint="eastAsia" w:ascii="宋体" w:hAnsi="宋体" w:eastAsia="宋体"/>
          <w:b/>
          <w:color w:val="auto"/>
          <w:sz w:val="24"/>
          <w:highlight w:val="none"/>
        </w:rPr>
        <w:t>甲方权责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（三）要求乙方遵守的甲方安全管理要求。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按主合同相关条款进行经济扣罚；</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根据《广州市水务局关于印发广州市水务工程施工和监理企业诚信评价管理办法的通知》（穗水建设〔2</w:t>
      </w:r>
      <w:r>
        <w:rPr>
          <w:rFonts w:ascii="宋体" w:hAnsi="宋体" w:eastAsia="宋体"/>
          <w:color w:val="auto"/>
          <w:sz w:val="24"/>
          <w:highlight w:val="none"/>
        </w:rPr>
        <w:t>014</w:t>
      </w:r>
      <w:r>
        <w:rPr>
          <w:rFonts w:hint="eastAsia" w:ascii="宋体" w:hAnsi="宋体" w:eastAsia="宋体"/>
          <w:color w:val="auto"/>
          <w:sz w:val="24"/>
          <w:highlight w:val="none"/>
        </w:rPr>
        <w:t>〕1</w:t>
      </w:r>
      <w:r>
        <w:rPr>
          <w:rFonts w:ascii="宋体" w:hAnsi="宋体" w:eastAsia="宋体"/>
          <w:color w:val="auto"/>
          <w:sz w:val="24"/>
          <w:highlight w:val="none"/>
        </w:rPr>
        <w:t>0</w:t>
      </w:r>
      <w:r>
        <w:rPr>
          <w:rFonts w:hint="eastAsia" w:ascii="宋体" w:hAnsi="宋体" w:eastAsia="宋体"/>
          <w:color w:val="auto"/>
          <w:sz w:val="24"/>
          <w:highlight w:val="none"/>
        </w:rPr>
        <w:t>号）、《市净水公司关于印发施工和监理企业诚信评价工作实施办法的通知》（穗净水〔201</w:t>
      </w:r>
      <w:r>
        <w:rPr>
          <w:rFonts w:ascii="宋体" w:hAnsi="宋体" w:eastAsia="宋体"/>
          <w:color w:val="auto"/>
          <w:sz w:val="24"/>
          <w:highlight w:val="none"/>
        </w:rPr>
        <w:t>5</w:t>
      </w:r>
      <w:r>
        <w:rPr>
          <w:rFonts w:hint="eastAsia" w:ascii="宋体" w:hAnsi="宋体" w:eastAsia="宋体"/>
          <w:color w:val="auto"/>
          <w:sz w:val="24"/>
          <w:highlight w:val="none"/>
        </w:rPr>
        <w:t>〕2</w:t>
      </w:r>
      <w:r>
        <w:rPr>
          <w:rFonts w:ascii="宋体" w:hAnsi="宋体" w:eastAsia="宋体"/>
          <w:color w:val="auto"/>
          <w:sz w:val="24"/>
          <w:highlight w:val="none"/>
        </w:rPr>
        <w:t>40</w:t>
      </w:r>
      <w:r>
        <w:rPr>
          <w:rFonts w:hint="eastAsia" w:ascii="宋体" w:hAnsi="宋体" w:eastAsia="宋体"/>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（三）乙方应在合同签订后</w:t>
      </w:r>
      <w:r>
        <w:rPr>
          <w:rFonts w:ascii="宋体" w:hAnsi="宋体" w:eastAsia="宋体"/>
          <w:color w:val="auto"/>
          <w:sz w:val="24"/>
          <w:highlight w:val="none"/>
          <w:u w:val="single"/>
        </w:rPr>
        <w:t xml:space="preserve"> </w:t>
      </w:r>
      <w:r>
        <w:rPr>
          <w:rFonts w:hint="eastAsia" w:ascii="宋体" w:hAnsi="宋体"/>
          <w:color w:val="auto"/>
          <w:sz w:val="24"/>
          <w:highlight w:val="none"/>
          <w:u w:val="single"/>
          <w:lang w:val="en-US" w:eastAsia="zh-CN"/>
        </w:rPr>
        <w:t>30</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ascii="宋体" w:hAnsi="宋体" w:eastAsia="宋体"/>
          <w:color w:val="auto"/>
          <w:sz w:val="24"/>
          <w:highlight w:val="none"/>
          <w:u w:val="single"/>
        </w:rPr>
        <w:t xml:space="preserve">       </w:t>
      </w:r>
      <w:r>
        <w:rPr>
          <w:rFonts w:hint="eastAsia" w:ascii="宋体" w:hAnsi="宋体"/>
          <w:color w:val="auto"/>
          <w:sz w:val="24"/>
          <w:highlight w:val="none"/>
          <w:u w:val="single"/>
          <w:lang w:val="en-US" w:eastAsia="zh-CN"/>
        </w:rPr>
        <w:t>/</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rPr>
          <w:rFonts w:hint="eastAsia"/>
          <w:color w:val="auto"/>
          <w:highlight w:val="none"/>
        </w:rPr>
      </w:pPr>
    </w:p>
    <w:p>
      <w:pPr>
        <w:pStyle w:val="2"/>
        <w:rPr>
          <w:rFonts w:hint="eastAsia"/>
          <w:color w:val="auto"/>
          <w:highlight w:val="none"/>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color w:val="auto"/>
          <w:sz w:val="24"/>
          <w:szCs w:val="24"/>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6                              </w:t>
      </w: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p>
    <w:p>
      <w:pPr>
        <w:pStyle w:val="10"/>
        <w:tabs>
          <w:tab w:val="left" w:pos="720"/>
        </w:tabs>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附件7：预付款保函</w:t>
      </w:r>
    </w:p>
    <w:p>
      <w:pPr>
        <w:jc w:val="left"/>
        <w:rPr>
          <w:rFonts w:hint="eastAsia" w:ascii="黑体" w:hAnsi="黑体" w:eastAsia="黑体" w:cs="Times New Roman"/>
          <w:color w:val="auto"/>
          <w:sz w:val="36"/>
          <w:szCs w:val="36"/>
          <w:highlight w:val="none"/>
        </w:rPr>
      </w:pPr>
    </w:p>
    <w:p>
      <w:pPr>
        <w:jc w:val="center"/>
        <w:rPr>
          <w:rFonts w:hint="eastAsia" w:ascii="黑体" w:hAnsi="黑体" w:eastAsia="黑体" w:cs="Times New Roman"/>
          <w:color w:val="auto"/>
          <w:sz w:val="36"/>
          <w:szCs w:val="36"/>
          <w:highlight w:val="none"/>
        </w:rPr>
      </w:pPr>
      <w:r>
        <w:rPr>
          <w:rFonts w:hint="eastAsia" w:ascii="黑体" w:hAnsi="黑体" w:eastAsia="黑体" w:cs="Times New Roman"/>
          <w:color w:val="auto"/>
          <w:sz w:val="36"/>
          <w:szCs w:val="36"/>
          <w:highlight w:val="none"/>
        </w:rPr>
        <w:t>预付款保函模板</w:t>
      </w:r>
    </w:p>
    <w:p>
      <w:pPr>
        <w:rPr>
          <w:rFonts w:ascii="Times New Roman" w:hAnsi="Times New Roman" w:eastAsia="宋体" w:cs="Times New Roman"/>
          <w:color w:val="auto"/>
          <w:highlight w:val="none"/>
        </w:rPr>
      </w:pPr>
    </w:p>
    <w:p>
      <w:pPr>
        <w:spacing w:line="360" w:lineRule="auto"/>
        <w:ind w:firstLine="420"/>
        <w:rPr>
          <w:rFonts w:hint="eastAsia" w:ascii="宋体" w:hAnsi="宋体" w:eastAsia="宋体" w:cs="Times New Roman"/>
          <w:color w:val="auto"/>
          <w:sz w:val="24"/>
          <w:szCs w:val="24"/>
          <w:highlight w:val="none"/>
          <w:u w:val="none"/>
        </w:rPr>
      </w:pPr>
      <w:r>
        <w:rPr>
          <w:rFonts w:hint="eastAsia" w:ascii="宋体" w:hAnsi="宋体" w:eastAsia="宋体" w:cs="Times New Roman"/>
          <w:color w:val="auto"/>
          <w:sz w:val="24"/>
          <w:szCs w:val="24"/>
          <w:highlight w:val="none"/>
          <w:u w:val="none"/>
        </w:rPr>
        <w:t>致：                           （受益人）</w:t>
      </w:r>
    </w:p>
    <w:p>
      <w:pPr>
        <w:spacing w:line="360" w:lineRule="auto"/>
        <w:ind w:firstLine="420"/>
        <w:rPr>
          <w:rFonts w:hint="eastAsia" w:ascii="宋体" w:hAnsi="宋体" w:eastAsia="宋体" w:cs="Times New Roman"/>
          <w:color w:val="auto"/>
          <w:sz w:val="24"/>
          <w:szCs w:val="24"/>
          <w:highlight w:val="none"/>
        </w:rPr>
      </w:pP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鉴于</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（以下简称“委托人”）与你方于</w:t>
      </w:r>
      <w:r>
        <w:rPr>
          <w:rFonts w:hint="eastAsia" w:ascii="宋体" w:hAnsi="宋体" w:eastAsia="宋体" w:cs="Times New Roman"/>
          <w:color w:val="auto"/>
          <w:sz w:val="24"/>
          <w:szCs w:val="24"/>
          <w:highlight w:val="none"/>
          <w:u w:val="none"/>
        </w:rPr>
        <w:t xml:space="preserve">   年  月  日</w:t>
      </w:r>
      <w:r>
        <w:rPr>
          <w:rFonts w:hint="eastAsia" w:ascii="宋体" w:hAnsi="宋体" w:eastAsia="宋体" w:cs="Times New Roman"/>
          <w:color w:val="auto"/>
          <w:sz w:val="24"/>
          <w:szCs w:val="24"/>
          <w:highlight w:val="none"/>
        </w:rPr>
        <w:t>签订了</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u w:val="none"/>
          <w:lang w:val="en-US" w:eastAsia="zh-CN"/>
        </w:rPr>
        <w:t>合同名称+合同编号</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（以下简称“合同”），你方将按上述基础交易合同约定向委托人支付预付款人民币</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元（大写：</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）。我行接受委托人的申请，特此开立以你方为受益人的最高金额为人民币</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（大写：</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）（以下称“保函金额”）的保函。</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一、本保函为不可撤销、见索即付的独立保函。</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日内，以上述保函金额为限向你方支付相应款项。</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（一）索赔通知书须写明请求付款的金额，并声明该款项并未由委托人或其代理人直接或间接地支付给你方；</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（二）索赔通知书应由你方法定代表人签字并加盖公章；</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（三）索赔通知书必须于本保函有效期截止日前送达我行。</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三、合同的任何修改、变更、解释或不可执行都不能削弱或免除我行按本保函应承担的义务。</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本保函金额将随我行已向你方支付的金额而自动作相应递减。</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四、本保函未经我行书面同意不得转让。</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五、本保函自签发之日起生效，有效期至</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u w:val="none"/>
          <w:lang w:val="en-US" w:eastAsia="zh-CN"/>
        </w:rPr>
        <w:t xml:space="preserve">  </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止。在上述期限内若累计赔偿额达到前述保函金额，本保函提前失效。本保函到期后，无论保函原件是否退回我行，皆告失效。</w:t>
      </w:r>
    </w:p>
    <w:p>
      <w:pPr>
        <w:spacing w:line="54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8</w:t>
      </w:r>
    </w:p>
    <w:p>
      <w:pPr>
        <w:widowControl/>
        <w:spacing w:before="-2147483648" w:beforeLines="-2147483648" w:after="-2147483648" w:afterLines="-2147483648" w:line="240" w:lineRule="auto"/>
        <w:ind w:firstLine="0"/>
        <w:jc w:val="center"/>
        <w:rPr>
          <w:rFonts w:hint="default" w:hAnsi="楷体" w:cs="宋体"/>
          <w:color w:val="auto"/>
          <w:kern w:val="0"/>
          <w:szCs w:val="32"/>
          <w:highlight w:val="none"/>
          <w:lang w:val="zh-CN"/>
        </w:rPr>
      </w:pPr>
      <w:r>
        <w:rPr>
          <w:rFonts w:hint="default" w:ascii="方正小标宋简体" w:hAnsi="楷体" w:eastAsia="方正小标宋简体" w:cs="宋体"/>
          <w:color w:val="auto"/>
          <w:kern w:val="0"/>
          <w:sz w:val="44"/>
          <w:szCs w:val="44"/>
          <w:highlight w:val="none"/>
          <w:lang w:val="zh-CN"/>
        </w:rPr>
        <w:t>消防安全承诺书</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为确保消防安全，严防火灾事故发生，我单位承诺依法履行以下职责：</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一、按照《中华人民共和国消防法》和《机关、团体、企业、事业单位消防安全管理规定》等法律法规的要求，制定、完善、落实各项消防安全制度，做到制度统一悬挂，严格遵守消防安全操作规程，并在重点部位设置警示标志。</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二、严格落实逐级消防安全责任制，明确各级各岗位消防安全职责，确定各级、各岗位消防安全责任人，层层签订责任</w:t>
      </w:r>
      <w:r>
        <w:rPr>
          <w:rFonts w:hint="eastAsia" w:hAnsi="楷体" w:cs="宋体"/>
          <w:color w:val="auto"/>
          <w:kern w:val="0"/>
          <w:szCs w:val="32"/>
          <w:highlight w:val="none"/>
          <w:lang w:val="en-US" w:eastAsia="zh-CN"/>
        </w:rPr>
        <w:t>书</w:t>
      </w:r>
      <w:r>
        <w:rPr>
          <w:rFonts w:hint="default" w:hAnsi="楷体" w:cs="宋体"/>
          <w:color w:val="auto"/>
          <w:kern w:val="0"/>
          <w:szCs w:val="32"/>
          <w:highlight w:val="none"/>
          <w:lang w:val="zh-CN"/>
        </w:rPr>
        <w:t>，做到分工明确、责任到人，确保各项防火安全措施落实到位。</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三、制定消防教育培训计划，开展形式多样的消防安全教育，对员工进行经常化消防安全培训，提高自防自救能力，使单位达到：具备检查发现和整改火灾隐患能力，扑救初期火灾能力，引导人员疏散逃生能力，自我宣传教育培训能力的建设要求。</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四、加强对现有消防设施、器材的维护保养，确保其完整有效，保障疏散通道、安全出口、消防车通道畅通，并设置符合国家规定的消防安全疏散指示标志和应急照明设施。</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五、在本单位场所做到：提示所在场所火灾危险性；提示所在场所安全逃生路线、安全出口的具体位置，遇到火灾等紧急情况如何正确逃生、自救；提示所在场所内灭火器、逃生设备器材具体放置位置和使用方法的“三提示”。</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六、实行领导带班制度，严格按照消防安全检查规定的内容及频次对本单位重点部位进行巡查并做好记录；落实值班夜查制度，消防安全重点部位的管理人员确保24小时在岗在位。</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七、结合本单位实际，制定完善灭火疏散预案，利用现有消防设施，定期组织员工进行消防演练。</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八、大力开展消防宣传教育活动，组织全体员工对消防法进行系统学习，提高法律意识和消防安全知识。</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九、对公安机关消防机构监督检查及本单位自查中发现的火灾隐患，明确专人负责，积极投入资金，组织人力物力，严格按要求落实整改，并采取有效措施，确保不发生火灾事故。</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十、发生火灾事故，依法承担行政责任和刑事责任。</w:t>
      </w:r>
    </w:p>
    <w:p>
      <w:pPr>
        <w:wordWrap w:val="0"/>
        <w:spacing w:beforeLines="0" w:afterLines="0" w:line="400" w:lineRule="exact"/>
        <w:ind w:firstLine="480" w:firstLineChars="0"/>
        <w:jc w:val="right"/>
        <w:rPr>
          <w:rFonts w:hint="default" w:ascii="Times New Roman" w:hAnsi="楷体" w:eastAsia="宋体" w:cs="宋体"/>
          <w:color w:val="auto"/>
          <w:kern w:val="0"/>
          <w:sz w:val="21"/>
          <w:szCs w:val="32"/>
          <w:highlight w:val="none"/>
          <w:lang w:val="en-US" w:eastAsia="zh-CN"/>
        </w:rPr>
      </w:pPr>
      <w:r>
        <w:rPr>
          <w:rFonts w:hint="default" w:ascii="Times New Roman" w:hAnsi="楷体" w:eastAsia="宋体" w:cs="宋体"/>
          <w:color w:val="auto"/>
          <w:kern w:val="0"/>
          <w:sz w:val="21"/>
          <w:szCs w:val="32"/>
          <w:highlight w:val="none"/>
          <w:lang w:val="zh-CN" w:eastAsia="zh-CN"/>
        </w:rPr>
        <w:t>单  位</w:t>
      </w:r>
      <w:r>
        <w:rPr>
          <w:rFonts w:hint="default" w:ascii="Times New Roman" w:hAnsi="楷体" w:eastAsia="宋体" w:cs="宋体"/>
          <w:color w:val="auto"/>
          <w:kern w:val="0"/>
          <w:sz w:val="21"/>
          <w:szCs w:val="32"/>
          <w:highlight w:val="none"/>
          <w:lang w:val="zh-CN"/>
        </w:rPr>
        <w:t>：</w:t>
      </w:r>
      <w:r>
        <w:rPr>
          <w:rFonts w:hint="eastAsia" w:hAnsi="楷体" w:cs="宋体"/>
          <w:color w:val="auto"/>
          <w:kern w:val="0"/>
          <w:sz w:val="21"/>
          <w:szCs w:val="32"/>
          <w:highlight w:val="none"/>
          <w:lang w:val="en-US" w:eastAsia="zh-CN"/>
        </w:rPr>
        <w:t xml:space="preserve">                    </w:t>
      </w:r>
    </w:p>
    <w:p>
      <w:pPr>
        <w:wordWrap w:val="0"/>
        <w:spacing w:beforeLines="0" w:afterLines="0" w:line="400" w:lineRule="exact"/>
        <w:ind w:firstLine="480" w:firstLineChars="0"/>
        <w:jc w:val="right"/>
        <w:rPr>
          <w:rFonts w:hint="default" w:ascii="Times New Roman" w:hAnsi="楷体" w:eastAsia="宋体" w:cs="宋体"/>
          <w:color w:val="auto"/>
          <w:kern w:val="0"/>
          <w:sz w:val="21"/>
          <w:szCs w:val="32"/>
          <w:highlight w:val="none"/>
        </w:rPr>
      </w:pPr>
      <w:r>
        <w:rPr>
          <w:rFonts w:hint="default" w:ascii="Times New Roman" w:hAnsi="楷体" w:eastAsia="宋体" w:cs="宋体"/>
          <w:color w:val="auto"/>
          <w:kern w:val="0"/>
          <w:sz w:val="21"/>
          <w:szCs w:val="32"/>
          <w:highlight w:val="none"/>
          <w:lang w:val="zh-CN" w:eastAsia="zh-CN"/>
        </w:rPr>
        <w:t>负责人</w:t>
      </w:r>
      <w:r>
        <w:rPr>
          <w:rFonts w:hint="default" w:ascii="Times New Roman" w:hAnsi="楷体" w:eastAsia="宋体" w:cs="宋体"/>
          <w:color w:val="auto"/>
          <w:kern w:val="0"/>
          <w:sz w:val="21"/>
          <w:szCs w:val="32"/>
          <w:highlight w:val="none"/>
          <w:lang w:val="zh-CN"/>
        </w:rPr>
        <w:t>：</w:t>
      </w:r>
      <w:r>
        <w:rPr>
          <w:rFonts w:hint="eastAsia" w:hAnsi="楷体" w:eastAsia="宋体" w:cs="宋体"/>
          <w:color w:val="auto"/>
          <w:kern w:val="0"/>
          <w:sz w:val="21"/>
          <w:szCs w:val="32"/>
          <w:highlight w:val="none"/>
          <w:lang w:val="en-US" w:eastAsia="zh-CN"/>
        </w:rPr>
        <w:t xml:space="preserve">                    </w:t>
      </w:r>
    </w:p>
    <w:p>
      <w:pPr>
        <w:wordWrap w:val="0"/>
        <w:spacing w:beforeLines="0" w:afterLines="0" w:line="400" w:lineRule="exact"/>
        <w:ind w:firstLine="480" w:firstLineChars="0"/>
        <w:jc w:val="right"/>
        <w:rPr>
          <w:rFonts w:hint="default" w:ascii="Times New Roman" w:hAnsi="楷体" w:eastAsia="宋体" w:cs="宋体"/>
          <w:color w:val="auto"/>
          <w:kern w:val="0"/>
          <w:sz w:val="21"/>
          <w:szCs w:val="32"/>
          <w:highlight w:val="none"/>
          <w:lang w:val="en-US" w:eastAsia="zh-CN"/>
        </w:rPr>
      </w:pPr>
      <w:r>
        <w:rPr>
          <w:rFonts w:hint="default" w:ascii="Times New Roman" w:hAnsi="楷体" w:eastAsia="宋体" w:cs="宋体"/>
          <w:color w:val="auto"/>
          <w:kern w:val="0"/>
          <w:sz w:val="21"/>
          <w:szCs w:val="32"/>
          <w:highlight w:val="none"/>
          <w:lang w:val="zh-CN" w:eastAsia="zh-CN"/>
        </w:rPr>
        <w:t>盖  章：</w:t>
      </w:r>
      <w:r>
        <w:rPr>
          <w:rFonts w:hint="eastAsia" w:hAnsi="楷体" w:eastAsia="宋体" w:cs="宋体"/>
          <w:color w:val="auto"/>
          <w:kern w:val="0"/>
          <w:sz w:val="21"/>
          <w:szCs w:val="32"/>
          <w:highlight w:val="none"/>
          <w:lang w:val="en-US" w:eastAsia="zh-CN"/>
        </w:rPr>
        <w:t xml:space="preserve">                    </w:t>
      </w:r>
    </w:p>
    <w:p>
      <w:pPr>
        <w:wordWrap w:val="0"/>
        <w:spacing w:beforeLines="0" w:afterLines="0" w:line="400" w:lineRule="exact"/>
        <w:ind w:firstLine="480"/>
        <w:jc w:val="right"/>
        <w:rPr>
          <w:rFonts w:hint="default" w:eastAsia="宋体"/>
          <w:color w:val="auto"/>
          <w:highlight w:val="none"/>
          <w:lang w:val="en-US" w:eastAsia="zh-CN"/>
        </w:rPr>
      </w:pPr>
      <w:r>
        <w:rPr>
          <w:rFonts w:hint="default" w:ascii="Times New Roman" w:hAnsi="楷体" w:eastAsia="宋体" w:cs="宋体"/>
          <w:color w:val="auto"/>
          <w:kern w:val="0"/>
          <w:sz w:val="21"/>
          <w:szCs w:val="32"/>
          <w:highlight w:val="none"/>
          <w:lang w:val="zh-CN" w:eastAsia="zh-CN"/>
        </w:rPr>
        <w:t xml:space="preserve">日  </w:t>
      </w:r>
      <w:r>
        <w:rPr>
          <w:rFonts w:hint="default" w:ascii="Times New Roman" w:hAnsi="楷体" w:eastAsia="宋体" w:cs="宋体"/>
          <w:color w:val="auto"/>
          <w:kern w:val="0"/>
          <w:sz w:val="21"/>
          <w:szCs w:val="32"/>
          <w:highlight w:val="none"/>
          <w:lang w:val="zh-CN"/>
        </w:rPr>
        <w:t>期：</w:t>
      </w:r>
      <w:r>
        <w:rPr>
          <w:rFonts w:hint="default" w:ascii="Times New Roman" w:hAnsi="楷体" w:eastAsia="宋体" w:cs="宋体"/>
          <w:color w:val="auto"/>
          <w:kern w:val="0"/>
          <w:sz w:val="21"/>
          <w:szCs w:val="32"/>
          <w:highlight w:val="none"/>
          <w:lang w:val="zh-CN" w:eastAsia="zh-CN"/>
        </w:rPr>
        <w:t xml:space="preserve">   </w:t>
      </w:r>
      <w:r>
        <w:rPr>
          <w:rFonts w:hint="default" w:ascii="Times New Roman" w:hAnsi="楷体" w:eastAsia="宋体" w:cs="宋体"/>
          <w:color w:val="auto"/>
          <w:kern w:val="0"/>
          <w:sz w:val="21"/>
          <w:szCs w:val="32"/>
          <w:highlight w:val="none"/>
          <w:lang w:val="zh-CN"/>
        </w:rPr>
        <w:t>年</w:t>
      </w:r>
      <w:r>
        <w:rPr>
          <w:rFonts w:hint="default" w:ascii="Times New Roman" w:hAnsi="楷体" w:eastAsia="宋体" w:cs="宋体"/>
          <w:color w:val="auto"/>
          <w:kern w:val="0"/>
          <w:sz w:val="21"/>
          <w:szCs w:val="32"/>
          <w:highlight w:val="none"/>
          <w:lang w:val="zh-CN" w:eastAsia="zh-CN"/>
        </w:rPr>
        <w:t xml:space="preserve">    </w:t>
      </w:r>
      <w:r>
        <w:rPr>
          <w:rFonts w:hint="default" w:ascii="Times New Roman" w:hAnsi="楷体" w:eastAsia="宋体" w:cs="宋体"/>
          <w:color w:val="auto"/>
          <w:kern w:val="0"/>
          <w:sz w:val="21"/>
          <w:szCs w:val="32"/>
          <w:highlight w:val="none"/>
          <w:lang w:val="zh-CN"/>
        </w:rPr>
        <w:t>月</w:t>
      </w:r>
      <w:r>
        <w:rPr>
          <w:rFonts w:hint="default" w:ascii="Times New Roman" w:hAnsi="楷体" w:eastAsia="宋体" w:cs="宋体"/>
          <w:color w:val="auto"/>
          <w:kern w:val="0"/>
          <w:sz w:val="21"/>
          <w:szCs w:val="32"/>
          <w:highlight w:val="none"/>
          <w:lang w:val="zh-CN" w:eastAsia="zh-CN"/>
        </w:rPr>
        <w:t xml:space="preserve">    </w:t>
      </w:r>
      <w:r>
        <w:rPr>
          <w:rFonts w:hint="default" w:ascii="Times New Roman" w:hAnsi="楷体" w:eastAsia="宋体" w:cs="宋体"/>
          <w:color w:val="auto"/>
          <w:kern w:val="0"/>
          <w:sz w:val="21"/>
          <w:szCs w:val="32"/>
          <w:highlight w:val="none"/>
          <w:lang w:val="zh-CN"/>
        </w:rPr>
        <w:t>日</w:t>
      </w:r>
      <w:r>
        <w:rPr>
          <w:rFonts w:hint="eastAsia" w:hAnsi="楷体" w:eastAsia="宋体" w:cs="宋体"/>
          <w:color w:val="auto"/>
          <w:kern w:val="0"/>
          <w:sz w:val="21"/>
          <w:szCs w:val="32"/>
          <w:highlight w:val="none"/>
          <w:lang w:val="en-US" w:eastAsia="zh-CN"/>
        </w:rPr>
        <w:t xml:space="preserve">   </w:t>
      </w:r>
    </w:p>
    <w:p>
      <w:pPr>
        <w:spacing w:line="360" w:lineRule="auto"/>
        <w:rPr>
          <w:rFonts w:hint="eastAsia" w:ascii="宋体" w:hAnsi="宋体" w:cs="宋体"/>
          <w:b/>
          <w:bCs/>
          <w:color w:val="auto"/>
          <w:szCs w:val="21"/>
          <w:highlight w:val="none"/>
        </w:rPr>
      </w:pPr>
    </w:p>
    <w:p>
      <w:pPr>
        <w:spacing w:line="360" w:lineRule="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报价单</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 xml:space="preserve"> ：项目投入人员架构表</w:t>
      </w:r>
    </w:p>
    <w:p>
      <w:pPr>
        <w:rPr>
          <w:rFonts w:hint="eastAsia"/>
          <w:color w:val="auto"/>
          <w:highlight w:val="none"/>
          <w:lang w:val="en-US" w:eastAsia="zh-CN"/>
        </w:rPr>
      </w:pPr>
      <w:r>
        <w:rPr>
          <w:rFonts w:hint="eastAsia"/>
          <w:color w:val="auto"/>
          <w:highlight w:val="none"/>
          <w:lang w:val="en-US" w:eastAsia="zh-CN"/>
        </w:rPr>
        <w:t>附件11：技术需求书</w:t>
      </w:r>
    </w:p>
    <w:p>
      <w:p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（一）电梯设备的产品必须提供以下文件证书：</w:t>
      </w:r>
    </w:p>
    <w:p>
      <w:p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3C认证、产品及其国家要求安全配件的型式试验合格证、原厂证明文件、出厂检测报告及其相关随机文件。以上文件需盖公章。</w:t>
      </w:r>
    </w:p>
    <w:p>
      <w:p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按国家和地方规定标准和规范进行设计和制造，包括但不限于：</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Q/RLDT 1—2020《电梯产品标准》</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GB7588-2003《电梯制造与安装安全规范》及其修改单要求</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GB/T 7588.1-2020《电梯制造与安装安全规范第1部分：乘客电梯和载货电梯》</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GB/T 7588.2-2020《电梯制造与安装安全规范第2部分：电梯部件的设计原则、计算和检验》</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TSG T7001-2023《电梯监督检验和定期检验规则》</w:t>
      </w:r>
    </w:p>
    <w:p>
      <w:pPr>
        <w:numPr>
          <w:ilvl w:val="0"/>
          <w:numId w:val="0"/>
        </w:numPr>
        <w:spacing w:line="276" w:lineRule="auto"/>
        <w:rPr>
          <w:rFonts w:hint="default"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（二）</w:t>
      </w:r>
      <w:r>
        <w:rPr>
          <w:rFonts w:hint="eastAsia" w:ascii="仿宋" w:hAnsi="仿宋" w:eastAsia="仿宋" w:cs="仿宋"/>
          <w:color w:val="auto"/>
          <w:kern w:val="2"/>
          <w:sz w:val="30"/>
          <w:szCs w:val="30"/>
          <w:highlight w:val="none"/>
          <w:lang w:val="en-US" w:eastAsia="zh-CN" w:bidi="ar-SA"/>
        </w:rPr>
        <w:t>货梯</w:t>
      </w:r>
      <w:r>
        <w:rPr>
          <w:rFonts w:hint="eastAsia" w:ascii="仿宋" w:hAnsi="仿宋" w:eastAsia="仿宋" w:cs="仿宋"/>
          <w:color w:val="auto"/>
          <w:sz w:val="30"/>
          <w:szCs w:val="30"/>
          <w:highlight w:val="none"/>
          <w:lang w:val="en-US" w:eastAsia="zh-CN"/>
        </w:rPr>
        <w:t>技术规格</w:t>
      </w:r>
    </w:p>
    <w:tbl>
      <w:tblPr>
        <w:tblStyle w:val="50"/>
        <w:tblW w:w="98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6"/>
        <w:gridCol w:w="2491"/>
        <w:gridCol w:w="2491"/>
        <w:gridCol w:w="24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1" w:line="202" w:lineRule="auto"/>
              <w:ind w:left="55"/>
              <w:rPr>
                <w:rFonts w:hint="eastAsia" w:ascii="仿宋" w:hAnsi="仿宋" w:eastAsia="仿宋" w:cs="仿宋"/>
                <w:color w:val="auto"/>
                <w:highlight w:val="none"/>
                <w:lang w:val="en-US" w:eastAsia="zh-CN"/>
              </w:rPr>
            </w:pPr>
            <w:r>
              <w:rPr>
                <w:rFonts w:hint="eastAsia" w:ascii="仿宋" w:hAnsi="仿宋" w:eastAsia="仿宋" w:cs="仿宋"/>
                <w:spacing w:val="-1"/>
                <w:lang w:val="en-US" w:eastAsia="zh-CN"/>
                <w14:textOutline w14:w="3556" w14:cap="flat" w14:cmpd="sng" w14:algn="ctr">
                  <w14:solidFill>
                    <w14:srgbClr w14:val="000000"/>
                  </w14:solidFill>
                  <w14:prstDash w14:val="solid"/>
                  <w14:miter w14:val="0"/>
                </w14:textOutline>
              </w:rPr>
              <w:t>电梯形式</w:t>
            </w:r>
          </w:p>
        </w:tc>
        <w:tc>
          <w:tcPr>
            <w:tcW w:w="7481" w:type="dxa"/>
            <w:gridSpan w:val="3"/>
          </w:tcPr>
          <w:p>
            <w:pPr>
              <w:pStyle w:val="49"/>
              <w:autoSpaceDE w:val="0"/>
              <w:autoSpaceDN w:val="0"/>
              <w:spacing w:before="38" w:line="205" w:lineRule="auto"/>
              <w:ind w:left="43"/>
              <w:rPr>
                <w:rFonts w:hint="eastAsia" w:ascii="仿宋" w:hAnsi="仿宋" w:eastAsia="仿宋" w:cs="仿宋"/>
                <w:color w:val="auto"/>
                <w:highlight w:val="none"/>
              </w:rPr>
            </w:pPr>
            <w:r>
              <w:rPr>
                <w:rFonts w:hint="eastAsia" w:ascii="仿宋" w:hAnsi="仿宋" w:eastAsia="仿宋" w:cs="仿宋"/>
                <w:lang w:val="en-US" w:eastAsia="zh-CN"/>
                <w14:textOutline w14:w="3556" w14:cap="flat" w14:cmpd="sng" w14:algn="ctr">
                  <w14:solidFill>
                    <w14:srgbClr w14:val="000000"/>
                  </w14:solidFill>
                  <w14:prstDash w14:val="solid"/>
                  <w14:miter w14:val="0"/>
                </w14:textOutline>
              </w:rPr>
              <w:t>无机房货梯L</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F-MRL2000-2S30(单开门)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1" w:line="202" w:lineRule="auto"/>
              <w:ind w:left="50"/>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台数</w:t>
            </w:r>
          </w:p>
        </w:tc>
        <w:tc>
          <w:tcPr>
            <w:tcW w:w="7481" w:type="dxa"/>
            <w:gridSpan w:val="3"/>
          </w:tcPr>
          <w:p>
            <w:pPr>
              <w:pStyle w:val="49"/>
              <w:autoSpaceDE w:val="0"/>
              <w:autoSpaceDN w:val="0"/>
              <w:spacing w:before="49" w:line="193" w:lineRule="auto"/>
              <w:ind w:left="52"/>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39" w:line="204" w:lineRule="auto"/>
              <w:ind w:left="41"/>
              <w:rPr>
                <w:rFonts w:hint="eastAsia" w:ascii="仿宋" w:hAnsi="仿宋" w:eastAsia="仿宋" w:cs="仿宋"/>
                <w:color w:val="auto"/>
                <w:highlight w:val="none"/>
              </w:rPr>
            </w:pPr>
            <w:r>
              <w:rPr>
                <w:rFonts w:hint="eastAsia" w:ascii="仿宋" w:hAnsi="仿宋" w:eastAsia="仿宋" w:cs="仿宋"/>
                <w:color w:val="auto"/>
                <w:spacing w:val="5"/>
                <w:highlight w:val="none"/>
                <w14:textOutline w14:w="3556" w14:cap="flat" w14:cmpd="sng" w14:algn="ctr">
                  <w14:solidFill>
                    <w14:srgbClr w14:val="000000"/>
                  </w14:solidFill>
                  <w14:prstDash w14:val="solid"/>
                  <w14:miter w14:val="0"/>
                </w14:textOutline>
              </w:rPr>
              <w:t>载重量(</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kg</w:t>
            </w:r>
            <w:r>
              <w:rPr>
                <w:rFonts w:hint="eastAsia" w:ascii="仿宋" w:hAnsi="仿宋" w:eastAsia="仿宋" w:cs="仿宋"/>
                <w:color w:val="auto"/>
                <w:spacing w:val="5"/>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46" w:line="196" w:lineRule="auto"/>
              <w:ind w:left="33"/>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0" w:line="203" w:lineRule="auto"/>
              <w:ind w:left="41"/>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速度(m/</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min</w:t>
            </w: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47" w:line="195" w:lineRule="auto"/>
              <w:ind w:left="34"/>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层/站/门</w:t>
            </w:r>
          </w:p>
        </w:tc>
        <w:tc>
          <w:tcPr>
            <w:tcW w:w="7481" w:type="dxa"/>
            <w:gridSpan w:val="3"/>
          </w:tcPr>
          <w:p>
            <w:pPr>
              <w:pStyle w:val="49"/>
              <w:autoSpaceDE w:val="0"/>
              <w:autoSpaceDN w:val="0"/>
              <w:spacing w:before="48" w:line="194" w:lineRule="auto"/>
              <w:ind w:left="33"/>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2" w:line="201"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服务楼层</w:t>
            </w:r>
          </w:p>
        </w:tc>
        <w:tc>
          <w:tcPr>
            <w:tcW w:w="7481" w:type="dxa"/>
            <w:gridSpan w:val="3"/>
          </w:tcPr>
          <w:p>
            <w:pPr>
              <w:pStyle w:val="49"/>
              <w:autoSpaceDE w:val="0"/>
              <w:autoSpaceDN w:val="0"/>
              <w:spacing w:before="48" w:line="194" w:lineRule="auto"/>
              <w:ind w:left="52"/>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37"/>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基站</w:t>
            </w:r>
          </w:p>
        </w:tc>
        <w:tc>
          <w:tcPr>
            <w:tcW w:w="7481" w:type="dxa"/>
            <w:gridSpan w:val="3"/>
          </w:tcPr>
          <w:p>
            <w:pPr>
              <w:pStyle w:val="49"/>
              <w:autoSpaceDE w:val="0"/>
              <w:autoSpaceDN w:val="0"/>
              <w:spacing w:before="48" w:line="194" w:lineRule="auto"/>
              <w:ind w:left="33"/>
              <w:rPr>
                <w:rFonts w:hint="eastAsia" w:ascii="仿宋" w:hAnsi="仿宋" w:eastAsia="仿宋" w:cs="仿宋"/>
                <w:color w:val="auto"/>
                <w:highlight w:val="none"/>
              </w:rPr>
            </w:pPr>
            <w:r>
              <w:rPr>
                <w:rFonts w:hint="eastAsia" w:ascii="仿宋" w:hAnsi="仿宋" w:eastAsia="仿宋" w:cs="仿宋"/>
                <w:color w:val="auto"/>
                <w:spacing w:val="1"/>
                <w:highlight w:val="none"/>
                <w:lang w:eastAsia="zh-CN"/>
                <w14:textOutline w14:w="3556" w14:cap="flat" w14:cmpd="sng" w14:algn="ctr">
                  <w14:solidFill>
                    <w14:srgbClr w14:val="000000"/>
                  </w14:solidFill>
                  <w14:prstDash w14:val="solid"/>
                  <w14:miter w14:val="0"/>
                </w14:textOutline>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37"/>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 xml:space="preserve">控制系统 </w:t>
            </w:r>
          </w:p>
        </w:tc>
        <w:tc>
          <w:tcPr>
            <w:tcW w:w="7481" w:type="dxa"/>
            <w:gridSpan w:val="3"/>
          </w:tcPr>
          <w:p>
            <w:pPr>
              <w:pStyle w:val="49"/>
              <w:autoSpaceDE w:val="0"/>
              <w:autoSpaceDN w:val="0"/>
              <w:spacing w:before="48" w:line="194" w:lineRule="auto"/>
              <w:ind w:left="33"/>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ELS05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驱动方式</w:t>
            </w:r>
          </w:p>
        </w:tc>
        <w:tc>
          <w:tcPr>
            <w:tcW w:w="7481" w:type="dxa"/>
            <w:gridSpan w:val="3"/>
          </w:tcPr>
          <w:p>
            <w:pPr>
              <w:pStyle w:val="49"/>
              <w:autoSpaceDE w:val="0"/>
              <w:autoSpaceDN w:val="0"/>
              <w:spacing w:before="42" w:line="200" w:lineRule="auto"/>
              <w:ind w:left="33"/>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14:textOutline w14:w="3556" w14:cap="flat" w14:cmpd="sng" w14:algn="ctr">
                  <w14:solidFill>
                    <w14:srgbClr w14:val="000000"/>
                  </w14:solidFill>
                  <w14:prstDash w14:val="solid"/>
                  <w14:miter w14:val="0"/>
                </w14:textOutline>
              </w:rPr>
              <w:t>微机控制交流变频调压调速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38"/>
              <w:rPr>
                <w:rFonts w:hint="eastAsia" w:ascii="仿宋" w:hAnsi="仿宋" w:eastAsia="仿宋" w:cs="仿宋"/>
                <w:color w:val="auto"/>
                <w:spacing w:val="4"/>
                <w:highlight w:val="none"/>
                <w:lang w:val="en-US" w:eastAsia="zh-CN"/>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4"/>
                <w:highlight w:val="none"/>
                <w:lang w:val="en-US" w:eastAsia="zh-CN"/>
                <w14:textOutline w14:w="3556" w14:cap="flat" w14:cmpd="sng" w14:algn="ctr">
                  <w14:solidFill>
                    <w14:srgbClr w14:val="000000"/>
                  </w14:solidFill>
                  <w14:prstDash w14:val="solid"/>
                  <w14:miter w14:val="0"/>
                </w14:textOutline>
              </w:rPr>
              <w:t>驱动主机</w:t>
            </w:r>
          </w:p>
        </w:tc>
        <w:tc>
          <w:tcPr>
            <w:tcW w:w="7481" w:type="dxa"/>
            <w:gridSpan w:val="3"/>
          </w:tcPr>
          <w:p>
            <w:pPr>
              <w:pStyle w:val="49"/>
              <w:autoSpaceDE w:val="0"/>
              <w:autoSpaceDN w:val="0"/>
              <w:spacing w:before="42" w:line="200" w:lineRule="auto"/>
              <w:ind w:left="33"/>
              <w:rPr>
                <w:rFonts w:hint="eastAsia" w:ascii="仿宋" w:hAnsi="仿宋" w:eastAsia="仿宋" w:cs="仿宋"/>
                <w:color w:val="auto"/>
                <w:spacing w:val="4"/>
                <w:highlight w:val="none"/>
                <w:lang w:val="en-US" w:eastAsia="zh-CN"/>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4"/>
                <w:highlight w:val="none"/>
                <w:lang w:val="en-US" w:eastAsia="zh-CN"/>
                <w14:textOutline w14:w="3556" w14:cap="flat" w14:cmpd="sng" w14:algn="ctr">
                  <w14:solidFill>
                    <w14:srgbClr w14:val="000000"/>
                  </w14:solidFill>
                  <w14:prstDash w14:val="solid"/>
                  <w14:miter w14:val="0"/>
                </w14:textOutline>
              </w:rPr>
              <w:t>永磁同步曳引机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55"/>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电源</w:t>
            </w:r>
          </w:p>
        </w:tc>
        <w:tc>
          <w:tcPr>
            <w:tcW w:w="7481" w:type="dxa"/>
            <w:gridSpan w:val="3"/>
          </w:tcPr>
          <w:p>
            <w:pPr>
              <w:pStyle w:val="49"/>
              <w:autoSpaceDE w:val="0"/>
              <w:autoSpaceDN w:val="0"/>
              <w:spacing w:before="45" w:line="197" w:lineRule="auto"/>
              <w:ind w:left="37"/>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动力电源：</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AC</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3相</w:t>
            </w:r>
            <w:r>
              <w:rPr>
                <w:rFonts w:hint="eastAsia" w:ascii="仿宋" w:hAnsi="仿宋" w:eastAsia="仿宋" w:cs="仿宋"/>
                <w:color w:val="auto"/>
                <w:spacing w:val="3"/>
                <w:highlight w:val="none"/>
                <w:lang w:eastAsia="zh-CN"/>
              </w:rPr>
              <w:t xml:space="preserve"> </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380V</w:t>
            </w:r>
            <w:r>
              <w:rPr>
                <w:rFonts w:hint="eastAsia" w:ascii="仿宋" w:hAnsi="仿宋" w:eastAsia="仿宋" w:cs="仿宋"/>
                <w:color w:val="auto"/>
                <w:spacing w:val="3"/>
                <w:highlight w:val="none"/>
                <w:lang w:eastAsia="zh-CN"/>
              </w:rPr>
              <w:t xml:space="preserve"> </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50</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Hz</w:t>
            </w:r>
            <w:r>
              <w:rPr>
                <w:rFonts w:hint="eastAsia" w:ascii="仿宋" w:hAnsi="仿宋" w:eastAsia="仿宋" w:cs="仿宋"/>
                <w:color w:val="auto"/>
                <w:spacing w:val="3"/>
                <w:highlight w:val="none"/>
                <w:lang w:eastAsia="zh-CN"/>
              </w:rPr>
              <w:t xml:space="preserve"> </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照明电源：</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AC</w:t>
            </w:r>
            <w:r>
              <w:rPr>
                <w:rFonts w:hint="eastAsia" w:ascii="仿宋" w:hAnsi="仿宋" w:eastAsia="仿宋" w:cs="仿宋"/>
                <w:color w:val="auto"/>
                <w:spacing w:val="2"/>
                <w:highlight w:val="none"/>
                <w:lang w:eastAsia="zh-CN"/>
              </w:rPr>
              <w:t xml:space="preserve"> </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220V</w:t>
            </w:r>
            <w:r>
              <w:rPr>
                <w:rFonts w:hint="eastAsia" w:ascii="仿宋" w:hAnsi="仿宋" w:eastAsia="仿宋" w:cs="仿宋"/>
                <w:color w:val="auto"/>
                <w:spacing w:val="2"/>
                <w:highlight w:val="none"/>
                <w:lang w:eastAsia="zh-CN"/>
              </w:rPr>
              <w:t xml:space="preserve"> </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50</w:t>
            </w:r>
            <w:r>
              <w:rPr>
                <w:rFonts w:hint="eastAsia" w:ascii="仿宋" w:hAnsi="仿宋" w:eastAsia="仿宋" w:cs="仿宋"/>
                <w:color w:val="auto"/>
                <w:spacing w:val="2"/>
                <w:highlight w:val="none"/>
                <w:lang w:eastAsia="zh-CN"/>
              </w:rPr>
              <w:t xml:space="preserve"> </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4" w:line="198"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控制方式</w:t>
            </w:r>
          </w:p>
        </w:tc>
        <w:tc>
          <w:tcPr>
            <w:tcW w:w="7481" w:type="dxa"/>
            <w:gridSpan w:val="3"/>
          </w:tcPr>
          <w:p>
            <w:pPr>
              <w:pStyle w:val="49"/>
              <w:autoSpaceDE w:val="0"/>
              <w:autoSpaceDN w:val="0"/>
              <w:spacing w:before="47" w:line="195" w:lineRule="auto"/>
              <w:ind w:left="37"/>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单控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井道尺寸(宽×深)(</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51" w:line="191" w:lineRule="auto"/>
              <w:ind w:left="33"/>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2850</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37"/>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机房位置</w:t>
            </w:r>
          </w:p>
        </w:tc>
        <w:tc>
          <w:tcPr>
            <w:tcW w:w="7481" w:type="dxa"/>
            <w:gridSpan w:val="3"/>
          </w:tcPr>
          <w:p>
            <w:pPr>
              <w:pStyle w:val="49"/>
              <w:autoSpaceDE w:val="0"/>
              <w:autoSpaceDN w:val="0"/>
              <w:spacing w:before="47" w:line="195" w:lineRule="auto"/>
              <w:ind w:left="37"/>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无机房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4" w:line="198" w:lineRule="auto"/>
              <w:ind w:left="44"/>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井道总高(m)</w:t>
            </w:r>
          </w:p>
        </w:tc>
        <w:tc>
          <w:tcPr>
            <w:tcW w:w="7481" w:type="dxa"/>
            <w:gridSpan w:val="3"/>
          </w:tcPr>
          <w:p>
            <w:pPr>
              <w:pStyle w:val="49"/>
              <w:autoSpaceDE w:val="0"/>
              <w:autoSpaceDN w:val="0"/>
              <w:spacing w:before="52" w:line="190" w:lineRule="auto"/>
              <w:ind w:left="52"/>
              <w:rPr>
                <w:rFonts w:hint="eastAsia" w:ascii="仿宋" w:hAnsi="仿宋" w:eastAsia="仿宋" w:cs="仿宋"/>
                <w:color w:val="auto"/>
                <w:highlight w:val="none"/>
                <w:lang w:val="en-US" w:eastAsia="zh-CN"/>
              </w:rPr>
            </w:pPr>
            <w:r>
              <w:rPr>
                <w:rFonts w:hint="eastAsia" w:ascii="仿宋" w:hAnsi="仿宋" w:eastAsia="仿宋" w:cs="仿宋"/>
                <w:color w:val="auto"/>
                <w:spacing w:val="-2"/>
                <w:highlight w:val="none"/>
                <w:lang w:val="en-US" w:eastAsia="zh-CN"/>
                <w14:textOutline w14:w="3556" w14:cap="flat" w14:cmpd="sng" w14:algn="ctr">
                  <w14:solidFill>
                    <w14:srgbClr w14:val="000000"/>
                  </w14:solidFill>
                  <w14:prstDash w14:val="solid"/>
                  <w14:miter w14:val="0"/>
                </w14:textOutline>
              </w:rPr>
              <w:t>10.45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提升高度(m)</w:t>
            </w:r>
          </w:p>
        </w:tc>
        <w:tc>
          <w:tcPr>
            <w:tcW w:w="7481" w:type="dxa"/>
            <w:gridSpan w:val="3"/>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1"/>
                <w:highlight w:val="none"/>
                <w:lang w:eastAsia="zh-CN"/>
                <w14:textOutline w14:w="3556" w14:cap="flat" w14:cmpd="sng" w14:algn="ctr">
                  <w14:solidFill>
                    <w14:srgbClr w14:val="000000"/>
                  </w14:solidFill>
                  <w14:prstDash w14:val="solid"/>
                  <w14:miter w14:val="0"/>
                </w14:textOutline>
              </w:rPr>
              <w:t>4</w:t>
            </w: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w:t>
            </w:r>
            <w:r>
              <w:rPr>
                <w:rFonts w:hint="eastAsia" w:ascii="仿宋" w:hAnsi="仿宋" w:eastAsia="仿宋" w:cs="仿宋"/>
                <w:color w:val="auto"/>
                <w:spacing w:val="-1"/>
                <w:highlight w:val="none"/>
                <w:lang w:eastAsia="zh-CN"/>
                <w14:textOutline w14:w="3556" w14:cap="flat" w14:cmpd="sng" w14:algn="ctr">
                  <w14:solidFill>
                    <w14:srgbClr w14:val="000000"/>
                  </w14:solidFill>
                  <w14:prstDash w14:val="solid"/>
                  <w14:miter w14:val="0"/>
                </w14:textOutline>
              </w:rPr>
              <w:t>5</w:t>
            </w: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41"/>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顶层净高(</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53" w:line="189" w:lineRule="auto"/>
              <w:ind w:left="33"/>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底坑净深(</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54" w:line="188" w:lineRule="auto"/>
              <w:ind w:left="52"/>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1450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轿内尺寸(宽×深)(</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54" w:line="188" w:lineRule="auto"/>
              <w:ind w:left="52"/>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1600×2500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轿厢天花</w:t>
            </w:r>
          </w:p>
        </w:tc>
        <w:tc>
          <w:tcPr>
            <w:tcW w:w="7481" w:type="dxa"/>
            <w:gridSpan w:val="3"/>
          </w:tcPr>
          <w:p>
            <w:pPr>
              <w:pStyle w:val="49"/>
              <w:autoSpaceDE w:val="0"/>
              <w:autoSpaceDN w:val="0"/>
              <w:spacing w:before="48" w:line="194" w:lineRule="auto"/>
              <w:ind w:left="43"/>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LED</w:t>
            </w: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筒灯型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7" w:line="195" w:lineRule="auto"/>
              <w:ind w:left="40"/>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轿厢高度(</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50" w:line="192" w:lineRule="auto"/>
              <w:ind w:left="38"/>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天花高度_2</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2</w:t>
            </w: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9" w:line="193"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轿厢前壁</w:t>
            </w:r>
          </w:p>
        </w:tc>
        <w:tc>
          <w:tcPr>
            <w:tcW w:w="7481" w:type="dxa"/>
            <w:gridSpan w:val="3"/>
          </w:tcPr>
          <w:p>
            <w:pPr>
              <w:pStyle w:val="49"/>
              <w:autoSpaceDE w:val="0"/>
              <w:autoSpaceDN w:val="0"/>
              <w:spacing w:before="50" w:line="192"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56"/>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门灯横梁</w:t>
            </w:r>
          </w:p>
        </w:tc>
        <w:tc>
          <w:tcPr>
            <w:tcW w:w="7481" w:type="dxa"/>
            <w:gridSpan w:val="3"/>
          </w:tcPr>
          <w:p>
            <w:pPr>
              <w:pStyle w:val="49"/>
              <w:autoSpaceDE w:val="0"/>
              <w:autoSpaceDN w:val="0"/>
              <w:spacing w:before="51" w:line="191"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0" w:line="192"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轿厢侧壁</w:t>
            </w:r>
          </w:p>
        </w:tc>
        <w:tc>
          <w:tcPr>
            <w:tcW w:w="7481" w:type="dxa"/>
            <w:gridSpan w:val="3"/>
          </w:tcPr>
          <w:p>
            <w:pPr>
              <w:pStyle w:val="49"/>
              <w:autoSpaceDE w:val="0"/>
              <w:autoSpaceDN w:val="0"/>
              <w:spacing w:before="51" w:line="191"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轿厢后壁</w:t>
            </w:r>
          </w:p>
        </w:tc>
        <w:tc>
          <w:tcPr>
            <w:tcW w:w="7481" w:type="dxa"/>
            <w:gridSpan w:val="3"/>
          </w:tcPr>
          <w:p>
            <w:pPr>
              <w:pStyle w:val="49"/>
              <w:autoSpaceDE w:val="0"/>
              <w:autoSpaceDN w:val="0"/>
              <w:spacing w:before="52" w:line="190"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轿门</w:t>
            </w:r>
          </w:p>
        </w:tc>
        <w:tc>
          <w:tcPr>
            <w:tcW w:w="7481" w:type="dxa"/>
            <w:gridSpan w:val="3"/>
          </w:tcPr>
          <w:p>
            <w:pPr>
              <w:pStyle w:val="49"/>
              <w:autoSpaceDE w:val="0"/>
              <w:autoSpaceDN w:val="0"/>
              <w:spacing w:before="52" w:line="190"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2386" w:type="dxa"/>
          </w:tcPr>
          <w:p>
            <w:pPr>
              <w:pStyle w:val="49"/>
              <w:autoSpaceDE w:val="0"/>
              <w:autoSpaceDN w:val="0"/>
              <w:spacing w:before="52" w:line="190"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轿厢地面</w:t>
            </w:r>
          </w:p>
        </w:tc>
        <w:tc>
          <w:tcPr>
            <w:tcW w:w="7481" w:type="dxa"/>
            <w:gridSpan w:val="3"/>
          </w:tcPr>
          <w:p>
            <w:pPr>
              <w:pStyle w:val="49"/>
              <w:autoSpaceDE w:val="0"/>
              <w:autoSpaceDN w:val="0"/>
              <w:spacing w:before="52" w:line="190" w:lineRule="auto"/>
              <w:ind w:left="38"/>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花纹钢地板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轿厢不锈钢材质牌号</w:t>
            </w:r>
          </w:p>
        </w:tc>
        <w:tc>
          <w:tcPr>
            <w:tcW w:w="7481" w:type="dxa"/>
            <w:gridSpan w:val="3"/>
          </w:tcPr>
          <w:p>
            <w:pPr>
              <w:pStyle w:val="49"/>
              <w:autoSpaceDE w:val="0"/>
              <w:autoSpaceDN w:val="0"/>
              <w:spacing w:before="57" w:line="184" w:lineRule="auto"/>
              <w:ind w:left="30"/>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SUS</w:t>
            </w: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开门方向</w:t>
            </w:r>
          </w:p>
        </w:tc>
        <w:tc>
          <w:tcPr>
            <w:tcW w:w="7481" w:type="dxa"/>
            <w:gridSpan w:val="3"/>
          </w:tcPr>
          <w:p>
            <w:pPr>
              <w:pStyle w:val="49"/>
              <w:autoSpaceDE w:val="0"/>
              <w:autoSpaceDN w:val="0"/>
              <w:spacing w:before="53" w:line="189"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左开门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开门尺寸(宽×高)(</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4" w:line="241" w:lineRule="auto"/>
              <w:ind w:left="52"/>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1500×2100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5" w:line="187"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轿厢操纵箱</w:t>
            </w:r>
          </w:p>
        </w:tc>
        <w:tc>
          <w:tcPr>
            <w:tcW w:w="7481" w:type="dxa"/>
            <w:gridSpan w:val="3"/>
          </w:tcPr>
          <w:p>
            <w:pPr>
              <w:pStyle w:val="49"/>
              <w:autoSpaceDE w:val="0"/>
              <w:autoSpaceDN w:val="0"/>
              <w:spacing w:before="54" w:line="188" w:lineRule="auto"/>
              <w:ind w:left="46"/>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GOP</w:t>
            </w: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-195_发纹不锈钢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5" w:line="187"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操纵箱按钮</w:t>
            </w:r>
          </w:p>
        </w:tc>
        <w:tc>
          <w:tcPr>
            <w:tcW w:w="7481" w:type="dxa"/>
            <w:gridSpan w:val="3"/>
          </w:tcPr>
          <w:p>
            <w:pPr>
              <w:pStyle w:val="49"/>
              <w:autoSpaceDE w:val="0"/>
              <w:autoSpaceDN w:val="0"/>
              <w:spacing w:before="57" w:line="184" w:lineRule="auto"/>
              <w:ind w:left="46"/>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GL-MOA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4" w:line="188"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轿厢位置指层</w:t>
            </w:r>
          </w:p>
        </w:tc>
        <w:tc>
          <w:tcPr>
            <w:tcW w:w="7481" w:type="dxa"/>
            <w:gridSpan w:val="3"/>
          </w:tcPr>
          <w:p>
            <w:pPr>
              <w:pStyle w:val="49"/>
              <w:autoSpaceDE w:val="0"/>
              <w:autoSpaceDN w:val="0"/>
              <w:spacing w:before="54" w:line="188" w:lineRule="auto"/>
              <w:ind w:left="38"/>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14:textOutline w14:w="3556" w14:cap="flat" w14:cmpd="sng" w14:algn="ctr">
                  <w14:solidFill>
                    <w14:srgbClr w14:val="000000"/>
                  </w14:solidFill>
                  <w14:prstDash w14:val="solid"/>
                  <w14:miter w14:val="0"/>
                </w14:textOutline>
              </w:rPr>
              <w:t>点阵数显_设置于主操纵箱;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6" w:line="186" w:lineRule="auto"/>
              <w:ind w:left="5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门套</w:t>
            </w:r>
          </w:p>
        </w:tc>
        <w:tc>
          <w:tcPr>
            <w:tcW w:w="7481" w:type="dxa"/>
            <w:gridSpan w:val="3"/>
          </w:tcPr>
          <w:p>
            <w:pPr>
              <w:pStyle w:val="49"/>
              <w:autoSpaceDE w:val="0"/>
              <w:autoSpaceDN w:val="0"/>
              <w:spacing w:before="53" w:line="189"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所有层_小门套_1.2mm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纹不锈钢_</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SUS</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5"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层（厅）门</w:t>
            </w:r>
          </w:p>
        </w:tc>
        <w:tc>
          <w:tcPr>
            <w:tcW w:w="7481" w:type="dxa"/>
            <w:gridSpan w:val="3"/>
          </w:tcPr>
          <w:p>
            <w:pPr>
              <w:pStyle w:val="49"/>
              <w:autoSpaceDE w:val="0"/>
              <w:autoSpaceDN w:val="0"/>
              <w:spacing w:before="54" w:line="188"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所有层_1.2mm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发纹不锈钢_</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SUS</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5" w:lineRule="auto"/>
              <w:ind w:left="42"/>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厅外召唤箱</w:t>
            </w:r>
          </w:p>
        </w:tc>
        <w:tc>
          <w:tcPr>
            <w:tcW w:w="7481" w:type="dxa"/>
            <w:gridSpan w:val="3"/>
          </w:tcPr>
          <w:p>
            <w:pPr>
              <w:pStyle w:val="49"/>
              <w:autoSpaceDE w:val="0"/>
              <w:autoSpaceDN w:val="0"/>
              <w:spacing w:before="54" w:line="188"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所有层_</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VIB</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-658_点阵数显_</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304</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4"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外召按钮</w:t>
            </w:r>
          </w:p>
        </w:tc>
        <w:tc>
          <w:tcPr>
            <w:tcW w:w="7481" w:type="dxa"/>
            <w:gridSpan w:val="3"/>
          </w:tcPr>
          <w:p>
            <w:pPr>
              <w:pStyle w:val="49"/>
              <w:autoSpaceDE w:val="0"/>
              <w:autoSpaceDN w:val="0"/>
              <w:spacing w:before="55" w:line="187" w:lineRule="auto"/>
              <w:ind w:left="36"/>
              <w:rPr>
                <w:rFonts w:hint="eastAsia" w:ascii="仿宋" w:hAnsi="仿宋" w:eastAsia="仿宋" w:cs="仿宋"/>
                <w:color w:val="auto"/>
                <w:highlight w:val="none"/>
              </w:rPr>
            </w:pPr>
            <w:r>
              <w:rPr>
                <w:rFonts w:hint="eastAsia" w:ascii="仿宋" w:hAnsi="仿宋" w:eastAsia="仿宋" w:cs="仿宋"/>
                <w:color w:val="auto"/>
                <w:spacing w:val="5"/>
                <w:highlight w:val="none"/>
                <w14:textOutline w14:w="3556" w14:cap="flat" w14:cmpd="sng" w14:algn="ctr">
                  <w14:solidFill>
                    <w14:srgbClr w14:val="000000"/>
                  </w14:solidFill>
                  <w14:prstDash w14:val="solid"/>
                  <w14:miter w14:val="0"/>
                </w14:textOutline>
              </w:rPr>
              <w:t>所有层_</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GL</w:t>
            </w:r>
            <w:r>
              <w:rPr>
                <w:rFonts w:hint="eastAsia" w:ascii="仿宋" w:hAnsi="仿宋" w:eastAsia="仿宋" w:cs="仿宋"/>
                <w:color w:val="auto"/>
                <w:spacing w:val="5"/>
                <w:highlight w:val="none"/>
                <w14:textOutline w14:w="3556" w14:cap="flat" w14:cmpd="sng" w14:algn="ctr">
                  <w14:solidFill>
                    <w14:srgbClr w14:val="000000"/>
                  </w14:solidFill>
                  <w14:prstDash w14:val="solid"/>
                  <w14:miter w14:val="0"/>
                </w14:textOutline>
              </w:rPr>
              <w:t>-</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MOA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restart"/>
          </w:tcPr>
          <w:p>
            <w:pPr>
              <w:autoSpaceDE w:val="0"/>
              <w:autoSpaceDN w:val="0"/>
              <w:spacing w:line="286" w:lineRule="auto"/>
              <w:rPr>
                <w:rFonts w:hint="eastAsia" w:ascii="仿宋" w:hAnsi="仿宋" w:eastAsia="仿宋" w:cs="仿宋"/>
                <w:color w:val="auto"/>
                <w:highlight w:val="none"/>
              </w:rPr>
            </w:pPr>
          </w:p>
          <w:p>
            <w:pPr>
              <w:autoSpaceDE w:val="0"/>
              <w:autoSpaceDN w:val="0"/>
              <w:spacing w:line="286" w:lineRule="auto"/>
              <w:rPr>
                <w:rFonts w:hint="eastAsia" w:ascii="仿宋" w:hAnsi="仿宋" w:eastAsia="仿宋" w:cs="仿宋"/>
                <w:color w:val="auto"/>
                <w:highlight w:val="none"/>
              </w:rPr>
            </w:pPr>
          </w:p>
          <w:p>
            <w:pPr>
              <w:autoSpaceDE w:val="0"/>
              <w:autoSpaceDN w:val="0"/>
              <w:spacing w:line="286" w:lineRule="auto"/>
              <w:rPr>
                <w:rFonts w:hint="eastAsia" w:ascii="仿宋" w:hAnsi="仿宋" w:eastAsia="仿宋" w:cs="仿宋"/>
                <w:color w:val="auto"/>
                <w:highlight w:val="none"/>
              </w:rPr>
            </w:pPr>
          </w:p>
          <w:p>
            <w:pPr>
              <w:autoSpaceDE w:val="0"/>
              <w:autoSpaceDN w:val="0"/>
              <w:spacing w:line="287" w:lineRule="auto"/>
              <w:rPr>
                <w:rFonts w:hint="eastAsia" w:ascii="仿宋" w:hAnsi="仿宋" w:eastAsia="仿宋" w:cs="仿宋"/>
                <w:color w:val="auto"/>
                <w:highlight w:val="none"/>
              </w:rPr>
            </w:pPr>
          </w:p>
          <w:p>
            <w:pPr>
              <w:autoSpaceDE w:val="0"/>
              <w:autoSpaceDN w:val="0"/>
              <w:spacing w:line="287" w:lineRule="auto"/>
              <w:rPr>
                <w:rFonts w:hint="eastAsia" w:ascii="仿宋" w:hAnsi="仿宋" w:eastAsia="仿宋" w:cs="仿宋"/>
                <w:color w:val="auto"/>
                <w:highlight w:val="none"/>
              </w:rPr>
            </w:pPr>
          </w:p>
          <w:p>
            <w:pPr>
              <w:pStyle w:val="49"/>
              <w:autoSpaceDE w:val="0"/>
              <w:autoSpaceDN w:val="0"/>
              <w:spacing w:before="56" w:line="206" w:lineRule="auto"/>
              <w:ind w:left="36"/>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功能</w:t>
            </w:r>
          </w:p>
          <w:p>
            <w:pPr>
              <w:pStyle w:val="49"/>
              <w:autoSpaceDE w:val="0"/>
              <w:autoSpaceDN w:val="0"/>
              <w:spacing w:before="50" w:line="188" w:lineRule="auto"/>
              <w:rPr>
                <w:rFonts w:hint="eastAsia" w:ascii="仿宋" w:hAnsi="仿宋" w:eastAsia="仿宋" w:cs="仿宋"/>
                <w:color w:val="auto"/>
                <w:highlight w:val="none"/>
              </w:rPr>
            </w:pPr>
          </w:p>
        </w:tc>
        <w:tc>
          <w:tcPr>
            <w:tcW w:w="2491" w:type="dxa"/>
          </w:tcPr>
          <w:p>
            <w:pPr>
              <w:pStyle w:val="49"/>
              <w:autoSpaceDE w:val="0"/>
              <w:autoSpaceDN w:val="0"/>
              <w:spacing w:before="34" w:line="196" w:lineRule="auto"/>
              <w:ind w:left="32"/>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超速电气保护功能</w:t>
            </w:r>
          </w:p>
        </w:tc>
        <w:tc>
          <w:tcPr>
            <w:tcW w:w="2491" w:type="dxa"/>
          </w:tcPr>
          <w:p>
            <w:pPr>
              <w:pStyle w:val="49"/>
              <w:autoSpaceDE w:val="0"/>
              <w:autoSpaceDN w:val="0"/>
              <w:spacing w:before="36" w:line="194" w:lineRule="auto"/>
              <w:ind w:left="35"/>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14:textOutline w14:w="3556" w14:cap="flat" w14:cmpd="sng" w14:algn="ctr">
                  <w14:solidFill>
                    <w14:srgbClr w14:val="000000"/>
                  </w14:solidFill>
                  <w14:prstDash w14:val="solid"/>
                  <w14:miter w14:val="0"/>
                </w14:textOutline>
              </w:rPr>
              <w:t>停车在非门区报警功能</w:t>
            </w:r>
          </w:p>
        </w:tc>
        <w:tc>
          <w:tcPr>
            <w:tcW w:w="2499" w:type="dxa"/>
          </w:tcPr>
          <w:p>
            <w:pPr>
              <w:pStyle w:val="49"/>
              <w:autoSpaceDE w:val="0"/>
              <w:autoSpaceDN w:val="0"/>
              <w:spacing w:before="36" w:line="194"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延长开门时间功能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35" w:line="194" w:lineRule="auto"/>
              <w:ind w:left="50"/>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电动机过热保护功能</w:t>
            </w:r>
          </w:p>
        </w:tc>
        <w:tc>
          <w:tcPr>
            <w:tcW w:w="2491" w:type="dxa"/>
          </w:tcPr>
          <w:p>
            <w:pPr>
              <w:pStyle w:val="49"/>
              <w:autoSpaceDE w:val="0"/>
              <w:autoSpaceDN w:val="0"/>
              <w:spacing w:before="36" w:line="193" w:lineRule="auto"/>
              <w:ind w:left="39"/>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轿内通风自动控制功能</w:t>
            </w:r>
          </w:p>
        </w:tc>
        <w:tc>
          <w:tcPr>
            <w:tcW w:w="2499" w:type="dxa"/>
          </w:tcPr>
          <w:p>
            <w:pPr>
              <w:pStyle w:val="49"/>
              <w:autoSpaceDE w:val="0"/>
              <w:autoSpaceDN w:val="0"/>
              <w:spacing w:before="34" w:line="195"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反向内指令自动消除功能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38" w:line="192"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警铃报警功能</w:t>
            </w:r>
          </w:p>
        </w:tc>
        <w:tc>
          <w:tcPr>
            <w:tcW w:w="2491" w:type="dxa"/>
          </w:tcPr>
          <w:p>
            <w:pPr>
              <w:pStyle w:val="49"/>
              <w:autoSpaceDE w:val="0"/>
              <w:autoSpaceDN w:val="0"/>
              <w:spacing w:before="38" w:line="192" w:lineRule="auto"/>
              <w:ind w:left="40"/>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集选控制:全集选控制运行功能</w:t>
            </w:r>
          </w:p>
        </w:tc>
        <w:tc>
          <w:tcPr>
            <w:tcW w:w="2499" w:type="dxa"/>
          </w:tcPr>
          <w:p>
            <w:pPr>
              <w:pStyle w:val="49"/>
              <w:autoSpaceDE w:val="0"/>
              <w:autoSpaceDN w:val="0"/>
              <w:spacing w:before="38" w:line="192"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抱闸动作双安全检测功能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38" w:line="191" w:lineRule="auto"/>
              <w:ind w:left="50"/>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电梯服务支援系统</w:t>
            </w:r>
          </w:p>
        </w:tc>
        <w:tc>
          <w:tcPr>
            <w:tcW w:w="2491" w:type="dxa"/>
          </w:tcPr>
          <w:p>
            <w:pPr>
              <w:pStyle w:val="49"/>
              <w:autoSpaceDE w:val="0"/>
              <w:autoSpaceDN w:val="0"/>
              <w:spacing w:before="39" w:line="190" w:lineRule="auto"/>
              <w:ind w:left="43"/>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消防迫降功能:2,1层</w:t>
            </w:r>
          </w:p>
        </w:tc>
        <w:tc>
          <w:tcPr>
            <w:tcW w:w="2499" w:type="dxa"/>
          </w:tcPr>
          <w:p>
            <w:pPr>
              <w:pStyle w:val="49"/>
              <w:autoSpaceDE w:val="0"/>
              <w:autoSpaceDN w:val="0"/>
              <w:spacing w:before="39" w:line="190"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层高自测定功能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1" w:line="189"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故障自动检测功能</w:t>
            </w:r>
          </w:p>
        </w:tc>
        <w:tc>
          <w:tcPr>
            <w:tcW w:w="2491" w:type="dxa"/>
          </w:tcPr>
          <w:p>
            <w:pPr>
              <w:pStyle w:val="49"/>
              <w:autoSpaceDE w:val="0"/>
              <w:autoSpaceDN w:val="0"/>
              <w:spacing w:before="42" w:line="188" w:lineRule="auto"/>
              <w:ind w:left="38"/>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底坑对讲机通讯功能</w:t>
            </w:r>
          </w:p>
        </w:tc>
        <w:tc>
          <w:tcPr>
            <w:tcW w:w="2499" w:type="dxa"/>
          </w:tcPr>
          <w:p>
            <w:pPr>
              <w:pStyle w:val="49"/>
              <w:autoSpaceDE w:val="0"/>
              <w:autoSpaceDN w:val="0"/>
              <w:spacing w:before="41" w:line="189" w:lineRule="auto"/>
              <w:ind w:left="4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开门异常自动选层功能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1" w:line="189" w:lineRule="auto"/>
              <w:ind w:left="38"/>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开门时间自动调整功能</w:t>
            </w:r>
          </w:p>
        </w:tc>
        <w:tc>
          <w:tcPr>
            <w:tcW w:w="2491" w:type="dxa"/>
          </w:tcPr>
          <w:p>
            <w:pPr>
              <w:pStyle w:val="49"/>
              <w:autoSpaceDE w:val="0"/>
              <w:autoSpaceDN w:val="0"/>
              <w:spacing w:before="41" w:line="189" w:lineRule="auto"/>
              <w:ind w:left="42"/>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开门时间自动控制功能</w:t>
            </w:r>
          </w:p>
        </w:tc>
        <w:tc>
          <w:tcPr>
            <w:tcW w:w="2499" w:type="dxa"/>
          </w:tcPr>
          <w:p>
            <w:pPr>
              <w:pStyle w:val="49"/>
              <w:autoSpaceDE w:val="0"/>
              <w:autoSpaceDN w:val="0"/>
              <w:spacing w:before="41" w:line="189"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轿内照明自动控制功能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2" w:line="188"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运行次数显示功能</w:t>
            </w:r>
          </w:p>
        </w:tc>
        <w:tc>
          <w:tcPr>
            <w:tcW w:w="2491" w:type="dxa"/>
          </w:tcPr>
          <w:p>
            <w:pPr>
              <w:pStyle w:val="49"/>
              <w:autoSpaceDE w:val="0"/>
              <w:autoSpaceDN w:val="0"/>
              <w:spacing w:before="42" w:line="188" w:lineRule="auto"/>
              <w:ind w:left="37"/>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14:textOutline w14:w="3556" w14:cap="flat" w14:cmpd="sng" w14:algn="ctr">
                  <w14:solidFill>
                    <w14:srgbClr w14:val="000000"/>
                  </w14:solidFill>
                  <w14:prstDash w14:val="solid"/>
                  <w14:miter w14:val="0"/>
                </w14:textOutline>
              </w:rPr>
              <w:t>位置异常自动校正功能</w:t>
            </w:r>
          </w:p>
        </w:tc>
        <w:tc>
          <w:tcPr>
            <w:tcW w:w="2499" w:type="dxa"/>
          </w:tcPr>
          <w:p>
            <w:pPr>
              <w:pStyle w:val="49"/>
              <w:autoSpaceDE w:val="0"/>
              <w:autoSpaceDN w:val="0"/>
              <w:spacing w:before="42" w:line="188"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超载保护功能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3" w:line="187"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轿内慢速运行功能</w:t>
            </w:r>
          </w:p>
        </w:tc>
        <w:tc>
          <w:tcPr>
            <w:tcW w:w="2491" w:type="dxa"/>
          </w:tcPr>
          <w:p>
            <w:pPr>
              <w:pStyle w:val="49"/>
              <w:autoSpaceDE w:val="0"/>
              <w:autoSpaceDN w:val="0"/>
              <w:spacing w:before="45" w:line="185" w:lineRule="auto"/>
              <w:ind w:left="45"/>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泊梯功能:2,1层</w:t>
            </w:r>
          </w:p>
        </w:tc>
        <w:tc>
          <w:tcPr>
            <w:tcW w:w="2499" w:type="dxa"/>
          </w:tcPr>
          <w:p>
            <w:pPr>
              <w:pStyle w:val="49"/>
              <w:autoSpaceDE w:val="0"/>
              <w:autoSpaceDN w:val="0"/>
              <w:spacing w:before="43" w:line="187" w:lineRule="auto"/>
              <w:ind w:left="4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开关门时间超常保护功能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4" w:line="186"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轿顶检修操作功能</w:t>
            </w:r>
          </w:p>
        </w:tc>
        <w:tc>
          <w:tcPr>
            <w:tcW w:w="2491" w:type="dxa"/>
          </w:tcPr>
          <w:p>
            <w:pPr>
              <w:pStyle w:val="49"/>
              <w:autoSpaceDE w:val="0"/>
              <w:autoSpaceDN w:val="0"/>
              <w:spacing w:before="44" w:line="186"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专用运行功能</w:t>
            </w:r>
          </w:p>
        </w:tc>
        <w:tc>
          <w:tcPr>
            <w:tcW w:w="2499" w:type="dxa"/>
          </w:tcPr>
          <w:p>
            <w:pPr>
              <w:pStyle w:val="49"/>
              <w:autoSpaceDE w:val="0"/>
              <w:autoSpaceDN w:val="0"/>
              <w:spacing w:before="44" w:line="186"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故障低速自救运行功能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5" w:line="184" w:lineRule="auto"/>
              <w:ind w:left="33"/>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起动补偿功能</w:t>
            </w:r>
          </w:p>
        </w:tc>
        <w:tc>
          <w:tcPr>
            <w:tcW w:w="2491" w:type="dxa"/>
          </w:tcPr>
          <w:p>
            <w:pPr>
              <w:pStyle w:val="49"/>
              <w:autoSpaceDE w:val="0"/>
              <w:autoSpaceDN w:val="0"/>
              <w:spacing w:before="45" w:line="185"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故障自动存储功能</w:t>
            </w:r>
          </w:p>
        </w:tc>
        <w:tc>
          <w:tcPr>
            <w:tcW w:w="2499" w:type="dxa"/>
          </w:tcPr>
          <w:p>
            <w:pPr>
              <w:pStyle w:val="49"/>
              <w:autoSpaceDE w:val="0"/>
              <w:autoSpaceDN w:val="0"/>
              <w:spacing w:before="45" w:line="184"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停电应急照明功能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5" w:line="185" w:lineRule="auto"/>
              <w:ind w:left="50"/>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电动机空转保护功能</w:t>
            </w:r>
          </w:p>
        </w:tc>
        <w:tc>
          <w:tcPr>
            <w:tcW w:w="2491" w:type="dxa"/>
          </w:tcPr>
          <w:p>
            <w:pPr>
              <w:pStyle w:val="49"/>
              <w:autoSpaceDE w:val="0"/>
              <w:autoSpaceDN w:val="0"/>
              <w:spacing w:before="45" w:line="184"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待机定期自检功能</w:t>
            </w:r>
          </w:p>
        </w:tc>
        <w:tc>
          <w:tcPr>
            <w:tcW w:w="2499" w:type="dxa"/>
          </w:tcPr>
          <w:p>
            <w:pPr>
              <w:pStyle w:val="49"/>
              <w:autoSpaceDE w:val="0"/>
              <w:autoSpaceDN w:val="0"/>
              <w:spacing w:before="45" w:line="185"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超速机械保护功能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6" w:line="182" w:lineRule="auto"/>
              <w:ind w:left="51"/>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门停止运行功能</w:t>
            </w:r>
          </w:p>
        </w:tc>
        <w:tc>
          <w:tcPr>
            <w:tcW w:w="2491" w:type="dxa"/>
          </w:tcPr>
          <w:p>
            <w:pPr>
              <w:pStyle w:val="49"/>
              <w:autoSpaceDE w:val="0"/>
              <w:autoSpaceDN w:val="0"/>
              <w:spacing w:before="46" w:line="182" w:lineRule="auto"/>
              <w:ind w:left="41"/>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无呼自返基站功能:2,1层</w:t>
            </w:r>
          </w:p>
        </w:tc>
        <w:tc>
          <w:tcPr>
            <w:tcW w:w="2499" w:type="dxa"/>
          </w:tcPr>
          <w:p>
            <w:pPr>
              <w:pStyle w:val="49"/>
              <w:autoSpaceDE w:val="0"/>
              <w:autoSpaceDN w:val="0"/>
              <w:spacing w:before="47" w:line="181" w:lineRule="auto"/>
              <w:ind w:left="42"/>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对讲机通讯功能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9" w:line="180" w:lineRule="auto"/>
              <w:ind w:left="32"/>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超载报警功能</w:t>
            </w:r>
          </w:p>
        </w:tc>
        <w:tc>
          <w:tcPr>
            <w:tcW w:w="2491" w:type="dxa"/>
          </w:tcPr>
          <w:p>
            <w:pPr>
              <w:pStyle w:val="49"/>
              <w:autoSpaceDE w:val="0"/>
              <w:autoSpaceDN w:val="0"/>
              <w:spacing w:before="48" w:line="181"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满载直驶运行功能</w:t>
            </w:r>
          </w:p>
        </w:tc>
        <w:tc>
          <w:tcPr>
            <w:tcW w:w="2499" w:type="dxa"/>
          </w:tcPr>
          <w:p>
            <w:pPr>
              <w:autoSpaceDE w:val="0"/>
              <w:autoSpaceDN w:val="0"/>
              <w:spacing w:line="218" w:lineRule="exact"/>
              <w:rPr>
                <w:rFonts w:hint="eastAsia" w:ascii="仿宋" w:hAnsi="仿宋" w:eastAsia="仿宋" w:cs="仿宋"/>
                <w:color w:val="auto"/>
                <w:sz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2386" w:type="dxa"/>
            <w:vMerge w:val="continue"/>
          </w:tcPr>
          <w:p>
            <w:pPr>
              <w:pStyle w:val="49"/>
              <w:autoSpaceDE w:val="0"/>
              <w:autoSpaceDN w:val="0"/>
              <w:spacing w:before="50" w:line="188" w:lineRule="auto"/>
              <w:ind w:left="42"/>
              <w:rPr>
                <w:rFonts w:hint="eastAsia" w:ascii="仿宋" w:hAnsi="仿宋" w:eastAsia="仿宋" w:cs="仿宋"/>
                <w:color w:val="auto"/>
                <w:highlight w:val="none"/>
              </w:rPr>
            </w:pPr>
          </w:p>
        </w:tc>
        <w:tc>
          <w:tcPr>
            <w:tcW w:w="2491" w:type="dxa"/>
          </w:tcPr>
          <w:p>
            <w:pPr>
              <w:pStyle w:val="49"/>
              <w:autoSpaceDE w:val="0"/>
              <w:autoSpaceDN w:val="0"/>
              <w:spacing w:before="50" w:line="188"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五方通话功能</w:t>
            </w:r>
          </w:p>
        </w:tc>
        <w:tc>
          <w:tcPr>
            <w:tcW w:w="2491" w:type="dxa"/>
          </w:tcPr>
          <w:p>
            <w:pPr>
              <w:pStyle w:val="49"/>
              <w:autoSpaceDE w:val="0"/>
              <w:autoSpaceDN w:val="0"/>
              <w:spacing w:before="50" w:line="188"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消防员专用功能</w:t>
            </w:r>
          </w:p>
        </w:tc>
        <w:tc>
          <w:tcPr>
            <w:tcW w:w="2499" w:type="dxa"/>
          </w:tcPr>
          <w:p>
            <w:pPr>
              <w:autoSpaceDE w:val="0"/>
              <w:autoSpaceDN w:val="0"/>
              <w:spacing w:line="225" w:lineRule="exact"/>
              <w:rPr>
                <w:rFonts w:hint="eastAsia" w:ascii="仿宋" w:hAnsi="仿宋" w:eastAsia="仿宋" w:cs="仿宋"/>
                <w:color w:val="auto"/>
                <w:sz w:val="19"/>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2386" w:type="dxa"/>
          </w:tcPr>
          <w:p>
            <w:pPr>
              <w:pStyle w:val="49"/>
              <w:autoSpaceDE w:val="0"/>
              <w:autoSpaceDN w:val="0"/>
              <w:spacing w:before="48" w:line="203" w:lineRule="auto"/>
              <w:ind w:left="56"/>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门保护装置</w:t>
            </w:r>
          </w:p>
        </w:tc>
        <w:tc>
          <w:tcPr>
            <w:tcW w:w="7481" w:type="dxa"/>
            <w:gridSpan w:val="3"/>
          </w:tcPr>
          <w:p>
            <w:pPr>
              <w:pStyle w:val="49"/>
              <w:autoSpaceDE w:val="0"/>
              <w:autoSpaceDN w:val="0"/>
              <w:spacing w:before="48" w:line="203" w:lineRule="auto"/>
              <w:ind w:left="41"/>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光幕+安全触板保护功能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2386" w:type="dxa"/>
          </w:tcPr>
          <w:p>
            <w:pPr>
              <w:pStyle w:val="49"/>
              <w:autoSpaceDE w:val="0"/>
              <w:autoSpaceDN w:val="0"/>
              <w:spacing w:before="53" w:line="201"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对讲系统</w:t>
            </w:r>
          </w:p>
        </w:tc>
        <w:tc>
          <w:tcPr>
            <w:tcW w:w="7481" w:type="dxa"/>
            <w:gridSpan w:val="3"/>
          </w:tcPr>
          <w:p>
            <w:pPr>
              <w:pStyle w:val="49"/>
              <w:autoSpaceDE w:val="0"/>
              <w:autoSpaceDN w:val="0"/>
              <w:spacing w:before="50" w:line="204" w:lineRule="auto"/>
              <w:ind w:left="32"/>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机房（无机房时为控制柜）至监控中心的布线：线材、线管及敷设工程由</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卖</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方负责。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9867" w:type="dxa"/>
            <w:gridSpan w:val="4"/>
          </w:tcPr>
          <w:p>
            <w:pPr>
              <w:pStyle w:val="49"/>
              <w:autoSpaceDE w:val="0"/>
              <w:autoSpaceDN w:val="0"/>
              <w:spacing w:before="43" w:line="199" w:lineRule="auto"/>
              <w:ind w:left="40"/>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所有层无水泥牛腿，改由钢牛腿安装。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9867" w:type="dxa"/>
            <w:gridSpan w:val="4"/>
          </w:tcPr>
          <w:p>
            <w:pPr>
              <w:pStyle w:val="49"/>
              <w:autoSpaceDE w:val="0"/>
              <w:autoSpaceDN w:val="0"/>
              <w:spacing w:before="46" w:line="195"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井道壁结构是：砖墙+圈梁，井道壁厚是：200</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9867" w:type="dxa"/>
            <w:gridSpan w:val="4"/>
          </w:tcPr>
          <w:p>
            <w:pPr>
              <w:pStyle w:val="49"/>
              <w:autoSpaceDE w:val="0"/>
              <w:autoSpaceDN w:val="0"/>
              <w:spacing w:before="68" w:line="207" w:lineRule="auto"/>
              <w:ind w:left="42"/>
              <w:rPr>
                <w:rFonts w:hint="eastAsia" w:ascii="仿宋" w:hAnsi="仿宋" w:eastAsia="仿宋" w:cs="仿宋"/>
                <w:color w:val="auto"/>
                <w:highlight w:val="none"/>
              </w:rPr>
            </w:pPr>
            <w:r>
              <w:rPr>
                <w:rFonts w:hint="eastAsia" w:ascii="仿宋" w:hAnsi="仿宋" w:eastAsia="仿宋" w:cs="仿宋"/>
                <w:color w:val="auto"/>
                <w:spacing w:val="4"/>
                <w:highlight w:val="none"/>
                <w:lang w:eastAsia="zh-CN"/>
                <w14:textOutline w14:w="3556" w14:cap="flat" w14:cmpd="sng" w14:algn="ctr">
                  <w14:solidFill>
                    <w14:srgbClr w14:val="000000"/>
                  </w14:solidFill>
                  <w14:prstDash w14:val="solid"/>
                  <w14:miter w14:val="0"/>
                </w14:textOutline>
              </w:rPr>
              <w:t>混凝土墙的抗压强度不得小于C25，由卖方配发拉爆螺栓井道四壁</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(包括各层统腰圈梁)应是垂直的，井道垂直度偏差为0～+30</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mm</w:t>
            </w:r>
            <w:r>
              <w:rPr>
                <w:rFonts w:hint="eastAsia" w:ascii="仿宋" w:hAnsi="仿宋" w:eastAsia="仿宋" w:cs="仿宋"/>
                <w:color w:val="auto"/>
                <w:position w:val="2"/>
                <w:highlight w:val="none"/>
                <w14:textOutline w14:w="3556" w14:cap="flat" w14:cmpd="sng" w14:algn="ctr">
                  <w14:solidFill>
                    <w14:srgbClr w14:val="000000"/>
                  </w14:solidFill>
                  <w14:prstDash w14:val="solid"/>
                  <w14:miter w14:val="0"/>
                </w14:textOutli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9867" w:type="dxa"/>
            <w:gridSpan w:val="4"/>
          </w:tcPr>
          <w:p>
            <w:pPr>
              <w:pStyle w:val="49"/>
              <w:autoSpaceDE w:val="0"/>
              <w:autoSpaceDN w:val="0"/>
              <w:spacing w:before="48" w:line="194" w:lineRule="auto"/>
              <w:ind w:left="39"/>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底坑以下为实地。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9867" w:type="dxa"/>
            <w:gridSpan w:val="4"/>
          </w:tcPr>
          <w:p>
            <w:pPr>
              <w:pStyle w:val="49"/>
              <w:autoSpaceDE w:val="0"/>
              <w:autoSpaceDN w:val="0"/>
              <w:spacing w:before="45" w:line="222"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井道的墙壁、地板和屋顶应能大量吸收电梯运行</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时产生的噪音。</w:t>
            </w:r>
          </w:p>
          <w:p>
            <w:pPr>
              <w:pStyle w:val="49"/>
              <w:autoSpaceDE w:val="0"/>
              <w:autoSpaceDN w:val="0"/>
              <w:spacing w:line="206" w:lineRule="auto"/>
              <w:ind w:left="55"/>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14:textOutline w14:w="3556" w14:cap="flat" w14:cmpd="sng" w14:algn="ctr">
                  <w14:solidFill>
                    <w14:srgbClr w14:val="000000"/>
                  </w14:solidFill>
                  <w14:prstDash w14:val="solid"/>
                  <w14:miter w14:val="0"/>
                </w14:textOutline>
              </w:rPr>
              <w:t>电梯不应与卧室、起居室(厅)紧邻布置。</w:t>
            </w:r>
          </w:p>
          <w:p>
            <w:pPr>
              <w:pStyle w:val="49"/>
              <w:autoSpaceDE w:val="0"/>
              <w:autoSpaceDN w:val="0"/>
              <w:spacing w:before="17" w:line="205" w:lineRule="auto"/>
              <w:ind w:left="41"/>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凡受条件限制需要紧邻布置时，必须由</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中标</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单位负责采取隔声、减振措施。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钢牛腿提供</w:t>
            </w:r>
          </w:p>
        </w:tc>
        <w:tc>
          <w:tcPr>
            <w:tcW w:w="7481" w:type="dxa"/>
            <w:gridSpan w:val="3"/>
          </w:tcPr>
          <w:p>
            <w:pPr>
              <w:pStyle w:val="49"/>
              <w:autoSpaceDE w:val="0"/>
              <w:autoSpaceDN w:val="0"/>
              <w:spacing w:before="49" w:line="193"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卖方提供(10</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≤地面装饰厚度≤60</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1" w:line="190"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消防开关位置</w:t>
            </w:r>
          </w:p>
        </w:tc>
        <w:tc>
          <w:tcPr>
            <w:tcW w:w="7481" w:type="dxa"/>
            <w:gridSpan w:val="3"/>
          </w:tcPr>
          <w:p>
            <w:pPr>
              <w:pStyle w:val="49"/>
              <w:autoSpaceDE w:val="0"/>
              <w:autoSpaceDN w:val="0"/>
              <w:spacing w:before="50" w:line="191"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嵌入式消防开关(与召唤箱同侧)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轿门门锁</w:t>
            </w:r>
          </w:p>
        </w:tc>
        <w:tc>
          <w:tcPr>
            <w:tcW w:w="7481" w:type="dxa"/>
            <w:gridSpan w:val="3"/>
          </w:tcPr>
          <w:p>
            <w:pPr>
              <w:pStyle w:val="49"/>
              <w:autoSpaceDE w:val="0"/>
              <w:autoSpaceDN w:val="0"/>
              <w:spacing w:before="52" w:line="189" w:lineRule="auto"/>
              <w:ind w:left="34"/>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双架构通讯</w:t>
            </w:r>
          </w:p>
        </w:tc>
        <w:tc>
          <w:tcPr>
            <w:tcW w:w="7481" w:type="dxa"/>
            <w:gridSpan w:val="3"/>
          </w:tcPr>
          <w:p>
            <w:pPr>
              <w:pStyle w:val="49"/>
              <w:autoSpaceDE w:val="0"/>
              <w:autoSpaceDN w:val="0"/>
              <w:spacing w:before="52" w:line="189" w:lineRule="auto"/>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双线路scl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其他要求：</w:t>
            </w:r>
          </w:p>
        </w:tc>
        <w:tc>
          <w:tcPr>
            <w:tcW w:w="7481" w:type="dxa"/>
            <w:gridSpan w:val="3"/>
          </w:tcPr>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设防烈度7度以上:如发生设防烈度7度以下的地震，电梯结构仍可就近停层开门放人；</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pPr>
            <w:r>
              <w:rPr>
                <w:rFonts w:hint="eastAsia" w:ascii="仿宋" w:hAnsi="仿宋" w:eastAsia="仿宋" w:cs="仿宋"/>
                <w:b/>
                <w:bCs/>
                <w:color w:val="auto"/>
                <w:highlight w:val="none"/>
                <w:lang w:eastAsia="zh-CN" w:bidi="ar"/>
              </w:rPr>
              <w:t>驱动主机绝缘等级：F级；</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双层轿架结构；</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pPr>
            <w:r>
              <w:rPr>
                <w:rFonts w:hint="eastAsia" w:ascii="仿宋" w:hAnsi="仿宋" w:eastAsia="仿宋" w:cs="仿宋"/>
                <w:b/>
                <w:bCs/>
                <w:color w:val="auto"/>
                <w:sz w:val="16"/>
                <w:szCs w:val="16"/>
                <w:highlight w:val="none"/>
                <w:lang w:eastAsia="zh-CN" w:bidi="ar"/>
              </w:rPr>
              <w:t>控制柜满足指标：宽电压设计（380V±15%）符合轿厢110%额定载荷时以额定速度正常运行</w:t>
            </w:r>
          </w:p>
        </w:tc>
      </w:tr>
    </w:tbl>
    <w:p>
      <w:pPr>
        <w:pStyle w:val="14"/>
        <w:numPr>
          <w:ilvl w:val="0"/>
          <w:numId w:val="8"/>
        </w:numPr>
        <w:adjustRightInd w:val="0"/>
        <w:snapToGrid w:val="0"/>
        <w:spacing w:line="300" w:lineRule="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其他要求：</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1.电梯不能安装任何远程控制或远程监控的设备功能，并由设备产家出具承诺函保证。</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2.中标单位中标后需对井道进行重新勘察并进行二次设计与井道</w:t>
      </w:r>
      <w:r>
        <w:rPr>
          <w:rFonts w:hint="eastAsia" w:ascii="仿宋" w:hAnsi="仿宋" w:eastAsia="仿宋" w:cs="仿宋"/>
          <w:color w:val="auto"/>
          <w:sz w:val="28"/>
          <w:szCs w:val="28"/>
          <w:highlight w:val="none"/>
          <w:u w:val="none"/>
          <w:lang w:val="en-US" w:eastAsia="zh-CN"/>
        </w:rPr>
        <w:t>修缮，满足应标电梯产品井道要求及国标要求后方可安装。</w:t>
      </w:r>
    </w:p>
    <w:p>
      <w:pPr>
        <w:numPr>
          <w:ilvl w:val="0"/>
          <w:numId w:val="0"/>
        </w:numPr>
        <w:spacing w:line="276"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xml:space="preserve">    3.本项目为设备采购包安装，除电梯设备安装外，还应包含所有安装材料与工程量（不限于电源侧至电梯的工程量与材料等）。</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4.本项目为设备采购包安装，中标单位应具备电梯安装资质和能力，并负责向相关部门进行报验和登记，并申请办理使用登记证。</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本项目竣工验收后，还需中标单位提供一年三包维保，中标单位应具备电梯维保资质和能力；若由设备厂家提供三包维保，设备厂家应具备电梯维保资质和能力，并由设备厂家提供承诺函证明由原厂提供维保服务。</w:t>
      </w:r>
    </w:p>
    <w:p>
      <w:pPr>
        <w:pStyle w:val="2"/>
        <w:rPr>
          <w:rFonts w:hint="default"/>
          <w:color w:val="auto"/>
          <w:highlight w:val="none"/>
          <w:lang w:val="en-US" w:eastAsia="zh-CN"/>
        </w:rPr>
      </w:pPr>
    </w:p>
    <w:p>
      <w:pPr>
        <w:spacing w:line="360" w:lineRule="auto"/>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6"/>
        <w:spacing w:line="360" w:lineRule="auto"/>
        <w:jc w:val="center"/>
        <w:rPr>
          <w:rFonts w:hint="eastAsia" w:ascii="仿宋" w:hAnsi="仿宋" w:eastAsia="仿宋" w:cs="仿宋_GB2312"/>
          <w:color w:val="auto"/>
          <w:sz w:val="28"/>
          <w:szCs w:val="28"/>
          <w:highlight w:val="none"/>
        </w:rPr>
      </w:pPr>
    </w:p>
    <w:p>
      <w:pPr>
        <w:pStyle w:val="6"/>
        <w:spacing w:line="360" w:lineRule="auto"/>
        <w:jc w:val="center"/>
        <w:rPr>
          <w:rFonts w:hint="eastAsia" w:ascii="仿宋" w:hAnsi="仿宋" w:eastAsia="仿宋" w:cs="仿宋_GB2312"/>
          <w:color w:val="auto"/>
          <w:sz w:val="28"/>
          <w:szCs w:val="28"/>
          <w:highlight w:val="none"/>
        </w:rPr>
      </w:pPr>
    </w:p>
    <w:p>
      <w:pPr>
        <w:pStyle w:val="47"/>
        <w:rPr>
          <w:rFonts w:hint="default"/>
          <w:color w:val="auto"/>
          <w:highlight w:val="none"/>
          <w:lang w:val="en-US" w:eastAsia="zh-CN"/>
        </w:rPr>
      </w:pPr>
    </w:p>
    <w:p>
      <w:pPr>
        <w:pStyle w:val="2"/>
        <w:rPr>
          <w:rFonts w:hint="default"/>
          <w:color w:val="auto"/>
          <w:highlight w:val="none"/>
          <w:lang w:val="en-US" w:eastAsia="zh-CN"/>
        </w:rPr>
      </w:pPr>
    </w:p>
    <w:p>
      <w:pPr>
        <w:pStyle w:val="3"/>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pStyle w:val="3"/>
        <w:rPr>
          <w:rFonts w:hint="default"/>
          <w:color w:val="auto"/>
          <w:highlight w:val="none"/>
          <w:lang w:val="en-US" w:eastAsia="zh-CN"/>
        </w:rPr>
      </w:pPr>
    </w:p>
    <w:p>
      <w:pPr>
        <w:pStyle w:val="2"/>
        <w:rPr>
          <w:rFonts w:hint="default"/>
          <w:color w:val="auto"/>
          <w:highlight w:val="none"/>
          <w:lang w:val="en-US" w:eastAsia="zh-CN"/>
        </w:rPr>
      </w:pPr>
    </w:p>
    <w:p>
      <w:pPr>
        <w:pStyle w:val="3"/>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spacing w:line="360" w:lineRule="auto"/>
        <w:rPr>
          <w:rFonts w:hint="eastAsia" w:ascii="宋体" w:hAnsi="宋体" w:cs="宋体"/>
          <w:b/>
          <w:bCs/>
          <w:color w:val="auto"/>
          <w:szCs w:val="21"/>
          <w:highlight w:val="none"/>
        </w:rPr>
      </w:pPr>
    </w:p>
    <w:p>
      <w:pPr>
        <w:pStyle w:val="23"/>
        <w:rPr>
          <w:rFonts w:ascii="仿宋_GB2312" w:eastAsia="仿宋_GB2312"/>
          <w:color w:val="auto"/>
          <w:sz w:val="28"/>
          <w:szCs w:val="28"/>
          <w:highlight w:val="none"/>
        </w:rPr>
      </w:pPr>
    </w:p>
    <w:p>
      <w:pPr>
        <w:pStyle w:val="4"/>
        <w:rPr>
          <w:color w:val="auto"/>
          <w:highlight w:val="none"/>
        </w:rPr>
      </w:pPr>
      <w:bookmarkStart w:id="147" w:name="_Toc1563"/>
      <w:bookmarkStart w:id="148" w:name="_Toc12169"/>
      <w:bookmarkStart w:id="149" w:name="_Toc28358"/>
      <w:bookmarkStart w:id="150" w:name="_Toc5129"/>
      <w:bookmarkStart w:id="151" w:name="_Toc30824"/>
      <w:bookmarkStart w:id="152" w:name="_Toc16552"/>
      <w:bookmarkStart w:id="153" w:name="_Toc23515"/>
      <w:bookmarkStart w:id="154" w:name="_Toc8147"/>
      <w:bookmarkStart w:id="155" w:name="_Toc6230"/>
      <w:bookmarkStart w:id="156" w:name="_Toc3723"/>
      <w:bookmarkStart w:id="157" w:name="_Toc218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11"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65oEOP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10"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lB96u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147"/>
      <w:bookmarkEnd w:id="148"/>
      <w:bookmarkEnd w:id="149"/>
      <w:bookmarkEnd w:id="150"/>
      <w:bookmarkEnd w:id="151"/>
      <w:bookmarkEnd w:id="152"/>
      <w:bookmarkEnd w:id="153"/>
      <w:bookmarkEnd w:id="154"/>
      <w:bookmarkEnd w:id="155"/>
      <w:bookmarkEnd w:id="156"/>
      <w:bookmarkEnd w:id="157"/>
    </w:p>
    <w:p>
      <w:pPr>
        <w:pStyle w:val="37"/>
        <w:rPr>
          <w:color w:val="auto"/>
          <w:highlight w:val="none"/>
        </w:rPr>
      </w:pPr>
    </w:p>
    <w:p>
      <w:pPr>
        <w:pStyle w:val="4"/>
        <w:rPr>
          <w:color w:val="auto"/>
          <w:highlight w:val="none"/>
        </w:rPr>
      </w:pPr>
      <w:bookmarkStart w:id="158" w:name="_Toc24815"/>
      <w:bookmarkStart w:id="159" w:name="_Toc12610"/>
      <w:bookmarkStart w:id="160" w:name="_Toc31564"/>
      <w:bookmarkStart w:id="161" w:name="_Toc21675"/>
      <w:bookmarkStart w:id="162" w:name="_Toc30157"/>
      <w:bookmarkStart w:id="163" w:name="_Toc17119"/>
      <w:bookmarkStart w:id="164" w:name="_Toc22764"/>
      <w:bookmarkStart w:id="165" w:name="_Toc10840"/>
      <w:bookmarkStart w:id="166" w:name="_Toc5342"/>
      <w:bookmarkStart w:id="167" w:name="_Toc24490"/>
      <w:bookmarkStart w:id="168" w:name="_Toc88209951"/>
      <w:bookmarkStart w:id="169" w:name="_Toc12769"/>
      <w:bookmarkStart w:id="170" w:name="_Toc87616388"/>
      <w:r>
        <w:rPr>
          <w:rFonts w:hint="eastAsia"/>
          <w:color w:val="auto"/>
          <w:highlight w:val="none"/>
        </w:rPr>
        <w:t>响应文件</w:t>
      </w:r>
      <w:r>
        <w:rPr>
          <w:rFonts w:hint="eastAsia"/>
          <w:color w:val="auto"/>
          <w:highlight w:val="none"/>
          <w:lang w:val="en-US" w:eastAsia="zh-CN"/>
        </w:rPr>
        <w:t>格式要求</w:t>
      </w:r>
      <w:bookmarkEnd w:id="158"/>
      <w:bookmarkEnd w:id="159"/>
      <w:bookmarkEnd w:id="160"/>
      <w:bookmarkEnd w:id="161"/>
      <w:bookmarkEnd w:id="162"/>
      <w:bookmarkEnd w:id="163"/>
      <w:bookmarkEnd w:id="164"/>
      <w:bookmarkEnd w:id="165"/>
      <w:bookmarkEnd w:id="166"/>
      <w:bookmarkEnd w:id="167"/>
      <w:bookmarkEnd w:id="168"/>
      <w:bookmarkEnd w:id="169"/>
      <w:bookmarkEnd w:id="1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2"/>
        <w:rPr>
          <w:rFonts w:hint="eastAsia"/>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1" w:name="_Toc88209952"/>
      <w:bookmarkStart w:id="172" w:name="_Toc87616389"/>
      <w:r>
        <w:rPr>
          <w:rFonts w:hint="eastAsia" w:ascii="仿宋_GB2312" w:eastAsia="仿宋_GB2312"/>
          <w:color w:val="auto"/>
          <w:sz w:val="28"/>
          <w:szCs w:val="28"/>
          <w:highlight w:val="none"/>
        </w:rPr>
        <w:t>1.响应函</w:t>
      </w:r>
      <w:bookmarkEnd w:id="171"/>
      <w:bookmarkEnd w:id="172"/>
    </w:p>
    <w:p>
      <w:pPr>
        <w:spacing w:line="600" w:lineRule="exact"/>
        <w:rPr>
          <w:rFonts w:hint="eastAsia" w:ascii="仿宋_GB2312" w:eastAsia="仿宋_GB2312"/>
          <w:color w:val="auto"/>
          <w:sz w:val="28"/>
          <w:szCs w:val="28"/>
          <w:highlight w:val="none"/>
        </w:rPr>
      </w:pPr>
      <w:bookmarkStart w:id="173" w:name="_Toc87616390"/>
      <w:bookmarkStart w:id="174" w:name="_Toc88209953"/>
      <w:r>
        <w:rPr>
          <w:rFonts w:hint="eastAsia" w:ascii="仿宋_GB2312" w:eastAsia="仿宋_GB2312"/>
          <w:color w:val="auto"/>
          <w:sz w:val="28"/>
          <w:szCs w:val="28"/>
          <w:highlight w:val="none"/>
        </w:rPr>
        <w:t>2.法定代表人证明或授权委托书</w:t>
      </w:r>
      <w:bookmarkEnd w:id="173"/>
      <w:bookmarkEnd w:id="174"/>
      <w:bookmarkStart w:id="175" w:name="_Toc87616393"/>
      <w:bookmarkStart w:id="17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5"/>
      <w:bookmarkEnd w:id="17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7" w:name="_Toc87616394"/>
      <w:bookmarkStart w:id="178" w:name="_Toc6313"/>
      <w:bookmarkStart w:id="179" w:name="_Toc12665"/>
      <w:bookmarkStart w:id="180" w:name="_Toc88209957"/>
      <w:bookmarkStart w:id="181" w:name="_Toc28619645"/>
      <w:r>
        <w:rPr>
          <w:rFonts w:hint="eastAsia" w:asciiTheme="minorEastAsia" w:hAnsiTheme="minorEastAsia" w:eastAsiaTheme="minorEastAsia"/>
          <w:color w:val="auto"/>
          <w:sz w:val="28"/>
          <w:szCs w:val="28"/>
          <w:highlight w:val="none"/>
        </w:rPr>
        <w:t>1.响应函</w:t>
      </w:r>
      <w:bookmarkEnd w:id="177"/>
      <w:bookmarkEnd w:id="178"/>
      <w:bookmarkEnd w:id="179"/>
      <w:bookmarkEnd w:id="180"/>
      <w:bookmarkEnd w:id="18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82" w:name="_Toc87616395"/>
      <w:bookmarkStart w:id="183" w:name="_Toc22527"/>
      <w:bookmarkStart w:id="184" w:name="_Toc88209958"/>
      <w:bookmarkStart w:id="185" w:name="_Toc29833"/>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6"/>
        <w:keepNext/>
        <w:keepLines/>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bookmarkEnd w:id="182"/>
    <w:bookmarkEnd w:id="183"/>
    <w:bookmarkEnd w:id="184"/>
    <w:bookmarkEnd w:id="185"/>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Kvj0uN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7FfX5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6"/>
        <w:rPr>
          <w:rFonts w:asciiTheme="minorEastAsia" w:hAnsiTheme="minorEastAsia" w:eastAsiaTheme="minorEastAsia"/>
          <w:color w:val="auto"/>
          <w:sz w:val="28"/>
          <w:szCs w:val="28"/>
          <w:highlight w:val="none"/>
        </w:rPr>
      </w:pPr>
      <w:bookmarkStart w:id="186" w:name="_Toc88209963"/>
      <w:bookmarkStart w:id="187" w:name="_Toc87616400"/>
      <w:bookmarkStart w:id="188" w:name="_Toc8086"/>
      <w:bookmarkStart w:id="18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6"/>
      <w:bookmarkEnd w:id="187"/>
      <w:bookmarkEnd w:id="188"/>
      <w:bookmarkEnd w:id="18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9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广州市净水有限公司大坦沙分公司2024年三期仓库电梯采购项目（第二次）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right"/>
        <w:rPr>
          <w:rFonts w:hint="eastAsia" w:ascii="仿宋_GB2312" w:eastAsia="仿宋_GB2312" w:hAnsiTheme="minorEastAsia"/>
          <w:color w:val="auto"/>
          <w:sz w:val="28"/>
          <w:szCs w:val="28"/>
          <w:highlight w:val="none"/>
          <w:lang w:val="en-US" w:eastAsia="zh-CN"/>
        </w:rPr>
      </w:pPr>
      <w:bookmarkStart w:id="191" w:name="_Toc19423"/>
      <w:bookmarkStart w:id="192" w:name="_Toc32430"/>
    </w:p>
    <w:p>
      <w:pPr>
        <w:pStyle w:val="6"/>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1"/>
      <w:bookmarkEnd w:id="192"/>
    </w:p>
    <w:tbl>
      <w:tblPr>
        <w:tblStyle w:val="24"/>
        <w:tblW w:w="0" w:type="auto"/>
        <w:tblInd w:w="0" w:type="dxa"/>
        <w:tblLayout w:type="fixed"/>
        <w:tblCellMar>
          <w:top w:w="0" w:type="dxa"/>
          <w:left w:w="108" w:type="dxa"/>
          <w:bottom w:w="0" w:type="dxa"/>
          <w:right w:w="108" w:type="dxa"/>
        </w:tblCellMar>
      </w:tblPr>
      <w:tblGrid>
        <w:gridCol w:w="615"/>
        <w:gridCol w:w="1016"/>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615"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016"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615"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1016"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513" w:hRule="atLeast"/>
        </w:trPr>
        <w:tc>
          <w:tcPr>
            <w:tcW w:w="6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10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pStyle w:val="23"/>
        <w:rPr>
          <w:rFonts w:hint="default"/>
          <w:color w:val="auto"/>
          <w:highlight w:val="none"/>
          <w:lang w:val="en-US"/>
        </w:rPr>
      </w:pPr>
    </w:p>
    <w:p>
      <w:pPr>
        <w:pStyle w:val="6"/>
        <w:rPr>
          <w:rFonts w:hint="eastAsia" w:eastAsiaTheme="majorEastAsia"/>
          <w:color w:val="auto"/>
          <w:highlight w:val="none"/>
          <w:lang w:val="en-US" w:eastAsia="zh-CN"/>
        </w:rPr>
      </w:pPr>
      <w:bookmarkStart w:id="193" w:name="_Toc6058"/>
      <w:bookmarkStart w:id="194" w:name="_Toc87616402"/>
      <w:bookmarkStart w:id="195" w:name="_Toc88209965"/>
      <w:bookmarkStart w:id="196" w:name="_Toc16386"/>
    </w:p>
    <w:p>
      <w:pPr>
        <w:pStyle w:val="6"/>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6</w:t>
      </w:r>
      <w:r>
        <w:rPr>
          <w:rFonts w:hint="eastAsia" w:ascii="仿宋_GB2312" w:eastAsia="仿宋_GB2312" w:hAnsiTheme="minorEastAsia"/>
          <w:color w:val="auto"/>
          <w:sz w:val="28"/>
          <w:szCs w:val="28"/>
          <w:highlight w:val="none"/>
        </w:rPr>
        <w:t>.其他资料</w:t>
      </w:r>
      <w:bookmarkEnd w:id="193"/>
      <w:bookmarkEnd w:id="194"/>
      <w:bookmarkEnd w:id="195"/>
      <w:bookmarkEnd w:id="196"/>
    </w:p>
    <w:p>
      <w:pPr>
        <w:numPr>
          <w:ilvl w:val="-1"/>
          <w:numId w:val="0"/>
        </w:numPr>
        <w:adjustRightInd w:val="0"/>
        <w:snapToGrid w:val="0"/>
        <w:spacing w:line="600" w:lineRule="exact"/>
        <w:ind w:firstLine="570" w:firstLineChars="0"/>
        <w:rPr>
          <w:rFonts w:hint="default" w:ascii="仿宋_GB2312" w:eastAsia="仿宋_GB2312" w:hAnsiTheme="minorEastAsia" w:cstheme="minorBidi"/>
          <w:color w:val="auto"/>
          <w:kern w:val="2"/>
          <w:sz w:val="28"/>
          <w:szCs w:val="28"/>
          <w:highlight w:val="none"/>
          <w:lang w:val="en-US" w:eastAsia="zh-CN" w:bidi="ar-SA"/>
        </w:rPr>
      </w:pPr>
      <w:r>
        <w:rPr>
          <w:rFonts w:hint="default" w:ascii="仿宋_GB2312" w:eastAsia="仿宋_GB2312" w:hAnsiTheme="minorEastAsia"/>
          <w:color w:val="auto"/>
          <w:sz w:val="28"/>
          <w:szCs w:val="28"/>
          <w:highlight w:val="none"/>
          <w:lang w:val="en-US" w:eastAsia="zh-CN"/>
        </w:rPr>
        <w:t>（1）</w:t>
      </w:r>
      <w:r>
        <w:rPr>
          <w:rFonts w:hint="default" w:ascii="仿宋_GB2312" w:eastAsia="仿宋_GB2312" w:hAnsiTheme="minorEastAsia" w:cstheme="minorBidi"/>
          <w:color w:val="auto"/>
          <w:kern w:val="2"/>
          <w:sz w:val="28"/>
          <w:szCs w:val="28"/>
          <w:highlight w:val="none"/>
          <w:lang w:val="en-US" w:eastAsia="zh-CN" w:bidi="ar-SA"/>
        </w:rPr>
        <w:t>电梯不能安装任何远程控制或远程监控的设备功能，并由设备厂家出具承诺函保证。（递交响应文件时提供，加盖设备厂家公章）</w:t>
      </w:r>
    </w:p>
    <w:p>
      <w:pPr>
        <w:pStyle w:val="2"/>
        <w:numPr>
          <w:ilvl w:val="0"/>
          <w:numId w:val="0"/>
        </w:numPr>
        <w:spacing w:line="276" w:lineRule="auto"/>
        <w:ind w:firstLine="560" w:firstLineChars="200"/>
        <w:rPr>
          <w:rFonts w:hint="default" w:ascii="仿宋_GB2312" w:eastAsia="仿宋_GB2312" w:hAnsiTheme="minorEastAsia" w:cstheme="minorBidi"/>
          <w:color w:val="auto"/>
          <w:kern w:val="2"/>
          <w:sz w:val="28"/>
          <w:szCs w:val="28"/>
          <w:highlight w:val="none"/>
          <w:lang w:val="en-US" w:eastAsia="zh-CN"/>
        </w:rPr>
      </w:pPr>
      <w:r>
        <w:rPr>
          <w:rFonts w:hint="eastAsia" w:ascii="仿宋_GB2312" w:eastAsia="仿宋_GB2312" w:hAnsiTheme="minorEastAsia" w:cstheme="minorBidi"/>
          <w:color w:val="auto"/>
          <w:kern w:val="2"/>
          <w:sz w:val="28"/>
          <w:szCs w:val="28"/>
          <w:highlight w:val="none"/>
          <w:lang w:val="en-US" w:eastAsia="zh-CN" w:bidi="ar-SA"/>
        </w:rPr>
        <w:t>（2）</w:t>
      </w:r>
      <w:r>
        <w:rPr>
          <w:rFonts w:hint="default" w:ascii="仿宋_GB2312" w:eastAsia="仿宋_GB2312" w:hAnsiTheme="minorEastAsia" w:cstheme="minorBidi"/>
          <w:color w:val="auto"/>
          <w:kern w:val="2"/>
          <w:sz w:val="28"/>
          <w:szCs w:val="28"/>
          <w:highlight w:val="none"/>
          <w:lang w:val="en-US" w:eastAsia="zh-CN" w:bidi="ar-SA"/>
        </w:rPr>
        <w:t>递交响应文件时须提供货梯</w:t>
      </w:r>
      <w:r>
        <w:rPr>
          <w:rFonts w:hint="default" w:ascii="仿宋_GB2312" w:eastAsia="仿宋_GB2312" w:hAnsiTheme="minorEastAsia" w:cstheme="minorBidi"/>
          <w:color w:val="auto"/>
          <w:kern w:val="2"/>
          <w:sz w:val="28"/>
          <w:szCs w:val="28"/>
          <w:highlight w:val="none"/>
          <w:lang w:val="en-US" w:eastAsia="zh-CN"/>
        </w:rPr>
        <w:t>技术规格表</w:t>
      </w:r>
      <w:r>
        <w:rPr>
          <w:rFonts w:hint="eastAsia" w:ascii="仿宋" w:hAnsi="仿宋" w:eastAsia="仿宋" w:cs="仿宋"/>
          <w:color w:val="auto"/>
          <w:sz w:val="28"/>
          <w:szCs w:val="28"/>
          <w:highlight w:val="none"/>
          <w:u w:val="single"/>
          <w:lang w:val="en-US" w:eastAsia="zh-CN"/>
        </w:rPr>
        <w:t>、型式试验合格证及售前井道图等资料，用于证明应标设备技术参数满足或优于本项目技术需求</w:t>
      </w:r>
      <w:r>
        <w:rPr>
          <w:rFonts w:hint="default" w:ascii="仿宋_GB2312" w:eastAsia="仿宋_GB2312" w:hAnsiTheme="minorEastAsia" w:cstheme="minorBidi"/>
          <w:color w:val="auto"/>
          <w:kern w:val="2"/>
          <w:sz w:val="28"/>
          <w:szCs w:val="28"/>
          <w:highlight w:val="none"/>
          <w:lang w:val="en-US" w:eastAsia="zh-CN"/>
        </w:rPr>
        <w:t>。（加盖单位公章</w:t>
      </w:r>
      <w:r>
        <w:rPr>
          <w:rFonts w:hint="eastAsia" w:ascii="仿宋_GB2312" w:eastAsia="仿宋_GB2312" w:hAnsiTheme="minorEastAsia" w:cstheme="minorBidi"/>
          <w:color w:val="auto"/>
          <w:kern w:val="2"/>
          <w:sz w:val="28"/>
          <w:szCs w:val="28"/>
          <w:highlight w:val="none"/>
          <w:lang w:val="en-US" w:eastAsia="zh-CN"/>
        </w:rPr>
        <w:t>，</w:t>
      </w:r>
      <w:r>
        <w:rPr>
          <w:rFonts w:hint="eastAsia" w:ascii="仿宋" w:hAnsi="仿宋" w:eastAsia="仿宋" w:cs="仿宋"/>
          <w:color w:val="auto"/>
          <w:sz w:val="28"/>
          <w:szCs w:val="28"/>
          <w:highlight w:val="none"/>
          <w:u w:val="single"/>
          <w:lang w:val="en-US" w:eastAsia="zh-CN"/>
        </w:rPr>
        <w:t>资料模糊不清视作不符合要求</w:t>
      </w:r>
      <w:r>
        <w:rPr>
          <w:rFonts w:hint="default" w:ascii="仿宋_GB2312" w:eastAsia="仿宋_GB2312" w:hAnsiTheme="minorEastAsia" w:cstheme="minorBidi"/>
          <w:color w:val="auto"/>
          <w:kern w:val="2"/>
          <w:sz w:val="28"/>
          <w:szCs w:val="28"/>
          <w:highlight w:val="none"/>
          <w:lang w:val="en-US" w:eastAsia="zh-CN"/>
        </w:rPr>
        <w:t>）</w:t>
      </w:r>
    </w:p>
    <w:p>
      <w:pPr>
        <w:pStyle w:val="3"/>
        <w:numPr>
          <w:ilvl w:val="0"/>
          <w:numId w:val="0"/>
        </w:numPr>
        <w:spacing w:line="276" w:lineRule="auto"/>
        <w:ind w:firstLine="560" w:firstLineChars="200"/>
        <w:rPr>
          <w:rFonts w:hint="default" w:ascii="仿宋_GB2312" w:eastAsia="仿宋_GB2312" w:hAnsiTheme="minorEastAsia" w:cstheme="minorBidi"/>
          <w:color w:val="auto"/>
          <w:kern w:val="2"/>
          <w:sz w:val="28"/>
          <w:szCs w:val="28"/>
          <w:highlight w:val="none"/>
          <w:lang w:val="en-US" w:eastAsia="zh-CN" w:bidi="ar-SA"/>
        </w:rPr>
      </w:pPr>
      <w:r>
        <w:rPr>
          <w:rFonts w:hint="default" w:ascii="仿宋_GB2312" w:eastAsia="仿宋_GB2312" w:hAnsiTheme="minorEastAsia" w:cstheme="minorBidi"/>
          <w:color w:val="auto"/>
          <w:sz w:val="28"/>
          <w:szCs w:val="28"/>
          <w:highlight w:val="none"/>
          <w:lang w:val="en-US" w:eastAsia="zh-CN"/>
        </w:rPr>
        <w:t>（3）若由设备厂家提供三包维保，设备厂家应具备电梯维保资质和能力，并由设备厂家提供承诺函证明由原厂提供维保服务。</w:t>
      </w:r>
      <w:r>
        <w:rPr>
          <w:rFonts w:hint="eastAsia" w:ascii="仿宋_GB2312" w:eastAsia="仿宋_GB2312" w:hAnsiTheme="minorEastAsia" w:cstheme="minorBidi"/>
          <w:color w:val="auto"/>
          <w:sz w:val="28"/>
          <w:szCs w:val="28"/>
          <w:highlight w:val="none"/>
          <w:lang w:val="en-US" w:eastAsia="zh-CN"/>
        </w:rPr>
        <w:t>（</w:t>
      </w:r>
      <w:r>
        <w:rPr>
          <w:rFonts w:hint="default" w:ascii="仿宋_GB2312" w:eastAsia="仿宋_GB2312" w:hAnsiTheme="minorEastAsia" w:cstheme="minorBidi"/>
          <w:color w:val="auto"/>
          <w:kern w:val="2"/>
          <w:sz w:val="28"/>
          <w:szCs w:val="28"/>
          <w:highlight w:val="none"/>
          <w:lang w:val="en-US" w:eastAsia="zh-CN" w:bidi="ar-SA"/>
        </w:rPr>
        <w:t>加盖设备厂家公章）</w:t>
      </w:r>
    </w:p>
    <w:p>
      <w:pPr>
        <w:adjustRightInd w:val="0"/>
        <w:snapToGrid w:val="0"/>
        <w:spacing w:line="600" w:lineRule="exact"/>
        <w:ind w:firstLine="560" w:firstLineChars="200"/>
        <w:rPr>
          <w:rFonts w:hint="eastAsia" w:ascii="仿宋_GB2312" w:eastAsia="仿宋_GB2312"/>
          <w:sz w:val="28"/>
          <w:szCs w:val="28"/>
          <w:lang w:val="en-US" w:eastAsia="zh-CN"/>
        </w:rPr>
      </w:pPr>
      <w:r>
        <w:rPr>
          <w:rFonts w:hint="default"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4</w:t>
      </w:r>
      <w:r>
        <w:rPr>
          <w:rFonts w:hint="default" w:ascii="仿宋_GB2312" w:eastAsia="仿宋_GB2312" w:hAnsiTheme="minorEastAsia"/>
          <w:color w:val="auto"/>
          <w:sz w:val="28"/>
          <w:szCs w:val="28"/>
          <w:highlight w:val="none"/>
          <w:lang w:eastAsia="zh-CN"/>
        </w:rPr>
        <w:t>）</w:t>
      </w:r>
      <w:r>
        <w:rPr>
          <w:rFonts w:hint="eastAsia" w:ascii="仿宋_GB2312" w:eastAsia="仿宋_GB2312"/>
          <w:sz w:val="28"/>
          <w:szCs w:val="28"/>
        </w:rPr>
        <w:t>应具有设备厂家</w:t>
      </w:r>
      <w:r>
        <w:rPr>
          <w:rFonts w:hint="eastAsia" w:ascii="仿宋_GB2312" w:eastAsia="仿宋_GB2312"/>
          <w:sz w:val="28"/>
          <w:szCs w:val="28"/>
          <w:lang w:val="en-US" w:eastAsia="zh-CN"/>
        </w:rPr>
        <w:t>授予针对本项目的唯一项目授权书。</w:t>
      </w:r>
    </w:p>
    <w:p>
      <w:pPr>
        <w:adjustRightInd w:val="0"/>
        <w:snapToGrid w:val="0"/>
        <w:spacing w:line="600" w:lineRule="exact"/>
        <w:ind w:firstLine="560" w:firstLineChars="200"/>
        <w:rPr>
          <w:color w:val="auto"/>
          <w:highlight w:val="none"/>
        </w:rPr>
      </w:pP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5）</w:t>
      </w:r>
      <w:r>
        <w:rPr>
          <w:rFonts w:ascii="仿宋_GB2312" w:eastAsia="仿宋_GB2312" w:hAnsiTheme="minorEastAsia"/>
          <w:color w:val="auto"/>
          <w:sz w:val="28"/>
          <w:szCs w:val="28"/>
          <w:highlight w:val="none"/>
        </w:rPr>
        <w:t>供应商须提交的其他资料</w:t>
      </w:r>
      <w:r>
        <w:rPr>
          <w:rFonts w:hint="default" w:ascii="仿宋_GB2312" w:eastAsia="仿宋_GB2312" w:hAnsiTheme="minorEastAsia"/>
          <w:color w:val="auto"/>
          <w:sz w:val="28"/>
          <w:szCs w:val="28"/>
          <w:highlight w:val="none"/>
        </w:rPr>
        <w:t>。</w:t>
      </w: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3x0sk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ffHS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Jl58oBAACa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psRxixM///xx/vXn/Ps7&#10;uc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sJl58oBAACaAwAADgAAAAAAAAABACAAAAAeAQAAZHJzL2Uyb0Rv&#10;Yy54bWxQSwUGAAAAAAYABgBZAQAAWg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JhYcoBAACa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psRxixM///xx/vXn/Ps7&#10;uc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vJhYcoBAACaAwAADgAAAAAAAAABACAAAAAeAQAAZHJzL2Uyb0Rv&#10;Yy54bWxQSwUGAAAAAAYABgBZAQAAWg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oCbO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qgJs7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F2C2459"/>
    <w:multiLevelType w:val="singleLevel"/>
    <w:tmpl w:val="0F2C2459"/>
    <w:lvl w:ilvl="0" w:tentative="0">
      <w:start w:val="1"/>
      <w:numFmt w:val="decimal"/>
      <w:suff w:val="nothing"/>
      <w:lvlText w:val="%1、"/>
      <w:lvlJc w:val="left"/>
    </w:lvl>
  </w:abstractNum>
  <w:abstractNum w:abstractNumId="2">
    <w:nsid w:val="1C85AF1B"/>
    <w:multiLevelType w:val="singleLevel"/>
    <w:tmpl w:val="1C85AF1B"/>
    <w:lvl w:ilvl="0" w:tentative="0">
      <w:start w:val="3"/>
      <w:numFmt w:val="chineseCounting"/>
      <w:suff w:val="nothing"/>
      <w:lvlText w:val="（%1）"/>
      <w:lvlJc w:val="left"/>
      <w:rPr>
        <w:rFonts w:hint="eastAsia"/>
      </w:rPr>
    </w:lvl>
  </w:abstractNum>
  <w:abstractNum w:abstractNumId="3">
    <w:nsid w:val="2D281E3D"/>
    <w:multiLevelType w:val="singleLevel"/>
    <w:tmpl w:val="2D281E3D"/>
    <w:lvl w:ilvl="0" w:tentative="0">
      <w:start w:val="1"/>
      <w:numFmt w:val="decimal"/>
      <w:suff w:val="nothing"/>
      <w:lvlText w:val="%1、"/>
      <w:lvlJc w:val="left"/>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7"/>
  </w:num>
  <w:num w:numId="3">
    <w:abstractNumId w:val="4"/>
  </w:num>
  <w:num w:numId="4">
    <w:abstractNumId w:val="6"/>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8953F8"/>
    <w:rsid w:val="00911ECD"/>
    <w:rsid w:val="00A042E0"/>
    <w:rsid w:val="00B26BB1"/>
    <w:rsid w:val="00B26E21"/>
    <w:rsid w:val="00B741D7"/>
    <w:rsid w:val="00CB3927"/>
    <w:rsid w:val="00D4533C"/>
    <w:rsid w:val="00F83B64"/>
    <w:rsid w:val="011A39D8"/>
    <w:rsid w:val="013E3461"/>
    <w:rsid w:val="01BB0F13"/>
    <w:rsid w:val="01BE7323"/>
    <w:rsid w:val="02090C75"/>
    <w:rsid w:val="02A23A3C"/>
    <w:rsid w:val="02FB196F"/>
    <w:rsid w:val="035D130A"/>
    <w:rsid w:val="039110A9"/>
    <w:rsid w:val="03AC246A"/>
    <w:rsid w:val="03AE6061"/>
    <w:rsid w:val="03B23056"/>
    <w:rsid w:val="03D33559"/>
    <w:rsid w:val="03DA023E"/>
    <w:rsid w:val="03DC3EBA"/>
    <w:rsid w:val="03F9794D"/>
    <w:rsid w:val="041D42E4"/>
    <w:rsid w:val="046A2461"/>
    <w:rsid w:val="051C2970"/>
    <w:rsid w:val="060C3611"/>
    <w:rsid w:val="06C64829"/>
    <w:rsid w:val="070E7B6E"/>
    <w:rsid w:val="071D62B7"/>
    <w:rsid w:val="076F3D07"/>
    <w:rsid w:val="077D16D2"/>
    <w:rsid w:val="082A69F3"/>
    <w:rsid w:val="08406483"/>
    <w:rsid w:val="08675FC8"/>
    <w:rsid w:val="090441B5"/>
    <w:rsid w:val="092F40C7"/>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36130"/>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2F83C31"/>
    <w:rsid w:val="131840FB"/>
    <w:rsid w:val="13467417"/>
    <w:rsid w:val="136E76CF"/>
    <w:rsid w:val="1424395D"/>
    <w:rsid w:val="145F08C6"/>
    <w:rsid w:val="14E43F59"/>
    <w:rsid w:val="15776308"/>
    <w:rsid w:val="15880428"/>
    <w:rsid w:val="15973CBB"/>
    <w:rsid w:val="15BC6B3C"/>
    <w:rsid w:val="15EC2C59"/>
    <w:rsid w:val="16360A7B"/>
    <w:rsid w:val="164D40B0"/>
    <w:rsid w:val="16704C38"/>
    <w:rsid w:val="1694429A"/>
    <w:rsid w:val="175D5EBE"/>
    <w:rsid w:val="17635326"/>
    <w:rsid w:val="178D4AD1"/>
    <w:rsid w:val="17B803EA"/>
    <w:rsid w:val="1815096B"/>
    <w:rsid w:val="18236EFD"/>
    <w:rsid w:val="18377249"/>
    <w:rsid w:val="185D743E"/>
    <w:rsid w:val="189D5B1F"/>
    <w:rsid w:val="18A34CD0"/>
    <w:rsid w:val="18C1177B"/>
    <w:rsid w:val="19A53EA8"/>
    <w:rsid w:val="19B64DBC"/>
    <w:rsid w:val="19EC6A4A"/>
    <w:rsid w:val="1A373ACF"/>
    <w:rsid w:val="1A7B10BA"/>
    <w:rsid w:val="1A895341"/>
    <w:rsid w:val="1B0D071F"/>
    <w:rsid w:val="1B4568CE"/>
    <w:rsid w:val="1B8151F1"/>
    <w:rsid w:val="1B9015B7"/>
    <w:rsid w:val="1B950DA6"/>
    <w:rsid w:val="1BF54245"/>
    <w:rsid w:val="1C762AA7"/>
    <w:rsid w:val="1CB63A5C"/>
    <w:rsid w:val="1D0E6976"/>
    <w:rsid w:val="1D5A79EE"/>
    <w:rsid w:val="1D83629B"/>
    <w:rsid w:val="1E0E2CD0"/>
    <w:rsid w:val="1E164317"/>
    <w:rsid w:val="1E6E2769"/>
    <w:rsid w:val="1E831280"/>
    <w:rsid w:val="1E8A6AB3"/>
    <w:rsid w:val="1EBC4704"/>
    <w:rsid w:val="1EE522C8"/>
    <w:rsid w:val="1EE91A2B"/>
    <w:rsid w:val="1F172EB5"/>
    <w:rsid w:val="1F22070B"/>
    <w:rsid w:val="1F94592D"/>
    <w:rsid w:val="1FB860DE"/>
    <w:rsid w:val="203C5A02"/>
    <w:rsid w:val="209D4C94"/>
    <w:rsid w:val="20B44FCD"/>
    <w:rsid w:val="20E84705"/>
    <w:rsid w:val="21303941"/>
    <w:rsid w:val="218400BA"/>
    <w:rsid w:val="21AB1E2F"/>
    <w:rsid w:val="21D40498"/>
    <w:rsid w:val="22431452"/>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D33279"/>
    <w:rsid w:val="27EB149D"/>
    <w:rsid w:val="27FD3E52"/>
    <w:rsid w:val="284130B3"/>
    <w:rsid w:val="28620159"/>
    <w:rsid w:val="28E11370"/>
    <w:rsid w:val="294A756A"/>
    <w:rsid w:val="29781BF8"/>
    <w:rsid w:val="297939E2"/>
    <w:rsid w:val="29C33ED0"/>
    <w:rsid w:val="29D5322D"/>
    <w:rsid w:val="29DD3F3B"/>
    <w:rsid w:val="2A025DD9"/>
    <w:rsid w:val="2A2619CB"/>
    <w:rsid w:val="2A7317D3"/>
    <w:rsid w:val="2A777559"/>
    <w:rsid w:val="2A7C2231"/>
    <w:rsid w:val="2A920E4F"/>
    <w:rsid w:val="2ABB753D"/>
    <w:rsid w:val="2AFE6EC4"/>
    <w:rsid w:val="2B345DDC"/>
    <w:rsid w:val="2B3A2FEC"/>
    <w:rsid w:val="2B7A49FA"/>
    <w:rsid w:val="2C615D26"/>
    <w:rsid w:val="2CB679ED"/>
    <w:rsid w:val="2CB73169"/>
    <w:rsid w:val="2CE83C37"/>
    <w:rsid w:val="2CEB2FFC"/>
    <w:rsid w:val="2D173C07"/>
    <w:rsid w:val="2D424A86"/>
    <w:rsid w:val="2DDA66B7"/>
    <w:rsid w:val="2E54633C"/>
    <w:rsid w:val="2E6F2D11"/>
    <w:rsid w:val="2E7B52DB"/>
    <w:rsid w:val="2ED60115"/>
    <w:rsid w:val="2F324CFE"/>
    <w:rsid w:val="2FBA09F1"/>
    <w:rsid w:val="2FEF2ACF"/>
    <w:rsid w:val="2FF93D20"/>
    <w:rsid w:val="30540211"/>
    <w:rsid w:val="30E45100"/>
    <w:rsid w:val="31112A0D"/>
    <w:rsid w:val="3118711F"/>
    <w:rsid w:val="311F4B20"/>
    <w:rsid w:val="312D7741"/>
    <w:rsid w:val="316F137F"/>
    <w:rsid w:val="31741628"/>
    <w:rsid w:val="31815AF3"/>
    <w:rsid w:val="31DF525F"/>
    <w:rsid w:val="31EC162B"/>
    <w:rsid w:val="322B6A86"/>
    <w:rsid w:val="32324C2E"/>
    <w:rsid w:val="327171DF"/>
    <w:rsid w:val="33133EB9"/>
    <w:rsid w:val="3391569E"/>
    <w:rsid w:val="341E3434"/>
    <w:rsid w:val="34945B3E"/>
    <w:rsid w:val="34B025C0"/>
    <w:rsid w:val="34BB4442"/>
    <w:rsid w:val="3584136B"/>
    <w:rsid w:val="35EE5A04"/>
    <w:rsid w:val="35F651A5"/>
    <w:rsid w:val="35FF5AA4"/>
    <w:rsid w:val="360B7EBA"/>
    <w:rsid w:val="3619279E"/>
    <w:rsid w:val="36416867"/>
    <w:rsid w:val="367D5DD4"/>
    <w:rsid w:val="369C32FD"/>
    <w:rsid w:val="36C4095C"/>
    <w:rsid w:val="37666E72"/>
    <w:rsid w:val="38081EA3"/>
    <w:rsid w:val="38167A04"/>
    <w:rsid w:val="381C3783"/>
    <w:rsid w:val="38D004A9"/>
    <w:rsid w:val="394B167A"/>
    <w:rsid w:val="39835DB0"/>
    <w:rsid w:val="39AD34EA"/>
    <w:rsid w:val="39DA2868"/>
    <w:rsid w:val="39DF6BF2"/>
    <w:rsid w:val="3A055F4B"/>
    <w:rsid w:val="3A4E4336"/>
    <w:rsid w:val="3A6007FE"/>
    <w:rsid w:val="3A751F6D"/>
    <w:rsid w:val="3A802587"/>
    <w:rsid w:val="3A852164"/>
    <w:rsid w:val="3A9C399E"/>
    <w:rsid w:val="3AF93D6C"/>
    <w:rsid w:val="3AFD06C8"/>
    <w:rsid w:val="3B477B26"/>
    <w:rsid w:val="3B7C2CE4"/>
    <w:rsid w:val="3BAF716B"/>
    <w:rsid w:val="3BD258C9"/>
    <w:rsid w:val="3C0B5355"/>
    <w:rsid w:val="3C7E7F35"/>
    <w:rsid w:val="3CD4176B"/>
    <w:rsid w:val="3D1F44D9"/>
    <w:rsid w:val="3D5C38CD"/>
    <w:rsid w:val="3E5070F1"/>
    <w:rsid w:val="3E7569E0"/>
    <w:rsid w:val="3EC370CB"/>
    <w:rsid w:val="3F6C3589"/>
    <w:rsid w:val="3F850180"/>
    <w:rsid w:val="3F9004D6"/>
    <w:rsid w:val="3FB179D4"/>
    <w:rsid w:val="3FEE7CFA"/>
    <w:rsid w:val="400E4D5E"/>
    <w:rsid w:val="40E1138C"/>
    <w:rsid w:val="41230975"/>
    <w:rsid w:val="412344D1"/>
    <w:rsid w:val="413814BA"/>
    <w:rsid w:val="41872511"/>
    <w:rsid w:val="41BF069E"/>
    <w:rsid w:val="41DF1251"/>
    <w:rsid w:val="424236D9"/>
    <w:rsid w:val="42466655"/>
    <w:rsid w:val="42C82F57"/>
    <w:rsid w:val="433B4DFB"/>
    <w:rsid w:val="435707E5"/>
    <w:rsid w:val="439927E1"/>
    <w:rsid w:val="43AA2C88"/>
    <w:rsid w:val="43C76AF7"/>
    <w:rsid w:val="43D54C8A"/>
    <w:rsid w:val="43E97E4A"/>
    <w:rsid w:val="440D65DA"/>
    <w:rsid w:val="44330ECF"/>
    <w:rsid w:val="443D3AFC"/>
    <w:rsid w:val="44623522"/>
    <w:rsid w:val="446828F0"/>
    <w:rsid w:val="45093E85"/>
    <w:rsid w:val="450B3BFA"/>
    <w:rsid w:val="45C13B4D"/>
    <w:rsid w:val="45E229F0"/>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015F17"/>
    <w:rsid w:val="4A101B76"/>
    <w:rsid w:val="4A7F3979"/>
    <w:rsid w:val="4ADA1F63"/>
    <w:rsid w:val="4AE23D89"/>
    <w:rsid w:val="4B2038D0"/>
    <w:rsid w:val="4B296E7D"/>
    <w:rsid w:val="4B79394E"/>
    <w:rsid w:val="4B877F28"/>
    <w:rsid w:val="4BF453E8"/>
    <w:rsid w:val="4C9D3ED0"/>
    <w:rsid w:val="4CD200BA"/>
    <w:rsid w:val="4D1D311C"/>
    <w:rsid w:val="4D2044E7"/>
    <w:rsid w:val="4D916BA6"/>
    <w:rsid w:val="4DC44169"/>
    <w:rsid w:val="4DE24E21"/>
    <w:rsid w:val="4E1B19A3"/>
    <w:rsid w:val="4E48787F"/>
    <w:rsid w:val="4E8D5680"/>
    <w:rsid w:val="4EF0709E"/>
    <w:rsid w:val="4F0469A4"/>
    <w:rsid w:val="4F9F566B"/>
    <w:rsid w:val="4FBF5D0D"/>
    <w:rsid w:val="500E56F4"/>
    <w:rsid w:val="50540C73"/>
    <w:rsid w:val="50752AF8"/>
    <w:rsid w:val="50B01CE5"/>
    <w:rsid w:val="513C6A7B"/>
    <w:rsid w:val="513C7DD4"/>
    <w:rsid w:val="517300C9"/>
    <w:rsid w:val="51A31157"/>
    <w:rsid w:val="51B31D16"/>
    <w:rsid w:val="52EC6EC2"/>
    <w:rsid w:val="532D486F"/>
    <w:rsid w:val="5333545B"/>
    <w:rsid w:val="538D0E89"/>
    <w:rsid w:val="53D61893"/>
    <w:rsid w:val="5450213C"/>
    <w:rsid w:val="546711F3"/>
    <w:rsid w:val="546C3825"/>
    <w:rsid w:val="549B23D9"/>
    <w:rsid w:val="54D062C6"/>
    <w:rsid w:val="54D24048"/>
    <w:rsid w:val="54D64CD5"/>
    <w:rsid w:val="5532287C"/>
    <w:rsid w:val="55887D69"/>
    <w:rsid w:val="55EE5D11"/>
    <w:rsid w:val="55F14541"/>
    <w:rsid w:val="56156687"/>
    <w:rsid w:val="561A0928"/>
    <w:rsid w:val="56293EE0"/>
    <w:rsid w:val="56423872"/>
    <w:rsid w:val="569E06BC"/>
    <w:rsid w:val="56B279F0"/>
    <w:rsid w:val="56F20F86"/>
    <w:rsid w:val="57541431"/>
    <w:rsid w:val="57700601"/>
    <w:rsid w:val="579D710E"/>
    <w:rsid w:val="581F22F6"/>
    <w:rsid w:val="58426E4A"/>
    <w:rsid w:val="58466F52"/>
    <w:rsid w:val="586E1E17"/>
    <w:rsid w:val="58862C35"/>
    <w:rsid w:val="589C09D5"/>
    <w:rsid w:val="58C14957"/>
    <w:rsid w:val="58CC23D2"/>
    <w:rsid w:val="58E66050"/>
    <w:rsid w:val="596B36B6"/>
    <w:rsid w:val="59E63F07"/>
    <w:rsid w:val="59FC7994"/>
    <w:rsid w:val="5AE83A50"/>
    <w:rsid w:val="5B353193"/>
    <w:rsid w:val="5B4D68C3"/>
    <w:rsid w:val="5BAB2917"/>
    <w:rsid w:val="5BFC33FA"/>
    <w:rsid w:val="5C3107A4"/>
    <w:rsid w:val="5C337866"/>
    <w:rsid w:val="5C3B1B93"/>
    <w:rsid w:val="5C9220DF"/>
    <w:rsid w:val="5CE908DA"/>
    <w:rsid w:val="5CF13216"/>
    <w:rsid w:val="5D4A15F3"/>
    <w:rsid w:val="5D4E0588"/>
    <w:rsid w:val="5D69542A"/>
    <w:rsid w:val="5D783B72"/>
    <w:rsid w:val="5E0930EF"/>
    <w:rsid w:val="5E0C470E"/>
    <w:rsid w:val="5E3D4D53"/>
    <w:rsid w:val="5E4717E6"/>
    <w:rsid w:val="5E55774C"/>
    <w:rsid w:val="5E8A70FF"/>
    <w:rsid w:val="5F7C3023"/>
    <w:rsid w:val="60045F96"/>
    <w:rsid w:val="60104DDC"/>
    <w:rsid w:val="605C0804"/>
    <w:rsid w:val="60913E6F"/>
    <w:rsid w:val="60A26D69"/>
    <w:rsid w:val="611F0045"/>
    <w:rsid w:val="61733C3E"/>
    <w:rsid w:val="6189617B"/>
    <w:rsid w:val="61B52BB6"/>
    <w:rsid w:val="61B749C2"/>
    <w:rsid w:val="61D94A0C"/>
    <w:rsid w:val="62280D20"/>
    <w:rsid w:val="628801E0"/>
    <w:rsid w:val="629C50CC"/>
    <w:rsid w:val="62B4786E"/>
    <w:rsid w:val="62B86D17"/>
    <w:rsid w:val="62CA2457"/>
    <w:rsid w:val="631303F2"/>
    <w:rsid w:val="637A3FCD"/>
    <w:rsid w:val="638240A1"/>
    <w:rsid w:val="63833423"/>
    <w:rsid w:val="63A5257B"/>
    <w:rsid w:val="63BD3DCC"/>
    <w:rsid w:val="63C61741"/>
    <w:rsid w:val="64560967"/>
    <w:rsid w:val="656B1D10"/>
    <w:rsid w:val="65B220BC"/>
    <w:rsid w:val="65B841F9"/>
    <w:rsid w:val="66022B28"/>
    <w:rsid w:val="664A38E2"/>
    <w:rsid w:val="66581E87"/>
    <w:rsid w:val="666F1DE3"/>
    <w:rsid w:val="66766EBB"/>
    <w:rsid w:val="66FA11D5"/>
    <w:rsid w:val="674302C7"/>
    <w:rsid w:val="677168B3"/>
    <w:rsid w:val="6797067F"/>
    <w:rsid w:val="67CB09D8"/>
    <w:rsid w:val="67EE3B0F"/>
    <w:rsid w:val="680A5986"/>
    <w:rsid w:val="680D5F4B"/>
    <w:rsid w:val="68113F51"/>
    <w:rsid w:val="68B272C7"/>
    <w:rsid w:val="68E94770"/>
    <w:rsid w:val="68EC1CEF"/>
    <w:rsid w:val="68F949C9"/>
    <w:rsid w:val="695259FE"/>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C723F2C"/>
    <w:rsid w:val="6D0F1C2A"/>
    <w:rsid w:val="6D52013C"/>
    <w:rsid w:val="6EBC0B3A"/>
    <w:rsid w:val="6EED597D"/>
    <w:rsid w:val="6EF51C7D"/>
    <w:rsid w:val="6F8363E5"/>
    <w:rsid w:val="6F841DCF"/>
    <w:rsid w:val="6FA80CCD"/>
    <w:rsid w:val="6FAC3CC5"/>
    <w:rsid w:val="6FC746F5"/>
    <w:rsid w:val="6FE33EF5"/>
    <w:rsid w:val="702D1DFB"/>
    <w:rsid w:val="70317AC6"/>
    <w:rsid w:val="704B26F7"/>
    <w:rsid w:val="70697B21"/>
    <w:rsid w:val="70785174"/>
    <w:rsid w:val="70863262"/>
    <w:rsid w:val="70A76ED3"/>
    <w:rsid w:val="70BD39C1"/>
    <w:rsid w:val="70DF1913"/>
    <w:rsid w:val="71860B17"/>
    <w:rsid w:val="71B22797"/>
    <w:rsid w:val="723B27CC"/>
    <w:rsid w:val="72565C05"/>
    <w:rsid w:val="72687227"/>
    <w:rsid w:val="7278302A"/>
    <w:rsid w:val="72A03FD9"/>
    <w:rsid w:val="73406CFF"/>
    <w:rsid w:val="7383028C"/>
    <w:rsid w:val="73A25E44"/>
    <w:rsid w:val="741F68CF"/>
    <w:rsid w:val="75252DF3"/>
    <w:rsid w:val="75621536"/>
    <w:rsid w:val="75BF3154"/>
    <w:rsid w:val="75DA4A2D"/>
    <w:rsid w:val="761738FD"/>
    <w:rsid w:val="76400F7F"/>
    <w:rsid w:val="764A07CF"/>
    <w:rsid w:val="764F6B3D"/>
    <w:rsid w:val="76CD2B7B"/>
    <w:rsid w:val="76D80645"/>
    <w:rsid w:val="76E03371"/>
    <w:rsid w:val="771211AA"/>
    <w:rsid w:val="771B11CB"/>
    <w:rsid w:val="77736C04"/>
    <w:rsid w:val="780E5898"/>
    <w:rsid w:val="782642CC"/>
    <w:rsid w:val="7894095E"/>
    <w:rsid w:val="78964555"/>
    <w:rsid w:val="78CF4963"/>
    <w:rsid w:val="79000679"/>
    <w:rsid w:val="7916258F"/>
    <w:rsid w:val="791C0FE5"/>
    <w:rsid w:val="7997722F"/>
    <w:rsid w:val="79A11E5C"/>
    <w:rsid w:val="79A416F0"/>
    <w:rsid w:val="79B03EB6"/>
    <w:rsid w:val="79B61437"/>
    <w:rsid w:val="7AE15A5C"/>
    <w:rsid w:val="7AF37579"/>
    <w:rsid w:val="7AF87F64"/>
    <w:rsid w:val="7B02692A"/>
    <w:rsid w:val="7B1C0C84"/>
    <w:rsid w:val="7B5A62DF"/>
    <w:rsid w:val="7B7A04A8"/>
    <w:rsid w:val="7B8E4662"/>
    <w:rsid w:val="7BDD6AEC"/>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
    <w:qFormat/>
    <w:uiPriority w:val="99"/>
    <w:pPr>
      <w:spacing w:after="120"/>
    </w:pPr>
  </w:style>
  <w:style w:type="paragraph" w:styleId="11">
    <w:name w:val="Body Text Indent"/>
    <w:basedOn w:val="1"/>
    <w:next w:val="12"/>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envelope return"/>
    <w:basedOn w:val="1"/>
    <w:qFormat/>
    <w:uiPriority w:val="0"/>
    <w:pPr>
      <w:snapToGrid w:val="0"/>
    </w:pPr>
    <w:rPr>
      <w:rFonts w:ascii="Arial" w:hAnsi="Arial"/>
      <w:szCs w:val="24"/>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qFormat/>
    <w:uiPriority w:val="0"/>
    <w:rPr>
      <w:rFonts w:ascii="宋体" w:hAnsi="Courier New"/>
      <w:szCs w:val="21"/>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3">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8"/>
    <w:semiHidden/>
    <w:qFormat/>
    <w:uiPriority w:val="99"/>
    <w:rPr>
      <w:sz w:val="18"/>
      <w:szCs w:val="18"/>
    </w:rPr>
  </w:style>
  <w:style w:type="character" w:customStyle="1" w:styleId="30">
    <w:name w:val="页脚 Char"/>
    <w:basedOn w:val="26"/>
    <w:link w:val="17"/>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
    <w:next w:val="2"/>
    <w:qFormat/>
    <w:uiPriority w:val="0"/>
    <w:pPr>
      <w:spacing w:after="373"/>
    </w:pPr>
    <w:rPr>
      <w:color w:val="auto"/>
    </w:rPr>
  </w:style>
  <w:style w:type="paragraph" w:customStyle="1" w:styleId="39">
    <w:name w:val="CM91"/>
    <w:basedOn w:val="2"/>
    <w:next w:val="2"/>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6"/>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4"/>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p141"/>
    <w:qFormat/>
    <w:uiPriority w:val="0"/>
    <w:rPr>
      <w:sz w:val="21"/>
      <w:szCs w:val="21"/>
    </w:rPr>
  </w:style>
  <w:style w:type="paragraph" w:customStyle="1" w:styleId="49">
    <w:name w:val="Table Text"/>
    <w:basedOn w:val="1"/>
    <w:semiHidden/>
    <w:qFormat/>
    <w:uiPriority w:val="0"/>
    <w:rPr>
      <w:rFonts w:ascii="华文细黑" w:hAnsi="华文细黑" w:eastAsia="华文细黑" w:cs="华文细黑"/>
      <w:sz w:val="16"/>
      <w:szCs w:val="16"/>
    </w:rPr>
  </w:style>
  <w:style w:type="table" w:customStyle="1" w:styleId="50">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51">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3</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2024-09-25T08:05:05Z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C9D78A9295ED435790F7E7DB7DDF6C2F_13</vt:lpwstr>
  </property>
</Properties>
</file>