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none"/>
        </w:rPr>
      </w:pPr>
      <w:bookmarkStart w:id="135" w:name="_GoBack"/>
      <w:bookmarkEnd w:id="135"/>
    </w:p>
    <w:p>
      <w:pPr>
        <w:rPr>
          <w:color w:val="auto"/>
          <w:highlight w:val="none"/>
        </w:rPr>
      </w:pPr>
    </w:p>
    <w:p>
      <w:pPr>
        <w:jc w:val="center"/>
        <w:rPr>
          <w:rFonts w:hint="eastAsia" w:ascii="方正小标宋简体" w:eastAsia="方正小标宋简体"/>
          <w:color w:val="auto"/>
          <w:sz w:val="52"/>
          <w:szCs w:val="52"/>
          <w:highlight w:val="none"/>
          <w:lang w:val="en-US" w:eastAsia="zh-CN"/>
        </w:rPr>
      </w:pPr>
      <w:r>
        <w:rPr>
          <w:rFonts w:hint="eastAsia" w:ascii="方正小标宋简体" w:eastAsia="方正小标宋简体"/>
          <w:color w:val="auto"/>
          <w:sz w:val="52"/>
          <w:szCs w:val="52"/>
          <w:highlight w:val="none"/>
          <w:lang w:val="en-US" w:eastAsia="zh-CN"/>
        </w:rPr>
        <w:t>广州净水公司2024年紫外线消毒</w:t>
      </w:r>
    </w:p>
    <w:p>
      <w:pPr>
        <w:jc w:val="center"/>
        <w:rPr>
          <w:rFonts w:hint="eastAsia" w:ascii="方正小标宋简体" w:eastAsia="方正小标宋简体"/>
          <w:color w:val="auto"/>
          <w:sz w:val="52"/>
          <w:szCs w:val="52"/>
          <w:highlight w:val="none"/>
          <w:lang w:eastAsia="zh-CN"/>
        </w:rPr>
      </w:pPr>
      <w:r>
        <w:rPr>
          <w:rFonts w:hint="eastAsia" w:ascii="方正小标宋简体" w:eastAsia="方正小标宋简体"/>
          <w:color w:val="auto"/>
          <w:sz w:val="52"/>
          <w:szCs w:val="52"/>
          <w:highlight w:val="none"/>
          <w:lang w:val="en-US" w:eastAsia="zh-CN"/>
        </w:rPr>
        <w:t>设备购置</w:t>
      </w:r>
      <w:r>
        <w:rPr>
          <w:rFonts w:hint="eastAsia" w:ascii="方正小标宋简体" w:eastAsia="方正小标宋简体"/>
          <w:color w:val="auto"/>
          <w:sz w:val="52"/>
          <w:szCs w:val="52"/>
          <w:highlight w:val="none"/>
          <w:lang w:eastAsia="zh-CN"/>
        </w:rPr>
        <w:t>（</w:t>
      </w:r>
      <w:r>
        <w:rPr>
          <w:rFonts w:hint="eastAsia" w:ascii="方正小标宋简体" w:eastAsia="方正小标宋简体"/>
          <w:color w:val="auto"/>
          <w:sz w:val="52"/>
          <w:szCs w:val="52"/>
          <w:highlight w:val="none"/>
          <w:lang w:val="en-US" w:eastAsia="zh-CN"/>
        </w:rPr>
        <w:t>第三次</w:t>
      </w:r>
      <w:r>
        <w:rPr>
          <w:rFonts w:hint="eastAsia" w:ascii="方正小标宋简体" w:eastAsia="方正小标宋简体"/>
          <w:color w:val="auto"/>
          <w:sz w:val="52"/>
          <w:szCs w:val="52"/>
          <w:highlight w:val="none"/>
          <w:lang w:eastAsia="zh-CN"/>
        </w:rPr>
        <w:t>）</w:t>
      </w:r>
    </w:p>
    <w:p>
      <w:pPr>
        <w:jc w:val="center"/>
        <w:rPr>
          <w:rFonts w:hint="eastAsia" w:ascii="方正小标宋简体" w:eastAsia="方正小标宋简体"/>
          <w:color w:val="auto"/>
          <w:sz w:val="52"/>
          <w:szCs w:val="52"/>
          <w:highlight w:val="none"/>
          <w:lang w:val="en-US" w:eastAsia="zh-CN"/>
        </w:rPr>
      </w:pPr>
    </w:p>
    <w:p>
      <w:pPr>
        <w:jc w:val="center"/>
        <w:rPr>
          <w:rFonts w:hint="eastAsia" w:ascii="方正小标宋简体" w:eastAsia="方正小标宋简体"/>
          <w:color w:val="auto"/>
          <w:sz w:val="52"/>
          <w:szCs w:val="52"/>
          <w:highlight w:val="none"/>
          <w:lang w:eastAsia="zh-CN"/>
        </w:rPr>
      </w:pPr>
      <w:r>
        <w:rPr>
          <w:rFonts w:hint="eastAsia" w:ascii="方正小标宋简体" w:eastAsia="方正小标宋简体"/>
          <w:color w:val="auto"/>
          <w:sz w:val="52"/>
          <w:szCs w:val="52"/>
          <w:highlight w:val="none"/>
        </w:rPr>
        <w:t>采购文件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pStyle w:val="2"/>
        <w:ind w:left="0" w:leftChars="0" w:firstLine="0" w:firstLineChars="0"/>
        <w:rPr>
          <w:color w:val="auto"/>
          <w:highlight w:val="none"/>
        </w:rPr>
      </w:pPr>
    </w:p>
    <w:p>
      <w:pPr>
        <w:jc w:val="center"/>
        <w:rPr>
          <w:rFonts w:ascii="仿宋_GB2312" w:eastAsia="仿宋_GB2312"/>
          <w:color w:val="auto"/>
          <w:sz w:val="32"/>
          <w:szCs w:val="32"/>
          <w:highlight w:val="none"/>
        </w:rPr>
      </w:pPr>
    </w:p>
    <w:p>
      <w:pPr>
        <w:jc w:val="center"/>
        <w:rPr>
          <w:rFonts w:hint="eastAsia"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黑体" w:hAnsi="黑体" w:eastAsia="黑体"/>
          <w:color w:val="auto"/>
          <w:sz w:val="32"/>
          <w:szCs w:val="32"/>
          <w:highlight w:val="none"/>
        </w:rPr>
      </w:pPr>
      <w:r>
        <w:rPr>
          <w:rFonts w:hint="eastAsia" w:ascii="黑体" w:hAnsi="黑体" w:eastAsia="黑体" w:cs="仿宋_GB2312"/>
          <w:color w:val="auto"/>
          <w:sz w:val="32"/>
          <w:szCs w:val="32"/>
          <w:highlight w:val="none"/>
          <w:lang w:val="en-US" w:eastAsia="zh-CN"/>
        </w:rPr>
        <w:t>广州市净水有限公司</w:t>
      </w:r>
    </w:p>
    <w:p>
      <w:pPr>
        <w:jc w:val="center"/>
        <w:rPr>
          <w:rFonts w:hint="eastAsia" w:ascii="黑体" w:hAnsi="黑体" w:eastAsia="黑体" w:cs="仿宋_GB2312"/>
          <w:color w:val="auto"/>
          <w:sz w:val="32"/>
          <w:szCs w:val="32"/>
          <w:highlight w:val="none"/>
        </w:rPr>
      </w:pPr>
      <w:r>
        <w:rPr>
          <w:rFonts w:hint="eastAsia" w:ascii="黑体" w:hAnsi="黑体" w:eastAsia="黑体"/>
          <w:color w:val="auto"/>
          <w:sz w:val="32"/>
          <w:szCs w:val="32"/>
          <w:highlight w:val="none"/>
        </w:rPr>
        <w:t>二</w:t>
      </w:r>
      <w:r>
        <w:rPr>
          <w:rFonts w:hint="eastAsia" w:ascii="黑体" w:hAnsi="黑体" w:eastAsia="黑体" w:cs="宋体"/>
          <w:color w:val="auto"/>
          <w:sz w:val="32"/>
          <w:szCs w:val="32"/>
          <w:highlight w:val="none"/>
        </w:rPr>
        <w:t>〇</w:t>
      </w:r>
      <w:r>
        <w:rPr>
          <w:rFonts w:hint="eastAsia" w:ascii="黑体" w:hAnsi="黑体" w:eastAsia="黑体" w:cs="仿宋_GB2312"/>
          <w:color w:val="auto"/>
          <w:sz w:val="32"/>
          <w:szCs w:val="32"/>
          <w:highlight w:val="none"/>
        </w:rPr>
        <w:t>二</w:t>
      </w:r>
      <w:r>
        <w:rPr>
          <w:rFonts w:hint="eastAsia" w:ascii="黑体" w:hAnsi="黑体" w:eastAsia="黑体" w:cs="仿宋_GB2312"/>
          <w:color w:val="auto"/>
          <w:sz w:val="32"/>
          <w:szCs w:val="32"/>
          <w:highlight w:val="none"/>
          <w:lang w:val="en-US" w:eastAsia="zh-CN"/>
        </w:rPr>
        <w:t>四</w:t>
      </w:r>
      <w:r>
        <w:rPr>
          <w:rFonts w:hint="eastAsia" w:ascii="黑体" w:hAnsi="黑体" w:eastAsia="黑体" w:cs="仿宋_GB2312"/>
          <w:color w:val="auto"/>
          <w:sz w:val="32"/>
          <w:szCs w:val="32"/>
          <w:highlight w:val="none"/>
        </w:rPr>
        <w:t>年</w:t>
      </w:r>
      <w:r>
        <w:rPr>
          <w:rFonts w:hint="eastAsia" w:ascii="黑体" w:hAnsi="黑体" w:eastAsia="黑体" w:cs="仿宋_GB2312"/>
          <w:color w:val="auto"/>
          <w:sz w:val="32"/>
          <w:szCs w:val="32"/>
          <w:highlight w:val="none"/>
          <w:lang w:val="en-US" w:eastAsia="zh-CN"/>
        </w:rPr>
        <w:t>九</w:t>
      </w:r>
      <w:r>
        <w:rPr>
          <w:rFonts w:hint="eastAsia" w:ascii="黑体" w:hAnsi="黑体" w:eastAsia="黑体" w:cs="仿宋_GB2312"/>
          <w:color w:val="auto"/>
          <w:sz w:val="32"/>
          <w:szCs w:val="32"/>
          <w:highlight w:val="none"/>
        </w:rPr>
        <w:t>月</w:t>
      </w:r>
    </w:p>
    <w:p>
      <w:pPr>
        <w:rPr>
          <w:color w:val="auto"/>
          <w:highlight w:val="none"/>
        </w:rPr>
        <w:sectPr>
          <w:headerReference r:id="rId3" w:type="default"/>
          <w:pgSz w:w="11907" w:h="16840"/>
          <w:pgMar w:top="1440" w:right="1746" w:bottom="1440" w:left="1746" w:header="851" w:footer="992" w:gutter="0"/>
          <w:cols w:space="720" w:num="1"/>
          <w:docGrid w:type="linesAndChars" w:linePitch="381" w:charSpace="0"/>
        </w:sectPr>
      </w:pPr>
    </w:p>
    <w:p>
      <w:pPr>
        <w:pStyle w:val="2"/>
      </w:pPr>
    </w:p>
    <w:p>
      <w:pPr>
        <w:pStyle w:val="33"/>
        <w:adjustRightInd w:val="0"/>
        <w:snapToGrid w:val="0"/>
        <w:spacing w:before="0" w:line="600" w:lineRule="exact"/>
        <w:jc w:val="center"/>
        <w:rPr>
          <w:rFonts w:hint="default" w:ascii="方正小标宋简体" w:eastAsia="方正小标宋简体"/>
          <w:b/>
          <w:color w:val="auto"/>
          <w:sz w:val="44"/>
          <w:szCs w:val="44"/>
          <w:highlight w:val="none"/>
          <w:lang w:val="en-US" w:eastAsia="zh-CN"/>
        </w:rPr>
      </w:pPr>
      <w:r>
        <w:rPr>
          <w:rFonts w:hint="eastAsia" w:ascii="方正小标宋简体" w:eastAsia="方正小标宋简体"/>
          <w:b/>
          <w:color w:val="auto"/>
          <w:sz w:val="44"/>
          <w:szCs w:val="44"/>
          <w:highlight w:val="none"/>
          <w:lang w:val="en-US" w:eastAsia="zh-CN"/>
        </w:rPr>
        <w:t>目录</w:t>
      </w:r>
    </w:p>
    <w:p>
      <w:pPr>
        <w:rPr>
          <w:rFonts w:asciiTheme="minorEastAsia" w:hAnsiTheme="minorEastAsia"/>
          <w:color w:val="auto"/>
          <w:sz w:val="24"/>
          <w:szCs w:val="24"/>
          <w:highlight w:val="none"/>
        </w:rPr>
      </w:pPr>
    </w:p>
    <w:p>
      <w:pPr>
        <w:pStyle w:val="19"/>
        <w:numPr>
          <w:ilvl w:val="0"/>
          <w:numId w:val="1"/>
        </w:numPr>
        <w:tabs>
          <w:tab w:val="right" w:pos="8844"/>
        </w:tabs>
        <w:rPr>
          <w:rFonts w:hint="eastAsia"/>
          <w:color w:val="auto"/>
          <w:highlight w:val="none"/>
          <w:lang w:val="en-US" w:eastAsia="zh-CN"/>
        </w:rPr>
      </w:pPr>
      <w:r>
        <w:rPr>
          <w:rFonts w:hint="eastAsia"/>
          <w:color w:val="auto"/>
          <w:highlight w:val="none"/>
          <w:lang w:val="en-US" w:eastAsia="zh-CN"/>
        </w:rPr>
        <w:t>采购公告（采购邀请书）</w:t>
      </w:r>
    </w:p>
    <w:p>
      <w:pPr>
        <w:pStyle w:val="19"/>
        <w:numPr>
          <w:ilvl w:val="0"/>
          <w:numId w:val="1"/>
        </w:numPr>
        <w:tabs>
          <w:tab w:val="right" w:pos="8844"/>
        </w:tabs>
        <w:rPr>
          <w:color w:val="auto"/>
          <w:highlight w:val="none"/>
        </w:rPr>
      </w:pPr>
      <w:r>
        <w:rPr>
          <w:rFonts w:hint="eastAsia"/>
          <w:color w:val="auto"/>
          <w:highlight w:val="none"/>
          <w:lang w:val="en-US" w:eastAsia="zh-CN"/>
        </w:rPr>
        <w:t>供应商须知</w:t>
      </w:r>
    </w:p>
    <w:p>
      <w:pPr>
        <w:pStyle w:val="19"/>
        <w:numPr>
          <w:ilvl w:val="0"/>
          <w:numId w:val="1"/>
        </w:numPr>
        <w:tabs>
          <w:tab w:val="right" w:pos="8844"/>
        </w:tabs>
        <w:rPr>
          <w:color w:val="auto"/>
          <w:highlight w:val="none"/>
        </w:rPr>
      </w:pPr>
      <w:r>
        <w:rPr>
          <w:rFonts w:hint="eastAsia"/>
          <w:color w:val="auto"/>
          <w:highlight w:val="none"/>
          <w:lang w:val="en-US" w:eastAsia="zh-CN"/>
        </w:rPr>
        <w:t>采购方法</w:t>
      </w:r>
    </w:p>
    <w:p>
      <w:pPr>
        <w:pStyle w:val="19"/>
        <w:numPr>
          <w:ilvl w:val="0"/>
          <w:numId w:val="1"/>
        </w:numPr>
        <w:tabs>
          <w:tab w:val="right" w:pos="8844"/>
        </w:tabs>
        <w:rPr>
          <w:color w:val="auto"/>
          <w:highlight w:val="none"/>
        </w:rPr>
      </w:pPr>
      <w:r>
        <w:rPr>
          <w:rFonts w:hint="eastAsia"/>
          <w:color w:val="auto"/>
          <w:highlight w:val="none"/>
          <w:lang w:val="en-US" w:eastAsia="zh-CN"/>
        </w:rPr>
        <w:t>评审方法</w:t>
      </w:r>
    </w:p>
    <w:p>
      <w:pPr>
        <w:pStyle w:val="19"/>
        <w:numPr>
          <w:ilvl w:val="0"/>
          <w:numId w:val="1"/>
        </w:numPr>
        <w:tabs>
          <w:tab w:val="right" w:pos="8844"/>
        </w:tabs>
        <w:rPr>
          <w:color w:val="auto"/>
          <w:highlight w:val="none"/>
        </w:rPr>
      </w:pPr>
      <w:r>
        <w:rPr>
          <w:rFonts w:hint="eastAsia"/>
          <w:color w:val="auto"/>
          <w:highlight w:val="none"/>
          <w:lang w:val="en-US" w:eastAsia="zh-CN"/>
        </w:rPr>
        <w:t>采购需求</w:t>
      </w:r>
    </w:p>
    <w:p>
      <w:pPr>
        <w:pStyle w:val="19"/>
        <w:numPr>
          <w:ilvl w:val="0"/>
          <w:numId w:val="1"/>
        </w:numPr>
        <w:tabs>
          <w:tab w:val="right" w:pos="8844"/>
        </w:tabs>
        <w:rPr>
          <w:color w:val="auto"/>
          <w:highlight w:val="none"/>
        </w:rPr>
      </w:pPr>
      <w:r>
        <w:rPr>
          <w:rFonts w:hint="eastAsia"/>
          <w:color w:val="auto"/>
          <w:highlight w:val="none"/>
        </w:rPr>
        <w:t>合同草案</w:t>
      </w:r>
    </w:p>
    <w:p>
      <w:pPr>
        <w:pStyle w:val="19"/>
        <w:numPr>
          <w:ilvl w:val="0"/>
          <w:numId w:val="1"/>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19"/>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19"/>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22"/>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3"/>
        <w:rPr>
          <w:rFonts w:hint="eastAsia"/>
          <w:color w:val="auto"/>
          <w:highlight w:val="none"/>
        </w:rPr>
      </w:pPr>
      <w:bookmarkStart w:id="0" w:name="_Toc26148"/>
      <w:bookmarkStart w:id="1" w:name="_Toc18145"/>
    </w:p>
    <w:p>
      <w:pPr>
        <w:rPr>
          <w:rFonts w:hint="eastAsia"/>
          <w:color w:val="auto"/>
          <w:highlight w:val="none"/>
        </w:rPr>
      </w:pPr>
    </w:p>
    <w:p>
      <w:pPr>
        <w:pStyle w:val="3"/>
        <w:rPr>
          <w:rFonts w:hint="eastAsia"/>
          <w:color w:val="auto"/>
          <w:highlight w:val="none"/>
        </w:rPr>
      </w:pPr>
      <w:bookmarkStart w:id="2" w:name="_Toc1711"/>
      <w:bookmarkStart w:id="3" w:name="_Toc17696"/>
    </w:p>
    <w:p>
      <w:pPr>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3"/>
        <w:rPr>
          <w:rFonts w:hint="eastAsia"/>
          <w:color w:val="auto"/>
          <w:highlight w:val="none"/>
        </w:rPr>
      </w:pPr>
      <w:bookmarkStart w:id="4" w:name="_Toc19609"/>
      <w:bookmarkStart w:id="5" w:name="_Toc11322"/>
      <w:bookmarkStart w:id="6" w:name="_Toc31938"/>
      <w:bookmarkStart w:id="7" w:name="_Toc1669"/>
      <w:bookmarkStart w:id="8" w:name="_Toc4275"/>
      <w:bookmarkStart w:id="9" w:name="_Toc17801"/>
      <w:bookmarkStart w:id="10" w:name="_Toc7519"/>
    </w:p>
    <w:p>
      <w:pPr>
        <w:pStyle w:val="3"/>
        <w:rPr>
          <w:rFonts w:hint="eastAsia"/>
          <w:color w:val="auto"/>
          <w:highlight w:val="none"/>
        </w:rPr>
      </w:pPr>
    </w:p>
    <w:p>
      <w:pPr>
        <w:pStyle w:val="3"/>
        <w:rPr>
          <w:rFonts w:hint="eastAsia"/>
          <w:color w:val="auto"/>
          <w:highlight w:val="none"/>
        </w:rPr>
      </w:pPr>
    </w:p>
    <w:p>
      <w:pPr>
        <w:pStyle w:val="3"/>
        <w:rPr>
          <w:color w:val="auto"/>
          <w:highlight w:val="none"/>
        </w:rPr>
      </w:pPr>
      <w:r>
        <w:rPr>
          <w:color w:val="auto"/>
          <w:highlight w:val="none"/>
        </w:rPr>
        <mc:AlternateContent>
          <mc:Choice Requires="wps">
            <w:drawing>
              <wp:anchor distT="0" distB="0" distL="114300" distR="114300" simplePos="0" relativeHeight="251672576" behindDoc="0" locked="0" layoutInCell="1" allowOverlap="1">
                <wp:simplePos x="0" y="0"/>
                <wp:positionH relativeFrom="column">
                  <wp:posOffset>2348230</wp:posOffset>
                </wp:positionH>
                <wp:positionV relativeFrom="paragraph">
                  <wp:posOffset>44450</wp:posOffset>
                </wp:positionV>
                <wp:extent cx="958850" cy="0"/>
                <wp:effectExtent l="0" t="0" r="0" b="0"/>
                <wp:wrapNone/>
                <wp:docPr id="11"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84.9pt;margin-top:3.5pt;height:0pt;width:75.5pt;z-index:251672576;mso-width-relative:page;mso-height-relative:page;" filled="f" stroked="t" coordsize="21600,21600" o:gfxdata="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C7QUkLVAAAABwEAAA8AAAAAAAAAAQAgAAAAIgAAAGRycy9kb3ducmV2LnhtbFBLAQIUABQA&#10;AAAIAIdO4kAPrIeI8wEAAOQDAAAOAAAAAAAAAAEAIAAAACQBAABkcnMvZTJvRG9jLnhtbFBLBQYA&#10;AAAABgAGAFkBAACJBQ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3600" behindDoc="0" locked="0" layoutInCell="1" allowOverlap="1">
                <wp:simplePos x="0" y="0"/>
                <wp:positionH relativeFrom="column">
                  <wp:posOffset>2353310</wp:posOffset>
                </wp:positionH>
                <wp:positionV relativeFrom="paragraph">
                  <wp:posOffset>542290</wp:posOffset>
                </wp:positionV>
                <wp:extent cx="958850" cy="0"/>
                <wp:effectExtent l="0" t="0" r="0" b="0"/>
                <wp:wrapNone/>
                <wp:docPr id="12"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85.3pt;margin-top:42.7pt;height:0pt;width:75.5pt;z-index:251673600;mso-width-relative:page;mso-height-relative:page;" filled="f" stroked="t" coordsize="21600,21600" o:gfxdata="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s68tcAAAAJAQAADwAAAAAAAAABACAAAAAiAAAAZHJzL2Rvd25yZXYueG1sUEsBAhQA&#10;FAAAAAgAh07iQHrpRGfzAQAA5AMAAA4AAAAAAAAAAQAgAAAAJgEAAGRycy9lMm9Eb2MueG1sUEsF&#10;BgAAAAAGAAYAWQEAAIsFAAAAAA==&#10;">
                <v:fill on="f" focussize="0,0"/>
                <v:stroke color="#000000" joinstyle="round"/>
                <v:imagedata o:title=""/>
                <o:lock v:ext="edit" aspectratio="f"/>
              </v:shape>
            </w:pict>
          </mc:Fallback>
        </mc:AlternateContent>
      </w:r>
      <w:r>
        <w:rPr>
          <w:rFonts w:hint="eastAsia"/>
          <w:color w:val="auto"/>
          <w:highlight w:val="none"/>
          <w:lang w:val="en-US" w:eastAsia="zh-CN"/>
        </w:rPr>
        <w:t xml:space="preserve">  </w:t>
      </w:r>
      <w:r>
        <w:rPr>
          <w:rFonts w:hint="eastAsia"/>
          <w:color w:val="auto"/>
          <w:highlight w:val="none"/>
        </w:rPr>
        <w:t>第一章</w:t>
      </w:r>
      <w:bookmarkEnd w:id="0"/>
      <w:bookmarkEnd w:id="1"/>
      <w:bookmarkEnd w:id="2"/>
      <w:bookmarkEnd w:id="3"/>
      <w:bookmarkEnd w:id="4"/>
      <w:bookmarkEnd w:id="5"/>
      <w:bookmarkEnd w:id="6"/>
      <w:bookmarkEnd w:id="7"/>
      <w:bookmarkEnd w:id="8"/>
      <w:bookmarkEnd w:id="9"/>
      <w:bookmarkEnd w:id="10"/>
    </w:p>
    <w:p>
      <w:pPr>
        <w:pStyle w:val="35"/>
        <w:rPr>
          <w:color w:val="auto"/>
          <w:highlight w:val="none"/>
        </w:rPr>
      </w:pPr>
    </w:p>
    <w:p>
      <w:pPr>
        <w:pStyle w:val="3"/>
        <w:rPr>
          <w:rFonts w:hint="eastAsia" w:eastAsia="方正小标宋简体"/>
          <w:color w:val="auto"/>
          <w:highlight w:val="none"/>
          <w:lang w:eastAsia="zh-CN"/>
        </w:rPr>
      </w:pPr>
      <w:r>
        <w:rPr>
          <w:rFonts w:hint="eastAsia"/>
          <w:color w:val="auto"/>
          <w:highlight w:val="none"/>
          <w:lang w:eastAsia="zh-CN"/>
        </w:rPr>
        <w:t>采购公告（采购邀请书）</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仿宋_GB2312" w:eastAsia="仿宋_GB2312"/>
          <w:color w:val="auto"/>
          <w:sz w:val="28"/>
          <w:szCs w:val="28"/>
          <w:highlight w:val="none"/>
        </w:rPr>
      </w:pPr>
    </w:p>
    <w:p>
      <w:pPr>
        <w:adjustRightInd w:val="0"/>
        <w:snapToGrid w:val="0"/>
        <w:spacing w:beforeLines="50"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pStyle w:val="3"/>
        <w:rPr>
          <w:rFonts w:hint="eastAsia" w:eastAsia="方正小标宋简体"/>
          <w:color w:val="auto"/>
          <w:highlight w:val="none"/>
          <w:lang w:eastAsia="zh-CN"/>
        </w:rPr>
      </w:pPr>
      <w:bookmarkStart w:id="11" w:name="_Toc9680"/>
      <w:bookmarkStart w:id="12" w:name="_Toc21373"/>
      <w:r>
        <w:rPr>
          <w:rFonts w:hint="eastAsia"/>
          <w:color w:val="auto"/>
          <w:highlight w:val="none"/>
          <w:lang w:eastAsia="zh-CN"/>
        </w:rPr>
        <w:t>采购公告（采购邀请书）</w:t>
      </w:r>
    </w:p>
    <w:bookmarkEnd w:id="11"/>
    <w:bookmarkEnd w:id="12"/>
    <w:p>
      <w:pPr>
        <w:adjustRightInd w:val="0"/>
        <w:snapToGrid w:val="0"/>
        <w:spacing w:line="600" w:lineRule="exact"/>
        <w:ind w:firstLine="560" w:firstLineChars="20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u w:val="single"/>
          <w:lang w:val="en-US" w:eastAsia="zh-CN"/>
        </w:rPr>
        <w:t>广州净水公司2024年紫外线消毒设备购置</w:t>
      </w:r>
      <w:r>
        <w:rPr>
          <w:rFonts w:hint="eastAsia" w:ascii="仿宋_GB2312" w:eastAsia="仿宋_GB2312"/>
          <w:color w:val="auto"/>
          <w:sz w:val="28"/>
          <w:szCs w:val="28"/>
          <w:highlight w:val="none"/>
          <w:u w:val="single"/>
          <w:lang w:eastAsia="zh-CN"/>
        </w:rPr>
        <w:t>（</w:t>
      </w:r>
      <w:r>
        <w:rPr>
          <w:rFonts w:hint="eastAsia" w:ascii="仿宋_GB2312" w:eastAsia="仿宋_GB2312"/>
          <w:color w:val="auto"/>
          <w:sz w:val="28"/>
          <w:szCs w:val="28"/>
          <w:highlight w:val="none"/>
          <w:u w:val="single"/>
          <w:lang w:val="en-US" w:eastAsia="zh-CN"/>
        </w:rPr>
        <w:t>第三次</w:t>
      </w:r>
      <w:r>
        <w:rPr>
          <w:rFonts w:hint="eastAsia" w:ascii="仿宋_GB2312" w:eastAsia="仿宋_GB2312"/>
          <w:color w:val="auto"/>
          <w:sz w:val="28"/>
          <w:szCs w:val="28"/>
          <w:highlight w:val="none"/>
          <w:u w:val="single"/>
          <w:lang w:eastAsia="zh-CN"/>
        </w:rPr>
        <w:t>）</w:t>
      </w:r>
      <w:r>
        <w:rPr>
          <w:rFonts w:hint="eastAsia" w:ascii="仿宋_GB2312" w:eastAsia="仿宋_GB2312"/>
          <w:color w:val="auto"/>
          <w:sz w:val="28"/>
          <w:szCs w:val="28"/>
          <w:highlight w:val="none"/>
        </w:rPr>
        <w:t>已具备采购条件，现</w:t>
      </w:r>
      <w:r>
        <w:rPr>
          <w:rFonts w:hint="eastAsia" w:ascii="仿宋_GB2312" w:eastAsia="仿宋_GB2312"/>
          <w:color w:val="auto"/>
          <w:sz w:val="28"/>
          <w:szCs w:val="28"/>
          <w:highlight w:val="none"/>
          <w:lang w:val="en-US" w:eastAsia="zh-CN"/>
        </w:rPr>
        <w:t>邀请合格</w:t>
      </w:r>
      <w:r>
        <w:rPr>
          <w:rFonts w:hint="eastAsia" w:ascii="仿宋_GB2312" w:eastAsia="仿宋_GB2312"/>
          <w:color w:val="auto"/>
          <w:sz w:val="28"/>
          <w:szCs w:val="28"/>
          <w:highlight w:val="none"/>
          <w:u w:val="none"/>
          <w:lang w:val="en-US" w:eastAsia="zh-CN"/>
        </w:rPr>
        <w:t>单位</w:t>
      </w:r>
      <w:r>
        <w:rPr>
          <w:rFonts w:hint="eastAsia" w:ascii="仿宋_GB2312" w:eastAsia="仿宋_GB2312"/>
          <w:color w:val="auto"/>
          <w:sz w:val="28"/>
          <w:szCs w:val="28"/>
          <w:highlight w:val="none"/>
        </w:rPr>
        <w:t xml:space="preserve">参加本□施工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货物 □服务项目采购活动，采用</w:t>
      </w:r>
      <w:r>
        <w:rPr>
          <w:rFonts w:hint="eastAsia" w:ascii="仿宋_GB2312" w:eastAsia="仿宋_GB2312"/>
          <w:color w:val="auto"/>
          <w:sz w:val="28"/>
          <w:szCs w:val="28"/>
          <w:highlight w:val="none"/>
          <w:u w:val="single"/>
        </w:rPr>
        <w:sym w:font="Wingdings 2" w:char="00A3"/>
      </w:r>
      <w:r>
        <w:rPr>
          <w:rFonts w:hint="eastAsia" w:ascii="仿宋_GB2312" w:eastAsia="仿宋_GB2312"/>
          <w:color w:val="auto"/>
          <w:sz w:val="28"/>
          <w:szCs w:val="28"/>
          <w:highlight w:val="none"/>
          <w:u w:val="single"/>
          <w:lang w:val="en-US" w:eastAsia="zh-CN"/>
        </w:rPr>
        <w:t xml:space="preserve">邀请采购 </w:t>
      </w:r>
      <w:r>
        <w:rPr>
          <w:rFonts w:hint="eastAsia" w:ascii="仿宋_GB2312" w:eastAsia="仿宋_GB2312"/>
          <w:color w:val="auto"/>
          <w:sz w:val="28"/>
          <w:szCs w:val="28"/>
          <w:highlight w:val="none"/>
          <w:u w:val="single"/>
          <w:lang w:val="en-US" w:eastAsia="zh-CN"/>
        </w:rPr>
        <w:sym w:font="Wingdings 2" w:char="0052"/>
      </w:r>
      <w:r>
        <w:rPr>
          <w:rFonts w:hint="eastAsia" w:ascii="仿宋_GB2312" w:eastAsia="仿宋_GB2312"/>
          <w:color w:val="auto"/>
          <w:sz w:val="28"/>
          <w:szCs w:val="28"/>
          <w:highlight w:val="none"/>
          <w:u w:val="single"/>
          <w:lang w:val="en-US" w:eastAsia="zh-CN"/>
        </w:rPr>
        <w:t>公开采购</w:t>
      </w:r>
      <w:r>
        <w:rPr>
          <w:rFonts w:hint="eastAsia" w:ascii="仿宋_GB2312" w:eastAsia="仿宋_GB2312"/>
          <w:color w:val="auto"/>
          <w:sz w:val="28"/>
          <w:szCs w:val="28"/>
          <w:highlight w:val="none"/>
        </w:rPr>
        <w:t>的方式邀请合格供应商参加本项目采购活动。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1.1采购项目名称：</w:t>
      </w:r>
      <w:r>
        <w:rPr>
          <w:rFonts w:hint="eastAsia" w:ascii="仿宋_GB2312" w:eastAsia="仿宋_GB2312"/>
          <w:color w:val="auto"/>
          <w:sz w:val="28"/>
          <w:szCs w:val="28"/>
          <w:highlight w:val="none"/>
          <w:u w:val="single"/>
        </w:rPr>
        <w:t>广州净水公司2024年紫外线消毒设备购置</w:t>
      </w:r>
      <w:r>
        <w:rPr>
          <w:rFonts w:hint="eastAsia" w:ascii="仿宋_GB2312" w:eastAsia="仿宋_GB2312"/>
          <w:color w:val="auto"/>
          <w:sz w:val="28"/>
          <w:szCs w:val="28"/>
          <w:highlight w:val="none"/>
          <w:u w:val="single"/>
          <w:lang w:eastAsia="zh-CN"/>
        </w:rPr>
        <w:t>（</w:t>
      </w:r>
      <w:r>
        <w:rPr>
          <w:rFonts w:hint="eastAsia" w:ascii="仿宋_GB2312" w:eastAsia="仿宋_GB2312"/>
          <w:color w:val="auto"/>
          <w:sz w:val="28"/>
          <w:szCs w:val="28"/>
          <w:highlight w:val="none"/>
          <w:u w:val="single"/>
          <w:lang w:val="en-US" w:eastAsia="zh-CN"/>
        </w:rPr>
        <w:t>第三次</w:t>
      </w:r>
      <w:r>
        <w:rPr>
          <w:rFonts w:hint="eastAsia" w:ascii="仿宋_GB2312" w:eastAsia="仿宋_GB2312"/>
          <w:color w:val="auto"/>
          <w:sz w:val="28"/>
          <w:szCs w:val="28"/>
          <w:highlight w:val="none"/>
          <w:u w:val="singl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1.2项目编号：</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XJ-20240919-1</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资金来源：</w:t>
      </w:r>
      <w:r>
        <w:rPr>
          <w:rFonts w:hint="eastAsia" w:ascii="仿宋_GB2312" w:eastAsia="仿宋_GB2312"/>
          <w:color w:val="auto"/>
          <w:sz w:val="28"/>
          <w:szCs w:val="28"/>
          <w:highlight w:val="none"/>
          <w:u w:val="single"/>
          <w:lang w:val="en-US" w:eastAsia="zh-CN"/>
        </w:rPr>
        <w:t xml:space="preserve">自有资金 </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最高限价</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元</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u w:val="single"/>
        </w:rPr>
        <w:t xml:space="preserve">    983573</w:t>
      </w:r>
      <w:r>
        <w:rPr>
          <w:rFonts w:hint="eastAsia" w:ascii="仿宋_GB2312" w:eastAsia="仿宋_GB2312"/>
          <w:color w:val="auto"/>
          <w:sz w:val="28"/>
          <w:szCs w:val="28"/>
          <w:highlight w:val="none"/>
          <w:u w:val="single"/>
          <w:lang w:eastAsia="zh-CN"/>
        </w:rPr>
        <w:t>（</w:t>
      </w:r>
      <w:r>
        <w:rPr>
          <w:rFonts w:hint="eastAsia" w:ascii="仿宋_GB2312" w:eastAsia="仿宋_GB2312"/>
          <w:color w:val="auto"/>
          <w:sz w:val="28"/>
          <w:szCs w:val="28"/>
          <w:highlight w:val="none"/>
          <w:u w:val="single"/>
          <w:lang w:val="en-US" w:eastAsia="zh-CN"/>
        </w:rPr>
        <w:t>石井净分公司：410732元、龙归分公司：300182元、竹料分公司：272659元</w:t>
      </w:r>
      <w:r>
        <w:rPr>
          <w:rFonts w:hint="eastAsia" w:ascii="仿宋_GB2312" w:eastAsia="仿宋_GB2312"/>
          <w:color w:val="auto"/>
          <w:sz w:val="28"/>
          <w:szCs w:val="28"/>
          <w:highlight w:val="none"/>
          <w:u w:val="single"/>
          <w:lang w:eastAsia="zh-CN"/>
        </w:rPr>
        <w:t>），</w:t>
      </w:r>
      <w:r>
        <w:rPr>
          <w:rFonts w:hint="eastAsia" w:ascii="仿宋_GB2312" w:eastAsia="仿宋_GB2312"/>
          <w:color w:val="auto"/>
          <w:sz w:val="28"/>
          <w:szCs w:val="28"/>
          <w:highlight w:val="none"/>
          <w:u w:val="single"/>
          <w:lang w:val="en-US" w:eastAsia="zh-CN"/>
        </w:rPr>
        <w:t>含税13%。</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标段划分：</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2.1采购内容和范围：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合并采购石井净分公司、龙归分公司、竹料分公司紫外线消毒设备一批并更换。</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2.2项目工期：□计划工期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交货期  □服务期为</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30天（含更换）</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 xml:space="preserve">2.3地点：□建设地点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交货地点  □服务地点位于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石井净分公司、龙归分公司、竹料分公司</w:t>
      </w:r>
      <w:r>
        <w:rPr>
          <w:rFonts w:hint="eastAsia" w:ascii="仿宋_GB2312" w:eastAsia="仿宋_GB2312"/>
          <w:color w:val="auto"/>
          <w:sz w:val="28"/>
          <w:szCs w:val="28"/>
          <w:highlight w:val="none"/>
          <w:u w:val="single"/>
        </w:rPr>
        <w:t xml:space="preserve">        </w:t>
      </w:r>
    </w:p>
    <w:p>
      <w:pPr>
        <w:adjustRightInd w:val="0"/>
        <w:snapToGrid w:val="0"/>
        <w:spacing w:line="600" w:lineRule="exact"/>
        <w:ind w:left="420" w:right="-369"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2.4质量要求：□施工质量要求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货物质量标准或主要技术性能指标  □服务质量要求或服务标准如下：</w:t>
      </w:r>
      <w:r>
        <w:rPr>
          <w:rFonts w:hint="eastAsia" w:ascii="仿宋_GB2312" w:eastAsia="仿宋_GB2312"/>
          <w:color w:val="auto"/>
          <w:sz w:val="28"/>
          <w:szCs w:val="28"/>
          <w:highlight w:val="none"/>
          <w:u w:val="single"/>
        </w:rPr>
        <w:t xml:space="preserve">  必须按国家标准、行业标准、检定规程、设备技术要求等规定对设备进行安全检查、维保等服务。</w:t>
      </w:r>
      <w:r>
        <w:rPr>
          <w:rFonts w:hint="eastAsia" w:ascii="仿宋_GB2312" w:eastAsia="仿宋_GB2312"/>
          <w:color w:val="auto"/>
          <w:sz w:val="28"/>
          <w:szCs w:val="28"/>
          <w:highlight w:val="none"/>
        </w:rPr>
        <w:t xml:space="preserve">  </w:t>
      </w:r>
    </w:p>
    <w:p>
      <w:pPr>
        <w:adjustRightInd w:val="0"/>
        <w:snapToGrid w:val="0"/>
        <w:spacing w:line="600" w:lineRule="exact"/>
        <w:ind w:left="420" w:right="-369"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2.5其他：□安全目标如下：</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lang w:eastAsia="zh-CN"/>
        </w:rPr>
        <w:t>（</w:t>
      </w:r>
      <w:r>
        <w:rPr>
          <w:rFonts w:hint="eastAsia" w:asciiTheme="minorEastAsia" w:hAnsiTheme="minorEastAsia"/>
          <w:b/>
          <w:color w:val="auto"/>
          <w:sz w:val="32"/>
          <w:szCs w:val="32"/>
          <w:highlight w:val="none"/>
          <w:lang w:val="en-US" w:eastAsia="zh-CN"/>
        </w:rPr>
        <w:t>须提供复印件并加盖单位公章</w:t>
      </w:r>
      <w:r>
        <w:rPr>
          <w:rFonts w:hint="eastAsia" w:asciiTheme="minorEastAsia" w:hAnsiTheme="minorEastAsia"/>
          <w:b/>
          <w:color w:val="auto"/>
          <w:sz w:val="32"/>
          <w:szCs w:val="32"/>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hint="eastAsia" w:ascii="仿宋_GB2312" w:eastAsia="仿宋_GB2312"/>
          <w:color w:val="auto"/>
          <w:sz w:val="28"/>
          <w:szCs w:val="28"/>
          <w:highlight w:val="none"/>
          <w:u w:val="non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u w:val="none"/>
          <w:lang w:val="en-US" w:eastAsia="zh-CN"/>
        </w:rPr>
        <w:t>2021年1月1日至今，</w:t>
      </w:r>
      <w:r>
        <w:rPr>
          <w:rFonts w:hint="eastAsia" w:ascii="仿宋_GB2312" w:eastAsia="仿宋_GB2312"/>
          <w:color w:val="auto"/>
          <w:sz w:val="28"/>
          <w:szCs w:val="28"/>
          <w:highlight w:val="none"/>
          <w:u w:val="none"/>
        </w:rPr>
        <w:t>供应商</w:t>
      </w:r>
      <w:r>
        <w:rPr>
          <w:rFonts w:hint="eastAsia" w:ascii="仿宋_GB2312" w:eastAsia="仿宋_GB2312"/>
          <w:color w:val="auto"/>
          <w:sz w:val="28"/>
          <w:szCs w:val="28"/>
          <w:highlight w:val="none"/>
          <w:u w:val="none"/>
          <w:lang w:val="en-US" w:eastAsia="zh-CN"/>
        </w:rPr>
        <w:t>最少</w:t>
      </w:r>
      <w:r>
        <w:rPr>
          <w:rFonts w:hint="eastAsia" w:ascii="仿宋_GB2312" w:eastAsia="仿宋_GB2312"/>
          <w:color w:val="auto"/>
          <w:sz w:val="28"/>
          <w:szCs w:val="28"/>
          <w:highlight w:val="none"/>
          <w:u w:val="none"/>
        </w:rPr>
        <w:t>具有</w:t>
      </w:r>
      <w:r>
        <w:rPr>
          <w:rFonts w:hint="eastAsia" w:ascii="仿宋_GB2312" w:eastAsia="仿宋_GB2312"/>
          <w:color w:val="auto"/>
          <w:sz w:val="28"/>
          <w:szCs w:val="28"/>
          <w:highlight w:val="none"/>
          <w:u w:val="none"/>
          <w:lang w:val="en-US" w:eastAsia="zh-CN"/>
        </w:rPr>
        <w:t>一项 日处理规模为5万吨及以上的净水厂/污水厂的紫外线消毒系统维修或供货业绩</w:t>
      </w:r>
      <w:r>
        <w:rPr>
          <w:rFonts w:hint="eastAsia" w:ascii="仿宋_GB2312" w:eastAsia="仿宋_GB2312"/>
          <w:color w:val="auto"/>
          <w:sz w:val="28"/>
          <w:szCs w:val="28"/>
          <w:highlight w:val="none"/>
        </w:rPr>
        <w:t>。（提供合同复印件证明，包括但不限于项目名称、金额及实施内容、合同</w:t>
      </w:r>
      <w:r>
        <w:rPr>
          <w:rFonts w:hint="eastAsia" w:ascii="仿宋_GB2312" w:eastAsia="仿宋_GB2312"/>
          <w:color w:val="auto"/>
          <w:sz w:val="28"/>
          <w:szCs w:val="28"/>
          <w:highlight w:val="none"/>
          <w:u w:val="none"/>
          <w:lang w:val="en-US" w:eastAsia="zh-CN"/>
        </w:rPr>
        <w:t>双方</w:t>
      </w:r>
      <w:r>
        <w:rPr>
          <w:rFonts w:hint="eastAsia" w:ascii="仿宋_GB2312" w:eastAsia="仿宋_GB2312"/>
          <w:color w:val="auto"/>
          <w:sz w:val="28"/>
          <w:szCs w:val="28"/>
          <w:highlight w:val="none"/>
          <w:u w:val="none"/>
        </w:rPr>
        <w:t>盖章、签订日期，加盖单位公章）</w:t>
      </w:r>
    </w:p>
    <w:p>
      <w:pPr>
        <w:pStyle w:val="22"/>
        <w:adjustRightInd w:val="0"/>
        <w:snapToGrid w:val="0"/>
        <w:spacing w:line="600" w:lineRule="exact"/>
        <w:ind w:firstLine="0"/>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）其他要求：</w:t>
      </w:r>
      <w:r>
        <w:rPr>
          <w:rFonts w:hint="eastAsia" w:ascii="仿宋_GB2312" w:eastAsia="仿宋_GB2312"/>
          <w:color w:val="auto"/>
          <w:sz w:val="28"/>
          <w:szCs w:val="28"/>
          <w:highlight w:val="none"/>
          <w:u w:val="single"/>
          <w:lang w:val="en-US" w:eastAsia="zh-CN"/>
        </w:rPr>
        <w:t>供应商递交响应文件</w:t>
      </w:r>
      <w:r>
        <w:rPr>
          <w:rFonts w:hint="eastAsia" w:ascii="仿宋_GB2312" w:eastAsia="仿宋_GB2312"/>
          <w:color w:val="auto"/>
          <w:sz w:val="28"/>
          <w:szCs w:val="28"/>
          <w:highlight w:val="none"/>
          <w:u w:val="single"/>
        </w:rPr>
        <w:t>时，必须</w:t>
      </w:r>
      <w:r>
        <w:rPr>
          <w:rFonts w:hint="eastAsia" w:ascii="仿宋_GB2312" w:eastAsia="仿宋_GB2312"/>
          <w:color w:val="auto"/>
          <w:sz w:val="28"/>
          <w:szCs w:val="28"/>
          <w:highlight w:val="none"/>
          <w:u w:val="single"/>
          <w:lang w:val="en-US" w:eastAsia="zh-CN"/>
        </w:rPr>
        <w:t>提供</w:t>
      </w:r>
      <w:r>
        <w:rPr>
          <w:rFonts w:hint="eastAsia" w:ascii="仿宋_GB2312" w:eastAsia="仿宋_GB2312"/>
          <w:color w:val="auto"/>
          <w:sz w:val="28"/>
          <w:szCs w:val="28"/>
          <w:highlight w:val="none"/>
          <w:u w:val="single"/>
        </w:rPr>
        <w:t>合格</w:t>
      </w:r>
      <w:r>
        <w:rPr>
          <w:rFonts w:hint="eastAsia" w:ascii="仿宋_GB2312" w:eastAsia="仿宋_GB2312"/>
          <w:color w:val="auto"/>
          <w:sz w:val="28"/>
          <w:szCs w:val="28"/>
          <w:highlight w:val="none"/>
          <w:u w:val="single"/>
          <w:lang w:val="en-US" w:eastAsia="zh-CN"/>
        </w:rPr>
        <w:t>紫</w:t>
      </w:r>
      <w:r>
        <w:rPr>
          <w:rFonts w:hint="eastAsia" w:ascii="仿宋_GB2312" w:eastAsia="仿宋_GB2312"/>
          <w:color w:val="auto"/>
          <w:sz w:val="28"/>
          <w:szCs w:val="28"/>
          <w:highlight w:val="none"/>
          <w:u w:val="single"/>
        </w:rPr>
        <w:t>外线消毒系统制造商（或其在中国国内的总代理）</w:t>
      </w:r>
      <w:r>
        <w:rPr>
          <w:rFonts w:hint="eastAsia" w:ascii="仿宋_GB2312" w:eastAsia="仿宋_GB2312"/>
          <w:color w:val="auto"/>
          <w:sz w:val="28"/>
          <w:szCs w:val="28"/>
          <w:highlight w:val="none"/>
          <w:u w:val="single"/>
          <w:lang w:val="en-US" w:eastAsia="zh-CN"/>
        </w:rPr>
        <w:t>的授权函</w:t>
      </w:r>
      <w:r>
        <w:rPr>
          <w:rFonts w:hint="eastAsia" w:ascii="仿宋_GB2312" w:eastAsia="仿宋_GB2312"/>
          <w:color w:val="auto"/>
          <w:sz w:val="28"/>
          <w:szCs w:val="28"/>
          <w:highlight w:val="none"/>
          <w:u w:val="single"/>
        </w:rPr>
        <w:t>（</w:t>
      </w:r>
      <w:r>
        <w:rPr>
          <w:rFonts w:hint="eastAsia" w:ascii="仿宋_GB2312" w:eastAsia="仿宋_GB2312"/>
          <w:color w:val="auto"/>
          <w:sz w:val="28"/>
          <w:szCs w:val="28"/>
          <w:highlight w:val="none"/>
          <w:u w:val="single"/>
          <w:lang w:val="en-US" w:eastAsia="zh-CN"/>
        </w:rPr>
        <w:t>合同签订前提供</w:t>
      </w:r>
      <w:r>
        <w:rPr>
          <w:rFonts w:hint="eastAsia" w:ascii="仿宋_GB2312" w:eastAsia="仿宋_GB2312"/>
          <w:color w:val="auto"/>
          <w:sz w:val="28"/>
          <w:szCs w:val="28"/>
          <w:highlight w:val="none"/>
          <w:u w:val="single"/>
        </w:rPr>
        <w:t>原件）</w:t>
      </w:r>
      <w:r>
        <w:rPr>
          <w:rFonts w:hint="eastAsia" w:ascii="仿宋_GB2312" w:eastAsia="仿宋_GB2312"/>
          <w:color w:val="auto"/>
          <w:sz w:val="28"/>
          <w:szCs w:val="28"/>
          <w:highlight w:val="none"/>
          <w:u w:val="single"/>
          <w:lang w:eastAsia="zh-CN"/>
        </w:rPr>
        <w:t>。</w:t>
      </w:r>
      <w:r>
        <w:rPr>
          <w:rFonts w:hint="eastAsia" w:ascii="仿宋_GB2312" w:eastAsia="仿宋_GB2312"/>
          <w:color w:val="auto"/>
          <w:sz w:val="28"/>
          <w:szCs w:val="28"/>
          <w:highlight w:val="none"/>
          <w:u w:val="single"/>
          <w:lang w:val="en-US" w:eastAsia="zh-CN"/>
        </w:rPr>
        <w:t>注：</w:t>
      </w:r>
      <w:r>
        <w:rPr>
          <w:rFonts w:hint="eastAsia" w:ascii="仿宋_GB2312" w:eastAsia="仿宋_GB2312"/>
          <w:color w:val="auto"/>
          <w:sz w:val="28"/>
          <w:szCs w:val="28"/>
          <w:highlight w:val="none"/>
          <w:u w:val="single"/>
        </w:rPr>
        <w:t>如</w:t>
      </w:r>
      <w:r>
        <w:rPr>
          <w:rFonts w:hint="eastAsia" w:ascii="仿宋_GB2312" w:eastAsia="仿宋_GB2312"/>
          <w:color w:val="auto"/>
          <w:sz w:val="28"/>
          <w:szCs w:val="28"/>
          <w:highlight w:val="none"/>
          <w:u w:val="single"/>
          <w:lang w:val="en-US" w:eastAsia="zh-CN"/>
        </w:rPr>
        <w:t>授权函</w:t>
      </w:r>
      <w:r>
        <w:rPr>
          <w:rFonts w:hint="eastAsia" w:ascii="仿宋_GB2312" w:eastAsia="仿宋_GB2312"/>
          <w:color w:val="auto"/>
          <w:sz w:val="28"/>
          <w:szCs w:val="28"/>
          <w:highlight w:val="none"/>
          <w:u w:val="single"/>
        </w:rPr>
        <w:t>由中国国内总代理出具，则</w:t>
      </w:r>
      <w:r>
        <w:rPr>
          <w:rFonts w:hint="eastAsia" w:ascii="仿宋_GB2312" w:eastAsia="仿宋_GB2312"/>
          <w:color w:val="auto"/>
          <w:sz w:val="28"/>
          <w:szCs w:val="28"/>
          <w:highlight w:val="none"/>
          <w:u w:val="single"/>
          <w:lang w:val="en-US" w:eastAsia="zh-CN"/>
        </w:rPr>
        <w:t>供应商</w:t>
      </w:r>
      <w:r>
        <w:rPr>
          <w:rFonts w:hint="eastAsia" w:ascii="仿宋_GB2312" w:eastAsia="仿宋_GB2312"/>
          <w:color w:val="auto"/>
          <w:sz w:val="28"/>
          <w:szCs w:val="28"/>
          <w:highlight w:val="none"/>
          <w:u w:val="single"/>
        </w:rPr>
        <w:t>必须同时提供紫外消毒系统制造商委托中国国内的总代理进行销售等活动的授权证明文件</w:t>
      </w:r>
      <w:r>
        <w:rPr>
          <w:rFonts w:hint="eastAsia" w:ascii="仿宋_GB2312" w:eastAsia="仿宋_GB2312"/>
          <w:color w:val="auto"/>
          <w:sz w:val="28"/>
          <w:szCs w:val="28"/>
          <w:highlight w:val="none"/>
          <w:u w:val="single"/>
          <w:lang w:eastAsia="zh-CN"/>
        </w:rPr>
        <w:t>，</w:t>
      </w:r>
      <w:r>
        <w:rPr>
          <w:rFonts w:hint="eastAsia" w:ascii="仿宋_GB2312" w:eastAsia="仿宋_GB2312"/>
          <w:color w:val="auto"/>
          <w:sz w:val="28"/>
          <w:szCs w:val="28"/>
          <w:highlight w:val="none"/>
          <w:u w:val="single"/>
        </w:rPr>
        <w:t>制造商除外。除制造商以外其他报价人应当书面承诺所提供报价货物/设备均为制造商全新原装产品。</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须出具不得存在情形承诺函</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（2）与本项目其他供应商存在控股关系。</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（3）与本项目其他供应商存在管理关系。</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（4）被本项目所在地省级以上行业主管部门依法暂停、取消投标或禁止参加采购活动且处于有效期内的。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（5）处于被责令停产停业、暂扣或者吊销执照、暂扣或者吊销许可证、吊销资质证书状态。</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（6）进入清算程序，或被宣告破产，或其他丧失履约能力情形的。</w:t>
      </w:r>
    </w:p>
    <w:p>
      <w:pPr>
        <w:adjustRightInd w:val="0"/>
        <w:snapToGrid w:val="0"/>
        <w:spacing w:line="600" w:lineRule="exact"/>
        <w:ind w:firstLine="420" w:firstLineChars="150"/>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rPr>
        <w:t>（7）在“信用中国”网站（www.creditchina.gov.cn）</w:t>
      </w:r>
      <w:r>
        <w:rPr>
          <w:rFonts w:hint="eastAsia" w:ascii="仿宋_GB2312" w:eastAsia="仿宋_GB2312"/>
          <w:color w:val="auto"/>
          <w:sz w:val="28"/>
          <w:szCs w:val="28"/>
          <w:highlight w:val="none"/>
          <w:lang w:val="en-US" w:eastAsia="zh-CN"/>
        </w:rPr>
        <w:t>中被列入失信被执行人、安全生产领域严重失信惩戒名单、拖欠农民工工资失信联合惩戒对象名单。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（8）</w:t>
      </w:r>
      <w:r>
        <w:rPr>
          <w:rFonts w:hint="eastAsia" w:ascii="仿宋_GB2312" w:eastAsia="仿宋_GB2312"/>
          <w:color w:val="auto"/>
          <w:sz w:val="28"/>
          <w:szCs w:val="28"/>
          <w:highlight w:val="none"/>
          <w:lang w:val="en-US" w:eastAsia="zh-CN"/>
        </w:rPr>
        <w:t>在</w:t>
      </w:r>
      <w:r>
        <w:rPr>
          <w:rFonts w:hint="eastAsia" w:ascii="仿宋_GB2312" w:eastAsia="仿宋_GB2312"/>
          <w:color w:val="auto"/>
          <w:sz w:val="28"/>
          <w:szCs w:val="28"/>
          <w:highlight w:val="none"/>
        </w:rPr>
        <w:t>“信用中国”网站（www.creditchina.gov.cn）</w:t>
      </w:r>
      <w:r>
        <w:rPr>
          <w:rFonts w:hint="eastAsia" w:ascii="仿宋_GB2312" w:eastAsia="仿宋_GB2312"/>
          <w:color w:val="auto"/>
          <w:sz w:val="28"/>
          <w:szCs w:val="28"/>
          <w:highlight w:val="none"/>
          <w:lang w:val="en-US" w:eastAsia="zh-CN"/>
        </w:rPr>
        <w:t>中被列入严重失信主体名单</w:t>
      </w:r>
      <w:r>
        <w:rPr>
          <w:rFonts w:hint="eastAsia" w:ascii="仿宋_GB2312" w:eastAsia="仿宋_GB2312"/>
          <w:color w:val="auto"/>
          <w:sz w:val="28"/>
          <w:szCs w:val="28"/>
          <w:highlight w:val="none"/>
        </w:rPr>
        <w:t>。</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）其他违法违纪行为，经审查认为不宜被邀请参加采购活动的。</w:t>
      </w:r>
    </w:p>
    <w:p>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0</w:t>
      </w:r>
      <w:r>
        <w:rPr>
          <w:rFonts w:hint="eastAsia" w:ascii="仿宋_GB2312" w:eastAsia="仿宋_GB2312"/>
          <w:color w:val="auto"/>
          <w:sz w:val="28"/>
          <w:szCs w:val="28"/>
          <w:highlight w:val="none"/>
        </w:rPr>
        <w:t xml:space="preserve">）其他禁止情形：            </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single"/>
        </w:rPr>
        <w:t>不接受</w:t>
      </w:r>
      <w:r>
        <w:rPr>
          <w:rFonts w:hint="eastAsia" w:ascii="仿宋_GB2312" w:eastAsia="仿宋_GB2312"/>
          <w:color w:val="auto"/>
          <w:sz w:val="28"/>
          <w:szCs w:val="28"/>
          <w:highlight w:val="none"/>
        </w:rPr>
        <w:t>联合体参加采购活动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2024</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9</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2024</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9</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24</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lang w:val="en-US" w:eastAsia="zh-CN"/>
        </w:rPr>
        <w:t>广州市净水有限公司门户网站</w:t>
      </w:r>
      <w:r>
        <w:rPr>
          <w:rFonts w:hint="eastAsia" w:ascii="仿宋_GB2312" w:eastAsia="仿宋_GB2312"/>
          <w:color w:val="auto"/>
          <w:sz w:val="28"/>
          <w:szCs w:val="28"/>
          <w:highlight w:val="none"/>
        </w:rPr>
        <w:t>下载采购文件</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无需报名。</w:t>
      </w:r>
      <w:r>
        <w:rPr>
          <w:rFonts w:hint="eastAsia" w:ascii="仿宋_GB2312" w:eastAsia="仿宋_GB2312"/>
          <w:color w:val="auto"/>
          <w:sz w:val="28"/>
          <w:szCs w:val="28"/>
          <w:highlight w:val="none"/>
        </w:rPr>
        <w:t xml:space="preserve"> </w:t>
      </w:r>
    </w:p>
    <w:p>
      <w:pPr>
        <w:numPr>
          <w:ilvl w:val="0"/>
          <w:numId w:val="2"/>
        </w:num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踏勘现场</w:t>
      </w:r>
    </w:p>
    <w:p>
      <w:pPr>
        <w:adjustRightInd w:val="0"/>
        <w:snapToGrid w:val="0"/>
        <w:spacing w:line="600" w:lineRule="exact"/>
        <w:rPr>
          <w:rFonts w:hint="eastAsia" w:ascii="仿宋_GB2312" w:eastAsia="仿宋_GB2312"/>
          <w:color w:val="auto"/>
          <w:sz w:val="28"/>
          <w:szCs w:val="28"/>
          <w:highlight w:val="none"/>
        </w:rPr>
      </w:pPr>
      <w:r>
        <w:rPr>
          <w:rFonts w:hint="eastAsia" w:ascii="仿宋_GB2312" w:eastAsia="仿宋_GB2312" w:hAnsiTheme="minorHAnsi"/>
          <w:color w:val="auto"/>
          <w:sz w:val="28"/>
          <w:szCs w:val="28"/>
          <w:highlight w:val="none"/>
        </w:rPr>
        <w:sym w:font="Wingdings 2" w:char="00A3"/>
      </w:r>
      <w:r>
        <w:rPr>
          <w:rFonts w:hint="eastAsia" w:ascii="仿宋_GB2312" w:eastAsia="仿宋_GB2312"/>
          <w:color w:val="auto"/>
          <w:sz w:val="28"/>
          <w:szCs w:val="28"/>
          <w:highlight w:val="none"/>
        </w:rPr>
        <w:t>不组织</w:t>
      </w:r>
    </w:p>
    <w:p>
      <w:pPr>
        <w:adjustRightInd w:val="0"/>
        <w:snapToGrid w:val="0"/>
        <w:spacing w:line="360" w:lineRule="auto"/>
        <w:rPr>
          <w:rFonts w:hint="eastAsia" w:ascii="仿宋_GB2312" w:hAnsi="仿宋" w:eastAsia="仿宋_GB2312" w:cs="仿宋_GB2312"/>
          <w:color w:val="auto"/>
          <w:sz w:val="28"/>
          <w:szCs w:val="28"/>
          <w:highlight w:val="none"/>
          <w:lang w:val="zh-CN"/>
        </w:rPr>
      </w:pPr>
      <w:r>
        <w:rPr>
          <w:rFonts w:hint="eastAsia" w:ascii="仿宋_GB2312" w:eastAsia="仿宋_GB2312" w:hAnsiTheme="minorHAnsi"/>
          <w:color w:val="auto"/>
          <w:sz w:val="28"/>
          <w:szCs w:val="28"/>
          <w:highlight w:val="none"/>
        </w:rPr>
        <w:sym w:font="Wingdings 2" w:char="0052"/>
      </w:r>
      <w:r>
        <w:rPr>
          <w:rFonts w:hint="eastAsia" w:ascii="仿宋_GB2312" w:eastAsia="仿宋_GB2312" w:hAnsiTheme="minorHAnsi"/>
          <w:color w:val="auto"/>
          <w:sz w:val="28"/>
          <w:szCs w:val="28"/>
          <w:highlight w:val="none"/>
        </w:rPr>
        <w:t>组织</w:t>
      </w:r>
      <w:r>
        <w:rPr>
          <w:rFonts w:hint="eastAsia" w:ascii="仿宋_GB2312" w:eastAsia="仿宋_GB2312"/>
          <w:color w:val="auto"/>
          <w:sz w:val="28"/>
          <w:szCs w:val="28"/>
          <w:highlight w:val="none"/>
          <w:lang w:eastAsia="zh-CN"/>
        </w:rPr>
        <w:t>：</w:t>
      </w:r>
      <w:r>
        <w:rPr>
          <w:rFonts w:hint="eastAsia" w:ascii="仿宋_GB2312" w:hAnsi="仿宋" w:eastAsia="仿宋_GB2312" w:cs="仿宋_GB2312"/>
          <w:color w:val="auto"/>
          <w:sz w:val="28"/>
          <w:szCs w:val="28"/>
          <w:highlight w:val="none"/>
          <w:lang w:val="en-US" w:eastAsia="zh-CN"/>
        </w:rPr>
        <w:t>供应商可</w:t>
      </w:r>
      <w:r>
        <w:rPr>
          <w:rFonts w:hint="eastAsia" w:ascii="仿宋_GB2312" w:hAnsi="仿宋" w:eastAsia="仿宋_GB2312" w:cs="仿宋_GB2312"/>
          <w:color w:val="auto"/>
          <w:sz w:val="28"/>
          <w:szCs w:val="28"/>
          <w:highlight w:val="none"/>
          <w:lang w:val="zh-CN"/>
        </w:rPr>
        <w:t>自行</w:t>
      </w:r>
      <w:r>
        <w:rPr>
          <w:rFonts w:hint="eastAsia" w:ascii="仿宋_GB2312" w:hAnsi="仿宋" w:eastAsia="仿宋_GB2312" w:cs="仿宋_GB2312"/>
          <w:color w:val="auto"/>
          <w:sz w:val="28"/>
          <w:szCs w:val="28"/>
          <w:highlight w:val="none"/>
          <w:lang w:val="en-US" w:eastAsia="zh-CN"/>
        </w:rPr>
        <w:t>选择是否前往现场踏勘</w:t>
      </w:r>
      <w:r>
        <w:rPr>
          <w:rFonts w:hint="eastAsia" w:ascii="仿宋_GB2312" w:hAnsi="仿宋" w:eastAsia="仿宋_GB2312" w:cs="仿宋_GB2312"/>
          <w:color w:val="auto"/>
          <w:sz w:val="28"/>
          <w:szCs w:val="28"/>
          <w:highlight w:val="none"/>
          <w:lang w:val="zh-CN"/>
        </w:rPr>
        <w:t>，</w:t>
      </w:r>
      <w:r>
        <w:rPr>
          <w:rFonts w:hint="eastAsia" w:ascii="仿宋_GB2312" w:hAnsi="仿宋" w:eastAsia="仿宋_GB2312" w:cs="仿宋_GB2312"/>
          <w:color w:val="auto"/>
          <w:sz w:val="28"/>
          <w:szCs w:val="28"/>
          <w:highlight w:val="none"/>
          <w:lang w:val="en-US" w:eastAsia="zh-CN"/>
        </w:rPr>
        <w:t>若前往现场踏勘须在规定时间内到达集中地点（竹料分公司），逾期不再接待</w:t>
      </w:r>
      <w:r>
        <w:rPr>
          <w:rFonts w:hint="eastAsia" w:ascii="仿宋_GB2312" w:hAnsi="仿宋" w:eastAsia="仿宋_GB2312" w:cs="仿宋_GB2312"/>
          <w:color w:val="auto"/>
          <w:sz w:val="28"/>
          <w:szCs w:val="28"/>
          <w:highlight w:val="none"/>
          <w:lang w:val="zh-CN"/>
        </w:rPr>
        <w:t>。</w:t>
      </w:r>
    </w:p>
    <w:p>
      <w:pPr>
        <w:pStyle w:val="22"/>
        <w:spacing w:line="360" w:lineRule="auto"/>
        <w:ind w:firstLine="0"/>
        <w:rPr>
          <w:rFonts w:hint="default" w:ascii="仿宋_GB2312" w:eastAsia="仿宋_GB2312" w:hAnsiTheme="minorHAnsi" w:cstheme="minorBidi"/>
          <w:color w:val="auto"/>
          <w:kern w:val="2"/>
          <w:sz w:val="28"/>
          <w:szCs w:val="28"/>
          <w:highlight w:val="none"/>
          <w:lang w:val="en-US" w:eastAsia="zh-CN"/>
        </w:rPr>
      </w:pPr>
      <w:r>
        <w:rPr>
          <w:rFonts w:hint="eastAsia" w:ascii="仿宋_GB2312" w:eastAsia="仿宋_GB2312" w:hAnsiTheme="minorHAnsi" w:cstheme="minorBidi"/>
          <w:color w:val="auto"/>
          <w:kern w:val="2"/>
          <w:sz w:val="28"/>
          <w:szCs w:val="28"/>
          <w:highlight w:val="none"/>
          <w:lang w:val="en-US" w:eastAsia="zh-CN"/>
        </w:rPr>
        <w:t>踏勘现场联系人：竹料分公司：王镜东</w:t>
      </w:r>
    </w:p>
    <w:p>
      <w:pPr>
        <w:pStyle w:val="22"/>
        <w:adjustRightInd w:val="0"/>
        <w:snapToGrid w:val="0"/>
        <w:spacing w:line="360" w:lineRule="auto"/>
        <w:ind w:firstLine="0" w:firstLineChars="0"/>
        <w:rPr>
          <w:rFonts w:hint="default" w:ascii="仿宋_GB2312" w:eastAsia="仿宋_GB2312" w:hAnsiTheme="minorHAnsi"/>
          <w:color w:val="auto"/>
          <w:sz w:val="28"/>
          <w:szCs w:val="28"/>
          <w:highlight w:val="none"/>
          <w:u w:val="none"/>
          <w:lang w:val="en-US"/>
        </w:rPr>
      </w:pPr>
      <w:r>
        <w:rPr>
          <w:rFonts w:hint="eastAsia" w:ascii="仿宋_GB2312" w:eastAsia="仿宋_GB2312" w:hAnsiTheme="minorHAnsi" w:cstheme="minorBidi"/>
          <w:color w:val="auto"/>
          <w:kern w:val="2"/>
          <w:sz w:val="28"/>
          <w:szCs w:val="28"/>
          <w:highlight w:val="none"/>
          <w:lang w:val="en-US" w:eastAsia="zh-CN"/>
        </w:rPr>
        <w:t>踏勘现场联系人联系方式：13145718561</w:t>
      </w:r>
    </w:p>
    <w:p>
      <w:pPr>
        <w:adjustRightInd w:val="0"/>
        <w:snapToGrid w:val="0"/>
        <w:spacing w:line="360" w:lineRule="auto"/>
        <w:ind w:firstLine="0"/>
        <w:rPr>
          <w:rFonts w:hint="eastAsia" w:ascii="仿宋_GB2312" w:eastAsia="仿宋_GB2312" w:hAnsiTheme="minorHAnsi"/>
          <w:color w:val="auto"/>
          <w:sz w:val="28"/>
          <w:szCs w:val="28"/>
          <w:highlight w:val="none"/>
          <w:lang w:eastAsia="zh-CN"/>
        </w:rPr>
      </w:pPr>
      <w:r>
        <w:rPr>
          <w:rFonts w:hint="eastAsia" w:ascii="仿宋_GB2312" w:eastAsia="仿宋_GB2312" w:hAnsiTheme="minorHAnsi"/>
          <w:color w:val="auto"/>
          <w:sz w:val="28"/>
          <w:szCs w:val="28"/>
          <w:highlight w:val="none"/>
        </w:rPr>
        <w:t>踏勘（答疑）</w:t>
      </w:r>
      <w:r>
        <w:rPr>
          <w:rFonts w:hint="eastAsia" w:ascii="仿宋_GB2312" w:eastAsia="仿宋_GB2312"/>
          <w:color w:val="auto"/>
          <w:sz w:val="28"/>
          <w:szCs w:val="28"/>
          <w:highlight w:val="none"/>
          <w:lang w:val="en-US" w:eastAsia="zh-CN"/>
        </w:rPr>
        <w:t>集合</w:t>
      </w:r>
      <w:r>
        <w:rPr>
          <w:rFonts w:hint="eastAsia" w:ascii="仿宋_GB2312" w:eastAsia="仿宋_GB2312" w:hAnsiTheme="minorHAnsi"/>
          <w:color w:val="auto"/>
          <w:sz w:val="28"/>
          <w:szCs w:val="28"/>
          <w:highlight w:val="none"/>
        </w:rPr>
        <w:t>时间：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2024</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9</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15</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00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eastAsia="zh-CN"/>
        </w:rPr>
        <w:t>。</w:t>
      </w:r>
    </w:p>
    <w:p>
      <w:pPr>
        <w:adjustRightInd w:val="0"/>
        <w:snapToGrid w:val="0"/>
        <w:spacing w:line="600" w:lineRule="exact"/>
        <w:jc w:val="left"/>
        <w:rPr>
          <w:rFonts w:hint="eastAsia" w:eastAsia="宋体" w:asciiTheme="minorEastAsia" w:hAnsiTheme="minorEastAsia"/>
          <w:b/>
          <w:color w:val="auto"/>
          <w:sz w:val="32"/>
          <w:szCs w:val="32"/>
          <w:highlight w:val="none"/>
          <w:lang w:val="en-US" w:eastAsia="zh-CN"/>
        </w:rPr>
      </w:pPr>
      <w:r>
        <w:rPr>
          <w:rFonts w:hint="eastAsia" w:ascii="仿宋_GB2312" w:eastAsia="仿宋_GB2312" w:hAnsiTheme="minorHAnsi"/>
          <w:color w:val="auto"/>
          <w:sz w:val="28"/>
          <w:szCs w:val="28"/>
          <w:highlight w:val="none"/>
        </w:rPr>
        <w:t>踏勘集中地点：</w:t>
      </w:r>
      <w:r>
        <w:rPr>
          <w:rFonts w:hint="eastAsia" w:ascii="仿宋_GB2312" w:eastAsia="仿宋_GB2312" w:hAnsiTheme="minorHAnsi"/>
          <w:color w:val="auto"/>
          <w:sz w:val="28"/>
          <w:szCs w:val="28"/>
          <w:highlight w:val="none"/>
          <w:u w:val="single"/>
        </w:rPr>
        <w:t>广州市白云区钟落潭镇竹二兰桂街100号</w:t>
      </w:r>
      <w:r>
        <w:rPr>
          <w:rFonts w:hint="eastAsia" w:ascii="仿宋_GB2312" w:eastAsia="仿宋_GB2312" w:hAnsiTheme="minorHAnsi"/>
          <w:color w:val="auto"/>
          <w:sz w:val="28"/>
          <w:szCs w:val="28"/>
          <w:highlight w:val="none"/>
          <w:u w:val="single"/>
          <w:lang w:val="en-US" w:eastAsia="zh-CN"/>
        </w:rPr>
        <w:t xml:space="preserve"> </w:t>
      </w:r>
      <w:r>
        <w:rPr>
          <w:rFonts w:hint="eastAsia" w:ascii="仿宋_GB2312" w:eastAsia="仿宋_GB2312" w:hAnsiTheme="minorHAnsi"/>
          <w:color w:val="auto"/>
          <w:sz w:val="28"/>
          <w:szCs w:val="28"/>
          <w:highlight w:val="none"/>
          <w:u w:val="single"/>
        </w:rPr>
        <w:t>广州市净水有限公司竹料分公司</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.1递交响应文件集合时间：</w:t>
      </w:r>
      <w:r>
        <w:rPr>
          <w:rFonts w:hint="eastAsia" w:ascii="仿宋_GB2312" w:eastAsia="仿宋_GB2312"/>
          <w:color w:val="auto"/>
          <w:sz w:val="28"/>
          <w:szCs w:val="28"/>
          <w:highlight w:val="none"/>
          <w:u w:val="single"/>
          <w:lang w:val="en-US" w:eastAsia="zh-CN"/>
        </w:rPr>
        <w:t>2024</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9</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25</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lang w:val="en-US" w:eastAsia="zh-CN"/>
        </w:rPr>
        <w:t>9</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lang w:val="en-US" w:eastAsia="zh-CN"/>
        </w:rPr>
        <w:t>30</w:t>
      </w:r>
      <w:r>
        <w:rPr>
          <w:rFonts w:hint="eastAsia" w:ascii="仿宋_GB2312" w:eastAsia="仿宋_GB2312"/>
          <w:color w:val="auto"/>
          <w:sz w:val="28"/>
          <w:szCs w:val="28"/>
          <w:highlight w:val="none"/>
        </w:rPr>
        <w:t>分至</w:t>
      </w:r>
      <w:r>
        <w:rPr>
          <w:rFonts w:hint="eastAsia" w:ascii="仿宋_GB2312" w:eastAsia="仿宋_GB2312"/>
          <w:color w:val="auto"/>
          <w:sz w:val="28"/>
          <w:szCs w:val="28"/>
          <w:highlight w:val="none"/>
          <w:u w:val="single"/>
        </w:rPr>
        <w:t>20</w:t>
      </w:r>
      <w:r>
        <w:rPr>
          <w:rFonts w:hint="eastAsia" w:ascii="仿宋_GB2312" w:eastAsia="仿宋_GB2312"/>
          <w:color w:val="auto"/>
          <w:sz w:val="28"/>
          <w:szCs w:val="28"/>
          <w:highlight w:val="none"/>
          <w:u w:val="single"/>
          <w:lang w:val="en-US" w:eastAsia="zh-CN"/>
        </w:rPr>
        <w:t>24</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9</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25</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10</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00</w:t>
      </w:r>
      <w:r>
        <w:rPr>
          <w:rFonts w:hint="eastAsia" w:ascii="仿宋_GB2312" w:eastAsia="仿宋_GB2312"/>
          <w:color w:val="auto"/>
          <w:sz w:val="28"/>
          <w:szCs w:val="28"/>
          <w:highlight w:val="none"/>
        </w:rPr>
        <w:t>分（北京时间）</w:t>
      </w:r>
      <w:r>
        <w:rPr>
          <w:rFonts w:hint="eastAsia" w:ascii="仿宋_GB2312" w:eastAsia="仿宋_GB2312"/>
          <w:color w:val="auto"/>
          <w:sz w:val="28"/>
          <w:szCs w:val="28"/>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6.2</w:t>
      </w:r>
      <w:r>
        <w:rPr>
          <w:rFonts w:hint="eastAsia" w:ascii="仿宋_GB2312" w:eastAsia="仿宋_GB2312"/>
          <w:color w:val="auto"/>
          <w:sz w:val="28"/>
          <w:szCs w:val="28"/>
          <w:highlight w:val="none"/>
        </w:rPr>
        <w:t>递交响应文件截止时间：</w:t>
      </w:r>
      <w:r>
        <w:rPr>
          <w:rFonts w:hint="eastAsia" w:ascii="仿宋_GB2312" w:eastAsia="仿宋_GB2312"/>
          <w:color w:val="auto"/>
          <w:sz w:val="28"/>
          <w:szCs w:val="28"/>
          <w:highlight w:val="none"/>
          <w:u w:val="single"/>
        </w:rPr>
        <w:t>20</w:t>
      </w:r>
      <w:r>
        <w:rPr>
          <w:rFonts w:hint="eastAsia" w:ascii="仿宋_GB2312" w:eastAsia="仿宋_GB2312"/>
          <w:color w:val="auto"/>
          <w:sz w:val="28"/>
          <w:szCs w:val="28"/>
          <w:highlight w:val="none"/>
          <w:u w:val="single"/>
          <w:lang w:val="en-US" w:eastAsia="zh-CN"/>
        </w:rPr>
        <w:t>24</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9</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25</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10</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00</w:t>
      </w:r>
      <w:r>
        <w:rPr>
          <w:rFonts w:hint="eastAsia" w:ascii="仿宋_GB2312" w:eastAsia="仿宋_GB2312"/>
          <w:color w:val="auto"/>
          <w:sz w:val="28"/>
          <w:szCs w:val="28"/>
          <w:highlight w:val="none"/>
        </w:rPr>
        <w:t>分（北京时间）</w:t>
      </w:r>
      <w:r>
        <w:rPr>
          <w:rFonts w:hint="eastAsia" w:ascii="仿宋_GB2312" w:eastAsia="仿宋_GB2312"/>
          <w:color w:val="auto"/>
          <w:sz w:val="28"/>
          <w:szCs w:val="28"/>
          <w:highlight w:val="none"/>
          <w:lang w:eastAsia="zh-CN"/>
        </w:rPr>
        <w:t>。</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递交地址：</w:t>
      </w:r>
      <w:r>
        <w:rPr>
          <w:rFonts w:hint="eastAsia" w:ascii="仿宋_GB2312" w:eastAsia="仿宋_GB2312"/>
          <w:color w:val="auto"/>
          <w:sz w:val="28"/>
          <w:szCs w:val="28"/>
          <w:highlight w:val="none"/>
          <w:lang w:val="en-US" w:eastAsia="zh-CN"/>
        </w:rPr>
        <w:t>广州市天河区临江大道501号</w:t>
      </w:r>
      <w:r>
        <w:rPr>
          <w:rFonts w:hint="eastAsia" w:ascii="仿宋_GB2312" w:eastAsia="仿宋_GB2312"/>
          <w:color w:val="auto"/>
          <w:sz w:val="28"/>
          <w:szCs w:val="28"/>
          <w:highlight w:val="none"/>
          <w:u w:val="single"/>
          <w:lang w:val="en-US" w:eastAsia="zh-CN"/>
        </w:rPr>
        <w:t>广州市净水有限公司6楼招标部</w:t>
      </w:r>
      <w:r>
        <w:rPr>
          <w:rFonts w:hint="eastAsia" w:ascii="仿宋_GB2312" w:eastAsia="仿宋_GB2312"/>
          <w:color w:val="auto"/>
          <w:sz w:val="28"/>
          <w:szCs w:val="28"/>
          <w:highlight w:val="none"/>
        </w:rPr>
        <w:t>。</w:t>
      </w:r>
    </w:p>
    <w:p>
      <w:pPr>
        <w:pStyle w:val="6"/>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注：授权委托人须通过“广州净水公司”微信公众号（提前）预约，填写访客预约信息。待被访部室审核员审批通过后，凭访客手机生成的“通行访客码”通行。于门岗处测温并扫码填写调查问卷，手机显示问卷“提交成功”后方可进入。</w:t>
      </w:r>
    </w:p>
    <w:p>
      <w:pPr>
        <w:pStyle w:val="6"/>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响应文件递交预约信息填写：</w:t>
      </w:r>
    </w:p>
    <w:p>
      <w:pPr>
        <w:pStyle w:val="6"/>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（1）通过“广州净水公司”微信公众号或来访时扫码进行访客预约登记。</w:t>
      </w:r>
    </w:p>
    <w:p>
      <w:pPr>
        <w:pStyle w:val="6"/>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（2）“组织”选择“公司本部”，“部门”选择“招投标合同管理部”。</w:t>
      </w:r>
    </w:p>
    <w:p>
      <w:pPr>
        <w:pStyle w:val="6"/>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（3）“被访人员”选择“招标部”，“手机号”：“62315524”。</w:t>
      </w:r>
    </w:p>
    <w:p>
      <w:pPr>
        <w:pStyle w:val="6"/>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（4）“详细描述”：找XX，递交XX项目响应文件。</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.其他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lang w:val="en-US" w:eastAsia="zh-CN"/>
        </w:rPr>
        <w:t>公告补充及修改</w:t>
      </w:r>
      <w:r>
        <w:rPr>
          <w:rFonts w:hint="eastAsia" w:ascii="仿宋_GB2312" w:eastAsia="仿宋_GB2312"/>
          <w:color w:val="auto"/>
          <w:sz w:val="28"/>
          <w:szCs w:val="28"/>
          <w:highlight w:val="none"/>
        </w:rPr>
        <w:t>同</w:t>
      </w:r>
      <w:r>
        <w:rPr>
          <w:rFonts w:hint="eastAsia" w:ascii="仿宋_GB2312" w:eastAsia="仿宋_GB2312"/>
          <w:color w:val="auto"/>
          <w:sz w:val="28"/>
          <w:szCs w:val="28"/>
          <w:highlight w:val="none"/>
          <w:lang w:val="en-US" w:eastAsia="zh-CN"/>
        </w:rPr>
        <w:t>步</w:t>
      </w:r>
      <w:r>
        <w:rPr>
          <w:rFonts w:hint="eastAsia" w:ascii="仿宋_GB2312" w:eastAsia="仿宋_GB2312"/>
          <w:color w:val="auto"/>
          <w:sz w:val="28"/>
          <w:szCs w:val="28"/>
          <w:highlight w:val="none"/>
        </w:rPr>
        <w:t>在广州净水公司门户网</w:t>
      </w:r>
      <w:r>
        <w:rPr>
          <w:rFonts w:hint="eastAsia" w:ascii="仿宋_GB2312" w:eastAsia="仿宋_GB2312"/>
          <w:color w:val="auto"/>
          <w:sz w:val="28"/>
          <w:szCs w:val="28"/>
          <w:highlight w:val="none"/>
          <w:lang w:val="en-US" w:eastAsia="zh-CN"/>
        </w:rPr>
        <w:t>站及阳光平台</w:t>
      </w:r>
      <w:r>
        <w:rPr>
          <w:rFonts w:hint="eastAsia" w:ascii="仿宋_GB2312" w:eastAsia="仿宋_GB2312"/>
          <w:color w:val="auto"/>
          <w:sz w:val="28"/>
          <w:szCs w:val="28"/>
          <w:highlight w:val="none"/>
        </w:rPr>
        <w:t>上发布。</w:t>
      </w:r>
      <w:r>
        <w:rPr>
          <w:rFonts w:hint="eastAsia" w:ascii="仿宋_GB2312" w:hAnsi="Calibri" w:eastAsia="仿宋_GB2312" w:cs="Times New Roman"/>
          <w:color w:val="auto"/>
          <w:sz w:val="28"/>
          <w:szCs w:val="28"/>
          <w:highlight w:val="none"/>
        </w:rPr>
        <w:t>本公告在各媒体发布的文本如有不同之处，以</w:t>
      </w:r>
      <w:r>
        <w:rPr>
          <w:rFonts w:hint="eastAsia" w:ascii="仿宋_GB2312" w:hAnsi="Calibri" w:eastAsia="仿宋_GB2312" w:cs="Times New Roman"/>
          <w:color w:val="auto"/>
          <w:sz w:val="28"/>
          <w:szCs w:val="28"/>
          <w:highlight w:val="none"/>
          <w:lang w:val="en-US" w:eastAsia="zh-CN"/>
        </w:rPr>
        <w:t>广州净水公司门户网站</w:t>
      </w:r>
      <w:r>
        <w:rPr>
          <w:rFonts w:hint="eastAsia" w:ascii="仿宋_GB2312" w:hAnsi="Calibri" w:eastAsia="仿宋_GB2312" w:cs="Times New Roman"/>
          <w:color w:val="auto"/>
          <w:sz w:val="28"/>
          <w:szCs w:val="28"/>
          <w:highlight w:val="none"/>
        </w:rPr>
        <w:t>为准。</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.2响应文件递交注意事项</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lang w:val="en-US" w:eastAsia="zh-CN"/>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w:t>
      </w:r>
      <w:r>
        <w:rPr>
          <w:rFonts w:hint="eastAsia" w:ascii="仿宋_GB2312" w:hAnsi="仿宋" w:eastAsia="仿宋_GB2312"/>
          <w:color w:val="auto"/>
          <w:sz w:val="28"/>
          <w:szCs w:val="28"/>
          <w:highlight w:val="none"/>
          <w:lang w:eastAsia="zh-CN"/>
        </w:rPr>
        <w:t>，</w:t>
      </w:r>
      <w:r>
        <w:rPr>
          <w:rFonts w:hint="eastAsia" w:ascii="仿宋_GB2312" w:hAnsi="仿宋" w:eastAsia="仿宋_GB2312"/>
          <w:color w:val="auto"/>
          <w:sz w:val="28"/>
          <w:szCs w:val="28"/>
          <w:highlight w:val="none"/>
          <w:lang w:val="en-US" w:eastAsia="zh-CN"/>
        </w:rPr>
        <w:t>并由授权人亲自递交至净水公司</w:t>
      </w:r>
      <w:r>
        <w:rPr>
          <w:rFonts w:ascii="仿宋_GB2312" w:hAnsi="仿宋" w:eastAsia="仿宋_GB2312"/>
          <w:color w:val="auto"/>
          <w:sz w:val="28"/>
          <w:szCs w:val="28"/>
          <w:highlight w:val="none"/>
        </w:rPr>
        <w:t>。如潜在响应人或其他利害关系人对采购人答复仍持有异议的，可按相关规定进行投诉。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lang w:val="en-US" w:eastAsia="zh-CN"/>
        </w:rPr>
        <w:t>广州市净水有限公司招标部</w:t>
      </w:r>
      <w:r>
        <w:rPr>
          <w:rFonts w:ascii="仿宋_GB2312" w:hAnsi="仿宋" w:eastAsia="仿宋_GB2312"/>
          <w:color w:val="auto"/>
          <w:sz w:val="28"/>
          <w:szCs w:val="28"/>
          <w:highlight w:val="none"/>
        </w:rPr>
        <w:t>，电话：</w:t>
      </w:r>
      <w:r>
        <w:rPr>
          <w:rFonts w:hint="eastAsia" w:ascii="仿宋_GB2312" w:hAnsi="仿宋" w:eastAsia="仿宋_GB2312"/>
          <w:color w:val="auto"/>
          <w:sz w:val="28"/>
          <w:szCs w:val="28"/>
          <w:highlight w:val="none"/>
          <w:lang w:val="en-US" w:eastAsia="zh-CN"/>
        </w:rPr>
        <w:t>38890841/</w:t>
      </w:r>
      <w:r>
        <w:rPr>
          <w:rFonts w:hint="eastAsia" w:ascii="仿宋_GB2312" w:hAnsi="仿宋" w:eastAsia="仿宋_GB2312"/>
          <w:color w:val="auto"/>
          <w:sz w:val="28"/>
          <w:szCs w:val="28"/>
          <w:highlight w:val="none"/>
          <w:u w:val="single"/>
          <w:lang w:val="en-US" w:eastAsia="zh-CN"/>
        </w:rPr>
        <w:t>62315524</w:t>
      </w:r>
      <w:r>
        <w:rPr>
          <w:rFonts w:ascii="仿宋_GB2312" w:hAnsi="仿宋" w:eastAsia="仿宋_GB2312"/>
          <w:color w:val="auto"/>
          <w:sz w:val="28"/>
          <w:szCs w:val="28"/>
          <w:highlight w:val="none"/>
        </w:rPr>
        <w:t>。</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地址：</w:t>
      </w:r>
      <w:r>
        <w:rPr>
          <w:rFonts w:hint="eastAsia" w:ascii="仿宋_GB2312" w:hAnsi="仿宋" w:eastAsia="仿宋_GB2312"/>
          <w:color w:val="auto"/>
          <w:sz w:val="28"/>
          <w:szCs w:val="28"/>
          <w:highlight w:val="none"/>
          <w:u w:val="single"/>
          <w:lang w:val="en-US" w:eastAsia="zh-CN"/>
        </w:rPr>
        <w:t>广州市天河区临江大道501号广州市净水有限公司</w:t>
      </w:r>
      <w:r>
        <w:rPr>
          <w:rFonts w:hint="eastAsia" w:ascii="仿宋_GB2312" w:hAnsi="仿宋" w:eastAsia="仿宋_GB2312"/>
          <w:color w:val="auto"/>
          <w:sz w:val="28"/>
          <w:szCs w:val="28"/>
          <w:highlight w:val="none"/>
        </w:rPr>
        <w:t xml:space="preserve"> </w:t>
      </w:r>
      <w:r>
        <w:rPr>
          <w:rFonts w:ascii="仿宋_GB2312" w:hAnsi="仿宋" w:eastAsia="仿宋_GB2312"/>
          <w:color w:val="auto"/>
          <w:sz w:val="28"/>
          <w:szCs w:val="28"/>
          <w:highlight w:val="none"/>
        </w:rPr>
        <w:t>。</w:t>
      </w:r>
    </w:p>
    <w:p>
      <w:pPr>
        <w:adjustRightInd w:val="0"/>
        <w:snapToGrid w:val="0"/>
        <w:spacing w:beforeLines="50"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9</w:t>
      </w:r>
      <w:r>
        <w:rPr>
          <w:rFonts w:hint="eastAsia" w:asciiTheme="minorEastAsia" w:hAnsiTheme="minorEastAsia"/>
          <w:b/>
          <w:color w:val="auto"/>
          <w:sz w:val="32"/>
          <w:szCs w:val="32"/>
          <w:highlight w:val="none"/>
        </w:rPr>
        <w:t>.联系方式</w:t>
      </w: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采购人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地</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址</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联系人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林工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电</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话</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020-62315524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ind w:firstLine="2240" w:firstLineChars="800"/>
              <w:jc w:val="left"/>
              <w:rPr>
                <w:rFonts w:ascii="仿宋_GB2312" w:eastAsia="仿宋_GB2312"/>
                <w:color w:val="auto"/>
                <w:sz w:val="28"/>
                <w:szCs w:val="28"/>
                <w:highlight w:val="none"/>
              </w:rPr>
            </w:pP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2024</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9</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19</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p>
        </w:tc>
      </w:tr>
    </w:tbl>
    <w:p>
      <w:pPr>
        <w:pStyle w:val="22"/>
        <w:ind w:firstLine="0"/>
        <w:rPr>
          <w:rFonts w:hint="eastAsia" w:ascii="仿宋_GB2312" w:eastAsia="仿宋_GB2312" w:hAnsiTheme="majorEastAsia"/>
          <w:color w:val="auto"/>
          <w:sz w:val="28"/>
          <w:szCs w:val="28"/>
          <w:highlight w:val="none"/>
        </w:rPr>
      </w:pPr>
    </w:p>
    <w:p>
      <w:pPr>
        <w:adjustRightInd w:val="0"/>
        <w:snapToGrid w:val="0"/>
        <w:spacing w:line="600" w:lineRule="exact"/>
        <w:jc w:val="left"/>
        <w:rPr>
          <w:rFonts w:hint="eastAsia" w:ascii="仿宋_GB2312" w:eastAsia="仿宋_GB2312" w:hAnsiTheme="majorEastAsia"/>
          <w:color w:val="auto"/>
          <w:sz w:val="28"/>
          <w:szCs w:val="28"/>
          <w:highlight w:val="none"/>
        </w:rPr>
      </w:pPr>
    </w:p>
    <w:p>
      <w:pPr>
        <w:pStyle w:val="22"/>
        <w:rPr>
          <w:rFonts w:hint="eastAsia" w:ascii="仿宋_GB2312" w:eastAsia="仿宋_GB2312" w:hAnsiTheme="majorEastAsia"/>
          <w:color w:val="auto"/>
          <w:sz w:val="28"/>
          <w:szCs w:val="28"/>
          <w:highlight w:val="none"/>
        </w:rPr>
      </w:pPr>
    </w:p>
    <w:p>
      <w:pPr>
        <w:pStyle w:val="22"/>
        <w:rPr>
          <w:rFonts w:hint="eastAsia" w:ascii="仿宋_GB2312" w:eastAsia="仿宋_GB2312" w:hAnsiTheme="majorEastAsia"/>
          <w:color w:val="auto"/>
          <w:sz w:val="28"/>
          <w:szCs w:val="28"/>
          <w:highlight w:val="none"/>
        </w:rPr>
      </w:pPr>
    </w:p>
    <w:p>
      <w:pPr>
        <w:adjustRightInd w:val="0"/>
        <w:snapToGrid w:val="0"/>
        <w:spacing w:beforeLines="50" w:afterLines="50" w:line="600" w:lineRule="exact"/>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适用于纸质评审的采购项目</w:t>
      </w:r>
    </w:p>
    <w:p>
      <w:pPr>
        <w:pStyle w:val="3"/>
        <w:rPr>
          <w:rFonts w:hint="eastAsia"/>
          <w:color w:val="auto"/>
          <w:highlight w:val="none"/>
        </w:rPr>
      </w:pPr>
      <w:bookmarkStart w:id="13" w:name="_Toc10891"/>
    </w:p>
    <w:p>
      <w:pPr>
        <w:pStyle w:val="3"/>
        <w:rPr>
          <w:rFonts w:hint="eastAsia"/>
          <w:color w:val="auto"/>
          <w:highlight w:val="none"/>
        </w:rPr>
      </w:pPr>
      <w:bookmarkStart w:id="14" w:name="_Toc32588"/>
      <w:bookmarkStart w:id="15" w:name="_Toc16705"/>
      <w:bookmarkStart w:id="16" w:name="_Toc23749"/>
      <w:bookmarkStart w:id="17" w:name="_Toc2331"/>
      <w:bookmarkStart w:id="18" w:name="_Toc9448"/>
      <w:bookmarkStart w:id="19" w:name="_Toc2324"/>
      <w:bookmarkStart w:id="20" w:name="_Toc16557"/>
      <w:bookmarkStart w:id="21" w:name="_Toc25603"/>
      <w:bookmarkStart w:id="22" w:name="_Toc19295"/>
      <w:bookmarkStart w:id="23" w:name="_Toc7340"/>
    </w:p>
    <w:p>
      <w:pPr>
        <w:pStyle w:val="3"/>
        <w:rPr>
          <w:color w:val="auto"/>
          <w:highlight w:val="none"/>
        </w:rPr>
      </w:pPr>
      <w:r>
        <w:rPr>
          <w:color w:val="auto"/>
          <w:highlight w:val="none"/>
        </w:rPr>
        <mc:AlternateContent>
          <mc:Choice Requires="wps">
            <w:drawing>
              <wp:anchor distT="0" distB="0" distL="114300" distR="114300" simplePos="0" relativeHeight="251674624" behindDoc="0" locked="0" layoutInCell="1" allowOverlap="1">
                <wp:simplePos x="0" y="0"/>
                <wp:positionH relativeFrom="column">
                  <wp:posOffset>2341880</wp:posOffset>
                </wp:positionH>
                <wp:positionV relativeFrom="paragraph">
                  <wp:posOffset>19050</wp:posOffset>
                </wp:positionV>
                <wp:extent cx="958850" cy="0"/>
                <wp:effectExtent l="0" t="0" r="0" b="0"/>
                <wp:wrapNone/>
                <wp:docPr id="13"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84.4pt;margin-top:1.5pt;height:0pt;width:75.5pt;z-index:251674624;mso-width-relative:page;mso-height-relative:page;" filled="f" stroked="t" coordsize="21600,21600" o:gfxdata="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918s3dQAAAAHAQAADwAAAAAAAAABACAAAAAiAAAAZHJzL2Rvd25yZXYueG1sUEsBAhQAFAAA&#10;AAgAh07iQPZi7erzAQAA5AMAAA4AAAAAAAAAAQAgAAAAIwEAAGRycy9lMm9Eb2MueG1sUEsFBgAA&#10;AAAGAAYAWQEAAIg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5648" behindDoc="0" locked="0" layoutInCell="1" allowOverlap="1">
                <wp:simplePos x="0" y="0"/>
                <wp:positionH relativeFrom="column">
                  <wp:posOffset>2353310</wp:posOffset>
                </wp:positionH>
                <wp:positionV relativeFrom="paragraph">
                  <wp:posOffset>523240</wp:posOffset>
                </wp:positionV>
                <wp:extent cx="958850" cy="0"/>
                <wp:effectExtent l="0" t="0" r="0" b="0"/>
                <wp:wrapNone/>
                <wp:docPr id="14"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85.3pt;margin-top:41.2pt;height:0pt;width:75.5pt;z-index:251675648;mso-width-relative:page;mso-height-relative:page;" filled="f" stroked="t" coordsize="21600,21600" o:gfxdata="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QyRMJ9cAAAAJAQAADwAAAAAAAAABACAAAAAiAAAAZHJzL2Rvd25yZXYueG1sUEsBAhQA&#10;FAAAAAgAh07iQJenVdrzAQAA5AMAAA4AAAAAAAAAAQAgAAAAJgEAAGRycy9lMm9Eb2MueG1sUEsF&#10;BgAAAAAGAAYAWQEAAIsFAAAAAA==&#10;">
                <v:fill on="f" focussize="0,0"/>
                <v:stroke color="#000000" joinstyle="round"/>
                <v:imagedata o:title=""/>
                <o:lock v:ext="edit" aspectratio="f"/>
              </v:shape>
            </w:pict>
          </mc:Fallback>
        </mc:AlternateContent>
      </w:r>
      <w:r>
        <w:rPr>
          <w:rFonts w:hint="eastAsia"/>
          <w:color w:val="auto"/>
          <w:highlight w:val="none"/>
          <w:lang w:val="en-US" w:eastAsia="zh-CN"/>
        </w:rPr>
        <w:t xml:space="preserve">  </w:t>
      </w:r>
      <w:r>
        <w:rPr>
          <w:rFonts w:hint="eastAsia"/>
          <w:color w:val="auto"/>
          <w:highlight w:val="none"/>
        </w:rPr>
        <w:t>第</w:t>
      </w:r>
      <w:r>
        <w:rPr>
          <w:rFonts w:hint="eastAsia"/>
          <w:color w:val="auto"/>
          <w:highlight w:val="none"/>
          <w:lang w:val="en-US" w:eastAsia="zh-CN"/>
        </w:rPr>
        <w:t>二</w:t>
      </w:r>
      <w:r>
        <w:rPr>
          <w:rFonts w:hint="eastAsia"/>
          <w:color w:val="auto"/>
          <w:highlight w:val="none"/>
        </w:rPr>
        <w:t>章</w:t>
      </w:r>
      <w:bookmarkEnd w:id="13"/>
      <w:bookmarkEnd w:id="14"/>
      <w:bookmarkEnd w:id="15"/>
      <w:bookmarkEnd w:id="16"/>
      <w:bookmarkEnd w:id="17"/>
      <w:bookmarkEnd w:id="18"/>
      <w:bookmarkEnd w:id="19"/>
      <w:bookmarkEnd w:id="20"/>
      <w:bookmarkEnd w:id="21"/>
      <w:bookmarkEnd w:id="22"/>
      <w:bookmarkEnd w:id="23"/>
    </w:p>
    <w:p>
      <w:pPr>
        <w:pStyle w:val="4"/>
        <w:rPr>
          <w:rFonts w:hint="eastAsia"/>
          <w:color w:val="auto"/>
          <w:highlight w:val="none"/>
        </w:rPr>
      </w:pPr>
    </w:p>
    <w:p>
      <w:pPr>
        <w:pStyle w:val="4"/>
        <w:rPr>
          <w:color w:val="auto"/>
          <w:highlight w:val="none"/>
        </w:rPr>
      </w:pPr>
      <w:bookmarkStart w:id="24" w:name="_Toc2339"/>
      <w:bookmarkStart w:id="25" w:name="_Toc3416"/>
      <w:r>
        <w:rPr>
          <w:rFonts w:hint="eastAsia"/>
          <w:color w:val="auto"/>
          <w:highlight w:val="none"/>
          <w:lang w:val="en-US" w:eastAsia="zh-CN"/>
        </w:rPr>
        <w:t xml:space="preserve">  </w:t>
      </w:r>
      <w:r>
        <w:rPr>
          <w:rFonts w:hint="eastAsia"/>
          <w:color w:val="auto"/>
          <w:highlight w:val="none"/>
        </w:rPr>
        <w:t>供应商须知</w:t>
      </w:r>
      <w:bookmarkEnd w:id="24"/>
      <w:bookmarkEnd w:id="25"/>
    </w:p>
    <w:p>
      <w:pPr>
        <w:adjustRightInd w:val="0"/>
        <w:snapToGrid w:val="0"/>
        <w:spacing w:beforeLines="50" w:afterLines="50" w:line="600" w:lineRule="exact"/>
        <w:ind w:left="643" w:hanging="640" w:hangingChars="200"/>
        <w:jc w:val="left"/>
        <w:rPr>
          <w:rFonts w:hint="eastAsia" w:asciiTheme="minorEastAsia" w:hAnsiTheme="minorEastAsia"/>
          <w:b/>
          <w:color w:val="auto"/>
          <w:sz w:val="32"/>
          <w:szCs w:val="32"/>
          <w:highlight w:val="none"/>
        </w:rPr>
      </w:pPr>
    </w:p>
    <w:p>
      <w:pPr>
        <w:pStyle w:val="22"/>
        <w:rPr>
          <w:rFonts w:hint="eastAsia"/>
          <w:color w:val="auto"/>
          <w:highlight w:val="none"/>
        </w:rPr>
      </w:pPr>
    </w:p>
    <w:p>
      <w:pPr>
        <w:adjustRightInd w:val="0"/>
        <w:snapToGrid w:val="0"/>
        <w:spacing w:beforeLines="50" w:afterLines="50" w:line="600" w:lineRule="exact"/>
        <w:ind w:left="643" w:hanging="640"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0"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0" w:hangingChars="200"/>
        <w:jc w:val="left"/>
        <w:rPr>
          <w:rFonts w:hint="eastAsia" w:asciiTheme="minorEastAsia" w:hAnsiTheme="minorEastAsia"/>
          <w:b/>
          <w:color w:val="auto"/>
          <w:sz w:val="32"/>
          <w:szCs w:val="32"/>
          <w:highlight w:val="none"/>
        </w:rPr>
      </w:pPr>
    </w:p>
    <w:p>
      <w:pPr>
        <w:pStyle w:val="22"/>
        <w:rPr>
          <w:rFonts w:hint="eastAsia" w:asciiTheme="minorEastAsia" w:hAnsiTheme="minorEastAsia"/>
          <w:b/>
          <w:color w:val="auto"/>
          <w:sz w:val="32"/>
          <w:szCs w:val="32"/>
          <w:highlight w:val="none"/>
        </w:rPr>
      </w:pPr>
    </w:p>
    <w:p>
      <w:pPr>
        <w:pStyle w:val="22"/>
        <w:rPr>
          <w:rFonts w:hint="eastAsia" w:asciiTheme="minorEastAsia" w:hAnsiTheme="minorEastAsia"/>
          <w:b/>
          <w:color w:val="auto"/>
          <w:sz w:val="32"/>
          <w:szCs w:val="32"/>
          <w:highlight w:val="none"/>
        </w:rPr>
      </w:pPr>
    </w:p>
    <w:p>
      <w:pPr>
        <w:pStyle w:val="22"/>
        <w:rPr>
          <w:rFonts w:hint="eastAsia" w:asciiTheme="minorEastAsia" w:hAnsiTheme="minorEastAsia"/>
          <w:b/>
          <w:color w:val="auto"/>
          <w:sz w:val="32"/>
          <w:szCs w:val="32"/>
          <w:highlight w:val="none"/>
        </w:rPr>
      </w:pPr>
    </w:p>
    <w:p>
      <w:pPr>
        <w:pStyle w:val="22"/>
        <w:rPr>
          <w:rFonts w:hint="eastAsia" w:asciiTheme="minorEastAsia" w:hAnsiTheme="minorEastAsia"/>
          <w:b/>
          <w:color w:val="auto"/>
          <w:sz w:val="32"/>
          <w:szCs w:val="32"/>
          <w:highlight w:val="none"/>
        </w:rPr>
      </w:pPr>
    </w:p>
    <w:p>
      <w:pPr>
        <w:pStyle w:val="22"/>
        <w:ind w:firstLine="0"/>
        <w:rPr>
          <w:rFonts w:hint="eastAsia"/>
          <w:color w:val="auto"/>
          <w:highlight w:val="none"/>
        </w:rPr>
      </w:pPr>
    </w:p>
    <w:p>
      <w:pPr>
        <w:numPr>
          <w:ilvl w:val="0"/>
          <w:numId w:val="3"/>
        </w:numPr>
        <w:adjustRightInd w:val="0"/>
        <w:snapToGrid w:val="0"/>
        <w:spacing w:beforeLines="50" w:afterLines="50" w:line="500" w:lineRule="exact"/>
        <w:ind w:left="643" w:hanging="640" w:hangingChars="200"/>
        <w:jc w:val="left"/>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r>
        <w:rPr>
          <w:rFonts w:hint="eastAsia" w:asciiTheme="minorEastAsia" w:hAnsiTheme="minorEastAsia"/>
          <w:b/>
          <w:color w:val="auto"/>
          <w:sz w:val="32"/>
          <w:szCs w:val="32"/>
          <w:highlight w:val="none"/>
          <w:lang w:val="en-US" w:eastAsia="zh-CN"/>
        </w:rPr>
        <w:t>.</w:t>
      </w:r>
    </w:p>
    <w:p>
      <w:pPr>
        <w:pStyle w:val="22"/>
        <w:numPr>
          <w:ilvl w:val="-1"/>
          <w:numId w:val="0"/>
        </w:numPr>
        <w:ind w:firstLine="0"/>
        <w:rPr>
          <w:rFonts w:hint="default" w:eastAsia="等线"/>
          <w:color w:val="auto"/>
          <w:highlight w:val="none"/>
          <w:lang w:val="en-US" w:eastAsia="zh-CN"/>
        </w:rPr>
      </w:pPr>
      <w:r>
        <w:rPr>
          <w:rFonts w:hint="eastAsia"/>
          <w:color w:val="auto"/>
          <w:highlight w:val="none"/>
          <w:lang w:val="en-US" w:eastAsia="zh-CN"/>
        </w:rPr>
        <w:t>详见第一章采购公告（采购邀请书）3.供应商资格要求</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Theme="minorEastAsia" w:hAnsiTheme="minorEastAsia"/>
          <w:b/>
          <w:color w:val="auto"/>
          <w:sz w:val="32"/>
          <w:szCs w:val="32"/>
          <w:highlight w:val="none"/>
          <w:lang w:val="en-US" w:eastAsia="zh-CN"/>
        </w:rPr>
        <w:t xml:space="preserve">2.  </w:t>
      </w:r>
      <w:r>
        <w:rPr>
          <w:rFonts w:hint="eastAsia" w:asciiTheme="minorEastAsia" w:hAnsiTheme="minorEastAsia"/>
          <w:b/>
          <w:color w:val="auto"/>
          <w:sz w:val="32"/>
          <w:szCs w:val="32"/>
          <w:highlight w:val="none"/>
        </w:rPr>
        <w:t>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lang w:val="en-US" w:eastAsia="zh-CN"/>
        </w:rPr>
        <w:t>1.1</w:t>
      </w:r>
    </w:p>
    <w:tbl>
      <w:tblPr>
        <w:tblStyle w:val="24"/>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采购公告（采购邀请书）</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p>
            <w:pPr>
              <w:adjustRightInd w:val="0"/>
              <w:snapToGrid w:val="0"/>
              <w:jc w:val="center"/>
              <w:rPr>
                <w:color w:val="auto"/>
                <w:sz w:val="24"/>
                <w:szCs w:val="24"/>
                <w:highlight w:val="none"/>
              </w:rPr>
            </w:pPr>
          </w:p>
        </w:tc>
        <w:tc>
          <w:tcPr>
            <w:tcW w:w="1263" w:type="dxa"/>
            <w:vAlign w:val="center"/>
          </w:tcPr>
          <w:p>
            <w:pPr>
              <w:adjustRightInd w:val="0"/>
              <w:snapToGrid w:val="0"/>
              <w:jc w:val="left"/>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snapToGrid w:val="0"/>
              <w:ind w:left="0" w:leftChars="0" w:firstLine="0" w:firstLineChars="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snapToGrid w:val="0"/>
              <w:ind w:firstLine="0" w:firstLineChars="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snapToGrid w:val="0"/>
              <w:jc w:val="left"/>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263"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979" w:type="dxa"/>
            <w:tcBorders>
              <w:right w:val="nil"/>
            </w:tcBorders>
            <w:vAlign w:val="center"/>
          </w:tcPr>
          <w:p>
            <w:pPr>
              <w:adjustRightInd w:val="0"/>
              <w:snapToGrid w:val="0"/>
              <w:ind w:firstLine="0" w:firstLineChars="0"/>
              <w:jc w:val="left"/>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lang w:val="en-US" w:eastAsia="zh-CN"/>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w:t>
            </w:r>
            <w:r>
              <w:rPr>
                <w:rFonts w:hint="eastAsia" w:ascii="仿宋_GB2312" w:eastAsia="仿宋_GB2312" w:hAnsiTheme="minorEastAsia"/>
                <w:color w:val="auto"/>
                <w:sz w:val="24"/>
                <w:szCs w:val="24"/>
                <w:highlight w:val="none"/>
                <w:lang w:val="en-US" w:eastAsia="zh-CN"/>
              </w:rPr>
              <w:t>采购公告（采购邀请书）</w:t>
            </w:r>
            <w:r>
              <w:rPr>
                <w:rFonts w:hint="eastAsia" w:ascii="仿宋_GB2312" w:eastAsia="仿宋_GB2312" w:hAnsiTheme="minorEastAsia"/>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rPr>
              <w:t>人</w:t>
            </w:r>
            <w:r>
              <w:rPr>
                <w:rFonts w:hint="eastAsia" w:ascii="仿宋_GB2312" w:eastAsia="仿宋_GB2312" w:hAnsi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snapToGrid w:val="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推荐</w:t>
            </w:r>
            <w:r>
              <w:rPr>
                <w:rFonts w:hint="eastAsia" w:ascii="仿宋_GB2312" w:eastAsia="仿宋_GB2312" w:hAnsiTheme="minorEastAsia"/>
                <w:color w:val="auto"/>
                <w:sz w:val="24"/>
                <w:szCs w:val="24"/>
                <w:highlight w:val="none"/>
                <w:lang w:val="en-US" w:eastAsia="zh-CN"/>
              </w:rPr>
              <w:t>二</w:t>
            </w:r>
            <w:r>
              <w:rPr>
                <w:rFonts w:hint="eastAsia" w:ascii="仿宋_GB2312" w:eastAsia="仿宋_GB2312" w:hAnsiTheme="minorEastAsia"/>
                <w:color w:val="auto"/>
                <w:sz w:val="24"/>
                <w:szCs w:val="24"/>
                <w:highlight w:val="none"/>
              </w:rPr>
              <w:t>名成交候选人</w:t>
            </w:r>
            <w:r>
              <w:rPr>
                <w:rFonts w:hint="eastAsia" w:ascii="仿宋_GB2312" w:eastAsia="仿宋_GB2312" w:hAnsiTheme="minorEastAsia"/>
                <w:color w:val="auto"/>
                <w:sz w:val="24"/>
                <w:szCs w:val="24"/>
                <w:highlight w:val="none"/>
                <w:lang w:eastAsia="zh-CN"/>
              </w:rPr>
              <w:t>。</w:t>
            </w:r>
          </w:p>
          <w:p>
            <w:pPr>
              <w:adjustRightInd w:val="0"/>
              <w:snapToGrid w:val="0"/>
              <w:rPr>
                <w:rFonts w:hint="eastAsia" w:ascii="仿宋_GB2312" w:eastAsia="仿宋_GB2312" w:hAnsiTheme="minorEastAsia"/>
                <w:color w:val="auto"/>
                <w:sz w:val="24"/>
                <w:szCs w:val="24"/>
                <w:highlight w:val="none"/>
              </w:rPr>
            </w:pPr>
            <w:r>
              <w:rPr>
                <w:rFonts w:hint="default" w:ascii="仿宋_GB2312" w:eastAsia="仿宋_GB2312" w:hAnsiTheme="minorEastAsia"/>
                <w:color w:val="auto"/>
                <w:sz w:val="24"/>
                <w:szCs w:val="24"/>
                <w:highlight w:val="none"/>
                <w:lang w:val="en-US" w:eastAsia="zh-CN"/>
              </w:rPr>
              <w:t>采购人</w:t>
            </w:r>
            <w:r>
              <w:rPr>
                <w:rFonts w:hint="eastAsia" w:ascii="仿宋_GB2312" w:eastAsia="仿宋_GB2312" w:hAnsiTheme="minorEastAsia"/>
                <w:color w:val="auto"/>
                <w:sz w:val="24"/>
                <w:szCs w:val="24"/>
                <w:highlight w:val="none"/>
                <w:lang w:val="en-US" w:eastAsia="zh-CN"/>
              </w:rPr>
              <w:t>和成交供应商应当在成交-通知书发出之日起30日内，</w:t>
            </w:r>
            <w:r>
              <w:rPr>
                <w:rFonts w:hint="eastAsia" w:ascii="仿宋_GB2312" w:eastAsia="仿宋_GB2312" w:hAnsiTheme="minorEastAsia"/>
                <w:color w:val="auto"/>
                <w:sz w:val="24"/>
                <w:szCs w:val="24"/>
                <w:highlight w:val="none"/>
              </w:rPr>
              <w:t>根据</w:t>
            </w:r>
            <w:r>
              <w:rPr>
                <w:rFonts w:hint="eastAsia" w:ascii="仿宋_GB2312" w:eastAsia="仿宋_GB2312" w:hAnsiTheme="minorEastAsia"/>
                <w:color w:val="auto"/>
                <w:sz w:val="24"/>
                <w:szCs w:val="24"/>
                <w:highlight w:val="none"/>
                <w:lang w:val="en-US" w:eastAsia="zh-CN"/>
              </w:rPr>
              <w:t>采购</w:t>
            </w:r>
            <w:r>
              <w:rPr>
                <w:rFonts w:hint="eastAsia" w:ascii="仿宋_GB2312" w:eastAsia="仿宋_GB2312" w:hAnsiTheme="minorEastAsia"/>
                <w:color w:val="auto"/>
                <w:sz w:val="24"/>
                <w:szCs w:val="24"/>
                <w:highlight w:val="none"/>
              </w:rPr>
              <w:t>文件和</w:t>
            </w:r>
            <w:r>
              <w:rPr>
                <w:rFonts w:hint="eastAsia" w:ascii="仿宋_GB2312" w:eastAsia="仿宋_GB2312" w:hAnsiTheme="minorEastAsia"/>
                <w:color w:val="auto"/>
                <w:sz w:val="24"/>
                <w:szCs w:val="24"/>
                <w:highlight w:val="none"/>
                <w:lang w:val="en-US" w:eastAsia="zh-CN"/>
              </w:rPr>
              <w:t>成交供应商</w:t>
            </w:r>
            <w:r>
              <w:rPr>
                <w:rFonts w:hint="eastAsia" w:ascii="仿宋_GB2312" w:eastAsia="仿宋_GB2312" w:hAnsiTheme="minorEastAsia"/>
                <w:color w:val="auto"/>
                <w:sz w:val="24"/>
                <w:szCs w:val="24"/>
                <w:highlight w:val="none"/>
              </w:rPr>
              <w:t>的</w:t>
            </w:r>
            <w:r>
              <w:rPr>
                <w:rFonts w:hint="eastAsia" w:ascii="仿宋_GB2312" w:eastAsia="仿宋_GB2312" w:hAnsiTheme="minorEastAsia"/>
                <w:color w:val="auto"/>
                <w:sz w:val="24"/>
                <w:szCs w:val="24"/>
                <w:highlight w:val="none"/>
                <w:lang w:val="en-US" w:eastAsia="zh-CN"/>
              </w:rPr>
              <w:t>响应文件</w:t>
            </w:r>
            <w:r>
              <w:rPr>
                <w:rFonts w:hint="eastAsia" w:ascii="仿宋_GB2312" w:eastAsia="仿宋_GB2312" w:hAnsiTheme="minorEastAsia"/>
                <w:color w:val="auto"/>
                <w:sz w:val="24"/>
                <w:szCs w:val="24"/>
                <w:highlight w:val="none"/>
              </w:rPr>
              <w:t>订立书面合同。</w:t>
            </w:r>
          </w:p>
          <w:p>
            <w:pPr>
              <w:adjustRightInd w:val="0"/>
              <w:snapToGrid w:val="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合同自采购人成交通知书到达成交</w:t>
            </w:r>
            <w:r>
              <w:rPr>
                <w:rFonts w:hint="eastAsia" w:ascii="仿宋_GB2312" w:eastAsia="仿宋_GB2312" w:hAnsiTheme="minorEastAsia"/>
                <w:color w:val="auto"/>
                <w:sz w:val="24"/>
                <w:szCs w:val="24"/>
                <w:highlight w:val="none"/>
                <w:lang w:val="en-US" w:eastAsia="zh-CN"/>
              </w:rPr>
              <w:t>供应商</w:t>
            </w:r>
            <w:r>
              <w:rPr>
                <w:rFonts w:hint="eastAsia" w:ascii="仿宋_GB2312" w:eastAsia="仿宋_GB2312" w:hAnsiTheme="minorEastAsia"/>
                <w:color w:val="auto"/>
                <w:sz w:val="24"/>
                <w:szCs w:val="24"/>
                <w:highlight w:val="none"/>
              </w:rPr>
              <w:t>时成立。</w:t>
            </w:r>
          </w:p>
          <w:p>
            <w:pPr>
              <w:adjustRightInd w:val="0"/>
              <w:snapToGrid w:val="0"/>
              <w:rPr>
                <w:rFonts w:hint="eastAsia"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1.成交供应商无正当理由拒签合同，或者在签订合同时向采购人提出附加条件的，采购人有权</w:t>
            </w:r>
            <w:r>
              <w:rPr>
                <w:rFonts w:hint="eastAsia" w:ascii="仿宋_GB2312" w:eastAsia="仿宋_GB2312" w:hAnsiTheme="minorEastAsia"/>
                <w:color w:val="auto"/>
                <w:sz w:val="24"/>
                <w:szCs w:val="24"/>
                <w:highlight w:val="none"/>
              </w:rPr>
              <w:t>依据采购文件、成交</w:t>
            </w:r>
            <w:r>
              <w:rPr>
                <w:rFonts w:hint="eastAsia" w:ascii="仿宋_GB2312" w:eastAsia="仿宋_GB2312" w:hAnsiTheme="minorEastAsia"/>
                <w:color w:val="auto"/>
                <w:sz w:val="24"/>
                <w:szCs w:val="24"/>
                <w:highlight w:val="none"/>
                <w:lang w:val="en-US" w:eastAsia="zh-CN"/>
              </w:rPr>
              <w:t>供应商</w:t>
            </w:r>
            <w:r>
              <w:rPr>
                <w:rFonts w:hint="eastAsia" w:ascii="仿宋_GB2312" w:eastAsia="仿宋_GB2312" w:hAnsiTheme="minorEastAsia"/>
                <w:color w:val="auto"/>
                <w:sz w:val="24"/>
                <w:szCs w:val="24"/>
                <w:highlight w:val="none"/>
              </w:rPr>
              <w:t>响应文件和成交通知书等确定合同内容</w:t>
            </w:r>
            <w:r>
              <w:rPr>
                <w:rFonts w:hint="eastAsia" w:ascii="仿宋_GB2312" w:eastAsia="仿宋_GB2312" w:hAnsiTheme="minorEastAsia"/>
                <w:color w:val="auto"/>
                <w:sz w:val="24"/>
                <w:szCs w:val="24"/>
                <w:highlight w:val="none"/>
                <w:lang w:eastAsia="zh-CN"/>
              </w:rPr>
              <w:t>，采购人</w:t>
            </w:r>
            <w:r>
              <w:rPr>
                <w:rFonts w:hint="eastAsia" w:ascii="仿宋_GB2312" w:eastAsia="仿宋_GB2312" w:hAnsiTheme="minorEastAsia"/>
                <w:color w:val="auto"/>
                <w:sz w:val="24"/>
                <w:szCs w:val="24"/>
                <w:highlight w:val="none"/>
                <w:lang w:val="en-US" w:eastAsia="zh-CN"/>
              </w:rPr>
              <w:t>也</w:t>
            </w:r>
            <w:r>
              <w:rPr>
                <w:rFonts w:hint="eastAsia" w:ascii="仿宋_GB2312" w:eastAsia="仿宋_GB2312" w:hAnsiTheme="minorEastAsia"/>
                <w:color w:val="auto"/>
                <w:sz w:val="24"/>
                <w:szCs w:val="24"/>
                <w:highlight w:val="none"/>
                <w:lang w:eastAsia="zh-CN"/>
              </w:rPr>
              <w:t>有权</w:t>
            </w:r>
            <w:r>
              <w:rPr>
                <w:rFonts w:hint="eastAsia" w:ascii="仿宋_GB2312" w:eastAsia="仿宋_GB2312" w:hAnsiTheme="minorEastAsia"/>
                <w:color w:val="auto"/>
                <w:sz w:val="24"/>
                <w:szCs w:val="24"/>
                <w:highlight w:val="none"/>
                <w:lang w:val="en-US" w:eastAsia="zh-CN"/>
              </w:rPr>
              <w:t>即刻单方</w:t>
            </w:r>
            <w:r>
              <w:rPr>
                <w:rFonts w:hint="eastAsia" w:ascii="仿宋_GB2312" w:eastAsia="仿宋_GB2312" w:hAnsiTheme="minorEastAsia"/>
                <w:color w:val="auto"/>
                <w:sz w:val="24"/>
                <w:szCs w:val="24"/>
                <w:highlight w:val="none"/>
                <w:lang w:eastAsia="zh-CN"/>
              </w:rPr>
              <w:t>解除合同，</w:t>
            </w:r>
            <w:r>
              <w:rPr>
                <w:rFonts w:hint="eastAsia" w:ascii="仿宋_GB2312" w:eastAsia="仿宋_GB2312" w:hAnsiTheme="minorEastAsia"/>
                <w:color w:val="auto"/>
                <w:sz w:val="24"/>
                <w:szCs w:val="24"/>
                <w:highlight w:val="none"/>
              </w:rPr>
              <w:t>追究成交</w:t>
            </w:r>
            <w:r>
              <w:rPr>
                <w:rFonts w:hint="eastAsia" w:ascii="仿宋_GB2312" w:eastAsia="仿宋_GB2312" w:hAnsiTheme="minorEastAsia"/>
                <w:color w:val="auto"/>
                <w:sz w:val="24"/>
                <w:szCs w:val="24"/>
                <w:highlight w:val="none"/>
                <w:lang w:val="en-US" w:eastAsia="zh-CN"/>
              </w:rPr>
              <w:t>供应商的</w:t>
            </w:r>
            <w:r>
              <w:rPr>
                <w:rFonts w:hint="eastAsia" w:ascii="仿宋_GB2312" w:eastAsia="仿宋_GB2312" w:hAnsiTheme="minorEastAsia"/>
                <w:color w:val="auto"/>
                <w:sz w:val="24"/>
                <w:szCs w:val="24"/>
                <w:highlight w:val="none"/>
              </w:rPr>
              <w:t>违约责任，</w:t>
            </w:r>
            <w:r>
              <w:rPr>
                <w:rFonts w:hint="eastAsia" w:ascii="仿宋_GB2312" w:eastAsia="仿宋_GB2312" w:hAnsiTheme="minorEastAsia"/>
                <w:color w:val="auto"/>
                <w:sz w:val="24"/>
                <w:szCs w:val="24"/>
                <w:highlight w:val="none"/>
                <w:lang w:val="en-US" w:eastAsia="zh-CN"/>
              </w:rPr>
              <w:t>响应保证金不予退还（若有），违约金和响应保证金（若有）不能覆盖采购人实际损失的，对不能覆盖部分的损失，成交供应商应当另行予以赔偿，且采购人有权重新采购。</w:t>
            </w:r>
          </w:p>
          <w:p>
            <w:pPr>
              <w:adjustRightInd w:val="0"/>
              <w:snapToGrid w:val="0"/>
              <w:rPr>
                <w:rFonts w:hint="eastAsia"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2.成交供应商被查实供应商资格无效或存在其它不符合中标条件情形的，采购人尚未发出成交通知书的，则成交无效，响应保证金（若有）不予退还，</w:t>
            </w:r>
            <w:r>
              <w:rPr>
                <w:rFonts w:hint="eastAsia" w:ascii="仿宋_GB2312" w:eastAsia="仿宋_GB2312" w:hAnsiTheme="minorEastAsia"/>
                <w:color w:val="auto"/>
                <w:sz w:val="24"/>
                <w:szCs w:val="24"/>
                <w:highlight w:val="none"/>
              </w:rPr>
              <w:t>采购人可以按评审小组提出的成交候选人名单排序依次确定其他成交候选</w:t>
            </w:r>
            <w:r>
              <w:rPr>
                <w:rFonts w:hint="eastAsia" w:ascii="仿宋_GB2312" w:eastAsia="仿宋_GB2312" w:hAnsiTheme="minorEastAsia"/>
                <w:color w:val="auto"/>
                <w:sz w:val="24"/>
                <w:szCs w:val="24"/>
                <w:highlight w:val="none"/>
                <w:lang w:val="en-US" w:eastAsia="zh-CN"/>
              </w:rPr>
              <w:t>供应商</w:t>
            </w:r>
            <w:r>
              <w:rPr>
                <w:rFonts w:hint="eastAsia" w:ascii="仿宋_GB2312" w:eastAsia="仿宋_GB2312" w:hAnsiTheme="minorEastAsia"/>
                <w:color w:val="auto"/>
                <w:sz w:val="24"/>
                <w:szCs w:val="24"/>
                <w:highlight w:val="none"/>
              </w:rPr>
              <w:t>为成交</w:t>
            </w:r>
            <w:r>
              <w:rPr>
                <w:rFonts w:hint="eastAsia" w:ascii="仿宋_GB2312" w:eastAsia="仿宋_GB2312" w:hAnsiTheme="minorEastAsia"/>
                <w:color w:val="auto"/>
                <w:sz w:val="24"/>
                <w:szCs w:val="24"/>
                <w:highlight w:val="none"/>
                <w:lang w:val="en-US" w:eastAsia="zh-CN"/>
              </w:rPr>
              <w:t>供应商</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采购人也可以重新采购；采购人已发出成交通知书合同成立的，采购人有权解除合同，响应保证金不予退还（若有）并归采购人所有，且采购人有权重新采购。</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3.凡是成交人存在上述情形的，均按照上述规定处理。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不一致情形</w:t>
            </w:r>
          </w:p>
        </w:tc>
        <w:tc>
          <w:tcPr>
            <w:tcW w:w="5979" w:type="dxa"/>
            <w:tcBorders>
              <w:right w:val="nil"/>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合同签订阶段，如采购文件内容与响应文件格式工程量清单存在不一致情形，则以响应文件格式工程量清单为准。如采购文件条款与合同存在不一致情形，则以合同为准。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2.20</w:t>
            </w:r>
          </w:p>
        </w:tc>
        <w:tc>
          <w:tcPr>
            <w:tcW w:w="1263"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响应性</w:t>
            </w:r>
          </w:p>
        </w:tc>
        <w:tc>
          <w:tcPr>
            <w:tcW w:w="5979" w:type="dxa"/>
            <w:tcBorders>
              <w:right w:val="nil"/>
            </w:tcBorders>
            <w:vAlign w:val="center"/>
          </w:tcPr>
          <w:p>
            <w:pPr>
              <w:adjustRightInd w:val="0"/>
              <w:snapToGrid w:val="0"/>
              <w:ind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文件中，所有要求均为实质性响应条款，供应商如有任何一条负偏离则导致投标（报价）无效，将按无效响应处理。供应商应按采购文件的规定及附件要求的内容和格式完整地填写和提供资料。供应商必须对响应文件所提供的全部资料的真实性承担法律责任，并无条件接受采购人对其中任何资料进行核实（核对原件）的要求。采购人核对发现有不一致或供应商无正当理由不按时提供原件的，按成交无效处理。</w:t>
            </w:r>
          </w:p>
        </w:tc>
      </w:tr>
    </w:tbl>
    <w:p>
      <w:pPr>
        <w:adjustRightInd w:val="0"/>
        <w:snapToGrid w:val="0"/>
        <w:spacing w:beforeLines="50" w:afterLines="50" w:line="560" w:lineRule="exact"/>
        <w:ind w:left="0" w:firstLine="0" w:firstLineChars="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2</w:t>
      </w:r>
      <w:r>
        <w:rPr>
          <w:rFonts w:hint="eastAsia" w:asciiTheme="minorEastAsia" w:hAnsiTheme="minorEastAsia"/>
          <w:b/>
          <w:color w:val="auto"/>
          <w:sz w:val="32"/>
          <w:szCs w:val="32"/>
          <w:highlight w:val="none"/>
        </w:rPr>
        <w:t>.若出现以下情况之一的，采购人将拒绝接收响应文件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3</w:t>
      </w:r>
      <w:r>
        <w:rPr>
          <w:rFonts w:hint="eastAsia" w:asciiTheme="minorEastAsia" w:hAnsiTheme="minorEastAsia"/>
          <w:b/>
          <w:color w:val="auto"/>
          <w:sz w:val="32"/>
          <w:szCs w:val="32"/>
          <w:highlight w:val="none"/>
        </w:rPr>
        <w:t>.发生下列情况之一者，视为无效响应行为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w:t>
      </w:r>
      <w:r>
        <w:rPr>
          <w:rFonts w:hint="eastAsia" w:ascii="仿宋_GB2312" w:eastAsia="仿宋_GB2312"/>
          <w:color w:val="auto"/>
          <w:sz w:val="28"/>
          <w:szCs w:val="28"/>
          <w:highlight w:val="none"/>
          <w:lang w:val="en-US" w:eastAsia="zh-CN"/>
        </w:rPr>
        <w:t>及</w:t>
      </w:r>
      <w:r>
        <w:rPr>
          <w:rFonts w:hint="eastAsia" w:ascii="仿宋_GB2312" w:eastAsia="仿宋_GB2312"/>
          <w:color w:val="auto"/>
          <w:sz w:val="28"/>
          <w:szCs w:val="28"/>
          <w:highlight w:val="none"/>
        </w:rPr>
        <w:t>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p>
    <w:p>
      <w:pPr>
        <w:spacing w:line="560" w:lineRule="exact"/>
        <w:ind w:firstLine="555"/>
        <w:jc w:val="left"/>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（10）非法定代表人或</w:t>
      </w:r>
      <w:r>
        <w:rPr>
          <w:rFonts w:hint="eastAsia" w:ascii="仿宋_GB2312" w:eastAsia="仿宋_GB2312" w:hAnsiTheme="minorHAnsi"/>
          <w:color w:val="auto"/>
          <w:sz w:val="28"/>
          <w:szCs w:val="28"/>
          <w:highlight w:val="none"/>
          <w:lang w:val="en-US" w:eastAsia="zh-CN"/>
        </w:rPr>
        <w:t>授权委托代理人</w:t>
      </w:r>
      <w:r>
        <w:rPr>
          <w:rFonts w:hint="eastAsia" w:ascii="仿宋_GB2312" w:eastAsia="仿宋_GB2312"/>
          <w:color w:val="auto"/>
          <w:sz w:val="28"/>
          <w:szCs w:val="28"/>
          <w:highlight w:val="none"/>
          <w:lang w:val="en-US" w:eastAsia="zh-CN"/>
        </w:rPr>
        <w:t>递交响应文件。</w:t>
      </w:r>
    </w:p>
    <w:p>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4</w:t>
      </w:r>
      <w:r>
        <w:rPr>
          <w:rFonts w:hint="eastAsia" w:asciiTheme="minorEastAsia" w:hAnsiTheme="minorEastAsia"/>
          <w:b/>
          <w:color w:val="auto"/>
          <w:sz w:val="32"/>
          <w:szCs w:val="32"/>
          <w:highlight w:val="none"/>
        </w:rPr>
        <w:t>.响应保证金</w:t>
      </w:r>
    </w:p>
    <w:p>
      <w:pPr>
        <w:adjustRightInd w:val="0"/>
        <w:snapToGrid w:val="0"/>
        <w:spacing w:line="560" w:lineRule="exact"/>
        <w:ind w:firstLine="555"/>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5</w:t>
      </w:r>
      <w:r>
        <w:rPr>
          <w:rFonts w:hint="eastAsia" w:asciiTheme="minorEastAsia" w:hAnsiTheme="minorEastAsia"/>
          <w:b/>
          <w:color w:val="auto"/>
          <w:sz w:val="32"/>
          <w:szCs w:val="32"/>
          <w:highlight w:val="none"/>
        </w:rPr>
        <w:t>.响应文件要求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.1响应文件包括下列内容</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6</w:t>
      </w:r>
      <w:r>
        <w:rPr>
          <w:rFonts w:hint="eastAsia" w:asciiTheme="minorEastAsia" w:hAnsiTheme="minorEastAsia"/>
          <w:b/>
          <w:color w:val="auto"/>
          <w:sz w:val="32"/>
          <w:szCs w:val="32"/>
          <w:highlight w:val="none"/>
        </w:rPr>
        <w:t>.异议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 供应商或其他利害关系人可以对采购公告</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采购邀请书</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、采购文件、成交候选人等提出异议。异议应在采购公告或文件规定的时间内、成交候选人公示期间通过规定的异议渠道提出，并递交异议函和必要的证明材料。</w:t>
      </w:r>
      <w:r>
        <w:rPr>
          <w:rFonts w:hint="eastAsia" w:ascii="仿宋_GB2312" w:eastAsia="仿宋_GB2312"/>
          <w:color w:val="auto"/>
          <w:sz w:val="28"/>
          <w:szCs w:val="28"/>
          <w:highlight w:val="none"/>
          <w:lang w:val="en-US" w:eastAsia="zh-CN"/>
        </w:rPr>
        <w:t>须按附件5表格提出</w:t>
      </w:r>
      <w:r>
        <w:rPr>
          <w:rFonts w:hint="eastAsia" w:ascii="仿宋_GB2312" w:eastAsia="仿宋_GB2312"/>
          <w:color w:val="auto"/>
          <w:sz w:val="28"/>
          <w:szCs w:val="28"/>
          <w:highlight w:val="none"/>
        </w:rPr>
        <w:t>异议</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异议</w:t>
      </w:r>
      <w:r>
        <w:rPr>
          <w:rFonts w:hint="eastAsia" w:ascii="仿宋_GB2312" w:eastAsia="仿宋_GB2312"/>
          <w:color w:val="auto"/>
          <w:sz w:val="28"/>
          <w:szCs w:val="28"/>
          <w:highlight w:val="none"/>
        </w:rPr>
        <w:t>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.3 异议人与采购人对异议事项无法达成一致的，异议人可向采购人的监管部门进行反映。</w:t>
      </w:r>
    </w:p>
    <w:p>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adjustRightInd w:val="0"/>
        <w:snapToGrid w:val="0"/>
        <w:spacing w:line="560" w:lineRule="exact"/>
        <w:ind w:firstLine="694" w:firstLineChars="248"/>
        <w:jc w:val="left"/>
        <w:rPr>
          <w:rFonts w:hint="default" w:asciiTheme="majorEastAsia" w:hAnsiTheme="majorEastAsia" w:eastAsiaTheme="majorEastAsia"/>
          <w:b/>
          <w:color w:val="auto"/>
          <w:sz w:val="28"/>
          <w:szCs w:val="28"/>
          <w:highlight w:val="none"/>
          <w:lang w:val="en-US" w:eastAsia="zh-CN"/>
        </w:rPr>
      </w:pPr>
      <w:r>
        <w:rPr>
          <w:rFonts w:hint="eastAsia" w:ascii="仿宋_GB2312" w:eastAsia="仿宋_GB2312"/>
          <w:color w:val="auto"/>
          <w:sz w:val="28"/>
          <w:szCs w:val="28"/>
          <w:highlight w:val="none"/>
        </w:rPr>
        <w:t>附件</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：关于**项目异议书</w:t>
      </w: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2"/>
        <w:rPr>
          <w:rFonts w:asciiTheme="majorEastAsia" w:hAnsiTheme="majorEastAsia" w:eastAsiaTheme="majorEastAsia"/>
          <w:b/>
          <w:color w:val="auto"/>
          <w:sz w:val="28"/>
          <w:szCs w:val="28"/>
          <w:highlight w:val="none"/>
        </w:rPr>
      </w:pPr>
    </w:p>
    <w:p>
      <w:pPr>
        <w:pStyle w:val="22"/>
        <w:rPr>
          <w:rFonts w:asciiTheme="majorEastAsia" w:hAnsiTheme="majorEastAsia" w:eastAsiaTheme="majorEastAsia"/>
          <w:b/>
          <w:color w:val="auto"/>
          <w:sz w:val="28"/>
          <w:szCs w:val="28"/>
          <w:highlight w:val="none"/>
        </w:rPr>
      </w:pPr>
    </w:p>
    <w:p>
      <w:pPr>
        <w:pStyle w:val="22"/>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35"/>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4"/>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35"/>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4760" w:firstLineChars="1700"/>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2"/>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35"/>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35"/>
        <w:rPr>
          <w:color w:val="auto"/>
          <w:highlight w:val="none"/>
        </w:rPr>
      </w:pPr>
    </w:p>
    <w:p>
      <w:pPr>
        <w:pStyle w:val="35"/>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lang w:val="en-US" w:eastAsia="zh-CN"/>
        </w:rPr>
        <w:t xml:space="preserve">      项目</w:t>
      </w:r>
      <w:r>
        <w:rPr>
          <w:rFonts w:hint="eastAsia" w:ascii="仿宋_GB2312" w:eastAsia="仿宋_GB2312" w:hAnsiTheme="majorEastAsia"/>
          <w:color w:val="auto"/>
          <w:sz w:val="28"/>
          <w:szCs w:val="28"/>
          <w:highlight w:val="none"/>
          <w:u w:val="none"/>
          <w:lang w:val="en-US" w:eastAsia="zh-CN"/>
        </w:rPr>
        <w:t>的</w:t>
      </w:r>
      <w:r>
        <w:rPr>
          <w:rFonts w:hint="eastAsia" w:ascii="仿宋_GB2312" w:eastAsia="仿宋_GB2312" w:hAnsiTheme="majorEastAsia"/>
          <w:color w:val="auto"/>
          <w:sz w:val="28"/>
          <w:szCs w:val="28"/>
          <w:highlight w:val="none"/>
        </w:rPr>
        <w:t>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hint="eastAsia" w:ascii="仿宋_GB2312" w:eastAsia="仿宋_GB2312" w:hAnsiTheme="majorEastAsia"/>
          <w:color w:val="auto"/>
          <w:sz w:val="28"/>
          <w:szCs w:val="28"/>
          <w:highlight w:val="none"/>
          <w:lang w:eastAsia="zh-CN"/>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lang w:val="en-US" w:eastAsia="zh-CN"/>
        </w:rPr>
        <w:t>30</w:t>
      </w:r>
      <w:r>
        <w:rPr>
          <w:rFonts w:hint="eastAsia" w:ascii="仿宋_GB2312" w:eastAsia="仿宋_GB2312" w:hAnsiTheme="majorEastAsia"/>
          <w:color w:val="auto"/>
          <w:sz w:val="28"/>
          <w:szCs w:val="28"/>
          <w:highlight w:val="none"/>
        </w:rPr>
        <w:t>日内与我方签订采购合同，逾期视为自动放弃成交资格</w:t>
      </w:r>
      <w:r>
        <w:rPr>
          <w:rFonts w:hint="eastAsia" w:ascii="仿宋_GB2312" w:eastAsia="仿宋_GB2312"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lang w:val="en-US" w:eastAsia="zh-CN"/>
        </w:rPr>
        <w:t>5</w:t>
      </w:r>
      <w:r>
        <w:rPr>
          <w:rFonts w:hint="eastAsia" w:asciiTheme="majorEastAsia" w:hAnsiTheme="majorEastAsia" w:eastAsiaTheme="majorEastAsia"/>
          <w:b/>
          <w:color w:val="auto"/>
          <w:sz w:val="28"/>
          <w:szCs w:val="28"/>
          <w:highlight w:val="none"/>
        </w:rPr>
        <w:t xml:space="preserve"> </w:t>
      </w:r>
    </w:p>
    <w:p>
      <w:pPr>
        <w:jc w:val="both"/>
        <w:rPr>
          <w:rFonts w:hint="eastAsia" w:ascii="宋体" w:hAnsi="宋体" w:cs="宋体"/>
          <w:b/>
          <w:bCs/>
          <w:color w:val="auto"/>
          <w:sz w:val="44"/>
          <w:szCs w:val="44"/>
          <w:highlight w:val="none"/>
        </w:rPr>
      </w:pPr>
    </w:p>
    <w:p>
      <w:pPr>
        <w:jc w:val="center"/>
        <w:rPr>
          <w:rFonts w:ascii="宋体" w:hAnsi="宋体" w:cs="宋体"/>
          <w:b/>
          <w:bCs/>
          <w:color w:val="auto"/>
          <w:sz w:val="44"/>
          <w:szCs w:val="44"/>
          <w:highlight w:val="none"/>
        </w:rPr>
      </w:pPr>
      <w:r>
        <w:rPr>
          <w:rFonts w:hint="eastAsia" w:ascii="宋体" w:hAnsi="宋体" w:cs="宋体"/>
          <w:b/>
          <w:bCs/>
          <w:color w:val="auto"/>
          <w:sz w:val="44"/>
          <w:szCs w:val="44"/>
          <w:highlight w:val="none"/>
        </w:rPr>
        <w:t>关于</w:t>
      </w:r>
      <w:r>
        <w:rPr>
          <w:rFonts w:hint="eastAsia" w:ascii="宋体" w:hAnsi="宋体" w:cs="宋体"/>
          <w:b/>
          <w:bCs/>
          <w:color w:val="auto"/>
          <w:sz w:val="44"/>
          <w:szCs w:val="44"/>
          <w:highlight w:val="none"/>
          <w:lang w:val="en-US" w:eastAsia="zh-CN"/>
        </w:rPr>
        <w:t>**</w:t>
      </w:r>
      <w:r>
        <w:rPr>
          <w:rFonts w:ascii="宋体" w:hAnsi="宋体" w:cs="宋体"/>
          <w:b/>
          <w:bCs/>
          <w:color w:val="auto"/>
          <w:sz w:val="44"/>
          <w:szCs w:val="44"/>
          <w:highlight w:val="none"/>
        </w:rPr>
        <w:t>项目异议书</w:t>
      </w:r>
    </w:p>
    <w:p>
      <w:pPr>
        <w:widowControl/>
        <w:spacing w:line="408" w:lineRule="auto"/>
        <w:jc w:val="center"/>
        <w:rPr>
          <w:rFonts w:hAnsi="宋体" w:cs="仿宋_GB2312"/>
          <w:color w:val="auto"/>
          <w:kern w:val="0"/>
          <w:sz w:val="24"/>
          <w:highlight w:val="none"/>
        </w:rPr>
      </w:pPr>
      <w:r>
        <w:rPr>
          <w:rFonts w:hAnsi="宋体" w:cs="仿宋_GB2312"/>
          <w:color w:val="auto"/>
          <w:kern w:val="0"/>
          <w:sz w:val="24"/>
          <w:highlight w:val="none"/>
        </w:rPr>
        <w:t>(参考格式)</w:t>
      </w:r>
    </w:p>
    <w:p>
      <w:pPr>
        <w:rPr>
          <w:color w:val="auto"/>
          <w:kern w:val="0"/>
          <w:sz w:val="28"/>
          <w:szCs w:val="28"/>
          <w:highlight w:val="none"/>
        </w:rPr>
      </w:pPr>
      <w:r>
        <w:rPr>
          <w:rFonts w:hint="eastAsia"/>
          <w:color w:val="auto"/>
          <w:kern w:val="0"/>
          <w:sz w:val="28"/>
          <w:szCs w:val="28"/>
          <w:highlight w:val="none"/>
        </w:rPr>
        <w:t>项目名称：</w:t>
      </w: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异议人：</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rPr>
        <w:t>住所地：</w:t>
      </w:r>
      <w:r>
        <w:rPr>
          <w:rFonts w:hint="eastAsia" w:hAnsi="宋体" w:cs="仿宋_GB2312"/>
          <w:color w:val="auto"/>
          <w:kern w:val="0"/>
          <w:sz w:val="28"/>
          <w:szCs w:val="28"/>
          <w:highlight w:val="none"/>
          <w:lang w:val="en-US" w:eastAsia="zh-CN"/>
        </w:rPr>
        <w:t xml:space="preserve">   </w:t>
      </w:r>
      <w:r>
        <w:rPr>
          <w:rFonts w:hAnsi="宋体" w:cs="仿宋_GB2312"/>
          <w:color w:val="auto"/>
          <w:kern w:val="0"/>
          <w:sz w:val="28"/>
          <w:szCs w:val="28"/>
          <w:highlight w:val="none"/>
        </w:rPr>
        <w:t xml:space="preserve"> 邮编：</w:t>
      </w:r>
    </w:p>
    <w:p>
      <w:pPr>
        <w:widowControl/>
        <w:jc w:val="left"/>
        <w:rPr>
          <w:rFonts w:hint="eastAsia" w:hAnsi="宋体" w:eastAsia="宋体" w:cs="宋体"/>
          <w:color w:val="auto"/>
          <w:kern w:val="0"/>
          <w:sz w:val="28"/>
          <w:szCs w:val="28"/>
          <w:highlight w:val="none"/>
          <w:lang w:eastAsia="zh-CN"/>
        </w:rPr>
      </w:pPr>
      <w:r>
        <w:rPr>
          <w:rFonts w:hint="eastAsia" w:hAnsi="宋体" w:cs="仿宋_GB2312"/>
          <w:color w:val="auto"/>
          <w:kern w:val="0"/>
          <w:sz w:val="28"/>
          <w:szCs w:val="28"/>
          <w:highlight w:val="none"/>
        </w:rPr>
        <w:t>法定代表人：</w:t>
      </w:r>
      <w:r>
        <w:rPr>
          <w:rFonts w:hint="eastAsia" w:hAnsi="宋体" w:cs="仿宋_GB2312"/>
          <w:color w:val="auto"/>
          <w:kern w:val="0"/>
          <w:sz w:val="28"/>
          <w:szCs w:val="28"/>
          <w:highlight w:val="none"/>
          <w:lang w:val="en-US" w:eastAsia="zh-CN"/>
        </w:rPr>
        <w:t xml:space="preserve">      </w:t>
      </w:r>
      <w:r>
        <w:rPr>
          <w:rFonts w:hint="eastAsia" w:hAnsi="宋体" w:cs="仿宋_GB2312"/>
          <w:color w:val="auto"/>
          <w:kern w:val="0"/>
          <w:sz w:val="28"/>
          <w:szCs w:val="28"/>
          <w:highlight w:val="none"/>
        </w:rPr>
        <w:t>联系电话</w:t>
      </w:r>
      <w:r>
        <w:rPr>
          <w:rFonts w:hint="eastAsia" w:hAnsi="宋体" w:cs="仿宋_GB2312"/>
          <w:color w:val="auto"/>
          <w:kern w:val="0"/>
          <w:sz w:val="28"/>
          <w:szCs w:val="28"/>
          <w:highlight w:val="none"/>
          <w:lang w:eastAsia="zh-CN"/>
        </w:rPr>
        <w:t>：</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rPr>
        <w:t>异议人授权代表：</w:t>
      </w:r>
      <w:r>
        <w:rPr>
          <w:rFonts w:hint="eastAsia" w:hAnsi="宋体" w:cs="仿宋_GB2312"/>
          <w:color w:val="auto"/>
          <w:kern w:val="0"/>
          <w:sz w:val="28"/>
          <w:szCs w:val="28"/>
          <w:highlight w:val="none"/>
          <w:lang w:val="en-US" w:eastAsia="zh-CN"/>
        </w:rPr>
        <w:t xml:space="preserve">   </w:t>
      </w:r>
      <w:r>
        <w:rPr>
          <w:rFonts w:hAnsi="宋体" w:cs="仿宋_GB2312"/>
          <w:color w:val="auto"/>
          <w:kern w:val="0"/>
          <w:sz w:val="28"/>
          <w:szCs w:val="28"/>
          <w:highlight w:val="none"/>
        </w:rPr>
        <w:t xml:space="preserve"> 性别：</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rPr>
        <w:t>住址：</w:t>
      </w:r>
      <w:r>
        <w:rPr>
          <w:rFonts w:hint="eastAsia" w:hAnsi="宋体" w:cs="仿宋_GB2312"/>
          <w:color w:val="auto"/>
          <w:kern w:val="0"/>
          <w:sz w:val="28"/>
          <w:szCs w:val="28"/>
          <w:highlight w:val="none"/>
          <w:lang w:val="en-US" w:eastAsia="zh-CN"/>
        </w:rPr>
        <w:t xml:space="preserve">             </w:t>
      </w:r>
      <w:r>
        <w:rPr>
          <w:rFonts w:hint="eastAsia" w:hAnsi="宋体" w:cs="仿宋_GB2312"/>
          <w:color w:val="auto"/>
          <w:kern w:val="0"/>
          <w:sz w:val="28"/>
          <w:szCs w:val="28"/>
          <w:highlight w:val="none"/>
        </w:rPr>
        <w:t>联系电话：</w:t>
      </w: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提起异议事项的基本事实：</w:t>
      </w:r>
    </w:p>
    <w:p>
      <w:pPr>
        <w:widowControl/>
        <w:jc w:val="left"/>
        <w:rPr>
          <w:rFonts w:hAnsi="宋体" w:cs="宋体"/>
          <w:color w:val="auto"/>
          <w:kern w:val="0"/>
          <w:sz w:val="28"/>
          <w:szCs w:val="28"/>
          <w:highlight w:val="none"/>
        </w:rPr>
      </w:pP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相关请求及主张：</w:t>
      </w:r>
    </w:p>
    <w:p>
      <w:pPr>
        <w:widowControl/>
        <w:jc w:val="left"/>
        <w:rPr>
          <w:rFonts w:hAnsi="宋体" w:cs="仿宋_GB2312"/>
          <w:color w:val="auto"/>
          <w:kern w:val="0"/>
          <w:sz w:val="28"/>
          <w:szCs w:val="28"/>
          <w:highlight w:val="none"/>
          <w:u w:val="single"/>
        </w:rPr>
      </w:pP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有效线索和相关证明材料：</w:t>
      </w:r>
    </w:p>
    <w:p>
      <w:pPr>
        <w:widowControl/>
        <w:jc w:val="left"/>
        <w:rPr>
          <w:rFonts w:hAnsi="宋体" w:cs="仿宋_GB2312"/>
          <w:color w:val="auto"/>
          <w:kern w:val="0"/>
          <w:sz w:val="28"/>
          <w:szCs w:val="28"/>
          <w:highlight w:val="none"/>
          <w:u w:val="single"/>
        </w:rPr>
      </w:pP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异议提起人与项目有利害关系的证明材料（见说明）：</w:t>
      </w:r>
    </w:p>
    <w:p>
      <w:pPr>
        <w:widowControl/>
        <w:jc w:val="left"/>
        <w:rPr>
          <w:rFonts w:hAnsi="宋体" w:cs="宋体"/>
          <w:color w:val="auto"/>
          <w:kern w:val="0"/>
          <w:sz w:val="28"/>
          <w:szCs w:val="28"/>
          <w:highlight w:val="none"/>
        </w:rPr>
      </w:pPr>
      <w:r>
        <w:rPr>
          <w:rFonts w:hAnsi="宋体" w:cs="仿宋_GB2312"/>
          <w:color w:val="auto"/>
          <w:kern w:val="0"/>
          <w:sz w:val="28"/>
          <w:szCs w:val="28"/>
          <w:highlight w:val="none"/>
        </w:rPr>
        <w:t xml:space="preserve">  此致</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u w:val="single"/>
        </w:rPr>
        <w:t>（采购人）</w:t>
      </w:r>
    </w:p>
    <w:p>
      <w:pPr>
        <w:widowControl/>
        <w:ind w:left="98" w:leftChars="47" w:firstLine="2800" w:firstLineChars="1000"/>
        <w:jc w:val="left"/>
        <w:rPr>
          <w:rFonts w:hAnsi="宋体" w:cs="仿宋_GB2312"/>
          <w:color w:val="auto"/>
          <w:kern w:val="0"/>
          <w:sz w:val="28"/>
          <w:szCs w:val="28"/>
          <w:highlight w:val="none"/>
        </w:rPr>
      </w:pPr>
    </w:p>
    <w:p>
      <w:pPr>
        <w:widowControl/>
        <w:ind w:left="98" w:leftChars="47" w:firstLine="2800" w:firstLineChars="1000"/>
        <w:jc w:val="left"/>
        <w:rPr>
          <w:rFonts w:hAnsi="宋体" w:cs="仿宋_GB2312"/>
          <w:color w:val="auto"/>
          <w:kern w:val="0"/>
          <w:sz w:val="28"/>
          <w:szCs w:val="28"/>
          <w:highlight w:val="none"/>
        </w:rPr>
      </w:pPr>
    </w:p>
    <w:p>
      <w:pPr>
        <w:widowControl/>
        <w:ind w:left="98" w:leftChars="47" w:firstLine="2800" w:firstLineChars="1000"/>
        <w:jc w:val="left"/>
        <w:rPr>
          <w:rFonts w:hAnsi="宋体" w:cs="宋体"/>
          <w:color w:val="auto"/>
          <w:kern w:val="0"/>
          <w:sz w:val="28"/>
          <w:szCs w:val="28"/>
          <w:highlight w:val="none"/>
        </w:rPr>
      </w:pPr>
      <w:r>
        <w:rPr>
          <w:rFonts w:hint="eastAsia" w:hAnsi="宋体" w:cs="仿宋_GB2312"/>
          <w:color w:val="auto"/>
          <w:kern w:val="0"/>
          <w:sz w:val="28"/>
          <w:szCs w:val="28"/>
          <w:highlight w:val="none"/>
        </w:rPr>
        <w:t>异议人（公章）：</w:t>
      </w:r>
    </w:p>
    <w:p>
      <w:pPr>
        <w:widowControl/>
        <w:ind w:left="98" w:leftChars="47" w:firstLine="1960" w:firstLineChars="700"/>
        <w:jc w:val="left"/>
        <w:rPr>
          <w:rFonts w:hAnsi="宋体" w:cs="仿宋_GB2312"/>
          <w:color w:val="auto"/>
          <w:kern w:val="0"/>
          <w:sz w:val="28"/>
          <w:szCs w:val="28"/>
          <w:highlight w:val="none"/>
        </w:rPr>
      </w:pPr>
    </w:p>
    <w:p>
      <w:pPr>
        <w:widowControl/>
        <w:ind w:left="98" w:leftChars="47" w:firstLine="1960" w:firstLineChars="700"/>
        <w:jc w:val="left"/>
        <w:rPr>
          <w:rFonts w:hAnsi="宋体" w:cs="仿宋_GB2312"/>
          <w:color w:val="auto"/>
          <w:kern w:val="0"/>
          <w:sz w:val="28"/>
          <w:szCs w:val="28"/>
          <w:highlight w:val="none"/>
          <w:u w:val="single"/>
        </w:rPr>
      </w:pPr>
      <w:r>
        <w:rPr>
          <w:rFonts w:hint="eastAsia" w:hAnsi="宋体" w:cs="仿宋_GB2312"/>
          <w:color w:val="auto"/>
          <w:kern w:val="0"/>
          <w:sz w:val="28"/>
          <w:szCs w:val="28"/>
          <w:highlight w:val="none"/>
        </w:rPr>
        <w:t>法定代表人或授权代表（签字）</w:t>
      </w:r>
    </w:p>
    <w:p>
      <w:pPr>
        <w:widowControl/>
        <w:ind w:left="98" w:leftChars="47" w:firstLine="1960" w:firstLineChars="700"/>
        <w:jc w:val="left"/>
        <w:rPr>
          <w:rFonts w:hAnsi="宋体" w:cs="仿宋_GB2312"/>
          <w:color w:val="auto"/>
          <w:kern w:val="0"/>
          <w:sz w:val="28"/>
          <w:szCs w:val="28"/>
          <w:highlight w:val="none"/>
          <w:u w:val="single"/>
        </w:rPr>
      </w:pPr>
    </w:p>
    <w:p>
      <w:pPr>
        <w:widowControl/>
        <w:ind w:firstLine="560" w:firstLineChars="200"/>
        <w:jc w:val="center"/>
        <w:rPr>
          <w:rFonts w:hAnsi="宋体" w:cs="宋体"/>
          <w:color w:val="auto"/>
          <w:kern w:val="0"/>
          <w:sz w:val="28"/>
          <w:szCs w:val="28"/>
          <w:highlight w:val="none"/>
        </w:rPr>
      </w:pPr>
      <w:r>
        <w:rPr>
          <w:rFonts w:hAnsi="宋体" w:cs="仿宋_GB2312"/>
          <w:color w:val="auto"/>
          <w:kern w:val="0"/>
          <w:sz w:val="28"/>
          <w:szCs w:val="28"/>
          <w:highlight w:val="none"/>
        </w:rPr>
        <w:t xml:space="preserve">                                     年    月   日</w:t>
      </w:r>
    </w:p>
    <w:p>
      <w:pPr>
        <w:widowControl/>
        <w:jc w:val="left"/>
        <w:rPr>
          <w:rFonts w:hAnsi="宋体" w:cs="仿宋_GB2312"/>
          <w:bCs/>
          <w:color w:val="auto"/>
          <w:kern w:val="0"/>
          <w:sz w:val="24"/>
          <w:highlight w:val="none"/>
        </w:rPr>
      </w:pPr>
    </w:p>
    <w:p>
      <w:pPr>
        <w:rPr>
          <w:rFonts w:hAnsi="仿宋"/>
          <w:color w:val="auto"/>
          <w:sz w:val="24"/>
          <w:highlight w:val="none"/>
        </w:rPr>
      </w:pPr>
      <w:r>
        <w:rPr>
          <w:rFonts w:hint="eastAsia" w:hAnsi="仿宋"/>
          <w:color w:val="auto"/>
          <w:sz w:val="24"/>
          <w:highlight w:val="none"/>
        </w:rPr>
        <w:t>说明：</w:t>
      </w:r>
    </w:p>
    <w:p>
      <w:pPr>
        <w:rPr>
          <w:rFonts w:hAnsi="仿宋"/>
          <w:color w:val="auto"/>
          <w:sz w:val="24"/>
          <w:highlight w:val="none"/>
        </w:rPr>
      </w:pPr>
    </w:p>
    <w:p>
      <w:pPr>
        <w:rPr>
          <w:rFonts w:hAnsi="仿宋"/>
          <w:color w:val="auto"/>
          <w:sz w:val="24"/>
          <w:highlight w:val="none"/>
        </w:rPr>
      </w:pPr>
      <w:r>
        <w:rPr>
          <w:rFonts w:hAnsi="仿宋"/>
          <w:color w:val="auto"/>
          <w:sz w:val="24"/>
          <w:highlight w:val="none"/>
        </w:rPr>
        <w:t>1.异议提起人是法人的，异议书必须由其法定代表人或者授权代表签字并盖章；其他组织或者自然人提出异议的，异议书必须由其主要负责人或者异议提起人本人签字，并附有效身份证明复印件。</w:t>
      </w:r>
    </w:p>
    <w:p>
      <w:pPr>
        <w:rPr>
          <w:rFonts w:hAnsi="仿宋"/>
          <w:color w:val="auto"/>
          <w:sz w:val="24"/>
          <w:highlight w:val="none"/>
        </w:rPr>
      </w:pPr>
      <w:r>
        <w:rPr>
          <w:rFonts w:hAnsi="仿宋"/>
          <w:color w:val="auto"/>
          <w:sz w:val="24"/>
          <w:highlight w:val="none"/>
        </w:rPr>
        <w:t>2.异议提起人可以自己直接提交异议书，也可以委托代理人办理异议事务。代理人办理异议事务时，应当将授权委托书连同异议书一并提交给招标人。授权委托书应当明确有关委托代理权限和事项。</w:t>
      </w:r>
    </w:p>
    <w:p>
      <w:pPr>
        <w:rPr>
          <w:rFonts w:hAnsi="仿宋"/>
          <w:color w:val="auto"/>
          <w:sz w:val="24"/>
          <w:highlight w:val="none"/>
        </w:rPr>
      </w:pPr>
      <w:r>
        <w:rPr>
          <w:rFonts w:hAnsi="仿宋"/>
          <w:color w:val="auto"/>
          <w:sz w:val="24"/>
          <w:highlight w:val="none"/>
        </w:rPr>
        <w:t>3.为证明与异议项目有利害关系，投标人以外的其他异议提起人应当提供相应证明材料：</w:t>
      </w:r>
    </w:p>
    <w:p>
      <w:pPr>
        <w:rPr>
          <w:rFonts w:hAnsi="仿宋"/>
          <w:color w:val="auto"/>
          <w:sz w:val="24"/>
          <w:highlight w:val="none"/>
        </w:rPr>
      </w:pPr>
      <w:r>
        <w:rPr>
          <w:rFonts w:hint="eastAsia" w:hAnsi="仿宋"/>
          <w:color w:val="auto"/>
          <w:sz w:val="24"/>
          <w:highlight w:val="none"/>
        </w:rPr>
        <w:t>（</w:t>
      </w:r>
      <w:r>
        <w:rPr>
          <w:rFonts w:hAnsi="仿宋"/>
          <w:color w:val="auto"/>
          <w:sz w:val="24"/>
          <w:highlight w:val="none"/>
        </w:rPr>
        <w:t>1）属潜在投标人的，提交符合法定有关资格要求的证明文件；</w:t>
      </w:r>
    </w:p>
    <w:p>
      <w:pPr>
        <w:rPr>
          <w:rFonts w:hAnsi="仿宋"/>
          <w:color w:val="auto"/>
          <w:sz w:val="24"/>
          <w:highlight w:val="none"/>
        </w:rPr>
      </w:pPr>
      <w:r>
        <w:rPr>
          <w:rFonts w:hint="eastAsia" w:hAnsi="仿宋"/>
          <w:color w:val="auto"/>
          <w:sz w:val="24"/>
          <w:highlight w:val="none"/>
        </w:rPr>
        <w:t>（</w:t>
      </w:r>
      <w:r>
        <w:rPr>
          <w:rFonts w:hAnsi="仿宋"/>
          <w:color w:val="auto"/>
          <w:sz w:val="24"/>
          <w:highlight w:val="none"/>
        </w:rPr>
        <w:t>2）属特定分包人或者供应商的，提交证明其与该项目投标人绑定投标的附条件生效协议以及能证明其能履行该协议项下的合同义务的能力的证明文件。</w:t>
      </w:r>
      <w:r>
        <w:rPr>
          <w:rFonts w:hAnsi="仿宋"/>
          <w:color w:val="auto"/>
          <w:sz w:val="24"/>
          <w:highlight w:val="none"/>
        </w:rPr>
        <w:tab/>
      </w:r>
    </w:p>
    <w:p>
      <w:pPr>
        <w:rPr>
          <w:rFonts w:hAnsi="仿宋"/>
          <w:color w:val="auto"/>
          <w:sz w:val="24"/>
          <w:highlight w:val="none"/>
        </w:rPr>
      </w:pPr>
      <w:r>
        <w:rPr>
          <w:rFonts w:hint="eastAsia" w:hAnsi="仿宋"/>
          <w:color w:val="auto"/>
          <w:sz w:val="24"/>
          <w:highlight w:val="none"/>
        </w:rPr>
        <w:t>（</w:t>
      </w:r>
      <w:r>
        <w:rPr>
          <w:rFonts w:hAnsi="仿宋"/>
          <w:color w:val="auto"/>
          <w:sz w:val="24"/>
          <w:highlight w:val="none"/>
        </w:rPr>
        <w:t>3）可证明与异议项目有利害关系的其他证明文件。</w:t>
      </w:r>
    </w:p>
    <w:p>
      <w:pPr>
        <w:rPr>
          <w:color w:val="auto"/>
          <w:highlight w:val="none"/>
        </w:rPr>
      </w:pPr>
    </w:p>
    <w:p>
      <w:pPr>
        <w:pStyle w:val="22"/>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rFonts w:hint="eastAsia" w:asciiTheme="minorHAnsi" w:hAnsiTheme="minorHAnsi" w:cstheme="minorBidi"/>
          <w:color w:val="auto"/>
          <w:kern w:val="44"/>
          <w:sz w:val="44"/>
          <w:szCs w:val="44"/>
          <w:highlight w:val="none"/>
        </w:rPr>
      </w:pPr>
      <w:bookmarkStart w:id="26" w:name="_Toc2867"/>
      <w:bookmarkStart w:id="27" w:name="_Toc21455"/>
    </w:p>
    <w:p>
      <w:pPr>
        <w:rPr>
          <w:rFonts w:hint="eastAsia" w:asciiTheme="minorHAnsi" w:hAnsiTheme="minorHAnsi" w:cstheme="minorBidi"/>
          <w:color w:val="auto"/>
          <w:kern w:val="44"/>
          <w:sz w:val="44"/>
          <w:szCs w:val="44"/>
          <w:highlight w:val="none"/>
        </w:rPr>
      </w:pPr>
    </w:p>
    <w:p>
      <w:pPr>
        <w:pStyle w:val="2"/>
        <w:rPr>
          <w:rFonts w:hint="eastAsia" w:asciiTheme="minorHAnsi" w:hAnsiTheme="minorHAnsi" w:cstheme="minorBidi"/>
          <w:color w:val="auto"/>
          <w:kern w:val="44"/>
          <w:sz w:val="44"/>
          <w:szCs w:val="44"/>
          <w:highlight w:val="none"/>
        </w:rPr>
      </w:pPr>
    </w:p>
    <w:p>
      <w:pPr>
        <w:pStyle w:val="2"/>
        <w:rPr>
          <w:rFonts w:hint="eastAsia" w:asciiTheme="minorHAnsi" w:hAnsiTheme="minorHAnsi" w:cstheme="minorBidi"/>
          <w:color w:val="auto"/>
          <w:kern w:val="44"/>
          <w:sz w:val="44"/>
          <w:szCs w:val="44"/>
          <w:highlight w:val="none"/>
        </w:rPr>
      </w:pPr>
    </w:p>
    <w:p>
      <w:pPr>
        <w:pStyle w:val="2"/>
        <w:rPr>
          <w:rFonts w:hint="eastAsia" w:asciiTheme="minorHAnsi" w:hAnsiTheme="minorHAnsi" w:cstheme="minorBidi"/>
          <w:color w:val="auto"/>
          <w:kern w:val="44"/>
          <w:sz w:val="44"/>
          <w:szCs w:val="44"/>
          <w:highlight w:val="none"/>
        </w:rPr>
      </w:pPr>
    </w:p>
    <w:p>
      <w:pPr>
        <w:pStyle w:val="4"/>
        <w:rPr>
          <w:rFonts w:hint="eastAsia" w:asciiTheme="minorHAnsi" w:hAnsiTheme="minorHAnsi" w:cstheme="minorBidi"/>
          <w:color w:val="auto"/>
          <w:kern w:val="44"/>
          <w:sz w:val="44"/>
          <w:szCs w:val="44"/>
          <w:highlight w:val="none"/>
        </w:rPr>
      </w:pPr>
    </w:p>
    <w:p>
      <w:pPr>
        <w:pStyle w:val="4"/>
        <w:rPr>
          <w:rFonts w:hint="eastAsia" w:asciiTheme="minorHAnsi" w:hAnsiTheme="minorHAnsi" w:cstheme="minorBidi"/>
          <w:color w:val="auto"/>
          <w:kern w:val="44"/>
          <w:sz w:val="44"/>
          <w:szCs w:val="44"/>
          <w:highlight w:val="none"/>
        </w:rPr>
      </w:pP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2336" behindDoc="0" locked="0" layoutInCell="1" allowOverlap="1">
                <wp:simplePos x="0" y="0"/>
                <wp:positionH relativeFrom="column">
                  <wp:posOffset>2280920</wp:posOffset>
                </wp:positionH>
                <wp:positionV relativeFrom="paragraph">
                  <wp:posOffset>558165</wp:posOffset>
                </wp:positionV>
                <wp:extent cx="958850" cy="0"/>
                <wp:effectExtent l="0" t="0" r="0" b="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79.6pt;margin-top:43.95pt;height:0pt;width:75.5pt;z-index:251662336;mso-width-relative:page;mso-height-relative:page;" filled="f" stroked="t" coordsize="21600,21600" o:gfxdata="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nkpxJdYAAAAJAQAADwAAAAAAAAABACAAAAAiAAAAZHJzL2Rvd25yZXYueG1sUEsBAhQAFAAA&#10;AAgAh07iQBcgxbnxAQAA4gMAAA4AAAAAAAAAAQAgAAAAJQEAAGRycy9lMm9Eb2MueG1sUEsFBgAA&#10;AAAGAAYAWQEAAIgFAAAAAA==&#10;">
                <v:fill on="f" focussize="0,0"/>
                <v:stroke color="#000000" joinstyle="round"/>
                <v:imagedata o:title=""/>
                <o:lock v:ext="edit" aspectratio="f"/>
              </v:shape>
            </w:pict>
          </mc:Fallback>
        </mc:AlternateContent>
      </w:r>
    </w:p>
    <w:p>
      <w:pPr>
        <w:pStyle w:val="4"/>
        <w:rPr>
          <w:rFonts w:hint="eastAsia" w:asciiTheme="minorHAnsi" w:hAnsiTheme="minorHAnsi" w:cstheme="minorBidi"/>
          <w:color w:val="auto"/>
          <w:kern w:val="44"/>
          <w:sz w:val="44"/>
          <w:szCs w:val="44"/>
          <w:highlight w:val="none"/>
        </w:rPr>
      </w:pP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3360" behindDoc="0" locked="0" layoutInCell="1" allowOverlap="1">
                <wp:simplePos x="0" y="0"/>
                <wp:positionH relativeFrom="column">
                  <wp:posOffset>2292985</wp:posOffset>
                </wp:positionH>
                <wp:positionV relativeFrom="paragraph">
                  <wp:posOffset>523875</wp:posOffset>
                </wp:positionV>
                <wp:extent cx="958850" cy="0"/>
                <wp:effectExtent l="0" t="0" r="0" b="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80.55pt;margin-top:41.25pt;height:0pt;width:75.5pt;z-index:251663360;mso-width-relative:page;mso-height-relative:page;" filled="f" stroked="t" coordsize="21600,21600" o:gfxdata="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zLhs85c2Dpwn9+&#10;+vbr4+e7Lz/uvn9li6zQELCmwI27iacdhpuY6R7aaPOfiLBDUfV4VlUdEhN0+GKxXC5Ib3Hvqh7y&#10;QsT0SnnLstFwTBF016eNd46uzsdZERX2rzFRZUq8T8hFjWNDhp8vCBxoFFsaATJtIDroupKL3mh5&#10;rY3JGRi73cZEtoc8DuXL/Aj3r7BcZAvYj3HFNQ5Kr0C+dJKlYyChHL0PnluwSnJmFD2nbBEg1Am0&#10;uSSSShtHHWSJR1GztfPyWLQu53T1pcfTmObZ+nNfsh+e5v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skBaGtYAAAAJAQAADwAAAAAAAAABACAAAAAiAAAAZHJzL2Rvd25yZXYueG1sUEsBAhQAFAAA&#10;AAgAh07iQLRtirXxAQAA4gMAAA4AAAAAAAAAAQAgAAAAJQEAAGRycy9lMm9Eb2MueG1sUEsFBgAA&#10;AAAGAAYAWQEAAIgFA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lang w:val="en-US" w:eastAsia="zh-CN"/>
        </w:rPr>
        <w:t xml:space="preserve"> </w:t>
      </w:r>
      <w:r>
        <w:rPr>
          <w:rFonts w:hint="eastAsia" w:asciiTheme="minorHAnsi" w:hAnsiTheme="minorHAnsi" w:cstheme="minorBidi"/>
          <w:color w:val="auto"/>
          <w:kern w:val="44"/>
          <w:sz w:val="44"/>
          <w:szCs w:val="44"/>
          <w:highlight w:val="none"/>
        </w:rPr>
        <w:t>第</w:t>
      </w:r>
      <w:r>
        <w:rPr>
          <w:rFonts w:hint="eastAsia" w:asciiTheme="minorHAnsi" w:hAnsiTheme="minorHAnsi" w:cstheme="minorBidi"/>
          <w:color w:val="auto"/>
          <w:kern w:val="44"/>
          <w:sz w:val="44"/>
          <w:szCs w:val="44"/>
          <w:highlight w:val="none"/>
          <w:lang w:eastAsia="zh-CN"/>
        </w:rPr>
        <w:t>三</w:t>
      </w:r>
      <w:r>
        <w:rPr>
          <w:rFonts w:hint="eastAsia" w:asciiTheme="minorHAnsi" w:hAnsiTheme="minorHAnsi" w:cstheme="minorBidi"/>
          <w:color w:val="auto"/>
          <w:kern w:val="44"/>
          <w:sz w:val="44"/>
          <w:szCs w:val="44"/>
          <w:highlight w:val="none"/>
        </w:rPr>
        <w:t>章</w:t>
      </w:r>
      <w:bookmarkEnd w:id="26"/>
      <w:bookmarkEnd w:id="27"/>
    </w:p>
    <w:p>
      <w:pPr>
        <w:pStyle w:val="35"/>
        <w:rPr>
          <w:color w:val="auto"/>
          <w:highlight w:val="none"/>
        </w:rPr>
      </w:pPr>
    </w:p>
    <w:p>
      <w:pPr>
        <w:pStyle w:val="4"/>
        <w:rPr>
          <w:color w:val="auto"/>
          <w:highlight w:val="none"/>
        </w:rPr>
      </w:pPr>
      <w:bookmarkStart w:id="28" w:name="_Toc7040"/>
      <w:bookmarkStart w:id="29" w:name="_Toc87616371"/>
      <w:bookmarkStart w:id="30" w:name="_Toc88209934"/>
      <w:bookmarkStart w:id="31" w:name="_Toc7303"/>
      <w:r>
        <w:rPr>
          <w:rFonts w:hint="eastAsia"/>
          <w:color w:val="auto"/>
          <w:highlight w:val="none"/>
        </w:rPr>
        <w:t>采购方法</w:t>
      </w:r>
      <w:bookmarkEnd w:id="28"/>
      <w:bookmarkEnd w:id="29"/>
      <w:bookmarkEnd w:id="30"/>
      <w:bookmarkEnd w:id="31"/>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ind w:firstLine="0"/>
        <w:rPr>
          <w:rFonts w:ascii="方正小标宋简体" w:eastAsia="方正小标宋简体"/>
          <w:color w:val="auto"/>
          <w:sz w:val="44"/>
          <w:szCs w:val="44"/>
          <w:highlight w:val="none"/>
        </w:rPr>
      </w:pPr>
    </w:p>
    <w:p>
      <w:pPr>
        <w:pStyle w:val="4"/>
        <w:rPr>
          <w:color w:val="auto"/>
          <w:highlight w:val="none"/>
        </w:rPr>
      </w:pPr>
      <w:bookmarkStart w:id="32" w:name="_Toc24895"/>
      <w:bookmarkStart w:id="33" w:name="_Toc3789"/>
      <w:r>
        <w:rPr>
          <w:rFonts w:hint="eastAsia"/>
          <w:color w:val="auto"/>
          <w:highlight w:val="none"/>
        </w:rPr>
        <w:t>询比采购</w:t>
      </w:r>
      <w:bookmarkEnd w:id="32"/>
      <w:bookmarkEnd w:id="33"/>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4"/>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邀请书</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5"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广州市天河区临江大道501号广州市净水有限公司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2" w:char="0052"/>
            </w: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r>
              <w:rPr>
                <w:rFonts w:hint="eastAsia" w:ascii="仿宋_GB2312" w:eastAsia="仿宋_GB2312" w:hAnsiTheme="minorEastAsia"/>
                <w:color w:val="auto"/>
                <w:sz w:val="24"/>
                <w:szCs w:val="24"/>
                <w:highlight w:val="none"/>
                <w:lang w:eastAsia="zh-CN"/>
              </w:rPr>
              <w:t>。</w:t>
            </w:r>
          </w:p>
          <w:p>
            <w:pPr>
              <w:adjustRightInd w:val="0"/>
              <w:snapToGrid w:val="0"/>
              <w:ind w:left="360" w:hanging="360" w:hangingChars="150"/>
              <w:rPr>
                <w:rFonts w:hint="eastAsia"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rPr>
              <w:sym w:font="Wingdings 2" w:char="00A3"/>
            </w:r>
            <w:r>
              <w:rPr>
                <w:rFonts w:hint="eastAsia" w:ascii="仿宋_GB2312" w:eastAsia="仿宋_GB2312" w:hAnsiTheme="minorEastAsia"/>
                <w:color w:val="auto"/>
                <w:sz w:val="24"/>
                <w:szCs w:val="24"/>
                <w:highlight w:val="none"/>
              </w:rPr>
              <w:t>评审小组按照采购文件确定的标准排序，采购人确定排名第一的供应商为成交供应商</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 xml:space="preserve"> </w:t>
            </w:r>
          </w:p>
          <w:p>
            <w:pPr>
              <w:ind w:left="0" w:firstLine="480" w:firstLineChars="200"/>
              <w:rPr>
                <w:rFonts w:hint="default"/>
                <w:color w:val="auto"/>
                <w:highlight w:val="none"/>
                <w:lang w:val="en-US" w:eastAsia="zh-CN"/>
              </w:rPr>
            </w:pPr>
            <w:r>
              <w:rPr>
                <w:rFonts w:hint="eastAsia" w:ascii="仿宋_GB2312" w:eastAsia="仿宋_GB2312" w:hAnsiTheme="minorEastAsia" w:cstheme="minorBidi"/>
                <w:color w:val="auto"/>
                <w:sz w:val="24"/>
                <w:szCs w:val="24"/>
                <w:highlight w:val="none"/>
                <w:lang w:val="en-US" w:eastAsia="zh-CN"/>
              </w:rPr>
              <w:t>注：</w:t>
            </w:r>
            <w:r>
              <w:rPr>
                <w:rFonts w:hint="eastAsia" w:ascii="仿宋_GB2312" w:eastAsia="仿宋_GB2312" w:hAnsiTheme="minorEastAsia" w:cstheme="minorBidi"/>
                <w:color w:val="auto"/>
                <w:sz w:val="24"/>
                <w:szCs w:val="24"/>
                <w:highlight w:val="none"/>
              </w:rPr>
              <w:t>如第一中选候选人被取消</w:t>
            </w:r>
            <w:r>
              <w:rPr>
                <w:rFonts w:hint="eastAsia" w:ascii="仿宋_GB2312" w:eastAsia="仿宋_GB2312" w:hAnsiTheme="minorEastAsia" w:cstheme="minorBidi"/>
                <w:color w:val="auto"/>
                <w:sz w:val="24"/>
                <w:szCs w:val="24"/>
                <w:highlight w:val="none"/>
                <w:lang w:val="en-US" w:eastAsia="zh-CN"/>
              </w:rPr>
              <w:t>或放弃</w:t>
            </w:r>
            <w:r>
              <w:rPr>
                <w:rFonts w:hint="eastAsia" w:ascii="仿宋_GB2312" w:eastAsia="仿宋_GB2312" w:hAnsiTheme="minorEastAsia" w:cstheme="minorBidi"/>
                <w:color w:val="auto"/>
                <w:sz w:val="24"/>
                <w:szCs w:val="24"/>
                <w:highlight w:val="none"/>
              </w:rPr>
              <w:t>中选候选人资格，采购人有权按中选候选人的顺序依次确定其他中选候选人为中选人，或重新采购。</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3"/>
        <w:rPr>
          <w:color w:val="auto"/>
          <w:highlight w:val="none"/>
        </w:rPr>
      </w:pPr>
      <w:bookmarkStart w:id="34" w:name="_Toc23581"/>
      <w:bookmarkStart w:id="35" w:name="_Toc10930"/>
      <w:bookmarkStart w:id="36" w:name="_Toc20594"/>
      <w:bookmarkStart w:id="37" w:name="_Toc4952"/>
      <w:bookmarkStart w:id="38" w:name="_Toc14552"/>
      <w:bookmarkStart w:id="39" w:name="_Toc19759"/>
      <w:bookmarkStart w:id="40" w:name="_Toc19050"/>
      <w:bookmarkStart w:id="41" w:name="_Toc3156"/>
      <w:bookmarkStart w:id="42" w:name="_Toc7437"/>
      <w:bookmarkStart w:id="43" w:name="_Toc14870"/>
      <w:bookmarkStart w:id="44" w:name="_Toc7118"/>
      <w:r>
        <w:rPr>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2325370</wp:posOffset>
                </wp:positionH>
                <wp:positionV relativeFrom="paragraph">
                  <wp:posOffset>213360</wp:posOffset>
                </wp:positionV>
                <wp:extent cx="958850" cy="0"/>
                <wp:effectExtent l="0" t="0" r="0" b="0"/>
                <wp:wrapNone/>
                <wp:docPr id="3"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3.1pt;margin-top:16.8pt;height:0pt;width:75.5pt;z-index:251664384;mso-width-relative:page;mso-height-relative:page;" filled="f" stroked="t" coordsize="21600,21600" o:gfxdata="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yWZCK1wAAAAkBAAAPAAAAAAAAAAEAIAAAACIAAABkcnMvZG93bnJldi54bWxQSwECFAAU&#10;AAAACACHTuJAkDHAsPIBAADi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2325370</wp:posOffset>
                </wp:positionH>
                <wp:positionV relativeFrom="paragraph">
                  <wp:posOffset>758190</wp:posOffset>
                </wp:positionV>
                <wp:extent cx="958850" cy="0"/>
                <wp:effectExtent l="0" t="0" r="0" b="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3.1pt;margin-top:59.7pt;height:0pt;width:75.5pt;z-index:251665408;mso-width-relative:page;mso-height-relative:page;" filled="f" stroked="t" coordsize="21600,21600" o:gfxdata="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EijJo1wAAAAsBAAAPAAAAAAAAAAEAIAAAACIAAABkcnMvZG93bnJldi54bWxQSwECFAAU&#10;AAAACACHTuJAe51jF/IBAADiAwAADgAAAAAAAAABACAAAAAmAQAAZHJzL2Uyb0RvYy54bWxQSwUG&#10;AAAAAAYABgBZAQAAigUAAAAA&#10;">
                <v:fill on="f" focussize="0,0"/>
                <v:stroke color="#000000" joinstyle="round"/>
                <v:imagedata o:title=""/>
                <o:lock v:ext="edit" aspectratio="f"/>
              </v:shape>
            </w:pict>
          </mc:Fallback>
        </mc:AlternateContent>
      </w:r>
      <w:r>
        <w:rPr>
          <w:rFonts w:hint="eastAsia"/>
          <w:color w:val="auto"/>
          <w:highlight w:val="none"/>
          <w:lang w:val="en-US" w:eastAsia="zh-CN"/>
        </w:rPr>
        <w:t xml:space="preserve">  </w:t>
      </w:r>
      <w:r>
        <w:rPr>
          <w:rFonts w:hint="eastAsia"/>
          <w:color w:val="auto"/>
          <w:highlight w:val="none"/>
        </w:rPr>
        <w:t>第</w:t>
      </w:r>
      <w:r>
        <w:rPr>
          <w:rFonts w:hint="eastAsia"/>
          <w:color w:val="auto"/>
          <w:highlight w:val="none"/>
          <w:lang w:val="en-US" w:eastAsia="zh-CN"/>
        </w:rPr>
        <w:t>四</w:t>
      </w:r>
      <w:r>
        <w:rPr>
          <w:rFonts w:hint="eastAsia"/>
          <w:color w:val="auto"/>
          <w:highlight w:val="none"/>
        </w:rPr>
        <w:t>章</w:t>
      </w:r>
      <w:bookmarkEnd w:id="34"/>
      <w:bookmarkEnd w:id="35"/>
      <w:bookmarkEnd w:id="36"/>
      <w:bookmarkEnd w:id="37"/>
      <w:bookmarkEnd w:id="38"/>
      <w:bookmarkEnd w:id="39"/>
      <w:bookmarkEnd w:id="40"/>
      <w:bookmarkEnd w:id="41"/>
      <w:bookmarkEnd w:id="42"/>
      <w:bookmarkEnd w:id="43"/>
      <w:bookmarkEnd w:id="44"/>
    </w:p>
    <w:p>
      <w:pPr>
        <w:pStyle w:val="35"/>
        <w:rPr>
          <w:color w:val="auto"/>
          <w:highlight w:val="none"/>
        </w:rPr>
      </w:pPr>
    </w:p>
    <w:p>
      <w:pPr>
        <w:pStyle w:val="3"/>
        <w:rPr>
          <w:color w:val="auto"/>
          <w:highlight w:val="none"/>
        </w:rPr>
      </w:pPr>
      <w:bookmarkStart w:id="45" w:name="_Toc12177"/>
      <w:bookmarkStart w:id="46" w:name="_Toc21079"/>
      <w:bookmarkStart w:id="47" w:name="_Toc32607"/>
      <w:bookmarkStart w:id="48" w:name="_Toc29484"/>
      <w:bookmarkStart w:id="49" w:name="_Toc29345"/>
      <w:bookmarkStart w:id="50" w:name="_Toc7831"/>
      <w:bookmarkStart w:id="51" w:name="_Toc6308"/>
      <w:bookmarkStart w:id="52" w:name="_Toc88209941"/>
      <w:bookmarkStart w:id="53" w:name="_Toc21840"/>
      <w:bookmarkStart w:id="54" w:name="_Toc87616378"/>
      <w:bookmarkStart w:id="55" w:name="_Toc13898"/>
      <w:bookmarkStart w:id="56" w:name="_Toc22212"/>
      <w:bookmarkStart w:id="57" w:name="_Toc30530"/>
      <w:r>
        <w:rPr>
          <w:rFonts w:hint="eastAsia"/>
          <w:color w:val="auto"/>
          <w:highlight w:val="none"/>
          <w:lang w:val="en-US" w:eastAsia="zh-CN"/>
        </w:rPr>
        <w:t xml:space="preserve">  </w:t>
      </w:r>
      <w:r>
        <w:rPr>
          <w:rFonts w:hint="eastAsia"/>
          <w:color w:val="auto"/>
          <w:highlight w:val="none"/>
        </w:rPr>
        <w:t>评审办法</w:t>
      </w:r>
      <w:bookmarkEnd w:id="45"/>
      <w:bookmarkEnd w:id="46"/>
      <w:bookmarkEnd w:id="47"/>
      <w:bookmarkEnd w:id="48"/>
      <w:bookmarkEnd w:id="49"/>
      <w:bookmarkEnd w:id="50"/>
      <w:bookmarkEnd w:id="51"/>
      <w:bookmarkEnd w:id="52"/>
      <w:bookmarkEnd w:id="53"/>
      <w:bookmarkEnd w:id="54"/>
      <w:bookmarkEnd w:id="55"/>
      <w:bookmarkEnd w:id="56"/>
      <w:bookmarkEnd w:id="57"/>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ind w:firstLine="0"/>
        <w:rPr>
          <w:rFonts w:ascii="方正小标宋简体" w:eastAsia="方正小标宋简体"/>
          <w:color w:val="auto"/>
          <w:sz w:val="44"/>
          <w:szCs w:val="44"/>
          <w:highlight w:val="none"/>
        </w:rPr>
      </w:pPr>
    </w:p>
    <w:p>
      <w:pPr>
        <w:pStyle w:val="4"/>
        <w:rPr>
          <w:color w:val="auto"/>
          <w:highlight w:val="none"/>
        </w:rPr>
      </w:pPr>
      <w:bookmarkStart w:id="58" w:name="_Toc23033"/>
      <w:bookmarkStart w:id="59" w:name="_Toc26826"/>
      <w:r>
        <w:rPr>
          <w:rFonts w:hint="eastAsia"/>
          <w:color w:val="auto"/>
          <w:highlight w:val="none"/>
        </w:rPr>
        <w:sym w:font="Wingdings 2" w:char="0052"/>
      </w:r>
      <w:r>
        <w:rPr>
          <w:rFonts w:hint="eastAsia"/>
          <w:color w:val="auto"/>
          <w:highlight w:val="none"/>
        </w:rPr>
        <w:t>经评审的最低价法</w:t>
      </w:r>
      <w:bookmarkEnd w:id="58"/>
      <w:bookmarkEnd w:id="59"/>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pPr>
        <w:adjustRightInd w:val="0"/>
        <w:snapToGrid w:val="0"/>
        <w:spacing w:line="600" w:lineRule="exact"/>
        <w:ind w:firstLine="420" w:firstLineChars="150"/>
        <w:jc w:val="left"/>
        <w:rPr>
          <w:rFonts w:hint="eastAsia" w:ascii="仿宋_GB2312" w:eastAsia="仿宋_GB2312" w:hAnsiTheme="minorEastAsia"/>
          <w:color w:val="auto"/>
          <w:sz w:val="28"/>
          <w:szCs w:val="28"/>
          <w:highlight w:val="none"/>
          <w:lang w:eastAsia="zh-CN"/>
        </w:rPr>
      </w:pPr>
      <w:r>
        <w:rPr>
          <w:rFonts w:hint="eastAsia" w:ascii="仿宋_GB2312" w:eastAsia="仿宋_GB2312" w:hAnsiTheme="minorEastAsia"/>
          <w:color w:val="auto"/>
          <w:sz w:val="28"/>
          <w:szCs w:val="28"/>
          <w:highlight w:val="none"/>
        </w:rPr>
        <w:t>（1）运输费用及保险费。</w:t>
      </w:r>
      <w:r>
        <w:rPr>
          <w:rFonts w:hint="eastAsia" w:ascii="仿宋_GB2312" w:eastAsia="仿宋_GB2312" w:hAnsiTheme="minorEastAsia"/>
          <w:color w:val="auto"/>
          <w:sz w:val="28"/>
          <w:szCs w:val="28"/>
          <w:highlight w:val="none"/>
          <w:lang w:eastAsia="zh-CN"/>
        </w:rPr>
        <w:t>（如有）</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4"/>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11"/>
        <w:gridCol w:w="2041"/>
        <w:gridCol w:w="5279"/>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有响应函，有法定代表人或其委托代理人签字（或签章 ）并加盖单位公章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color w:val="auto"/>
                <w:sz w:val="24"/>
                <w:szCs w:val="24"/>
                <w:highlight w:val="none"/>
                <w:lang w:eastAsia="zh-CN"/>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pPr>
        <w:spacing w:line="400" w:lineRule="exact"/>
        <w:jc w:val="left"/>
        <w:rPr>
          <w:color w:val="auto"/>
          <w:highlight w:val="none"/>
        </w:rPr>
      </w:pPr>
      <w:r>
        <w:rPr>
          <w:rFonts w:hint="eastAsia" w:ascii="仿宋_GB2312" w:eastAsia="仿宋_GB2312" w:hAnsiTheme="minorEastAsia"/>
          <w:color w:val="auto"/>
          <w:szCs w:val="21"/>
          <w:highlight w:val="none"/>
        </w:rPr>
        <w:t>说明：初步评审活动依照</w:t>
      </w:r>
      <w:r>
        <w:rPr>
          <w:rFonts w:hint="eastAsia" w:ascii="仿宋_GB2312" w:eastAsia="仿宋_GB2312" w:hAnsiTheme="minorEastAsia"/>
          <w:color w:val="auto"/>
          <w:szCs w:val="21"/>
          <w:highlight w:val="none"/>
          <w:lang w:val="en-US" w:eastAsia="zh-CN"/>
        </w:rPr>
        <w:t>形式评审、</w:t>
      </w:r>
      <w:r>
        <w:rPr>
          <w:rFonts w:hint="eastAsia" w:ascii="仿宋_GB2312" w:eastAsia="仿宋_GB2312" w:hAnsiTheme="minorEastAsia"/>
          <w:color w:val="auto"/>
          <w:szCs w:val="21"/>
          <w:highlight w:val="none"/>
        </w:rPr>
        <w:t>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22"/>
        <w:ind w:left="0" w:leftChars="0" w:firstLine="0" w:firstLineChars="0"/>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3"/>
        <w:rPr>
          <w:rFonts w:hint="eastAsia"/>
          <w:color w:val="auto"/>
          <w:highlight w:val="none"/>
        </w:rPr>
      </w:pPr>
      <w:bookmarkStart w:id="60" w:name="_Toc88209947"/>
      <w:r>
        <w:rPr>
          <w:color w:val="auto"/>
          <w:highlight w:val="none"/>
        </w:rPr>
        <mc:AlternateContent>
          <mc:Choice Requires="wps">
            <w:drawing>
              <wp:anchor distT="0" distB="0" distL="114300" distR="114300" simplePos="0" relativeHeight="251676672" behindDoc="0" locked="0" layoutInCell="1" allowOverlap="1">
                <wp:simplePos x="0" y="0"/>
                <wp:positionH relativeFrom="column">
                  <wp:posOffset>2303780</wp:posOffset>
                </wp:positionH>
                <wp:positionV relativeFrom="paragraph">
                  <wp:posOffset>234950</wp:posOffset>
                </wp:positionV>
                <wp:extent cx="958850" cy="0"/>
                <wp:effectExtent l="0" t="0" r="0" b="0"/>
                <wp:wrapNone/>
                <wp:docPr id="15"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81.4pt;margin-top:18.5pt;height:0pt;width:75.5pt;z-index:251676672;mso-width-relative:page;mso-height-relative:page;" filled="f" stroked="t" coordsize="21600,21600" o:gfxdata="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hEtTa1wAAAAkBAAAPAAAAAAAAAAEAIAAAACIAAABkcnMvZG93bnJldi54bWxQSwECFAAU&#10;AAAACACHTuJAXMu1X/IBAADk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7696"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6"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4.3pt;margin-top:58.7pt;height:0pt;width:75.5pt;z-index:251677696;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CmOdrDzAQAA5AMAAA4AAAAAAAAAAQAgAAAAJgEAAGRycy9lMm9Eb2MueG1sUEsF&#10;BgAAAAAGAAYAWQEAAIsFAAAAAA==&#10;">
                <v:fill on="f" focussize="0,0"/>
                <v:stroke color="#000000" joinstyle="round"/>
                <v:imagedata o:title=""/>
                <o:lock v:ext="edit" aspectratio="f"/>
              </v:shape>
            </w:pict>
          </mc:Fallback>
        </mc:AlternateContent>
      </w:r>
      <w:r>
        <w:rPr>
          <w:rFonts w:hint="eastAsia"/>
          <w:color w:val="auto"/>
          <w:highlight w:val="none"/>
          <w:lang w:val="en-US" w:eastAsia="zh-CN"/>
        </w:rPr>
        <w:t xml:space="preserve">  </w:t>
      </w:r>
      <w:r>
        <w:rPr>
          <w:rFonts w:hint="eastAsia"/>
          <w:color w:val="auto"/>
          <w:highlight w:val="none"/>
        </w:rPr>
        <w:t>第</w:t>
      </w:r>
      <w:r>
        <w:rPr>
          <w:rFonts w:hint="eastAsia"/>
          <w:color w:val="auto"/>
          <w:highlight w:val="none"/>
          <w:lang w:val="en-US" w:eastAsia="zh-CN"/>
        </w:rPr>
        <w:t>五</w:t>
      </w:r>
      <w:r>
        <w:rPr>
          <w:rFonts w:hint="eastAsia"/>
          <w:color w:val="auto"/>
          <w:highlight w:val="none"/>
        </w:rPr>
        <w:t>章</w:t>
      </w:r>
    </w:p>
    <w:p>
      <w:pPr>
        <w:rPr>
          <w:rFonts w:hint="eastAsia"/>
        </w:rPr>
      </w:pPr>
    </w:p>
    <w:p>
      <w:pPr>
        <w:pStyle w:val="4"/>
        <w:rPr>
          <w:rFonts w:hint="eastAsia"/>
          <w:color w:val="auto"/>
          <w:szCs w:val="44"/>
          <w:highlight w:val="none"/>
        </w:rPr>
      </w:pPr>
      <w:r>
        <w:rPr>
          <w:rFonts w:hint="eastAsia"/>
          <w:color w:val="auto"/>
          <w:szCs w:val="44"/>
          <w:highlight w:val="none"/>
          <w:lang w:val="en-US" w:eastAsia="zh-CN"/>
        </w:rPr>
        <w:t xml:space="preserve">  </w:t>
      </w:r>
      <w:r>
        <w:rPr>
          <w:rFonts w:hint="eastAsia"/>
          <w:color w:val="auto"/>
          <w:szCs w:val="44"/>
          <w:highlight w:val="none"/>
        </w:rPr>
        <w:t>采购需求</w:t>
      </w:r>
    </w:p>
    <w:p>
      <w:pPr>
        <w:pageBreakBefore w:val="0"/>
        <w:wordWrap/>
        <w:topLinePunct w:val="0"/>
        <w:bidi w:val="0"/>
        <w:spacing w:line="360" w:lineRule="auto"/>
        <w:ind w:firstLine="470" w:firstLineChars="196"/>
        <w:rPr>
          <w:rFonts w:hint="eastAsia" w:ascii="宋体" w:hAnsi="宋体" w:eastAsia="宋体" w:cs="宋体"/>
          <w:color w:val="auto"/>
          <w:sz w:val="24"/>
          <w:szCs w:val="24"/>
          <w:highlight w:val="none"/>
        </w:rPr>
      </w:pPr>
    </w:p>
    <w:p>
      <w:pPr>
        <w:pageBreakBefore w:val="0"/>
        <w:wordWrap/>
        <w:topLinePunct w:val="0"/>
        <w:bidi w:val="0"/>
        <w:spacing w:line="360" w:lineRule="auto"/>
        <w:ind w:firstLine="470" w:firstLineChars="196"/>
        <w:rPr>
          <w:rFonts w:hint="eastAsia" w:ascii="宋体" w:hAnsi="宋体" w:eastAsia="宋体" w:cs="宋体"/>
          <w:color w:val="auto"/>
          <w:sz w:val="24"/>
          <w:szCs w:val="24"/>
          <w:highlight w:val="none"/>
        </w:rPr>
      </w:pPr>
    </w:p>
    <w:p>
      <w:pPr>
        <w:pageBreakBefore w:val="0"/>
        <w:wordWrap/>
        <w:topLinePunct w:val="0"/>
        <w:bidi w:val="0"/>
        <w:spacing w:line="360" w:lineRule="auto"/>
        <w:ind w:firstLine="470" w:firstLineChars="196"/>
        <w:rPr>
          <w:rFonts w:hint="eastAsia" w:ascii="宋体" w:hAnsi="宋体" w:eastAsia="宋体" w:cs="宋体"/>
          <w:color w:val="auto"/>
          <w:sz w:val="24"/>
          <w:szCs w:val="24"/>
          <w:highlight w:val="none"/>
        </w:rPr>
      </w:pPr>
    </w:p>
    <w:p>
      <w:pPr>
        <w:pageBreakBefore w:val="0"/>
        <w:wordWrap/>
        <w:topLinePunct w:val="0"/>
        <w:bidi w:val="0"/>
        <w:spacing w:line="360" w:lineRule="auto"/>
        <w:ind w:firstLine="470" w:firstLineChars="196"/>
        <w:rPr>
          <w:rFonts w:hint="eastAsia" w:ascii="宋体" w:hAnsi="宋体" w:eastAsia="宋体" w:cs="宋体"/>
          <w:color w:val="auto"/>
          <w:sz w:val="24"/>
          <w:szCs w:val="24"/>
          <w:highlight w:val="none"/>
        </w:rPr>
      </w:pPr>
    </w:p>
    <w:p>
      <w:pPr>
        <w:pageBreakBefore w:val="0"/>
        <w:wordWrap/>
        <w:topLinePunct w:val="0"/>
        <w:bidi w:val="0"/>
        <w:spacing w:line="360" w:lineRule="auto"/>
        <w:ind w:firstLine="470" w:firstLineChars="196"/>
        <w:rPr>
          <w:rFonts w:hint="eastAsia" w:ascii="宋体" w:hAnsi="宋体" w:eastAsia="宋体" w:cs="宋体"/>
          <w:color w:val="auto"/>
          <w:sz w:val="24"/>
          <w:szCs w:val="24"/>
          <w:highlight w:val="none"/>
        </w:rPr>
      </w:pPr>
    </w:p>
    <w:p>
      <w:pPr>
        <w:pageBreakBefore w:val="0"/>
        <w:wordWrap/>
        <w:topLinePunct w:val="0"/>
        <w:bidi w:val="0"/>
        <w:spacing w:line="360" w:lineRule="auto"/>
        <w:ind w:firstLine="470" w:firstLineChars="196"/>
        <w:rPr>
          <w:rFonts w:hint="eastAsia" w:ascii="宋体" w:hAnsi="宋体" w:eastAsia="宋体" w:cs="宋体"/>
          <w:color w:val="auto"/>
          <w:sz w:val="24"/>
          <w:szCs w:val="24"/>
          <w:highlight w:val="none"/>
        </w:rPr>
      </w:pPr>
    </w:p>
    <w:p>
      <w:pPr>
        <w:pageBreakBefore w:val="0"/>
        <w:wordWrap/>
        <w:topLinePunct w:val="0"/>
        <w:bidi w:val="0"/>
        <w:spacing w:line="360" w:lineRule="auto"/>
        <w:ind w:firstLine="470" w:firstLineChars="196"/>
        <w:rPr>
          <w:rFonts w:hint="eastAsia" w:ascii="宋体" w:hAnsi="宋体" w:eastAsia="宋体" w:cs="宋体"/>
          <w:color w:val="auto"/>
          <w:sz w:val="24"/>
          <w:szCs w:val="24"/>
          <w:highlight w:val="none"/>
        </w:rPr>
      </w:pPr>
    </w:p>
    <w:p>
      <w:pPr>
        <w:pageBreakBefore w:val="0"/>
        <w:wordWrap/>
        <w:topLinePunct w:val="0"/>
        <w:bidi w:val="0"/>
        <w:spacing w:line="360" w:lineRule="auto"/>
        <w:ind w:firstLine="470" w:firstLineChars="196"/>
        <w:rPr>
          <w:rFonts w:hint="eastAsia" w:ascii="宋体" w:hAnsi="宋体" w:eastAsia="宋体" w:cs="宋体"/>
          <w:color w:val="auto"/>
          <w:sz w:val="24"/>
          <w:szCs w:val="24"/>
          <w:highlight w:val="none"/>
        </w:rPr>
      </w:pPr>
    </w:p>
    <w:p>
      <w:pPr>
        <w:pageBreakBefore w:val="0"/>
        <w:wordWrap/>
        <w:topLinePunct w:val="0"/>
        <w:bidi w:val="0"/>
        <w:spacing w:line="360" w:lineRule="auto"/>
        <w:ind w:firstLine="470" w:firstLineChars="196"/>
        <w:rPr>
          <w:rFonts w:hint="eastAsia" w:ascii="宋体" w:hAnsi="宋体" w:eastAsia="宋体" w:cs="宋体"/>
          <w:color w:val="auto"/>
          <w:sz w:val="24"/>
          <w:szCs w:val="24"/>
          <w:highlight w:val="none"/>
        </w:rPr>
      </w:pPr>
    </w:p>
    <w:p>
      <w:pPr>
        <w:pageBreakBefore w:val="0"/>
        <w:wordWrap/>
        <w:topLinePunct w:val="0"/>
        <w:bidi w:val="0"/>
        <w:spacing w:line="360" w:lineRule="auto"/>
        <w:ind w:firstLine="470" w:firstLineChars="196"/>
        <w:rPr>
          <w:rFonts w:hint="eastAsia" w:ascii="宋体" w:hAnsi="宋体" w:eastAsia="宋体" w:cs="宋体"/>
          <w:color w:val="auto"/>
          <w:sz w:val="24"/>
          <w:szCs w:val="24"/>
          <w:highlight w:val="none"/>
        </w:rPr>
      </w:pPr>
    </w:p>
    <w:p>
      <w:pPr>
        <w:pageBreakBefore w:val="0"/>
        <w:wordWrap/>
        <w:topLinePunct w:val="0"/>
        <w:bidi w:val="0"/>
        <w:spacing w:line="360" w:lineRule="auto"/>
        <w:ind w:firstLine="470" w:firstLineChars="196"/>
        <w:rPr>
          <w:rFonts w:hint="eastAsia" w:ascii="宋体" w:hAnsi="宋体" w:eastAsia="宋体" w:cs="宋体"/>
          <w:color w:val="auto"/>
          <w:sz w:val="24"/>
          <w:szCs w:val="24"/>
          <w:highlight w:val="none"/>
        </w:rPr>
      </w:pPr>
    </w:p>
    <w:p>
      <w:pPr>
        <w:pStyle w:val="2"/>
        <w:rPr>
          <w:rFonts w:hint="eastAsia" w:ascii="宋体" w:hAnsi="宋体" w:eastAsia="宋体" w:cs="宋体"/>
          <w:color w:val="auto"/>
          <w:sz w:val="24"/>
          <w:szCs w:val="24"/>
          <w:highlight w:val="none"/>
        </w:rPr>
      </w:pPr>
    </w:p>
    <w:p>
      <w:pPr>
        <w:pStyle w:val="2"/>
        <w:rPr>
          <w:rFonts w:hint="eastAsia" w:ascii="宋体" w:hAnsi="宋体" w:eastAsia="宋体" w:cs="宋体"/>
          <w:color w:val="auto"/>
          <w:sz w:val="24"/>
          <w:szCs w:val="24"/>
          <w:highlight w:val="none"/>
        </w:rPr>
      </w:pPr>
    </w:p>
    <w:p>
      <w:pPr>
        <w:pageBreakBefore w:val="0"/>
        <w:wordWrap/>
        <w:topLinePunct w:val="0"/>
        <w:bidi w:val="0"/>
        <w:spacing w:line="360" w:lineRule="auto"/>
        <w:ind w:firstLine="470" w:firstLineChars="196"/>
        <w:rPr>
          <w:rFonts w:hint="eastAsia" w:ascii="宋体" w:hAnsi="宋体" w:eastAsia="宋体" w:cs="宋体"/>
          <w:color w:val="auto"/>
          <w:sz w:val="24"/>
          <w:szCs w:val="24"/>
          <w:highlight w:val="none"/>
        </w:rPr>
      </w:pPr>
    </w:p>
    <w:p>
      <w:pPr>
        <w:pageBreakBefore w:val="0"/>
        <w:wordWrap/>
        <w:topLinePunct w:val="0"/>
        <w:bidi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1、供应商须对本项目为单位的服务进行整体响应，任何只对其中一部分内容进行的响应都被视为无效响应。 </w:t>
      </w:r>
    </w:p>
    <w:p>
      <w:pPr>
        <w:pageBreakBefore w:val="0"/>
        <w:wordWrap/>
        <w:topLinePunct w:val="0"/>
        <w:bidi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全文</w:t>
      </w:r>
      <w:r>
        <w:rPr>
          <w:rFonts w:hint="eastAsia" w:ascii="宋体" w:hAnsi="宋体" w:eastAsia="宋体" w:cs="宋体"/>
          <w:color w:val="auto"/>
          <w:sz w:val="24"/>
          <w:szCs w:val="24"/>
          <w:highlight w:val="none"/>
        </w:rPr>
        <w:t>所有要求均为实质性响应条款，供应商如有任何一条负偏离则导致</w:t>
      </w:r>
      <w:r>
        <w:rPr>
          <w:rFonts w:hint="eastAsia" w:ascii="宋体" w:hAnsi="宋体" w:cs="宋体"/>
          <w:color w:val="auto"/>
          <w:sz w:val="24"/>
          <w:szCs w:val="24"/>
          <w:highlight w:val="none"/>
          <w:lang w:val="en-US" w:eastAsia="zh-CN"/>
        </w:rPr>
        <w:t>响应</w:t>
      </w:r>
      <w:r>
        <w:rPr>
          <w:rFonts w:hint="eastAsia" w:ascii="宋体" w:hAnsi="宋体" w:eastAsia="宋体" w:cs="宋体"/>
          <w:color w:val="auto"/>
          <w:sz w:val="24"/>
          <w:szCs w:val="24"/>
          <w:highlight w:val="none"/>
          <w:lang w:val="en-US" w:eastAsia="zh-CN"/>
        </w:rPr>
        <w:t>（报价）文件</w:t>
      </w:r>
      <w:r>
        <w:rPr>
          <w:rFonts w:hint="eastAsia" w:ascii="宋体" w:hAnsi="宋体" w:eastAsia="宋体" w:cs="宋体"/>
          <w:color w:val="auto"/>
          <w:sz w:val="24"/>
          <w:szCs w:val="24"/>
          <w:highlight w:val="none"/>
        </w:rPr>
        <w:t>无效。</w:t>
      </w:r>
    </w:p>
    <w:bookmarkEnd w:id="60"/>
    <w:p>
      <w:pPr>
        <w:pStyle w:val="22"/>
        <w:ind w:left="0" w:leftChars="0" w:firstLine="0" w:firstLineChars="0"/>
        <w:rPr>
          <w:rFonts w:hint="eastAsia" w:ascii="宋体" w:hAnsi="宋体" w:eastAsia="宋体" w:cs="宋体"/>
          <w:b/>
          <w:color w:val="auto"/>
          <w:kern w:val="2"/>
          <w:sz w:val="28"/>
          <w:szCs w:val="28"/>
          <w:highlight w:val="none"/>
          <w:lang w:val="zh-CN"/>
        </w:rPr>
      </w:pPr>
      <w:r>
        <w:rPr>
          <w:rFonts w:hint="eastAsia" w:ascii="宋体" w:hAnsi="宋体" w:eastAsia="宋体" w:cs="宋体"/>
          <w:b/>
          <w:color w:val="auto"/>
          <w:kern w:val="2"/>
          <w:sz w:val="28"/>
          <w:szCs w:val="28"/>
          <w:highlight w:val="none"/>
          <w:lang w:val="zh-CN"/>
        </w:rPr>
        <w:t>一、项目情况介绍</w:t>
      </w:r>
    </w:p>
    <w:p>
      <w:pPr>
        <w:pStyle w:val="22"/>
        <w:ind w:left="0" w:leftChars="0" w:firstLine="0" w:firstLineChars="0"/>
        <w:rPr>
          <w:rFonts w:hint="eastAsia" w:ascii="宋体" w:hAnsi="宋体" w:eastAsia="宋体" w:cs="宋体"/>
          <w:b/>
          <w:color w:val="auto"/>
          <w:kern w:val="2"/>
          <w:sz w:val="28"/>
          <w:szCs w:val="28"/>
          <w:highlight w:val="none"/>
          <w:lang w:val="en-US" w:eastAsia="zh-CN"/>
        </w:rPr>
      </w:pPr>
      <w:r>
        <w:rPr>
          <w:rFonts w:hint="eastAsia" w:ascii="宋体" w:hAnsi="宋体" w:eastAsia="宋体" w:cs="宋体"/>
          <w:b/>
          <w:color w:val="auto"/>
          <w:kern w:val="2"/>
          <w:sz w:val="28"/>
          <w:szCs w:val="28"/>
          <w:highlight w:val="none"/>
          <w:lang w:val="en-US" w:eastAsia="zh-CN"/>
        </w:rPr>
        <w:t>石井净：</w:t>
      </w:r>
    </w:p>
    <w:p>
      <w:pPr>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lang w:val="en-US" w:eastAsia="zh-CN"/>
        </w:rPr>
        <w:t>石井净分公司一期</w:t>
      </w:r>
      <w:r>
        <w:rPr>
          <w:rFonts w:hint="eastAsia" w:hAnsi="宋体" w:cs="宋体"/>
          <w:color w:val="auto"/>
          <w:sz w:val="24"/>
          <w:szCs w:val="24"/>
          <w:highlight w:val="none"/>
        </w:rPr>
        <w:t>紫外线消毒系统使用的是加拿大TROJAN（特洁安）公司UV3000Plus紫外消毒系统，于201</w:t>
      </w:r>
      <w:r>
        <w:rPr>
          <w:rFonts w:hint="eastAsia" w:hAnsi="宋体" w:cs="宋体"/>
          <w:color w:val="auto"/>
          <w:sz w:val="24"/>
          <w:szCs w:val="24"/>
          <w:highlight w:val="none"/>
          <w:lang w:val="en-US" w:eastAsia="zh-CN"/>
        </w:rPr>
        <w:t>8</w:t>
      </w:r>
      <w:r>
        <w:rPr>
          <w:rFonts w:hint="eastAsia" w:hAnsi="宋体" w:cs="宋体"/>
          <w:color w:val="auto"/>
          <w:sz w:val="24"/>
          <w:szCs w:val="24"/>
          <w:highlight w:val="none"/>
        </w:rPr>
        <w:t>年投入使用。紫外线消毒系统为明渠式低压高强紫外灯系统，共</w:t>
      </w:r>
      <w:r>
        <w:rPr>
          <w:rFonts w:hint="eastAsia" w:hAnsi="宋体" w:cs="宋体"/>
          <w:color w:val="auto"/>
          <w:sz w:val="24"/>
          <w:szCs w:val="24"/>
          <w:highlight w:val="none"/>
          <w:lang w:val="en-US" w:eastAsia="zh-CN"/>
        </w:rPr>
        <w:t>2</w:t>
      </w:r>
      <w:r>
        <w:rPr>
          <w:rFonts w:hint="eastAsia" w:hAnsi="宋体" w:cs="宋体"/>
          <w:color w:val="auto"/>
          <w:sz w:val="24"/>
          <w:szCs w:val="24"/>
          <w:highlight w:val="none"/>
        </w:rPr>
        <w:t>条渠道，采用模块化结构，沿水流方向各安装一套模块组，每套模块组</w:t>
      </w:r>
      <w:r>
        <w:rPr>
          <w:rFonts w:hint="eastAsia" w:hAnsi="宋体" w:cs="宋体"/>
          <w:color w:val="auto"/>
          <w:sz w:val="24"/>
          <w:szCs w:val="24"/>
          <w:highlight w:val="none"/>
          <w:lang w:val="en-US" w:eastAsia="zh-CN"/>
        </w:rPr>
        <w:t>18</w:t>
      </w:r>
      <w:r>
        <w:rPr>
          <w:rFonts w:hint="eastAsia" w:hAnsi="宋体" w:cs="宋体"/>
          <w:color w:val="auto"/>
          <w:sz w:val="24"/>
          <w:szCs w:val="24"/>
          <w:highlight w:val="none"/>
        </w:rPr>
        <w:t>个模块，每个模块8根灯管，共</w:t>
      </w:r>
      <w:r>
        <w:rPr>
          <w:rFonts w:hint="eastAsia" w:hAnsi="宋体" w:cs="宋体"/>
          <w:color w:val="auto"/>
          <w:sz w:val="24"/>
          <w:szCs w:val="24"/>
          <w:highlight w:val="none"/>
          <w:lang w:val="en-US" w:eastAsia="zh-CN"/>
        </w:rPr>
        <w:t>288</w:t>
      </w:r>
      <w:r>
        <w:rPr>
          <w:rFonts w:hint="eastAsia" w:hAnsi="宋体" w:cs="宋体"/>
          <w:color w:val="auto"/>
          <w:sz w:val="24"/>
          <w:szCs w:val="24"/>
          <w:highlight w:val="none"/>
        </w:rPr>
        <w:t>根灯管，紫外消毒系统灯管总功率（包含镇流器电耗）250kw。</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3"/>
        <w:gridCol w:w="6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34" w:type="pct"/>
            <w:vAlign w:val="center"/>
          </w:tcPr>
          <w:p>
            <w:pPr>
              <w:widowControl w:val="0"/>
              <w:jc w:val="center"/>
              <w:rPr>
                <w:rFonts w:ascii="宋体" w:hAnsi="宋体" w:cs="宋体"/>
                <w:color w:val="auto"/>
                <w:kern w:val="2"/>
                <w:sz w:val="24"/>
                <w:szCs w:val="24"/>
                <w:highlight w:val="none"/>
              </w:rPr>
            </w:pPr>
            <w:r>
              <w:rPr>
                <w:rFonts w:hint="eastAsia" w:ascii="宋体" w:hAnsi="宋体" w:cs="宋体"/>
                <w:color w:val="auto"/>
                <w:kern w:val="2"/>
                <w:sz w:val="24"/>
                <w:szCs w:val="24"/>
                <w:highlight w:val="none"/>
              </w:rPr>
              <w:t>原设备型号</w:t>
            </w:r>
          </w:p>
        </w:tc>
        <w:tc>
          <w:tcPr>
            <w:tcW w:w="3665" w:type="pct"/>
            <w:vAlign w:val="center"/>
          </w:tcPr>
          <w:p>
            <w:pPr>
              <w:widowControl w:val="0"/>
              <w:jc w:val="both"/>
              <w:rPr>
                <w:rFonts w:ascii="宋体" w:hAnsi="宋体" w:cs="宋体"/>
                <w:color w:val="auto"/>
                <w:kern w:val="2"/>
                <w:sz w:val="24"/>
                <w:szCs w:val="24"/>
                <w:highlight w:val="none"/>
              </w:rPr>
            </w:pPr>
            <w:r>
              <w:rPr>
                <w:rFonts w:hint="eastAsia" w:ascii="宋体" w:hAnsi="宋体" w:cs="宋体"/>
                <w:color w:val="auto"/>
                <w:kern w:val="2"/>
                <w:sz w:val="24"/>
                <w:szCs w:val="24"/>
                <w:highlight w:val="none"/>
              </w:rPr>
              <w:t>Trojan UV3000Plus™，产地：加拿大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34" w:type="pct"/>
            <w:vAlign w:val="center"/>
          </w:tcPr>
          <w:p>
            <w:pPr>
              <w:widowControl w:val="0"/>
              <w:jc w:val="center"/>
              <w:rPr>
                <w:rFonts w:ascii="宋体" w:hAnsi="宋体" w:cs="宋体"/>
                <w:color w:val="auto"/>
                <w:kern w:val="2"/>
                <w:sz w:val="24"/>
                <w:szCs w:val="24"/>
                <w:highlight w:val="none"/>
              </w:rPr>
            </w:pPr>
            <w:r>
              <w:rPr>
                <w:rFonts w:hint="eastAsia" w:ascii="宋体" w:hAnsi="宋体" w:cs="宋体"/>
                <w:color w:val="auto"/>
                <w:kern w:val="2"/>
                <w:sz w:val="24"/>
                <w:szCs w:val="24"/>
                <w:highlight w:val="none"/>
              </w:rPr>
              <w:t>原灯管类型</w:t>
            </w:r>
          </w:p>
        </w:tc>
        <w:tc>
          <w:tcPr>
            <w:tcW w:w="3665" w:type="pct"/>
            <w:vAlign w:val="center"/>
          </w:tcPr>
          <w:p>
            <w:pPr>
              <w:widowControl w:val="0"/>
              <w:jc w:val="both"/>
              <w:rPr>
                <w:rFonts w:ascii="宋体" w:hAnsi="宋体" w:cs="宋体"/>
                <w:color w:val="auto"/>
                <w:kern w:val="2"/>
                <w:sz w:val="24"/>
                <w:szCs w:val="24"/>
                <w:highlight w:val="none"/>
              </w:rPr>
            </w:pPr>
            <w:r>
              <w:rPr>
                <w:rFonts w:hint="eastAsia" w:ascii="宋体" w:hAnsi="宋体" w:cs="宋体"/>
                <w:color w:val="auto"/>
                <w:kern w:val="2"/>
                <w:sz w:val="24"/>
                <w:szCs w:val="24"/>
                <w:highlight w:val="none"/>
              </w:rPr>
              <w:t>低压高强紫外灯，设计消毒流量</w:t>
            </w:r>
            <w:r>
              <w:rPr>
                <w:rFonts w:hint="eastAsia" w:ascii="宋体" w:hAnsi="宋体" w:cs="宋体"/>
                <w:color w:val="auto"/>
                <w:kern w:val="2"/>
                <w:sz w:val="24"/>
                <w:szCs w:val="24"/>
                <w:highlight w:val="none"/>
                <w:lang w:val="en-US" w:eastAsia="zh-CN"/>
              </w:rPr>
              <w:t>15</w:t>
            </w:r>
            <w:r>
              <w:rPr>
                <w:rFonts w:hint="eastAsia" w:ascii="宋体" w:hAnsi="宋体" w:cs="宋体"/>
                <w:color w:val="auto"/>
                <w:kern w:val="2"/>
                <w:sz w:val="24"/>
                <w:szCs w:val="24"/>
                <w:highlight w:val="none"/>
              </w:rPr>
              <w:t>万m3/天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34" w:type="pct"/>
            <w:vAlign w:val="center"/>
          </w:tcPr>
          <w:p>
            <w:pPr>
              <w:widowControl w:val="0"/>
              <w:jc w:val="center"/>
              <w:rPr>
                <w:rFonts w:ascii="宋体" w:hAnsi="宋体" w:cs="宋体"/>
                <w:color w:val="auto"/>
                <w:kern w:val="2"/>
                <w:sz w:val="24"/>
                <w:szCs w:val="24"/>
                <w:highlight w:val="none"/>
              </w:rPr>
            </w:pPr>
            <w:r>
              <w:rPr>
                <w:rFonts w:hint="eastAsia" w:ascii="宋体" w:hAnsi="宋体" w:cs="宋体"/>
                <w:color w:val="auto"/>
                <w:kern w:val="2"/>
                <w:sz w:val="24"/>
                <w:szCs w:val="24"/>
                <w:highlight w:val="none"/>
              </w:rPr>
              <w:t>模块组结构</w:t>
            </w:r>
          </w:p>
        </w:tc>
        <w:tc>
          <w:tcPr>
            <w:tcW w:w="3665" w:type="pct"/>
            <w:vAlign w:val="center"/>
          </w:tcPr>
          <w:p>
            <w:pPr>
              <w:widowControl w:val="0"/>
              <w:jc w:val="both"/>
              <w:rPr>
                <w:rFonts w:ascii="宋体" w:hAnsi="宋体" w:cs="宋体"/>
                <w:color w:val="auto"/>
                <w:kern w:val="2"/>
                <w:sz w:val="24"/>
                <w:szCs w:val="24"/>
                <w:highlight w:val="none"/>
              </w:rPr>
            </w:pPr>
            <w:r>
              <w:rPr>
                <w:rFonts w:hint="eastAsia" w:ascii="宋体" w:hAnsi="宋体" w:cs="宋体"/>
                <w:color w:val="auto"/>
                <w:kern w:val="2"/>
                <w:sz w:val="24"/>
                <w:szCs w:val="24"/>
                <w:highlight w:val="none"/>
                <w:lang w:val="en-US" w:eastAsia="zh-CN"/>
              </w:rPr>
              <w:t>2</w:t>
            </w:r>
            <w:r>
              <w:rPr>
                <w:rFonts w:hint="eastAsia" w:ascii="宋体" w:hAnsi="宋体" w:cs="宋体"/>
                <w:color w:val="auto"/>
                <w:kern w:val="2"/>
                <w:sz w:val="24"/>
                <w:szCs w:val="24"/>
                <w:highlight w:val="none"/>
              </w:rPr>
              <w:t>条水渠，共</w:t>
            </w:r>
            <w:r>
              <w:rPr>
                <w:rFonts w:hint="eastAsia" w:ascii="宋体" w:hAnsi="宋体" w:cs="宋体"/>
                <w:color w:val="auto"/>
                <w:kern w:val="2"/>
                <w:sz w:val="24"/>
                <w:szCs w:val="24"/>
                <w:highlight w:val="none"/>
                <w:lang w:val="en-US" w:eastAsia="zh-CN"/>
              </w:rPr>
              <w:t>2</w:t>
            </w:r>
            <w:r>
              <w:rPr>
                <w:rFonts w:hint="eastAsia" w:ascii="宋体" w:hAnsi="宋体" w:cs="宋体"/>
                <w:color w:val="auto"/>
                <w:kern w:val="2"/>
                <w:sz w:val="24"/>
                <w:szCs w:val="24"/>
                <w:highlight w:val="none"/>
              </w:rPr>
              <w:t>个模块组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34" w:type="pct"/>
            <w:vAlign w:val="center"/>
          </w:tcPr>
          <w:p>
            <w:pPr>
              <w:widowControl w:val="0"/>
              <w:jc w:val="center"/>
              <w:rPr>
                <w:rFonts w:ascii="宋体" w:hAnsi="宋体" w:cs="宋体"/>
                <w:color w:val="auto"/>
                <w:kern w:val="2"/>
                <w:sz w:val="24"/>
                <w:szCs w:val="24"/>
                <w:highlight w:val="none"/>
              </w:rPr>
            </w:pPr>
            <w:r>
              <w:rPr>
                <w:rFonts w:hint="eastAsia" w:ascii="宋体" w:hAnsi="宋体" w:cs="宋体"/>
                <w:color w:val="auto"/>
                <w:kern w:val="2"/>
                <w:sz w:val="24"/>
                <w:szCs w:val="24"/>
                <w:highlight w:val="none"/>
              </w:rPr>
              <w:t>紫外模块数</w:t>
            </w:r>
          </w:p>
        </w:tc>
        <w:tc>
          <w:tcPr>
            <w:tcW w:w="3665" w:type="pct"/>
            <w:vAlign w:val="center"/>
          </w:tcPr>
          <w:p>
            <w:pPr>
              <w:widowControl w:val="0"/>
              <w:jc w:val="both"/>
              <w:rPr>
                <w:rFonts w:ascii="宋体" w:hAnsi="宋体" w:cs="宋体"/>
                <w:color w:val="auto"/>
                <w:kern w:val="2"/>
                <w:sz w:val="24"/>
                <w:szCs w:val="24"/>
                <w:highlight w:val="none"/>
              </w:rPr>
            </w:pPr>
            <w:r>
              <w:rPr>
                <w:rFonts w:hint="eastAsia" w:ascii="宋体" w:hAnsi="宋体" w:cs="宋体"/>
                <w:color w:val="auto"/>
                <w:kern w:val="2"/>
                <w:sz w:val="24"/>
                <w:szCs w:val="24"/>
                <w:highlight w:val="none"/>
              </w:rPr>
              <w:t>1个模块组共</w:t>
            </w:r>
            <w:r>
              <w:rPr>
                <w:rFonts w:hint="eastAsia" w:ascii="宋体" w:hAnsi="宋体" w:cs="宋体"/>
                <w:color w:val="auto"/>
                <w:kern w:val="2"/>
                <w:sz w:val="24"/>
                <w:szCs w:val="24"/>
                <w:highlight w:val="none"/>
                <w:lang w:val="en-US" w:eastAsia="zh-CN"/>
              </w:rPr>
              <w:t>18</w:t>
            </w:r>
            <w:r>
              <w:rPr>
                <w:rFonts w:hint="eastAsia" w:ascii="宋体" w:hAnsi="宋体" w:cs="宋体"/>
                <w:color w:val="auto"/>
                <w:kern w:val="2"/>
                <w:sz w:val="24"/>
                <w:szCs w:val="24"/>
                <w:highlight w:val="none"/>
              </w:rPr>
              <w:t>个模块，每个模块含8根灯管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34" w:type="pct"/>
            <w:vAlign w:val="center"/>
          </w:tcPr>
          <w:p>
            <w:pPr>
              <w:widowControl w:val="0"/>
              <w:jc w:val="center"/>
              <w:rPr>
                <w:rFonts w:ascii="宋体" w:hAnsi="宋体" w:cs="宋体"/>
                <w:color w:val="auto"/>
                <w:kern w:val="2"/>
                <w:sz w:val="24"/>
                <w:szCs w:val="24"/>
                <w:highlight w:val="none"/>
              </w:rPr>
            </w:pPr>
            <w:r>
              <w:rPr>
                <w:rFonts w:hint="eastAsia" w:ascii="宋体" w:hAnsi="宋体" w:cs="宋体"/>
                <w:color w:val="auto"/>
                <w:kern w:val="2"/>
                <w:sz w:val="24"/>
                <w:szCs w:val="24"/>
                <w:highlight w:val="none"/>
              </w:rPr>
              <w:t>灯管数量</w:t>
            </w:r>
          </w:p>
        </w:tc>
        <w:tc>
          <w:tcPr>
            <w:tcW w:w="3665" w:type="pct"/>
            <w:vAlign w:val="center"/>
          </w:tcPr>
          <w:p>
            <w:pPr>
              <w:widowControl w:val="0"/>
              <w:jc w:val="both"/>
              <w:rPr>
                <w:rFonts w:ascii="宋体" w:hAnsi="宋体" w:cs="宋体"/>
                <w:color w:val="auto"/>
                <w:kern w:val="2"/>
                <w:sz w:val="24"/>
                <w:szCs w:val="24"/>
                <w:highlight w:val="none"/>
              </w:rPr>
            </w:pPr>
            <w:r>
              <w:rPr>
                <w:rFonts w:hint="eastAsia" w:ascii="宋体" w:hAnsi="宋体" w:cs="宋体"/>
                <w:color w:val="auto"/>
                <w:kern w:val="2"/>
                <w:sz w:val="24"/>
                <w:szCs w:val="24"/>
                <w:highlight w:val="none"/>
              </w:rPr>
              <w:t>1条水渠</w:t>
            </w:r>
            <w:r>
              <w:rPr>
                <w:rFonts w:hint="eastAsia" w:ascii="宋体" w:hAnsi="宋体" w:cs="宋体"/>
                <w:color w:val="auto"/>
                <w:kern w:val="2"/>
                <w:sz w:val="24"/>
                <w:szCs w:val="24"/>
                <w:highlight w:val="none"/>
                <w:lang w:val="en-US" w:eastAsia="zh-CN"/>
              </w:rPr>
              <w:t>144</w:t>
            </w:r>
            <w:r>
              <w:rPr>
                <w:rFonts w:hint="eastAsia" w:ascii="宋体" w:hAnsi="宋体" w:cs="宋体"/>
                <w:color w:val="auto"/>
                <w:kern w:val="2"/>
                <w:sz w:val="24"/>
                <w:szCs w:val="24"/>
                <w:highlight w:val="none"/>
              </w:rPr>
              <w:t>根，</w:t>
            </w:r>
            <w:r>
              <w:rPr>
                <w:rFonts w:hint="eastAsia" w:ascii="宋体" w:hAnsi="宋体" w:cs="宋体"/>
                <w:color w:val="auto"/>
                <w:kern w:val="2"/>
                <w:sz w:val="24"/>
                <w:szCs w:val="24"/>
                <w:highlight w:val="none"/>
                <w:lang w:val="en-US" w:eastAsia="zh-CN"/>
              </w:rPr>
              <w:t>2</w:t>
            </w:r>
            <w:r>
              <w:rPr>
                <w:rFonts w:hint="eastAsia" w:ascii="宋体" w:hAnsi="宋体" w:cs="宋体"/>
                <w:color w:val="auto"/>
                <w:kern w:val="2"/>
                <w:sz w:val="24"/>
                <w:szCs w:val="24"/>
                <w:highlight w:val="none"/>
              </w:rPr>
              <w:t>条水渠共</w:t>
            </w:r>
            <w:r>
              <w:rPr>
                <w:rFonts w:hint="eastAsia" w:ascii="宋体" w:hAnsi="宋体" w:cs="宋体"/>
                <w:color w:val="auto"/>
                <w:kern w:val="2"/>
                <w:sz w:val="24"/>
                <w:szCs w:val="24"/>
                <w:highlight w:val="none"/>
                <w:lang w:val="en-US" w:eastAsia="zh-CN"/>
              </w:rPr>
              <w:t>288</w:t>
            </w:r>
            <w:r>
              <w:rPr>
                <w:rFonts w:hint="eastAsia" w:ascii="宋体" w:hAnsi="宋体" w:cs="宋体"/>
                <w:color w:val="auto"/>
                <w:kern w:val="2"/>
                <w:sz w:val="24"/>
                <w:szCs w:val="24"/>
                <w:highlight w:val="none"/>
              </w:rPr>
              <w:t>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34" w:type="pct"/>
            <w:vAlign w:val="center"/>
          </w:tcPr>
          <w:p>
            <w:pPr>
              <w:widowControl w:val="0"/>
              <w:jc w:val="center"/>
              <w:rPr>
                <w:rFonts w:ascii="宋体" w:hAnsi="宋体" w:cs="宋体"/>
                <w:color w:val="auto"/>
                <w:kern w:val="2"/>
                <w:sz w:val="24"/>
                <w:szCs w:val="24"/>
                <w:highlight w:val="none"/>
              </w:rPr>
            </w:pPr>
            <w:r>
              <w:rPr>
                <w:rFonts w:hint="eastAsia" w:ascii="宋体" w:hAnsi="宋体" w:cs="宋体"/>
                <w:color w:val="auto"/>
                <w:kern w:val="2"/>
                <w:sz w:val="24"/>
                <w:szCs w:val="24"/>
                <w:highlight w:val="none"/>
              </w:rPr>
              <w:t>紫外线消毒模块总功率</w:t>
            </w:r>
          </w:p>
        </w:tc>
        <w:tc>
          <w:tcPr>
            <w:tcW w:w="3665" w:type="pct"/>
            <w:vAlign w:val="center"/>
          </w:tcPr>
          <w:p>
            <w:pPr>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72</w:t>
            </w:r>
            <w:r>
              <w:rPr>
                <w:rFonts w:hint="eastAsia" w:ascii="宋体" w:hAnsi="宋体" w:cs="宋体"/>
                <w:color w:val="auto"/>
                <w:sz w:val="24"/>
                <w:szCs w:val="24"/>
                <w:highlight w:val="none"/>
              </w:rPr>
              <w:t>KW，每根灯管含镇流器为250W，共</w:t>
            </w:r>
            <w:r>
              <w:rPr>
                <w:rFonts w:hint="eastAsia" w:ascii="宋体" w:hAnsi="宋体" w:cs="宋体"/>
                <w:color w:val="auto"/>
                <w:sz w:val="24"/>
                <w:szCs w:val="24"/>
                <w:highlight w:val="none"/>
                <w:lang w:val="en-US" w:eastAsia="zh-CN"/>
              </w:rPr>
              <w:t>288</w:t>
            </w:r>
            <w:r>
              <w:rPr>
                <w:rFonts w:hint="eastAsia" w:ascii="宋体" w:hAnsi="宋体" w:cs="宋体"/>
                <w:color w:val="auto"/>
                <w:sz w:val="24"/>
                <w:szCs w:val="24"/>
                <w:highlight w:val="none"/>
              </w:rPr>
              <w:t>根灯管，250W*</w:t>
            </w:r>
            <w:r>
              <w:rPr>
                <w:rFonts w:hint="eastAsia" w:ascii="宋体" w:hAnsi="宋体" w:cs="宋体"/>
                <w:color w:val="auto"/>
                <w:sz w:val="24"/>
                <w:szCs w:val="24"/>
                <w:highlight w:val="none"/>
                <w:lang w:val="en-US" w:eastAsia="zh-CN"/>
              </w:rPr>
              <w:t>288</w:t>
            </w:r>
            <w:r>
              <w:rPr>
                <w:rFonts w:hint="eastAsia" w:ascii="宋体" w:hAnsi="宋体" w:cs="宋体"/>
                <w:color w:val="auto"/>
                <w:sz w:val="24"/>
                <w:szCs w:val="24"/>
                <w:highlight w:val="none"/>
              </w:rPr>
              <w:t>根=</w:t>
            </w:r>
            <w:r>
              <w:rPr>
                <w:rFonts w:hint="eastAsia" w:ascii="宋体" w:hAnsi="宋体" w:cs="宋体"/>
                <w:color w:val="auto"/>
                <w:sz w:val="24"/>
                <w:szCs w:val="24"/>
                <w:highlight w:val="none"/>
                <w:lang w:val="en-US" w:eastAsia="zh-CN"/>
              </w:rPr>
              <w:t>72</w:t>
            </w:r>
            <w:r>
              <w:rPr>
                <w:rFonts w:hint="eastAsia" w:ascii="宋体" w:hAnsi="宋体" w:cs="宋体"/>
                <w:color w:val="auto"/>
                <w:sz w:val="24"/>
                <w:szCs w:val="24"/>
                <w:highlight w:val="none"/>
              </w:rPr>
              <w:t>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34" w:type="pct"/>
            <w:vAlign w:val="center"/>
          </w:tcPr>
          <w:p>
            <w:pPr>
              <w:widowControl w:val="0"/>
              <w:jc w:val="center"/>
              <w:rPr>
                <w:rFonts w:ascii="宋体" w:hAnsi="宋体" w:cs="宋体"/>
                <w:color w:val="auto"/>
                <w:kern w:val="2"/>
                <w:sz w:val="24"/>
                <w:szCs w:val="24"/>
                <w:highlight w:val="none"/>
              </w:rPr>
            </w:pPr>
            <w:r>
              <w:rPr>
                <w:rFonts w:hint="eastAsia" w:ascii="宋体" w:hAnsi="宋体" w:cs="宋体"/>
                <w:color w:val="auto"/>
                <w:kern w:val="2"/>
                <w:sz w:val="24"/>
                <w:szCs w:val="24"/>
                <w:highlight w:val="none"/>
              </w:rPr>
              <w:t>清洗方式</w:t>
            </w:r>
          </w:p>
        </w:tc>
        <w:tc>
          <w:tcPr>
            <w:tcW w:w="3665" w:type="pct"/>
            <w:vAlign w:val="center"/>
          </w:tcPr>
          <w:p>
            <w:pPr>
              <w:widowControl w:val="0"/>
              <w:jc w:val="both"/>
              <w:rPr>
                <w:rFonts w:ascii="宋体" w:hAnsi="宋体" w:cs="宋体"/>
                <w:color w:val="auto"/>
                <w:kern w:val="2"/>
                <w:sz w:val="24"/>
                <w:szCs w:val="24"/>
                <w:highlight w:val="none"/>
              </w:rPr>
            </w:pPr>
            <w:r>
              <w:rPr>
                <w:rFonts w:hint="eastAsia" w:ascii="宋体" w:hAnsi="宋体" w:cs="宋体"/>
                <w:color w:val="auto"/>
                <w:kern w:val="2"/>
                <w:sz w:val="24"/>
                <w:szCs w:val="24"/>
                <w:highlight w:val="none"/>
              </w:rPr>
              <w:t>在线机械化学自动清洗，无需任何离线清洗</w:t>
            </w:r>
          </w:p>
        </w:tc>
      </w:tr>
    </w:tbl>
    <w:p>
      <w:pPr>
        <w:pStyle w:val="22"/>
        <w:ind w:left="0" w:leftChars="0" w:firstLine="0" w:firstLineChars="0"/>
        <w:rPr>
          <w:rFonts w:hint="eastAsia" w:ascii="宋体" w:hAnsi="宋体" w:eastAsia="宋体" w:cs="宋体"/>
          <w:b/>
          <w:color w:val="auto"/>
          <w:kern w:val="2"/>
          <w:sz w:val="28"/>
          <w:szCs w:val="28"/>
          <w:highlight w:val="none"/>
          <w:lang w:val="en-US" w:eastAsia="zh-CN"/>
        </w:rPr>
      </w:pPr>
    </w:p>
    <w:p>
      <w:pPr>
        <w:pStyle w:val="22"/>
        <w:ind w:left="0" w:leftChars="0" w:firstLine="0" w:firstLineChars="0"/>
        <w:rPr>
          <w:rFonts w:hint="eastAsia" w:eastAsia="宋体" w:cs="宋体"/>
          <w:b/>
          <w:color w:val="auto"/>
          <w:kern w:val="2"/>
          <w:sz w:val="28"/>
          <w:szCs w:val="28"/>
          <w:highlight w:val="none"/>
          <w:lang w:val="en-US" w:eastAsia="zh-CN"/>
        </w:rPr>
      </w:pPr>
      <w:r>
        <w:rPr>
          <w:rFonts w:hint="eastAsia" w:ascii="宋体" w:hAnsi="宋体" w:eastAsia="宋体" w:cs="宋体"/>
          <w:b/>
          <w:color w:val="auto"/>
          <w:kern w:val="2"/>
          <w:sz w:val="28"/>
          <w:szCs w:val="28"/>
          <w:highlight w:val="none"/>
          <w:lang w:val="en-US" w:eastAsia="zh-CN"/>
        </w:rPr>
        <w:t>龙归</w:t>
      </w:r>
      <w:r>
        <w:rPr>
          <w:rFonts w:hint="eastAsia" w:eastAsia="宋体" w:cs="宋体"/>
          <w:b/>
          <w:color w:val="auto"/>
          <w:kern w:val="2"/>
          <w:sz w:val="28"/>
          <w:szCs w:val="28"/>
          <w:highlight w:val="none"/>
          <w:lang w:val="en-US" w:eastAsia="zh-CN"/>
        </w:rPr>
        <w:t>：</w:t>
      </w:r>
    </w:p>
    <w:p>
      <w:pPr>
        <w:widowControl w:val="0"/>
        <w:spacing w:line="360" w:lineRule="auto"/>
        <w:ind w:firstLine="470" w:firstLineChars="196"/>
        <w:jc w:val="both"/>
        <w:rPr>
          <w:rFonts w:ascii="宋体" w:hAnsi="宋体" w:cs="宋体"/>
          <w:color w:val="auto"/>
          <w:kern w:val="2"/>
          <w:sz w:val="24"/>
          <w:szCs w:val="24"/>
          <w:highlight w:val="none"/>
        </w:rPr>
      </w:pPr>
      <w:r>
        <w:rPr>
          <w:rFonts w:hint="eastAsia" w:ascii="宋体" w:hAnsi="宋体" w:cs="宋体"/>
          <w:color w:val="auto"/>
          <w:kern w:val="2"/>
          <w:sz w:val="24"/>
          <w:szCs w:val="24"/>
          <w:highlight w:val="none"/>
          <w:lang w:val="en-US" w:eastAsia="zh-CN"/>
        </w:rPr>
        <w:t>龙归</w:t>
      </w:r>
      <w:r>
        <w:rPr>
          <w:rFonts w:hint="eastAsia" w:ascii="宋体" w:hAnsi="宋体" w:cs="宋体"/>
          <w:color w:val="auto"/>
          <w:kern w:val="2"/>
          <w:sz w:val="24"/>
          <w:szCs w:val="24"/>
          <w:highlight w:val="none"/>
        </w:rPr>
        <w:t>分公司</w:t>
      </w:r>
      <w:r>
        <w:rPr>
          <w:rFonts w:hint="eastAsia" w:ascii="宋体" w:hAnsi="宋体" w:cs="宋体"/>
          <w:color w:val="auto"/>
          <w:kern w:val="2"/>
          <w:sz w:val="24"/>
          <w:szCs w:val="24"/>
          <w:highlight w:val="none"/>
          <w:lang w:val="en-US" w:eastAsia="zh-CN"/>
        </w:rPr>
        <w:t>三</w:t>
      </w:r>
      <w:r>
        <w:rPr>
          <w:rFonts w:hint="eastAsia" w:ascii="宋体" w:hAnsi="宋体" w:cs="宋体"/>
          <w:color w:val="auto"/>
          <w:kern w:val="2"/>
          <w:sz w:val="24"/>
          <w:szCs w:val="24"/>
          <w:highlight w:val="none"/>
        </w:rPr>
        <w:t>期紫外线消毒系统使用的是加拿大TROJAN（特洁安）公司UV3000Plus紫外消毒系统，于20</w:t>
      </w:r>
      <w:r>
        <w:rPr>
          <w:rFonts w:hint="eastAsia" w:ascii="宋体" w:hAnsi="宋体" w:cs="宋体"/>
          <w:color w:val="auto"/>
          <w:kern w:val="2"/>
          <w:sz w:val="24"/>
          <w:szCs w:val="24"/>
          <w:highlight w:val="none"/>
          <w:lang w:val="en-US" w:eastAsia="zh-CN"/>
        </w:rPr>
        <w:t>2</w:t>
      </w:r>
      <w:r>
        <w:rPr>
          <w:rFonts w:hint="eastAsia" w:ascii="宋体" w:hAnsi="宋体" w:cs="宋体"/>
          <w:color w:val="auto"/>
          <w:kern w:val="2"/>
          <w:sz w:val="24"/>
          <w:szCs w:val="24"/>
          <w:highlight w:val="none"/>
        </w:rPr>
        <w:t>0年投入使用。紫外线消毒系统为明渠式低压高强紫外灯系统，共</w:t>
      </w:r>
      <w:r>
        <w:rPr>
          <w:rFonts w:hint="eastAsia" w:ascii="宋体" w:hAnsi="宋体" w:cs="宋体"/>
          <w:color w:val="auto"/>
          <w:kern w:val="2"/>
          <w:sz w:val="24"/>
          <w:szCs w:val="24"/>
          <w:highlight w:val="none"/>
          <w:lang w:val="en-US" w:eastAsia="zh-CN"/>
        </w:rPr>
        <w:t>3</w:t>
      </w:r>
      <w:r>
        <w:rPr>
          <w:rFonts w:hint="eastAsia" w:ascii="宋体" w:hAnsi="宋体" w:cs="宋体"/>
          <w:color w:val="auto"/>
          <w:kern w:val="2"/>
          <w:sz w:val="24"/>
          <w:szCs w:val="24"/>
          <w:highlight w:val="none"/>
        </w:rPr>
        <w:t>条渠道，采用模块化结构，沿水流方向各安装一套模块组，每套模块组</w:t>
      </w:r>
      <w:r>
        <w:rPr>
          <w:rFonts w:hint="eastAsia" w:ascii="宋体" w:hAnsi="宋体" w:cs="宋体"/>
          <w:color w:val="auto"/>
          <w:kern w:val="2"/>
          <w:sz w:val="24"/>
          <w:szCs w:val="24"/>
          <w:highlight w:val="none"/>
          <w:lang w:val="en-US" w:eastAsia="zh-CN"/>
        </w:rPr>
        <w:t>12</w:t>
      </w:r>
      <w:r>
        <w:rPr>
          <w:rFonts w:hint="eastAsia" w:ascii="宋体" w:hAnsi="宋体" w:cs="宋体"/>
          <w:color w:val="auto"/>
          <w:kern w:val="2"/>
          <w:sz w:val="24"/>
          <w:szCs w:val="24"/>
          <w:highlight w:val="none"/>
        </w:rPr>
        <w:t>个模块，每个模块</w:t>
      </w:r>
      <w:r>
        <w:rPr>
          <w:rFonts w:hint="eastAsia" w:ascii="宋体" w:hAnsi="宋体" w:cs="宋体"/>
          <w:color w:val="auto"/>
          <w:kern w:val="2"/>
          <w:sz w:val="24"/>
          <w:szCs w:val="24"/>
          <w:highlight w:val="none"/>
          <w:lang w:val="en-US" w:eastAsia="zh-CN"/>
        </w:rPr>
        <w:t>8</w:t>
      </w:r>
      <w:r>
        <w:rPr>
          <w:rFonts w:hint="eastAsia" w:ascii="宋体" w:hAnsi="宋体" w:cs="宋体"/>
          <w:color w:val="auto"/>
          <w:kern w:val="2"/>
          <w:sz w:val="24"/>
          <w:szCs w:val="24"/>
          <w:highlight w:val="none"/>
        </w:rPr>
        <w:t>根灯管，共</w:t>
      </w:r>
      <w:r>
        <w:rPr>
          <w:rFonts w:hint="eastAsia" w:ascii="宋体" w:hAnsi="宋体" w:cs="宋体"/>
          <w:color w:val="auto"/>
          <w:kern w:val="2"/>
          <w:sz w:val="24"/>
          <w:szCs w:val="24"/>
          <w:highlight w:val="none"/>
          <w:lang w:val="en-US" w:eastAsia="zh-CN"/>
        </w:rPr>
        <w:t>288</w:t>
      </w:r>
      <w:r>
        <w:rPr>
          <w:rFonts w:hint="eastAsia" w:ascii="宋体" w:hAnsi="宋体" w:cs="宋体"/>
          <w:color w:val="auto"/>
          <w:kern w:val="2"/>
          <w:sz w:val="24"/>
          <w:szCs w:val="24"/>
          <w:highlight w:val="none"/>
        </w:rPr>
        <w:t>根灯管，紫外消毒系统灯管总功率（包含镇流器电耗）</w:t>
      </w:r>
      <w:r>
        <w:rPr>
          <w:rFonts w:hint="eastAsia" w:ascii="宋体" w:hAnsi="宋体" w:cs="宋体"/>
          <w:color w:val="auto"/>
          <w:kern w:val="2"/>
          <w:sz w:val="24"/>
          <w:szCs w:val="24"/>
          <w:highlight w:val="none"/>
          <w:lang w:val="en-US" w:eastAsia="zh-CN"/>
        </w:rPr>
        <w:t>72</w:t>
      </w:r>
      <w:r>
        <w:rPr>
          <w:rFonts w:hint="eastAsia" w:ascii="宋体" w:hAnsi="宋体" w:cs="宋体"/>
          <w:color w:val="auto"/>
          <w:kern w:val="2"/>
          <w:sz w:val="24"/>
          <w:szCs w:val="24"/>
          <w:highlight w:val="none"/>
        </w:rPr>
        <w:t>kw。</w:t>
      </w:r>
    </w:p>
    <w:p>
      <w:pPr>
        <w:widowControl w:val="0"/>
        <w:spacing w:line="360" w:lineRule="auto"/>
        <w:ind w:firstLine="480" w:firstLineChars="200"/>
        <w:jc w:val="both"/>
        <w:rPr>
          <w:rFonts w:ascii="宋体" w:hAnsi="宋体"/>
          <w:color w:val="auto"/>
          <w:kern w:val="2"/>
          <w:sz w:val="24"/>
          <w:szCs w:val="24"/>
          <w:highlight w:val="none"/>
        </w:rPr>
      </w:pP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3"/>
        <w:gridCol w:w="6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34" w:type="pct"/>
            <w:vAlign w:val="center"/>
          </w:tcPr>
          <w:p>
            <w:pPr>
              <w:widowControl w:val="0"/>
              <w:spacing w:line="360" w:lineRule="auto"/>
              <w:jc w:val="center"/>
              <w:rPr>
                <w:rFonts w:ascii="宋体" w:hAnsi="宋体" w:cs="宋体"/>
                <w:color w:val="auto"/>
                <w:kern w:val="2"/>
                <w:sz w:val="24"/>
                <w:szCs w:val="24"/>
                <w:highlight w:val="none"/>
              </w:rPr>
            </w:pPr>
            <w:r>
              <w:rPr>
                <w:rFonts w:hint="eastAsia" w:ascii="宋体" w:hAnsi="宋体" w:cs="宋体"/>
                <w:color w:val="auto"/>
                <w:kern w:val="2"/>
                <w:sz w:val="24"/>
                <w:szCs w:val="24"/>
                <w:highlight w:val="none"/>
              </w:rPr>
              <w:t>原设备型号</w:t>
            </w:r>
          </w:p>
        </w:tc>
        <w:tc>
          <w:tcPr>
            <w:tcW w:w="3666" w:type="pct"/>
            <w:vAlign w:val="center"/>
          </w:tcPr>
          <w:p>
            <w:pPr>
              <w:widowControl w:val="0"/>
              <w:spacing w:line="360" w:lineRule="auto"/>
              <w:jc w:val="both"/>
              <w:rPr>
                <w:rFonts w:ascii="宋体" w:hAnsi="宋体" w:cs="宋体"/>
                <w:color w:val="auto"/>
                <w:kern w:val="2"/>
                <w:sz w:val="24"/>
                <w:szCs w:val="24"/>
                <w:highlight w:val="none"/>
              </w:rPr>
            </w:pPr>
            <w:r>
              <w:rPr>
                <w:rFonts w:hint="eastAsia" w:ascii="宋体" w:hAnsi="宋体" w:cs="宋体"/>
                <w:color w:val="auto"/>
                <w:kern w:val="2"/>
                <w:sz w:val="24"/>
                <w:szCs w:val="24"/>
                <w:highlight w:val="none"/>
              </w:rPr>
              <w:t>Trojan UV3000Plus™，产地：加拿大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34" w:type="pct"/>
            <w:vAlign w:val="center"/>
          </w:tcPr>
          <w:p>
            <w:pPr>
              <w:widowControl w:val="0"/>
              <w:spacing w:line="360" w:lineRule="auto"/>
              <w:jc w:val="center"/>
              <w:rPr>
                <w:rFonts w:ascii="宋体" w:hAnsi="宋体" w:cs="宋体"/>
                <w:color w:val="auto"/>
                <w:kern w:val="2"/>
                <w:sz w:val="24"/>
                <w:szCs w:val="24"/>
                <w:highlight w:val="none"/>
              </w:rPr>
            </w:pPr>
            <w:r>
              <w:rPr>
                <w:rFonts w:hint="eastAsia" w:ascii="宋体" w:hAnsi="宋体" w:cs="宋体"/>
                <w:color w:val="auto"/>
                <w:kern w:val="2"/>
                <w:sz w:val="24"/>
                <w:szCs w:val="24"/>
                <w:highlight w:val="none"/>
              </w:rPr>
              <w:t>原灯管类型</w:t>
            </w:r>
          </w:p>
        </w:tc>
        <w:tc>
          <w:tcPr>
            <w:tcW w:w="3666" w:type="pct"/>
            <w:vAlign w:val="center"/>
          </w:tcPr>
          <w:p>
            <w:pPr>
              <w:widowControl w:val="0"/>
              <w:spacing w:line="360" w:lineRule="auto"/>
              <w:jc w:val="both"/>
              <w:rPr>
                <w:rFonts w:ascii="宋体" w:hAnsi="宋体" w:cs="宋体"/>
                <w:color w:val="auto"/>
                <w:kern w:val="2"/>
                <w:sz w:val="24"/>
                <w:szCs w:val="24"/>
                <w:highlight w:val="none"/>
              </w:rPr>
            </w:pPr>
            <w:r>
              <w:rPr>
                <w:rFonts w:hint="eastAsia" w:ascii="宋体" w:hAnsi="宋体" w:cs="宋体"/>
                <w:color w:val="auto"/>
                <w:kern w:val="2"/>
                <w:sz w:val="24"/>
                <w:szCs w:val="24"/>
                <w:highlight w:val="none"/>
              </w:rPr>
              <w:t>低压高强紫外灯，设计消毒流量73万m3/天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34" w:type="pct"/>
            <w:vAlign w:val="center"/>
          </w:tcPr>
          <w:p>
            <w:pPr>
              <w:widowControl w:val="0"/>
              <w:spacing w:line="360" w:lineRule="auto"/>
              <w:jc w:val="center"/>
              <w:rPr>
                <w:rFonts w:ascii="宋体" w:hAnsi="宋体" w:cs="宋体"/>
                <w:color w:val="auto"/>
                <w:kern w:val="2"/>
                <w:sz w:val="24"/>
                <w:szCs w:val="24"/>
                <w:highlight w:val="none"/>
              </w:rPr>
            </w:pPr>
            <w:r>
              <w:rPr>
                <w:rFonts w:hint="eastAsia" w:ascii="宋体" w:hAnsi="宋体" w:cs="宋体"/>
                <w:color w:val="auto"/>
                <w:kern w:val="2"/>
                <w:sz w:val="24"/>
                <w:szCs w:val="24"/>
                <w:highlight w:val="none"/>
              </w:rPr>
              <w:t>模块组结构</w:t>
            </w:r>
          </w:p>
        </w:tc>
        <w:tc>
          <w:tcPr>
            <w:tcW w:w="3666" w:type="pct"/>
            <w:vAlign w:val="center"/>
          </w:tcPr>
          <w:p>
            <w:pPr>
              <w:widowControl w:val="0"/>
              <w:spacing w:line="360" w:lineRule="auto"/>
              <w:jc w:val="both"/>
              <w:rPr>
                <w:rFonts w:ascii="宋体" w:hAnsi="宋体" w:cs="宋体"/>
                <w:color w:val="auto"/>
                <w:kern w:val="2"/>
                <w:sz w:val="24"/>
                <w:szCs w:val="24"/>
                <w:highlight w:val="none"/>
              </w:rPr>
            </w:pPr>
            <w:r>
              <w:rPr>
                <w:rFonts w:hint="eastAsia" w:ascii="宋体" w:hAnsi="宋体" w:cs="宋体"/>
                <w:color w:val="auto"/>
                <w:kern w:val="2"/>
                <w:sz w:val="24"/>
                <w:szCs w:val="24"/>
                <w:highlight w:val="none"/>
                <w:lang w:val="en-US" w:eastAsia="zh-CN"/>
              </w:rPr>
              <w:t>3</w:t>
            </w:r>
            <w:r>
              <w:rPr>
                <w:rFonts w:hint="eastAsia" w:ascii="宋体" w:hAnsi="宋体" w:cs="宋体"/>
                <w:color w:val="auto"/>
                <w:kern w:val="2"/>
                <w:sz w:val="24"/>
                <w:szCs w:val="24"/>
                <w:highlight w:val="none"/>
              </w:rPr>
              <w:t>条水渠，共</w:t>
            </w:r>
            <w:r>
              <w:rPr>
                <w:rFonts w:hint="eastAsia" w:ascii="宋体" w:hAnsi="宋体" w:cs="宋体"/>
                <w:color w:val="auto"/>
                <w:kern w:val="2"/>
                <w:sz w:val="24"/>
                <w:szCs w:val="24"/>
                <w:highlight w:val="none"/>
                <w:lang w:val="en-US" w:eastAsia="zh-CN"/>
              </w:rPr>
              <w:t>12</w:t>
            </w:r>
            <w:r>
              <w:rPr>
                <w:rFonts w:hint="eastAsia" w:ascii="宋体" w:hAnsi="宋体" w:cs="宋体"/>
                <w:color w:val="auto"/>
                <w:kern w:val="2"/>
                <w:sz w:val="24"/>
                <w:szCs w:val="24"/>
                <w:highlight w:val="none"/>
              </w:rPr>
              <w:t>个模块组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34" w:type="pct"/>
            <w:vAlign w:val="center"/>
          </w:tcPr>
          <w:p>
            <w:pPr>
              <w:widowControl w:val="0"/>
              <w:spacing w:line="360" w:lineRule="auto"/>
              <w:jc w:val="center"/>
              <w:rPr>
                <w:rFonts w:ascii="宋体" w:hAnsi="宋体" w:cs="宋体"/>
                <w:color w:val="auto"/>
                <w:kern w:val="2"/>
                <w:sz w:val="24"/>
                <w:szCs w:val="24"/>
                <w:highlight w:val="none"/>
              </w:rPr>
            </w:pPr>
            <w:r>
              <w:rPr>
                <w:rFonts w:hint="eastAsia" w:ascii="宋体" w:hAnsi="宋体" w:cs="宋体"/>
                <w:color w:val="auto"/>
                <w:kern w:val="2"/>
                <w:sz w:val="24"/>
                <w:szCs w:val="24"/>
                <w:highlight w:val="none"/>
              </w:rPr>
              <w:t>紫外模块数</w:t>
            </w:r>
          </w:p>
        </w:tc>
        <w:tc>
          <w:tcPr>
            <w:tcW w:w="3666" w:type="pct"/>
            <w:vAlign w:val="center"/>
          </w:tcPr>
          <w:p>
            <w:pPr>
              <w:widowControl w:val="0"/>
              <w:spacing w:line="360" w:lineRule="auto"/>
              <w:jc w:val="both"/>
              <w:rPr>
                <w:rFonts w:ascii="宋体" w:hAnsi="宋体" w:cs="宋体"/>
                <w:color w:val="auto"/>
                <w:kern w:val="2"/>
                <w:sz w:val="24"/>
                <w:szCs w:val="24"/>
                <w:highlight w:val="none"/>
              </w:rPr>
            </w:pPr>
            <w:r>
              <w:rPr>
                <w:rFonts w:hint="eastAsia" w:ascii="宋体" w:hAnsi="宋体" w:cs="宋体"/>
                <w:color w:val="auto"/>
                <w:kern w:val="2"/>
                <w:sz w:val="24"/>
                <w:szCs w:val="24"/>
                <w:highlight w:val="none"/>
              </w:rPr>
              <w:t>1个模块组共</w:t>
            </w:r>
            <w:r>
              <w:rPr>
                <w:rFonts w:hint="eastAsia" w:ascii="宋体" w:hAnsi="宋体" w:cs="宋体"/>
                <w:color w:val="auto"/>
                <w:kern w:val="2"/>
                <w:sz w:val="24"/>
                <w:szCs w:val="24"/>
                <w:highlight w:val="none"/>
                <w:lang w:val="en-US" w:eastAsia="zh-CN"/>
              </w:rPr>
              <w:t>12</w:t>
            </w:r>
            <w:r>
              <w:rPr>
                <w:rFonts w:hint="eastAsia" w:ascii="宋体" w:hAnsi="宋体" w:cs="宋体"/>
                <w:color w:val="auto"/>
                <w:kern w:val="2"/>
                <w:sz w:val="24"/>
                <w:szCs w:val="24"/>
                <w:highlight w:val="none"/>
              </w:rPr>
              <w:t>个模块，每个模块含8根灯管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34" w:type="pct"/>
            <w:vAlign w:val="center"/>
          </w:tcPr>
          <w:p>
            <w:pPr>
              <w:widowControl w:val="0"/>
              <w:spacing w:line="360" w:lineRule="auto"/>
              <w:jc w:val="center"/>
              <w:rPr>
                <w:rFonts w:ascii="宋体" w:hAnsi="宋体" w:cs="宋体"/>
                <w:color w:val="auto"/>
                <w:kern w:val="2"/>
                <w:sz w:val="24"/>
                <w:szCs w:val="24"/>
                <w:highlight w:val="none"/>
              </w:rPr>
            </w:pPr>
            <w:r>
              <w:rPr>
                <w:rFonts w:hint="eastAsia" w:ascii="宋体" w:hAnsi="宋体" w:cs="宋体"/>
                <w:color w:val="auto"/>
                <w:kern w:val="2"/>
                <w:sz w:val="24"/>
                <w:szCs w:val="24"/>
                <w:highlight w:val="none"/>
              </w:rPr>
              <w:t>灯管数量</w:t>
            </w:r>
          </w:p>
        </w:tc>
        <w:tc>
          <w:tcPr>
            <w:tcW w:w="3666" w:type="pct"/>
            <w:vAlign w:val="center"/>
          </w:tcPr>
          <w:p>
            <w:pPr>
              <w:widowControl w:val="0"/>
              <w:spacing w:line="360" w:lineRule="auto"/>
              <w:jc w:val="both"/>
              <w:rPr>
                <w:rFonts w:ascii="宋体" w:hAnsi="宋体" w:cs="宋体"/>
                <w:color w:val="auto"/>
                <w:kern w:val="2"/>
                <w:sz w:val="24"/>
                <w:szCs w:val="24"/>
                <w:highlight w:val="none"/>
              </w:rPr>
            </w:pPr>
            <w:r>
              <w:rPr>
                <w:rFonts w:hint="eastAsia" w:ascii="宋体" w:hAnsi="宋体" w:cs="宋体"/>
                <w:color w:val="auto"/>
                <w:kern w:val="2"/>
                <w:sz w:val="24"/>
                <w:szCs w:val="24"/>
                <w:highlight w:val="none"/>
              </w:rPr>
              <w:t>1条水渠</w:t>
            </w:r>
            <w:r>
              <w:rPr>
                <w:rFonts w:hint="eastAsia" w:ascii="宋体" w:hAnsi="宋体" w:cs="宋体"/>
                <w:color w:val="auto"/>
                <w:kern w:val="2"/>
                <w:sz w:val="24"/>
                <w:szCs w:val="24"/>
                <w:highlight w:val="none"/>
                <w:lang w:val="en-US" w:eastAsia="zh-CN"/>
              </w:rPr>
              <w:t>96</w:t>
            </w:r>
            <w:r>
              <w:rPr>
                <w:rFonts w:hint="eastAsia" w:ascii="宋体" w:hAnsi="宋体" w:cs="宋体"/>
                <w:color w:val="auto"/>
                <w:kern w:val="2"/>
                <w:sz w:val="24"/>
                <w:szCs w:val="24"/>
                <w:highlight w:val="none"/>
              </w:rPr>
              <w:t>根，</w:t>
            </w:r>
            <w:r>
              <w:rPr>
                <w:rFonts w:hint="eastAsia" w:ascii="宋体" w:hAnsi="宋体" w:cs="宋体"/>
                <w:color w:val="auto"/>
                <w:kern w:val="2"/>
                <w:sz w:val="24"/>
                <w:szCs w:val="24"/>
                <w:highlight w:val="none"/>
                <w:lang w:val="en-US" w:eastAsia="zh-CN"/>
              </w:rPr>
              <w:t>3</w:t>
            </w:r>
            <w:r>
              <w:rPr>
                <w:rFonts w:hint="eastAsia" w:ascii="宋体" w:hAnsi="宋体" w:cs="宋体"/>
                <w:color w:val="auto"/>
                <w:kern w:val="2"/>
                <w:sz w:val="24"/>
                <w:szCs w:val="24"/>
                <w:highlight w:val="none"/>
              </w:rPr>
              <w:t>条水渠共</w:t>
            </w:r>
            <w:r>
              <w:rPr>
                <w:rFonts w:hint="eastAsia" w:ascii="宋体" w:hAnsi="宋体" w:cs="宋体"/>
                <w:color w:val="auto"/>
                <w:kern w:val="2"/>
                <w:sz w:val="24"/>
                <w:szCs w:val="24"/>
                <w:highlight w:val="none"/>
                <w:lang w:val="en-US" w:eastAsia="zh-CN"/>
              </w:rPr>
              <w:t>288</w:t>
            </w:r>
            <w:r>
              <w:rPr>
                <w:rFonts w:hint="eastAsia" w:ascii="宋体" w:hAnsi="宋体" w:cs="宋体"/>
                <w:color w:val="auto"/>
                <w:kern w:val="2"/>
                <w:sz w:val="24"/>
                <w:szCs w:val="24"/>
                <w:highlight w:val="none"/>
              </w:rPr>
              <w:t>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34" w:type="pct"/>
            <w:vAlign w:val="center"/>
          </w:tcPr>
          <w:p>
            <w:pPr>
              <w:widowControl w:val="0"/>
              <w:spacing w:line="360" w:lineRule="auto"/>
              <w:jc w:val="center"/>
              <w:rPr>
                <w:rFonts w:ascii="宋体" w:hAnsi="宋体" w:cs="宋体"/>
                <w:color w:val="auto"/>
                <w:kern w:val="2"/>
                <w:sz w:val="24"/>
                <w:szCs w:val="24"/>
                <w:highlight w:val="none"/>
              </w:rPr>
            </w:pPr>
            <w:r>
              <w:rPr>
                <w:rFonts w:hint="eastAsia" w:ascii="宋体" w:hAnsi="宋体" w:cs="宋体"/>
                <w:color w:val="auto"/>
                <w:kern w:val="2"/>
                <w:sz w:val="24"/>
                <w:szCs w:val="24"/>
                <w:highlight w:val="none"/>
              </w:rPr>
              <w:t>每条水渠尺寸</w:t>
            </w:r>
          </w:p>
        </w:tc>
        <w:tc>
          <w:tcPr>
            <w:tcW w:w="3666" w:type="pct"/>
            <w:vAlign w:val="center"/>
          </w:tcPr>
          <w:p>
            <w:pPr>
              <w:widowControl w:val="0"/>
              <w:spacing w:line="360" w:lineRule="auto"/>
              <w:jc w:val="both"/>
              <w:rPr>
                <w:rFonts w:ascii="宋体" w:hAnsi="宋体" w:cs="宋体"/>
                <w:color w:val="auto"/>
                <w:kern w:val="2"/>
                <w:sz w:val="24"/>
                <w:szCs w:val="24"/>
                <w:highlight w:val="none"/>
              </w:rPr>
            </w:pPr>
            <w:r>
              <w:rPr>
                <w:rFonts w:hint="eastAsia" w:ascii="宋体" w:hAnsi="宋体" w:cs="宋体"/>
                <w:color w:val="auto"/>
                <w:kern w:val="2"/>
                <w:sz w:val="24"/>
                <w:szCs w:val="24"/>
                <w:highlight w:val="none"/>
              </w:rPr>
              <w:t>渠长=</w:t>
            </w:r>
            <w:r>
              <w:rPr>
                <w:rFonts w:hint="eastAsia" w:ascii="宋体" w:hAnsi="宋体" w:cs="宋体"/>
                <w:color w:val="auto"/>
                <w:kern w:val="2"/>
                <w:sz w:val="24"/>
                <w:szCs w:val="24"/>
                <w:highlight w:val="none"/>
                <w:lang w:val="en-US" w:eastAsia="zh-CN"/>
              </w:rPr>
              <w:t>6800</w:t>
            </w:r>
            <w:r>
              <w:rPr>
                <w:rFonts w:hint="eastAsia" w:ascii="宋体" w:hAnsi="宋体" w:cs="宋体"/>
                <w:color w:val="auto"/>
                <w:kern w:val="2"/>
                <w:sz w:val="24"/>
                <w:szCs w:val="24"/>
                <w:highlight w:val="none"/>
              </w:rPr>
              <w:t>mm，消毒设备安装长度</w:t>
            </w:r>
          </w:p>
          <w:p>
            <w:pPr>
              <w:widowControl w:val="0"/>
              <w:spacing w:line="360" w:lineRule="auto"/>
              <w:jc w:val="both"/>
              <w:rPr>
                <w:rFonts w:ascii="宋体" w:hAnsi="宋体" w:cs="宋体"/>
                <w:color w:val="auto"/>
                <w:kern w:val="2"/>
                <w:sz w:val="24"/>
                <w:szCs w:val="24"/>
                <w:highlight w:val="none"/>
              </w:rPr>
            </w:pPr>
            <w:r>
              <w:rPr>
                <w:rFonts w:hint="eastAsia" w:ascii="宋体" w:hAnsi="宋体" w:cs="宋体"/>
                <w:color w:val="auto"/>
                <w:kern w:val="2"/>
                <w:sz w:val="24"/>
                <w:szCs w:val="24"/>
                <w:highlight w:val="none"/>
              </w:rPr>
              <w:t>单渠宽=</w:t>
            </w:r>
            <w:r>
              <w:rPr>
                <w:rFonts w:hint="eastAsia" w:ascii="宋体" w:hAnsi="宋体" w:cs="宋体"/>
                <w:color w:val="auto"/>
                <w:kern w:val="2"/>
                <w:sz w:val="24"/>
                <w:szCs w:val="24"/>
                <w:highlight w:val="none"/>
                <w:lang w:val="en-US" w:eastAsia="zh-CN"/>
              </w:rPr>
              <w:t>1220</w:t>
            </w:r>
            <w:r>
              <w:rPr>
                <w:rFonts w:hint="eastAsia" w:ascii="宋体" w:hAnsi="宋体" w:cs="宋体"/>
                <w:color w:val="auto"/>
                <w:kern w:val="2"/>
                <w:sz w:val="24"/>
                <w:szCs w:val="24"/>
                <w:highlight w:val="none"/>
              </w:rPr>
              <w:t>mm，共</w:t>
            </w:r>
            <w:r>
              <w:rPr>
                <w:rFonts w:hint="eastAsia" w:ascii="宋体" w:hAnsi="宋体" w:cs="宋体"/>
                <w:color w:val="auto"/>
                <w:kern w:val="2"/>
                <w:sz w:val="24"/>
                <w:szCs w:val="24"/>
                <w:highlight w:val="none"/>
                <w:lang w:val="en-US" w:eastAsia="zh-CN"/>
              </w:rPr>
              <w:t>3</w:t>
            </w:r>
            <w:r>
              <w:rPr>
                <w:rFonts w:hint="eastAsia" w:ascii="宋体" w:hAnsi="宋体" w:cs="宋体"/>
                <w:color w:val="auto"/>
                <w:kern w:val="2"/>
                <w:sz w:val="24"/>
                <w:szCs w:val="24"/>
                <w:highlight w:val="none"/>
              </w:rPr>
              <w:t>条消毒水渠</w:t>
            </w:r>
          </w:p>
          <w:p>
            <w:pPr>
              <w:widowControl w:val="0"/>
              <w:spacing w:line="360" w:lineRule="auto"/>
              <w:jc w:val="both"/>
              <w:rPr>
                <w:rFonts w:ascii="宋体" w:hAnsi="宋体" w:cs="宋体"/>
                <w:color w:val="auto"/>
                <w:kern w:val="2"/>
                <w:sz w:val="24"/>
                <w:szCs w:val="24"/>
                <w:highlight w:val="none"/>
              </w:rPr>
            </w:pPr>
            <w:r>
              <w:rPr>
                <w:rFonts w:hint="eastAsia" w:ascii="宋体" w:hAnsi="宋体" w:cs="宋体"/>
                <w:color w:val="auto"/>
                <w:kern w:val="2"/>
                <w:sz w:val="24"/>
                <w:szCs w:val="24"/>
                <w:highlight w:val="none"/>
              </w:rPr>
              <w:t>渠深=15</w:t>
            </w:r>
            <w:r>
              <w:rPr>
                <w:rFonts w:hint="eastAsia" w:ascii="宋体" w:hAnsi="宋体" w:cs="宋体"/>
                <w:color w:val="auto"/>
                <w:kern w:val="2"/>
                <w:sz w:val="24"/>
                <w:szCs w:val="24"/>
                <w:highlight w:val="none"/>
                <w:lang w:val="en-US" w:eastAsia="zh-CN"/>
              </w:rPr>
              <w:t>00</w:t>
            </w:r>
            <w:r>
              <w:rPr>
                <w:rFonts w:hint="eastAsia" w:ascii="宋体" w:hAnsi="宋体" w:cs="宋体"/>
                <w:color w:val="auto"/>
                <w:kern w:val="2"/>
                <w:sz w:val="24"/>
                <w:szCs w:val="24"/>
                <w:highlight w:val="none"/>
              </w:rPr>
              <w:t>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34" w:type="pct"/>
            <w:vAlign w:val="center"/>
          </w:tcPr>
          <w:p>
            <w:pPr>
              <w:widowControl w:val="0"/>
              <w:spacing w:line="360" w:lineRule="auto"/>
              <w:jc w:val="center"/>
              <w:rPr>
                <w:rFonts w:ascii="宋体" w:hAnsi="宋体" w:cs="宋体"/>
                <w:color w:val="auto"/>
                <w:kern w:val="2"/>
                <w:sz w:val="24"/>
                <w:szCs w:val="24"/>
                <w:highlight w:val="none"/>
              </w:rPr>
            </w:pPr>
            <w:r>
              <w:rPr>
                <w:rFonts w:hint="eastAsia" w:ascii="宋体" w:hAnsi="宋体" w:cs="宋体"/>
                <w:color w:val="auto"/>
                <w:kern w:val="2"/>
                <w:sz w:val="24"/>
                <w:szCs w:val="24"/>
                <w:highlight w:val="none"/>
              </w:rPr>
              <w:t>紫外线消毒模块总功率</w:t>
            </w:r>
          </w:p>
        </w:tc>
        <w:tc>
          <w:tcPr>
            <w:tcW w:w="3666" w:type="pct"/>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72</w:t>
            </w:r>
            <w:r>
              <w:rPr>
                <w:rFonts w:hint="eastAsia" w:ascii="宋体" w:hAnsi="宋体" w:cs="宋体"/>
                <w:color w:val="auto"/>
                <w:sz w:val="24"/>
                <w:szCs w:val="24"/>
                <w:highlight w:val="none"/>
              </w:rPr>
              <w:t>KW，每根灯管含镇流器为250W，共</w:t>
            </w:r>
            <w:r>
              <w:rPr>
                <w:rFonts w:hint="eastAsia" w:ascii="宋体" w:hAnsi="宋体" w:cs="宋体"/>
                <w:color w:val="auto"/>
                <w:sz w:val="24"/>
                <w:szCs w:val="24"/>
                <w:highlight w:val="none"/>
                <w:lang w:val="en-US" w:eastAsia="zh-CN"/>
              </w:rPr>
              <w:t>288</w:t>
            </w:r>
            <w:r>
              <w:rPr>
                <w:rFonts w:hint="eastAsia" w:ascii="宋体" w:hAnsi="宋体" w:cs="宋体"/>
                <w:color w:val="auto"/>
                <w:sz w:val="24"/>
                <w:szCs w:val="24"/>
                <w:highlight w:val="none"/>
              </w:rPr>
              <w:t>根灯管，250W*</w:t>
            </w:r>
            <w:r>
              <w:rPr>
                <w:rFonts w:hint="eastAsia" w:ascii="宋体" w:hAnsi="宋体" w:cs="宋体"/>
                <w:color w:val="auto"/>
                <w:sz w:val="24"/>
                <w:szCs w:val="24"/>
                <w:highlight w:val="none"/>
                <w:lang w:val="en-US" w:eastAsia="zh-CN"/>
              </w:rPr>
              <w:t>288</w:t>
            </w:r>
            <w:r>
              <w:rPr>
                <w:rFonts w:hint="eastAsia" w:ascii="宋体" w:hAnsi="宋体" w:cs="宋体"/>
                <w:color w:val="auto"/>
                <w:sz w:val="24"/>
                <w:szCs w:val="24"/>
                <w:highlight w:val="none"/>
              </w:rPr>
              <w:t>根=</w:t>
            </w:r>
            <w:r>
              <w:rPr>
                <w:rFonts w:hint="eastAsia" w:ascii="宋体" w:hAnsi="宋体" w:cs="宋体"/>
                <w:color w:val="auto"/>
                <w:sz w:val="24"/>
                <w:szCs w:val="24"/>
                <w:highlight w:val="none"/>
                <w:lang w:val="en-US" w:eastAsia="zh-CN"/>
              </w:rPr>
              <w:t>72</w:t>
            </w:r>
            <w:r>
              <w:rPr>
                <w:rFonts w:hint="eastAsia" w:ascii="宋体" w:hAnsi="宋体" w:cs="宋体"/>
                <w:color w:val="auto"/>
                <w:sz w:val="24"/>
                <w:szCs w:val="24"/>
                <w:highlight w:val="none"/>
              </w:rPr>
              <w:t>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34" w:type="pct"/>
            <w:vAlign w:val="center"/>
          </w:tcPr>
          <w:p>
            <w:pPr>
              <w:widowControl w:val="0"/>
              <w:spacing w:line="360" w:lineRule="auto"/>
              <w:jc w:val="center"/>
              <w:rPr>
                <w:rFonts w:ascii="宋体" w:hAnsi="宋体" w:cs="宋体"/>
                <w:color w:val="auto"/>
                <w:kern w:val="2"/>
                <w:sz w:val="24"/>
                <w:szCs w:val="24"/>
                <w:highlight w:val="none"/>
              </w:rPr>
            </w:pPr>
            <w:r>
              <w:rPr>
                <w:rFonts w:hint="eastAsia" w:ascii="宋体" w:hAnsi="宋体" w:cs="宋体"/>
                <w:color w:val="auto"/>
                <w:kern w:val="2"/>
                <w:sz w:val="24"/>
                <w:szCs w:val="24"/>
                <w:highlight w:val="none"/>
              </w:rPr>
              <w:t>清洗方式</w:t>
            </w:r>
          </w:p>
        </w:tc>
        <w:tc>
          <w:tcPr>
            <w:tcW w:w="3666" w:type="pct"/>
            <w:vAlign w:val="center"/>
          </w:tcPr>
          <w:p>
            <w:pPr>
              <w:widowControl w:val="0"/>
              <w:spacing w:line="360" w:lineRule="auto"/>
              <w:jc w:val="both"/>
              <w:rPr>
                <w:rFonts w:ascii="宋体" w:hAnsi="宋体" w:cs="宋体"/>
                <w:color w:val="auto"/>
                <w:kern w:val="2"/>
                <w:sz w:val="24"/>
                <w:szCs w:val="24"/>
                <w:highlight w:val="none"/>
              </w:rPr>
            </w:pPr>
            <w:r>
              <w:rPr>
                <w:rFonts w:hint="eastAsia" w:ascii="宋体" w:hAnsi="宋体" w:cs="宋体"/>
                <w:color w:val="auto"/>
                <w:kern w:val="2"/>
                <w:sz w:val="24"/>
                <w:szCs w:val="24"/>
                <w:highlight w:val="none"/>
              </w:rPr>
              <w:t>在线机械化学自动清洗，无需任何离线清洗</w:t>
            </w:r>
          </w:p>
        </w:tc>
      </w:tr>
    </w:tbl>
    <w:p>
      <w:pPr>
        <w:pStyle w:val="22"/>
        <w:ind w:left="0" w:leftChars="0" w:firstLine="0" w:firstLineChars="0"/>
        <w:rPr>
          <w:rFonts w:hint="eastAsia" w:eastAsia="宋体" w:cs="宋体"/>
          <w:b/>
          <w:color w:val="auto"/>
          <w:kern w:val="2"/>
          <w:sz w:val="28"/>
          <w:szCs w:val="28"/>
          <w:highlight w:val="none"/>
          <w:lang w:val="en-US" w:eastAsia="zh-CN"/>
        </w:rPr>
      </w:pPr>
    </w:p>
    <w:p>
      <w:pPr>
        <w:pStyle w:val="22"/>
        <w:ind w:left="0" w:leftChars="0" w:firstLine="0" w:firstLineChars="0"/>
        <w:rPr>
          <w:rFonts w:hint="eastAsia" w:eastAsia="宋体" w:cs="宋体"/>
          <w:b/>
          <w:color w:val="auto"/>
          <w:kern w:val="2"/>
          <w:sz w:val="28"/>
          <w:szCs w:val="28"/>
          <w:highlight w:val="none"/>
          <w:lang w:val="en-US" w:eastAsia="zh-CN"/>
        </w:rPr>
      </w:pPr>
      <w:r>
        <w:rPr>
          <w:rFonts w:hint="eastAsia" w:eastAsia="宋体" w:cs="宋体"/>
          <w:b/>
          <w:color w:val="auto"/>
          <w:kern w:val="2"/>
          <w:sz w:val="28"/>
          <w:szCs w:val="28"/>
          <w:highlight w:val="none"/>
          <w:lang w:val="en-US" w:eastAsia="zh-CN"/>
        </w:rPr>
        <w:t>竹料：</w:t>
      </w:r>
    </w:p>
    <w:p>
      <w:pPr>
        <w:widowControl w:val="0"/>
        <w:spacing w:line="360" w:lineRule="auto"/>
        <w:ind w:firstLine="470" w:firstLineChars="196"/>
        <w:jc w:val="both"/>
        <w:rPr>
          <w:rFonts w:ascii="宋体" w:hAnsi="宋体" w:cs="宋体"/>
          <w:color w:val="auto"/>
          <w:kern w:val="2"/>
          <w:sz w:val="24"/>
          <w:szCs w:val="24"/>
          <w:highlight w:val="none"/>
        </w:rPr>
      </w:pPr>
      <w:r>
        <w:rPr>
          <w:rFonts w:hint="eastAsia" w:ascii="宋体" w:hAnsi="宋体" w:cs="宋体"/>
          <w:color w:val="auto"/>
          <w:kern w:val="2"/>
          <w:sz w:val="24"/>
          <w:szCs w:val="24"/>
          <w:highlight w:val="none"/>
          <w:lang w:val="en-US" w:eastAsia="zh-CN"/>
        </w:rPr>
        <w:t>竹料</w:t>
      </w:r>
      <w:r>
        <w:rPr>
          <w:rFonts w:hint="eastAsia" w:ascii="宋体" w:hAnsi="宋体" w:cs="宋体"/>
          <w:color w:val="auto"/>
          <w:kern w:val="2"/>
          <w:sz w:val="24"/>
          <w:szCs w:val="24"/>
          <w:highlight w:val="none"/>
        </w:rPr>
        <w:t>分公司</w:t>
      </w:r>
      <w:r>
        <w:rPr>
          <w:rFonts w:hint="eastAsia" w:ascii="宋体" w:hAnsi="宋体" w:cs="宋体"/>
          <w:color w:val="auto"/>
          <w:kern w:val="2"/>
          <w:sz w:val="24"/>
          <w:szCs w:val="24"/>
          <w:highlight w:val="none"/>
          <w:lang w:val="en-US" w:eastAsia="zh-CN"/>
        </w:rPr>
        <w:t>一期及扩建</w:t>
      </w:r>
      <w:r>
        <w:rPr>
          <w:rFonts w:hint="eastAsia" w:ascii="宋体" w:hAnsi="宋体" w:cs="宋体"/>
          <w:color w:val="auto"/>
          <w:kern w:val="2"/>
          <w:sz w:val="24"/>
          <w:szCs w:val="24"/>
          <w:highlight w:val="none"/>
        </w:rPr>
        <w:t>紫外线消毒系统使用的是加拿大TROJAN（特洁安）公司UV3000Plus紫外消毒系统，</w:t>
      </w:r>
      <w:r>
        <w:rPr>
          <w:rFonts w:hint="eastAsia" w:ascii="宋体" w:hAnsi="宋体" w:cs="宋体"/>
          <w:color w:val="auto"/>
          <w:kern w:val="2"/>
          <w:sz w:val="24"/>
          <w:szCs w:val="24"/>
          <w:highlight w:val="none"/>
          <w:lang w:val="en-US" w:eastAsia="zh-CN"/>
        </w:rPr>
        <w:t>一期</w:t>
      </w:r>
      <w:r>
        <w:rPr>
          <w:rFonts w:hint="eastAsia" w:ascii="宋体" w:hAnsi="宋体" w:cs="宋体"/>
          <w:color w:val="auto"/>
          <w:kern w:val="2"/>
          <w:sz w:val="24"/>
          <w:szCs w:val="24"/>
          <w:highlight w:val="none"/>
        </w:rPr>
        <w:t>于</w:t>
      </w:r>
      <w:r>
        <w:rPr>
          <w:rFonts w:hint="eastAsia" w:ascii="宋体" w:hAnsi="宋体" w:cs="宋体"/>
          <w:color w:val="auto"/>
          <w:kern w:val="2"/>
          <w:sz w:val="24"/>
          <w:szCs w:val="24"/>
          <w:highlight w:val="none"/>
          <w:lang w:val="en-US" w:eastAsia="zh-CN"/>
        </w:rPr>
        <w:t>2009</w:t>
      </w:r>
      <w:r>
        <w:rPr>
          <w:rFonts w:hint="eastAsia" w:ascii="宋体" w:hAnsi="宋体" w:cs="宋体"/>
          <w:color w:val="auto"/>
          <w:kern w:val="2"/>
          <w:sz w:val="24"/>
          <w:szCs w:val="24"/>
          <w:highlight w:val="none"/>
        </w:rPr>
        <w:t>年投入使用</w:t>
      </w:r>
      <w:r>
        <w:rPr>
          <w:rFonts w:hint="eastAsia" w:ascii="宋体" w:hAnsi="宋体" w:cs="宋体"/>
          <w:color w:val="auto"/>
          <w:kern w:val="2"/>
          <w:sz w:val="24"/>
          <w:szCs w:val="24"/>
          <w:highlight w:val="none"/>
          <w:lang w:eastAsia="zh-CN"/>
        </w:rPr>
        <w:t>，</w:t>
      </w:r>
      <w:r>
        <w:rPr>
          <w:rFonts w:hint="eastAsia" w:ascii="宋体" w:hAnsi="宋体" w:cs="宋体"/>
          <w:color w:val="auto"/>
          <w:kern w:val="2"/>
          <w:sz w:val="24"/>
          <w:szCs w:val="24"/>
          <w:highlight w:val="none"/>
          <w:lang w:val="en-US" w:eastAsia="zh-CN"/>
        </w:rPr>
        <w:t>扩建于2017年投入使用</w:t>
      </w:r>
      <w:r>
        <w:rPr>
          <w:rFonts w:hint="eastAsia" w:ascii="宋体" w:hAnsi="宋体" w:cs="宋体"/>
          <w:color w:val="auto"/>
          <w:kern w:val="2"/>
          <w:sz w:val="24"/>
          <w:szCs w:val="24"/>
          <w:highlight w:val="none"/>
        </w:rPr>
        <w:t>。紫外线消毒系统为明渠式低压高强紫外灯系统，共</w:t>
      </w:r>
      <w:r>
        <w:rPr>
          <w:rFonts w:hint="eastAsia" w:ascii="宋体" w:hAnsi="宋体" w:cs="宋体"/>
          <w:color w:val="auto"/>
          <w:kern w:val="2"/>
          <w:sz w:val="24"/>
          <w:szCs w:val="24"/>
          <w:highlight w:val="none"/>
          <w:lang w:val="en-US" w:eastAsia="zh-CN"/>
        </w:rPr>
        <w:t>2</w:t>
      </w:r>
      <w:r>
        <w:rPr>
          <w:rFonts w:hint="eastAsia" w:ascii="宋体" w:hAnsi="宋体" w:cs="宋体"/>
          <w:color w:val="auto"/>
          <w:kern w:val="2"/>
          <w:sz w:val="24"/>
          <w:szCs w:val="24"/>
          <w:highlight w:val="none"/>
        </w:rPr>
        <w:t>条渠道，采用模块化结构，沿水流方向各安装一套模块组，每套模块组</w:t>
      </w:r>
      <w:r>
        <w:rPr>
          <w:rFonts w:hint="eastAsia" w:ascii="宋体" w:hAnsi="宋体" w:cs="宋体"/>
          <w:color w:val="auto"/>
          <w:kern w:val="2"/>
          <w:sz w:val="24"/>
          <w:szCs w:val="24"/>
          <w:highlight w:val="none"/>
          <w:lang w:val="en-US" w:eastAsia="zh-CN"/>
        </w:rPr>
        <w:t>7</w:t>
      </w:r>
      <w:r>
        <w:rPr>
          <w:rFonts w:hint="eastAsia" w:ascii="宋体" w:hAnsi="宋体" w:cs="宋体"/>
          <w:color w:val="auto"/>
          <w:kern w:val="2"/>
          <w:sz w:val="24"/>
          <w:szCs w:val="24"/>
          <w:highlight w:val="none"/>
        </w:rPr>
        <w:t>个模块，每个模块</w:t>
      </w:r>
      <w:r>
        <w:rPr>
          <w:rFonts w:hint="eastAsia" w:ascii="宋体" w:hAnsi="宋体" w:cs="宋体"/>
          <w:color w:val="auto"/>
          <w:kern w:val="2"/>
          <w:sz w:val="24"/>
          <w:szCs w:val="24"/>
          <w:highlight w:val="none"/>
          <w:lang w:val="en-US" w:eastAsia="zh-CN"/>
        </w:rPr>
        <w:t>8</w:t>
      </w:r>
      <w:r>
        <w:rPr>
          <w:rFonts w:hint="eastAsia" w:ascii="宋体" w:hAnsi="宋体" w:cs="宋体"/>
          <w:color w:val="auto"/>
          <w:kern w:val="2"/>
          <w:sz w:val="24"/>
          <w:szCs w:val="24"/>
          <w:highlight w:val="none"/>
        </w:rPr>
        <w:t>根灯管，共</w:t>
      </w:r>
      <w:r>
        <w:rPr>
          <w:rFonts w:hint="eastAsia" w:ascii="宋体" w:hAnsi="宋体" w:cs="宋体"/>
          <w:color w:val="auto"/>
          <w:kern w:val="2"/>
          <w:sz w:val="24"/>
          <w:szCs w:val="24"/>
          <w:highlight w:val="none"/>
          <w:lang w:val="en-US" w:eastAsia="zh-CN"/>
        </w:rPr>
        <w:t>112</w:t>
      </w:r>
      <w:r>
        <w:rPr>
          <w:rFonts w:hint="eastAsia" w:ascii="宋体" w:hAnsi="宋体" w:cs="宋体"/>
          <w:color w:val="auto"/>
          <w:kern w:val="2"/>
          <w:sz w:val="24"/>
          <w:szCs w:val="24"/>
          <w:highlight w:val="none"/>
        </w:rPr>
        <w:t>根灯管，紫外消毒系统灯管总功率（包含镇流器电耗）</w:t>
      </w:r>
      <w:r>
        <w:rPr>
          <w:rFonts w:hint="eastAsia" w:ascii="宋体" w:hAnsi="宋体" w:cs="宋体"/>
          <w:color w:val="auto"/>
          <w:kern w:val="2"/>
          <w:sz w:val="24"/>
          <w:szCs w:val="24"/>
          <w:highlight w:val="none"/>
          <w:lang w:val="en-US" w:eastAsia="zh-CN"/>
        </w:rPr>
        <w:t>28</w:t>
      </w:r>
      <w:r>
        <w:rPr>
          <w:rFonts w:hint="eastAsia" w:ascii="宋体" w:hAnsi="宋体" w:cs="宋体"/>
          <w:color w:val="auto"/>
          <w:kern w:val="2"/>
          <w:sz w:val="24"/>
          <w:szCs w:val="24"/>
          <w:highlight w:val="none"/>
        </w:rPr>
        <w:t>kw。</w:t>
      </w:r>
    </w:p>
    <w:p>
      <w:pPr>
        <w:widowControl w:val="0"/>
        <w:spacing w:line="360" w:lineRule="auto"/>
        <w:ind w:firstLine="480" w:firstLineChars="200"/>
        <w:jc w:val="both"/>
        <w:rPr>
          <w:rFonts w:ascii="宋体" w:hAnsi="宋体"/>
          <w:color w:val="auto"/>
          <w:kern w:val="2"/>
          <w:sz w:val="24"/>
          <w:szCs w:val="24"/>
          <w:highlight w:val="none"/>
        </w:rPr>
      </w:pP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3"/>
        <w:gridCol w:w="6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34" w:type="pct"/>
            <w:vAlign w:val="center"/>
          </w:tcPr>
          <w:p>
            <w:pPr>
              <w:widowControl w:val="0"/>
              <w:spacing w:line="360" w:lineRule="auto"/>
              <w:jc w:val="center"/>
              <w:rPr>
                <w:rFonts w:ascii="宋体" w:hAnsi="宋体" w:cs="宋体"/>
                <w:color w:val="auto"/>
                <w:kern w:val="2"/>
                <w:sz w:val="24"/>
                <w:szCs w:val="24"/>
                <w:highlight w:val="none"/>
              </w:rPr>
            </w:pPr>
            <w:r>
              <w:rPr>
                <w:rFonts w:hint="eastAsia" w:ascii="宋体" w:hAnsi="宋体" w:cs="宋体"/>
                <w:color w:val="auto"/>
                <w:kern w:val="2"/>
                <w:sz w:val="24"/>
                <w:szCs w:val="24"/>
                <w:highlight w:val="none"/>
              </w:rPr>
              <w:t>原设备型号</w:t>
            </w:r>
          </w:p>
        </w:tc>
        <w:tc>
          <w:tcPr>
            <w:tcW w:w="3665" w:type="pct"/>
            <w:vAlign w:val="center"/>
          </w:tcPr>
          <w:p>
            <w:pPr>
              <w:widowControl w:val="0"/>
              <w:spacing w:line="360" w:lineRule="auto"/>
              <w:jc w:val="both"/>
              <w:rPr>
                <w:rFonts w:ascii="宋体" w:hAnsi="宋体" w:cs="宋体"/>
                <w:color w:val="auto"/>
                <w:kern w:val="2"/>
                <w:sz w:val="24"/>
                <w:szCs w:val="24"/>
                <w:highlight w:val="none"/>
              </w:rPr>
            </w:pPr>
            <w:r>
              <w:rPr>
                <w:rFonts w:hint="eastAsia" w:ascii="宋体" w:hAnsi="宋体" w:cs="宋体"/>
                <w:color w:val="auto"/>
                <w:kern w:val="2"/>
                <w:sz w:val="24"/>
                <w:szCs w:val="24"/>
                <w:highlight w:val="none"/>
              </w:rPr>
              <w:t>Trojan UV3000Plus™，产地：加拿大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34" w:type="pct"/>
            <w:vAlign w:val="center"/>
          </w:tcPr>
          <w:p>
            <w:pPr>
              <w:widowControl w:val="0"/>
              <w:spacing w:line="360" w:lineRule="auto"/>
              <w:jc w:val="center"/>
              <w:rPr>
                <w:rFonts w:ascii="宋体" w:hAnsi="宋体" w:cs="宋体"/>
                <w:color w:val="auto"/>
                <w:kern w:val="2"/>
                <w:sz w:val="24"/>
                <w:szCs w:val="24"/>
                <w:highlight w:val="none"/>
              </w:rPr>
            </w:pPr>
            <w:r>
              <w:rPr>
                <w:rFonts w:hint="eastAsia" w:ascii="宋体" w:hAnsi="宋体" w:cs="宋体"/>
                <w:color w:val="auto"/>
                <w:kern w:val="2"/>
                <w:sz w:val="24"/>
                <w:szCs w:val="24"/>
                <w:highlight w:val="none"/>
              </w:rPr>
              <w:t>原灯管类型</w:t>
            </w:r>
          </w:p>
        </w:tc>
        <w:tc>
          <w:tcPr>
            <w:tcW w:w="3665" w:type="pct"/>
            <w:vAlign w:val="center"/>
          </w:tcPr>
          <w:p>
            <w:pPr>
              <w:widowControl w:val="0"/>
              <w:spacing w:line="360" w:lineRule="auto"/>
              <w:jc w:val="both"/>
              <w:rPr>
                <w:rFonts w:ascii="宋体" w:hAnsi="宋体" w:cs="宋体"/>
                <w:color w:val="auto"/>
                <w:kern w:val="2"/>
                <w:sz w:val="24"/>
                <w:szCs w:val="24"/>
                <w:highlight w:val="none"/>
              </w:rPr>
            </w:pPr>
            <w:r>
              <w:rPr>
                <w:rFonts w:hint="eastAsia" w:ascii="宋体" w:hAnsi="宋体" w:cs="宋体"/>
                <w:color w:val="auto"/>
                <w:kern w:val="2"/>
                <w:sz w:val="24"/>
                <w:szCs w:val="24"/>
                <w:highlight w:val="none"/>
              </w:rPr>
              <w:t>低压高强紫外灯，设计消毒流量</w:t>
            </w:r>
            <w:r>
              <w:rPr>
                <w:rFonts w:hint="eastAsia" w:ascii="宋体" w:hAnsi="宋体" w:cs="宋体"/>
                <w:color w:val="auto"/>
                <w:kern w:val="2"/>
                <w:sz w:val="24"/>
                <w:szCs w:val="24"/>
                <w:highlight w:val="none"/>
                <w:lang w:val="en-US" w:eastAsia="zh-CN"/>
              </w:rPr>
              <w:t>6</w:t>
            </w:r>
            <w:r>
              <w:rPr>
                <w:rFonts w:hint="eastAsia" w:ascii="宋体" w:hAnsi="宋体" w:cs="宋体"/>
                <w:color w:val="auto"/>
                <w:kern w:val="2"/>
                <w:sz w:val="24"/>
                <w:szCs w:val="24"/>
                <w:highlight w:val="none"/>
              </w:rPr>
              <w:t>万m3/天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34" w:type="pct"/>
            <w:vAlign w:val="center"/>
          </w:tcPr>
          <w:p>
            <w:pPr>
              <w:widowControl w:val="0"/>
              <w:spacing w:line="360" w:lineRule="auto"/>
              <w:jc w:val="center"/>
              <w:rPr>
                <w:rFonts w:ascii="宋体" w:hAnsi="宋体" w:cs="宋体"/>
                <w:color w:val="auto"/>
                <w:kern w:val="2"/>
                <w:sz w:val="24"/>
                <w:szCs w:val="24"/>
                <w:highlight w:val="none"/>
              </w:rPr>
            </w:pPr>
            <w:r>
              <w:rPr>
                <w:rFonts w:hint="eastAsia" w:ascii="宋体" w:hAnsi="宋体" w:cs="宋体"/>
                <w:color w:val="auto"/>
                <w:kern w:val="2"/>
                <w:sz w:val="24"/>
                <w:szCs w:val="24"/>
                <w:highlight w:val="none"/>
              </w:rPr>
              <w:t>模块组结构</w:t>
            </w:r>
          </w:p>
        </w:tc>
        <w:tc>
          <w:tcPr>
            <w:tcW w:w="3665" w:type="pct"/>
            <w:vAlign w:val="center"/>
          </w:tcPr>
          <w:p>
            <w:pPr>
              <w:widowControl w:val="0"/>
              <w:spacing w:line="360" w:lineRule="auto"/>
              <w:jc w:val="both"/>
              <w:rPr>
                <w:rFonts w:ascii="宋体" w:hAnsi="宋体" w:cs="宋体"/>
                <w:color w:val="auto"/>
                <w:kern w:val="2"/>
                <w:sz w:val="24"/>
                <w:szCs w:val="24"/>
                <w:highlight w:val="none"/>
              </w:rPr>
            </w:pPr>
            <w:r>
              <w:rPr>
                <w:rFonts w:hint="eastAsia" w:ascii="宋体" w:hAnsi="宋体" w:cs="宋体"/>
                <w:color w:val="auto"/>
                <w:kern w:val="2"/>
                <w:sz w:val="24"/>
                <w:szCs w:val="24"/>
                <w:highlight w:val="none"/>
                <w:lang w:val="en-US" w:eastAsia="zh-CN"/>
              </w:rPr>
              <w:t>2</w:t>
            </w:r>
            <w:r>
              <w:rPr>
                <w:rFonts w:hint="eastAsia" w:ascii="宋体" w:hAnsi="宋体" w:cs="宋体"/>
                <w:color w:val="auto"/>
                <w:kern w:val="2"/>
                <w:sz w:val="24"/>
                <w:szCs w:val="24"/>
                <w:highlight w:val="none"/>
              </w:rPr>
              <w:t>条水渠，共</w:t>
            </w:r>
            <w:r>
              <w:rPr>
                <w:rFonts w:hint="eastAsia" w:ascii="宋体" w:hAnsi="宋体" w:cs="宋体"/>
                <w:color w:val="auto"/>
                <w:kern w:val="2"/>
                <w:sz w:val="24"/>
                <w:szCs w:val="24"/>
                <w:highlight w:val="none"/>
                <w:lang w:val="en-US" w:eastAsia="zh-CN"/>
              </w:rPr>
              <w:t>2</w:t>
            </w:r>
            <w:r>
              <w:rPr>
                <w:rFonts w:hint="eastAsia" w:ascii="宋体" w:hAnsi="宋体" w:cs="宋体"/>
                <w:color w:val="auto"/>
                <w:kern w:val="2"/>
                <w:sz w:val="24"/>
                <w:szCs w:val="24"/>
                <w:highlight w:val="none"/>
              </w:rPr>
              <w:t>个模块组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34" w:type="pct"/>
            <w:vAlign w:val="center"/>
          </w:tcPr>
          <w:p>
            <w:pPr>
              <w:widowControl w:val="0"/>
              <w:spacing w:line="360" w:lineRule="auto"/>
              <w:jc w:val="center"/>
              <w:rPr>
                <w:rFonts w:ascii="宋体" w:hAnsi="宋体" w:cs="宋体"/>
                <w:color w:val="auto"/>
                <w:kern w:val="2"/>
                <w:sz w:val="24"/>
                <w:szCs w:val="24"/>
                <w:highlight w:val="none"/>
              </w:rPr>
            </w:pPr>
            <w:r>
              <w:rPr>
                <w:rFonts w:hint="eastAsia" w:ascii="宋体" w:hAnsi="宋体" w:cs="宋体"/>
                <w:color w:val="auto"/>
                <w:kern w:val="2"/>
                <w:sz w:val="24"/>
                <w:szCs w:val="24"/>
                <w:highlight w:val="none"/>
              </w:rPr>
              <w:t>紫外模块数</w:t>
            </w:r>
          </w:p>
        </w:tc>
        <w:tc>
          <w:tcPr>
            <w:tcW w:w="3665" w:type="pct"/>
            <w:vAlign w:val="center"/>
          </w:tcPr>
          <w:p>
            <w:pPr>
              <w:widowControl w:val="0"/>
              <w:spacing w:line="360" w:lineRule="auto"/>
              <w:jc w:val="both"/>
              <w:rPr>
                <w:rFonts w:ascii="宋体" w:hAnsi="宋体" w:cs="宋体"/>
                <w:color w:val="auto"/>
                <w:kern w:val="2"/>
                <w:sz w:val="24"/>
                <w:szCs w:val="24"/>
                <w:highlight w:val="none"/>
              </w:rPr>
            </w:pPr>
            <w:r>
              <w:rPr>
                <w:rFonts w:hint="eastAsia" w:ascii="宋体" w:hAnsi="宋体" w:cs="宋体"/>
                <w:color w:val="auto"/>
                <w:kern w:val="2"/>
                <w:sz w:val="24"/>
                <w:szCs w:val="24"/>
                <w:highlight w:val="none"/>
              </w:rPr>
              <w:t>1个模块组共</w:t>
            </w:r>
            <w:r>
              <w:rPr>
                <w:rFonts w:hint="eastAsia" w:ascii="宋体" w:hAnsi="宋体" w:cs="宋体"/>
                <w:color w:val="auto"/>
                <w:kern w:val="2"/>
                <w:sz w:val="24"/>
                <w:szCs w:val="24"/>
                <w:highlight w:val="none"/>
                <w:lang w:val="en-US" w:eastAsia="zh-CN"/>
              </w:rPr>
              <w:t>7</w:t>
            </w:r>
            <w:r>
              <w:rPr>
                <w:rFonts w:hint="eastAsia" w:ascii="宋体" w:hAnsi="宋体" w:cs="宋体"/>
                <w:color w:val="auto"/>
                <w:kern w:val="2"/>
                <w:sz w:val="24"/>
                <w:szCs w:val="24"/>
                <w:highlight w:val="none"/>
              </w:rPr>
              <w:t>个模块，每个模块含8根灯管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34" w:type="pct"/>
            <w:vAlign w:val="center"/>
          </w:tcPr>
          <w:p>
            <w:pPr>
              <w:widowControl w:val="0"/>
              <w:spacing w:line="360" w:lineRule="auto"/>
              <w:jc w:val="center"/>
              <w:rPr>
                <w:rFonts w:ascii="宋体" w:hAnsi="宋体" w:cs="宋体"/>
                <w:color w:val="auto"/>
                <w:kern w:val="2"/>
                <w:sz w:val="24"/>
                <w:szCs w:val="24"/>
                <w:highlight w:val="none"/>
              </w:rPr>
            </w:pPr>
            <w:r>
              <w:rPr>
                <w:rFonts w:hint="eastAsia" w:ascii="宋体" w:hAnsi="宋体" w:cs="宋体"/>
                <w:color w:val="auto"/>
                <w:kern w:val="2"/>
                <w:sz w:val="24"/>
                <w:szCs w:val="24"/>
                <w:highlight w:val="none"/>
              </w:rPr>
              <w:t>灯管数量</w:t>
            </w:r>
          </w:p>
        </w:tc>
        <w:tc>
          <w:tcPr>
            <w:tcW w:w="3665" w:type="pct"/>
            <w:vAlign w:val="center"/>
          </w:tcPr>
          <w:p>
            <w:pPr>
              <w:widowControl w:val="0"/>
              <w:spacing w:line="360" w:lineRule="auto"/>
              <w:jc w:val="both"/>
              <w:rPr>
                <w:rFonts w:ascii="宋体" w:hAnsi="宋体" w:cs="宋体"/>
                <w:color w:val="auto"/>
                <w:kern w:val="2"/>
                <w:sz w:val="24"/>
                <w:szCs w:val="24"/>
                <w:highlight w:val="none"/>
              </w:rPr>
            </w:pPr>
            <w:r>
              <w:rPr>
                <w:rFonts w:hint="eastAsia" w:ascii="宋体" w:hAnsi="宋体" w:cs="宋体"/>
                <w:color w:val="auto"/>
                <w:kern w:val="2"/>
                <w:sz w:val="24"/>
                <w:szCs w:val="24"/>
                <w:highlight w:val="none"/>
              </w:rPr>
              <w:t>1条水渠</w:t>
            </w:r>
            <w:r>
              <w:rPr>
                <w:rFonts w:hint="eastAsia" w:ascii="宋体" w:hAnsi="宋体" w:cs="宋体"/>
                <w:color w:val="auto"/>
                <w:kern w:val="2"/>
                <w:sz w:val="24"/>
                <w:szCs w:val="24"/>
                <w:highlight w:val="none"/>
                <w:lang w:val="en-US" w:eastAsia="zh-CN"/>
              </w:rPr>
              <w:t>56</w:t>
            </w:r>
            <w:r>
              <w:rPr>
                <w:rFonts w:hint="eastAsia" w:ascii="宋体" w:hAnsi="宋体" w:cs="宋体"/>
                <w:color w:val="auto"/>
                <w:kern w:val="2"/>
                <w:sz w:val="24"/>
                <w:szCs w:val="24"/>
                <w:highlight w:val="none"/>
              </w:rPr>
              <w:t>根，</w:t>
            </w:r>
            <w:r>
              <w:rPr>
                <w:rFonts w:hint="eastAsia" w:ascii="宋体" w:hAnsi="宋体" w:cs="宋体"/>
                <w:color w:val="auto"/>
                <w:kern w:val="2"/>
                <w:sz w:val="24"/>
                <w:szCs w:val="24"/>
                <w:highlight w:val="none"/>
                <w:lang w:val="en-US" w:eastAsia="zh-CN"/>
              </w:rPr>
              <w:t>2</w:t>
            </w:r>
            <w:r>
              <w:rPr>
                <w:rFonts w:hint="eastAsia" w:ascii="宋体" w:hAnsi="宋体" w:cs="宋体"/>
                <w:color w:val="auto"/>
                <w:kern w:val="2"/>
                <w:sz w:val="24"/>
                <w:szCs w:val="24"/>
                <w:highlight w:val="none"/>
              </w:rPr>
              <w:t>条水渠共</w:t>
            </w:r>
            <w:r>
              <w:rPr>
                <w:rFonts w:hint="eastAsia" w:ascii="宋体" w:hAnsi="宋体" w:cs="宋体"/>
                <w:color w:val="auto"/>
                <w:kern w:val="2"/>
                <w:sz w:val="24"/>
                <w:szCs w:val="24"/>
                <w:highlight w:val="none"/>
                <w:lang w:val="en-US" w:eastAsia="zh-CN"/>
              </w:rPr>
              <w:t>112</w:t>
            </w:r>
            <w:r>
              <w:rPr>
                <w:rFonts w:hint="eastAsia" w:ascii="宋体" w:hAnsi="宋体" w:cs="宋体"/>
                <w:color w:val="auto"/>
                <w:kern w:val="2"/>
                <w:sz w:val="24"/>
                <w:szCs w:val="24"/>
                <w:highlight w:val="none"/>
              </w:rPr>
              <w:t>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34" w:type="pct"/>
            <w:vAlign w:val="center"/>
          </w:tcPr>
          <w:p>
            <w:pPr>
              <w:widowControl w:val="0"/>
              <w:spacing w:line="360" w:lineRule="auto"/>
              <w:jc w:val="center"/>
              <w:rPr>
                <w:rFonts w:ascii="宋体" w:hAnsi="宋体" w:cs="宋体"/>
                <w:color w:val="auto"/>
                <w:kern w:val="2"/>
                <w:sz w:val="24"/>
                <w:szCs w:val="24"/>
                <w:highlight w:val="none"/>
              </w:rPr>
            </w:pPr>
            <w:r>
              <w:rPr>
                <w:rFonts w:hint="eastAsia" w:ascii="宋体" w:hAnsi="宋体" w:cs="宋体"/>
                <w:color w:val="auto"/>
                <w:kern w:val="2"/>
                <w:sz w:val="24"/>
                <w:szCs w:val="24"/>
                <w:highlight w:val="none"/>
              </w:rPr>
              <w:t>紫外线消毒模块总功率</w:t>
            </w:r>
          </w:p>
        </w:tc>
        <w:tc>
          <w:tcPr>
            <w:tcW w:w="3665" w:type="pct"/>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28</w:t>
            </w:r>
            <w:r>
              <w:rPr>
                <w:rFonts w:hint="eastAsia" w:ascii="宋体" w:hAnsi="宋体" w:cs="宋体"/>
                <w:color w:val="auto"/>
                <w:sz w:val="24"/>
                <w:szCs w:val="24"/>
                <w:highlight w:val="none"/>
              </w:rPr>
              <w:t>KW，每根灯管含镇流器为250W，共</w:t>
            </w:r>
            <w:r>
              <w:rPr>
                <w:rFonts w:hint="eastAsia" w:ascii="宋体" w:hAnsi="宋体" w:cs="宋体"/>
                <w:color w:val="auto"/>
                <w:sz w:val="24"/>
                <w:szCs w:val="24"/>
                <w:highlight w:val="none"/>
                <w:lang w:val="en-US" w:eastAsia="zh-CN"/>
              </w:rPr>
              <w:t>112</w:t>
            </w:r>
            <w:r>
              <w:rPr>
                <w:rFonts w:hint="eastAsia" w:ascii="宋体" w:hAnsi="宋体" w:cs="宋体"/>
                <w:color w:val="auto"/>
                <w:sz w:val="24"/>
                <w:szCs w:val="24"/>
                <w:highlight w:val="none"/>
              </w:rPr>
              <w:t>根灯管，250W*</w:t>
            </w:r>
            <w:r>
              <w:rPr>
                <w:rFonts w:hint="eastAsia" w:ascii="宋体" w:hAnsi="宋体" w:cs="宋体"/>
                <w:color w:val="auto"/>
                <w:sz w:val="24"/>
                <w:szCs w:val="24"/>
                <w:highlight w:val="none"/>
                <w:lang w:val="en-US" w:eastAsia="zh-CN"/>
              </w:rPr>
              <w:t>112</w:t>
            </w:r>
            <w:r>
              <w:rPr>
                <w:rFonts w:hint="eastAsia" w:ascii="宋体" w:hAnsi="宋体" w:cs="宋体"/>
                <w:color w:val="auto"/>
                <w:sz w:val="24"/>
                <w:szCs w:val="24"/>
                <w:highlight w:val="none"/>
              </w:rPr>
              <w:t>根=</w:t>
            </w:r>
            <w:r>
              <w:rPr>
                <w:rFonts w:hint="eastAsia" w:ascii="宋体" w:hAnsi="宋体" w:cs="宋体"/>
                <w:color w:val="auto"/>
                <w:sz w:val="24"/>
                <w:szCs w:val="24"/>
                <w:highlight w:val="none"/>
                <w:lang w:val="en-US" w:eastAsia="zh-CN"/>
              </w:rPr>
              <w:t>28</w:t>
            </w:r>
            <w:r>
              <w:rPr>
                <w:rFonts w:hint="eastAsia" w:ascii="宋体" w:hAnsi="宋体" w:cs="宋体"/>
                <w:color w:val="auto"/>
                <w:sz w:val="24"/>
                <w:szCs w:val="24"/>
                <w:highlight w:val="none"/>
              </w:rPr>
              <w:t>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34" w:type="pct"/>
            <w:vAlign w:val="center"/>
          </w:tcPr>
          <w:p>
            <w:pPr>
              <w:widowControl w:val="0"/>
              <w:spacing w:line="360" w:lineRule="auto"/>
              <w:jc w:val="center"/>
              <w:rPr>
                <w:rFonts w:ascii="宋体" w:hAnsi="宋体" w:cs="宋体"/>
                <w:color w:val="auto"/>
                <w:kern w:val="2"/>
                <w:sz w:val="24"/>
                <w:szCs w:val="24"/>
                <w:highlight w:val="none"/>
              </w:rPr>
            </w:pPr>
            <w:r>
              <w:rPr>
                <w:rFonts w:hint="eastAsia" w:ascii="宋体" w:hAnsi="宋体" w:cs="宋体"/>
                <w:color w:val="auto"/>
                <w:kern w:val="2"/>
                <w:sz w:val="24"/>
                <w:szCs w:val="24"/>
                <w:highlight w:val="none"/>
              </w:rPr>
              <w:t>清洗方式</w:t>
            </w:r>
          </w:p>
        </w:tc>
        <w:tc>
          <w:tcPr>
            <w:tcW w:w="3665" w:type="pct"/>
            <w:vAlign w:val="center"/>
          </w:tcPr>
          <w:p>
            <w:pPr>
              <w:widowControl w:val="0"/>
              <w:spacing w:line="360" w:lineRule="auto"/>
              <w:jc w:val="both"/>
              <w:rPr>
                <w:rFonts w:ascii="宋体" w:hAnsi="宋体" w:cs="宋体"/>
                <w:color w:val="auto"/>
                <w:kern w:val="2"/>
                <w:sz w:val="24"/>
                <w:szCs w:val="24"/>
                <w:highlight w:val="none"/>
              </w:rPr>
            </w:pPr>
            <w:r>
              <w:rPr>
                <w:rFonts w:hint="eastAsia" w:ascii="宋体" w:hAnsi="宋体" w:cs="宋体"/>
                <w:color w:val="auto"/>
                <w:kern w:val="2"/>
                <w:sz w:val="24"/>
                <w:szCs w:val="24"/>
                <w:highlight w:val="none"/>
              </w:rPr>
              <w:t>在线机械化学自动清洗，无需任何离线清洗</w:t>
            </w:r>
          </w:p>
        </w:tc>
      </w:tr>
    </w:tbl>
    <w:p>
      <w:pPr>
        <w:pStyle w:val="22"/>
        <w:ind w:left="0" w:leftChars="0" w:firstLine="0" w:firstLineChars="0"/>
        <w:rPr>
          <w:rFonts w:hint="eastAsia" w:eastAsia="宋体" w:cs="宋体"/>
          <w:b/>
          <w:color w:val="auto"/>
          <w:kern w:val="2"/>
          <w:sz w:val="28"/>
          <w:szCs w:val="28"/>
          <w:highlight w:val="none"/>
          <w:lang w:val="en-US" w:eastAsia="zh-CN"/>
        </w:rPr>
      </w:pPr>
    </w:p>
    <w:p>
      <w:pPr>
        <w:widowControl w:val="0"/>
        <w:adjustRightInd w:val="0"/>
        <w:snapToGrid w:val="0"/>
        <w:spacing w:line="360" w:lineRule="auto"/>
        <w:jc w:val="both"/>
        <w:textAlignment w:val="baseline"/>
        <w:rPr>
          <w:rFonts w:ascii="宋体" w:hAnsi="宋体" w:cs="宋体"/>
          <w:b/>
          <w:bCs/>
          <w:color w:val="auto"/>
          <w:sz w:val="28"/>
          <w:szCs w:val="28"/>
          <w:highlight w:val="none"/>
        </w:rPr>
      </w:pPr>
      <w:r>
        <w:rPr>
          <w:rFonts w:hint="eastAsia" w:ascii="宋体" w:hAnsi="宋体" w:cs="宋体"/>
          <w:b/>
          <w:bCs/>
          <w:color w:val="auto"/>
          <w:sz w:val="28"/>
          <w:szCs w:val="28"/>
          <w:highlight w:val="none"/>
        </w:rPr>
        <w:t>二、项目技术要求</w:t>
      </w:r>
    </w:p>
    <w:p>
      <w:pPr>
        <w:widowControl w:val="0"/>
        <w:spacing w:line="360" w:lineRule="auto"/>
        <w:ind w:firstLine="470" w:firstLineChars="196"/>
        <w:jc w:val="both"/>
        <w:rPr>
          <w:rFonts w:ascii="宋体" w:hAnsi="宋体" w:cs="宋体"/>
          <w:color w:val="auto"/>
          <w:kern w:val="2"/>
          <w:sz w:val="24"/>
          <w:szCs w:val="24"/>
          <w:highlight w:val="none"/>
        </w:rPr>
      </w:pPr>
      <w:r>
        <w:rPr>
          <w:rFonts w:hint="eastAsia" w:ascii="宋体" w:hAnsi="宋体" w:cs="宋体"/>
          <w:color w:val="auto"/>
          <w:kern w:val="2"/>
          <w:sz w:val="24"/>
          <w:szCs w:val="24"/>
          <w:highlight w:val="none"/>
        </w:rPr>
        <w:t>1、总体要求：</w:t>
      </w:r>
    </w:p>
    <w:p>
      <w:pPr>
        <w:pStyle w:val="22"/>
        <w:ind w:left="0" w:leftChars="0" w:firstLine="0" w:firstLineChars="0"/>
        <w:rPr>
          <w:rFonts w:hint="default" w:eastAsia="宋体" w:cs="宋体"/>
          <w:b/>
          <w:color w:val="auto"/>
          <w:kern w:val="2"/>
          <w:sz w:val="28"/>
          <w:szCs w:val="28"/>
          <w:highlight w:val="none"/>
          <w:lang w:val="en-US" w:eastAsia="zh-CN"/>
        </w:rPr>
      </w:pPr>
      <w:r>
        <w:rPr>
          <w:rFonts w:hint="eastAsia" w:eastAsia="宋体" w:cs="宋体"/>
          <w:b/>
          <w:color w:val="auto"/>
          <w:kern w:val="2"/>
          <w:sz w:val="28"/>
          <w:szCs w:val="28"/>
          <w:highlight w:val="none"/>
          <w:lang w:val="en-US" w:eastAsia="zh-CN"/>
        </w:rPr>
        <w:t>石井净：</w:t>
      </w:r>
    </w:p>
    <w:p>
      <w:pPr>
        <w:pStyle w:val="22"/>
        <w:keepNext w:val="0"/>
        <w:keepLines w:val="0"/>
        <w:pageBreakBefore w:val="0"/>
        <w:widowControl w:val="0"/>
        <w:kinsoku/>
        <w:wordWrap/>
        <w:overflowPunct/>
        <w:topLinePunct w:val="0"/>
        <w:autoSpaceDE/>
        <w:autoSpaceDN/>
        <w:bidi w:val="0"/>
        <w:adjustRightInd w:val="0"/>
        <w:snapToGrid w:val="0"/>
        <w:ind w:left="0" w:leftChars="0" w:firstLine="480" w:firstLineChars="200"/>
        <w:textAlignment w:val="baseline"/>
        <w:rPr>
          <w:rFonts w:hint="eastAsia" w:ascii="宋体" w:hAnsi="宋体" w:eastAsia="宋体" w:cs="宋体"/>
          <w:b/>
          <w:color w:val="auto"/>
          <w:kern w:val="2"/>
          <w:sz w:val="24"/>
          <w:szCs w:val="24"/>
          <w:highlight w:val="none"/>
          <w:lang w:val="en-US" w:eastAsia="zh-CN"/>
        </w:rPr>
      </w:pPr>
      <w:r>
        <w:rPr>
          <w:rFonts w:hint="eastAsia" w:ascii="宋体" w:hAnsi="宋体" w:eastAsia="宋体" w:cs="宋体"/>
          <w:color w:val="auto"/>
          <w:kern w:val="2"/>
          <w:sz w:val="24"/>
          <w:szCs w:val="24"/>
          <w:highlight w:val="none"/>
        </w:rPr>
        <w:t>现场设备是加大拿特洁安Trojan Technologies，型号为UV3000PLUS，共设置了</w:t>
      </w:r>
      <w:r>
        <w:rPr>
          <w:rFonts w:hint="eastAsia" w:ascii="宋体" w:hAnsi="宋体" w:eastAsia="宋体" w:cs="宋体"/>
          <w:color w:val="auto"/>
          <w:kern w:val="2"/>
          <w:sz w:val="24"/>
          <w:szCs w:val="24"/>
          <w:highlight w:val="none"/>
          <w:lang w:val="en-US" w:eastAsia="zh-CN"/>
        </w:rPr>
        <w:t>2</w:t>
      </w:r>
      <w:r>
        <w:rPr>
          <w:rFonts w:hint="eastAsia" w:ascii="宋体" w:hAnsi="宋体" w:eastAsia="宋体" w:cs="宋体"/>
          <w:color w:val="auto"/>
          <w:kern w:val="2"/>
          <w:sz w:val="24"/>
          <w:szCs w:val="24"/>
          <w:highlight w:val="none"/>
        </w:rPr>
        <w:t>条水渠廊道，共</w:t>
      </w:r>
      <w:r>
        <w:rPr>
          <w:rFonts w:hint="eastAsia" w:ascii="宋体" w:hAnsi="宋体" w:eastAsia="宋体" w:cs="宋体"/>
          <w:color w:val="auto"/>
          <w:kern w:val="2"/>
          <w:sz w:val="24"/>
          <w:szCs w:val="24"/>
          <w:highlight w:val="none"/>
          <w:lang w:val="en-US" w:eastAsia="zh-CN"/>
        </w:rPr>
        <w:t>288</w:t>
      </w:r>
      <w:r>
        <w:rPr>
          <w:rFonts w:hint="eastAsia" w:ascii="宋体" w:hAnsi="宋体" w:eastAsia="宋体" w:cs="宋体"/>
          <w:color w:val="auto"/>
          <w:kern w:val="2"/>
          <w:sz w:val="24"/>
          <w:szCs w:val="24"/>
          <w:highlight w:val="none"/>
        </w:rPr>
        <w:t>支紫外灯管。本项目是采购</w:t>
      </w:r>
      <w:r>
        <w:rPr>
          <w:rFonts w:hint="eastAsia" w:ascii="宋体" w:hAnsi="宋体" w:eastAsia="宋体" w:cs="宋体"/>
          <w:color w:val="auto"/>
          <w:kern w:val="2"/>
          <w:sz w:val="24"/>
          <w:szCs w:val="24"/>
          <w:highlight w:val="none"/>
          <w:lang w:val="en-US" w:eastAsia="zh-CN"/>
        </w:rPr>
        <w:t>石井净分公司一</w:t>
      </w:r>
      <w:r>
        <w:rPr>
          <w:rFonts w:hint="eastAsia" w:ascii="宋体" w:hAnsi="宋体" w:eastAsia="宋体" w:cs="宋体"/>
          <w:color w:val="auto"/>
          <w:kern w:val="2"/>
          <w:sz w:val="24"/>
          <w:szCs w:val="24"/>
          <w:highlight w:val="none"/>
        </w:rPr>
        <w:t>期紫外线消毒设备配件，包拆除更换施工、包原紫外设备维护保养、包清理系统的水草青苔垃圾、包加清洗凝胶、包加液压油、包质包量、包消毒效果达标排放。具体要求如下：更换本项目的配件后，在出水水质SS≤10mg/L的前提下，经该套紫外线消毒设备的粪大肠杠菌指标执行优于《城镇污水处理厂污染物排放标准》（GB18918-2002）一级A标准，必须小于等于100个/L。</w:t>
      </w:r>
    </w:p>
    <w:p>
      <w:pPr>
        <w:widowControl w:val="0"/>
        <w:adjustRightInd w:val="0"/>
        <w:snapToGrid w:val="0"/>
        <w:spacing w:line="360" w:lineRule="auto"/>
        <w:ind w:firstLine="420"/>
        <w:jc w:val="both"/>
        <w:textAlignment w:val="baseline"/>
        <w:rPr>
          <w:rFonts w:hint="eastAsia" w:ascii="宋体" w:hAnsi="宋体" w:cs="宋体" w:eastAsiaTheme="minorEastAsia"/>
          <w:color w:val="auto"/>
          <w:sz w:val="24"/>
          <w:szCs w:val="24"/>
          <w:highlight w:val="none"/>
          <w:lang w:val="en-US" w:eastAsia="zh-CN"/>
        </w:rPr>
      </w:pPr>
      <w:r>
        <w:rPr>
          <w:rFonts w:hint="eastAsia" w:ascii="宋体" w:hAnsi="宋体" w:cs="宋体"/>
          <w:color w:val="auto"/>
          <w:sz w:val="24"/>
          <w:szCs w:val="24"/>
          <w:highlight w:val="none"/>
          <w:lang w:val="en-US" w:eastAsia="zh-CN"/>
        </w:rPr>
        <w:t>配件清单</w:t>
      </w:r>
    </w:p>
    <w:tbl>
      <w:tblPr>
        <w:tblStyle w:val="23"/>
        <w:tblW w:w="9924" w:type="dxa"/>
        <w:tblInd w:w="0" w:type="dxa"/>
        <w:tblLayout w:type="fixed"/>
        <w:tblCellMar>
          <w:top w:w="0" w:type="dxa"/>
          <w:left w:w="108" w:type="dxa"/>
          <w:bottom w:w="0" w:type="dxa"/>
          <w:right w:w="108" w:type="dxa"/>
        </w:tblCellMar>
      </w:tblPr>
      <w:tblGrid>
        <w:gridCol w:w="917"/>
        <w:gridCol w:w="2925"/>
        <w:gridCol w:w="824"/>
        <w:gridCol w:w="686"/>
        <w:gridCol w:w="3579"/>
      </w:tblGrid>
      <w:tr>
        <w:tblPrEx>
          <w:tblCellMar>
            <w:top w:w="0" w:type="dxa"/>
            <w:left w:w="108" w:type="dxa"/>
            <w:bottom w:w="0" w:type="dxa"/>
            <w:right w:w="108" w:type="dxa"/>
          </w:tblCellMar>
        </w:tblPrEx>
        <w:trPr>
          <w:trHeight w:val="223" w:hRule="atLeast"/>
        </w:trPr>
        <w:tc>
          <w:tcPr>
            <w:tcW w:w="917" w:type="dxa"/>
            <w:tcBorders>
              <w:top w:val="single" w:color="auto" w:sz="4" w:space="0"/>
              <w:left w:val="single" w:color="auto" w:sz="4" w:space="0"/>
              <w:bottom w:val="single" w:color="auto" w:sz="8" w:space="0"/>
              <w:right w:val="single" w:color="auto" w:sz="4" w:space="0"/>
            </w:tcBorders>
            <w:shd w:val="clear" w:color="auto" w:fill="auto"/>
            <w:vAlign w:val="center"/>
          </w:tcPr>
          <w:p>
            <w:pPr>
              <w:widowControl w:val="0"/>
              <w:jc w:val="center"/>
              <w:rPr>
                <w:rFonts w:ascii="宋体" w:hAnsi="宋体" w:cs="宋体"/>
                <w:color w:val="auto"/>
                <w:kern w:val="2"/>
                <w:szCs w:val="21"/>
                <w:highlight w:val="none"/>
              </w:rPr>
            </w:pPr>
            <w:r>
              <w:rPr>
                <w:rFonts w:hint="eastAsia" w:ascii="宋体" w:hAnsi="宋体" w:cs="宋体"/>
                <w:color w:val="auto"/>
                <w:kern w:val="2"/>
                <w:szCs w:val="21"/>
                <w:highlight w:val="none"/>
              </w:rPr>
              <w:t>序号</w:t>
            </w:r>
          </w:p>
        </w:tc>
        <w:tc>
          <w:tcPr>
            <w:tcW w:w="2925" w:type="dxa"/>
            <w:tcBorders>
              <w:top w:val="single" w:color="auto" w:sz="8" w:space="0"/>
              <w:left w:val="single" w:color="auto" w:sz="4" w:space="0"/>
              <w:bottom w:val="single" w:color="auto" w:sz="8" w:space="0"/>
              <w:right w:val="single" w:color="auto" w:sz="8" w:space="0"/>
            </w:tcBorders>
            <w:shd w:val="clear" w:color="auto" w:fill="auto"/>
            <w:vAlign w:val="center"/>
          </w:tcPr>
          <w:p>
            <w:pPr>
              <w:widowControl w:val="0"/>
              <w:jc w:val="center"/>
              <w:rPr>
                <w:rFonts w:ascii="宋体" w:hAnsi="宋体" w:cs="宋体"/>
                <w:color w:val="auto"/>
                <w:kern w:val="2"/>
                <w:szCs w:val="21"/>
                <w:highlight w:val="none"/>
              </w:rPr>
            </w:pPr>
            <w:r>
              <w:rPr>
                <w:rFonts w:hint="eastAsia" w:ascii="宋体" w:hAnsi="宋体" w:cs="宋体"/>
                <w:color w:val="auto"/>
                <w:kern w:val="2"/>
                <w:szCs w:val="21"/>
                <w:highlight w:val="none"/>
              </w:rPr>
              <w:t>名称</w:t>
            </w:r>
          </w:p>
        </w:tc>
        <w:tc>
          <w:tcPr>
            <w:tcW w:w="824" w:type="dxa"/>
            <w:tcBorders>
              <w:top w:val="single" w:color="auto" w:sz="8" w:space="0"/>
              <w:left w:val="nil"/>
              <w:bottom w:val="single" w:color="auto" w:sz="8" w:space="0"/>
              <w:right w:val="single" w:color="auto" w:sz="8" w:space="0"/>
            </w:tcBorders>
            <w:shd w:val="clear" w:color="auto" w:fill="auto"/>
            <w:vAlign w:val="center"/>
          </w:tcPr>
          <w:p>
            <w:pPr>
              <w:widowControl w:val="0"/>
              <w:jc w:val="center"/>
              <w:rPr>
                <w:rFonts w:ascii="宋体" w:hAnsi="宋体" w:cs="宋体"/>
                <w:color w:val="auto"/>
                <w:kern w:val="2"/>
                <w:szCs w:val="21"/>
                <w:highlight w:val="none"/>
              </w:rPr>
            </w:pPr>
            <w:r>
              <w:rPr>
                <w:rFonts w:hint="eastAsia" w:ascii="宋体" w:hAnsi="宋体" w:cs="宋体"/>
                <w:color w:val="auto"/>
                <w:kern w:val="2"/>
                <w:szCs w:val="21"/>
                <w:highlight w:val="none"/>
              </w:rPr>
              <w:t>单位</w:t>
            </w:r>
          </w:p>
        </w:tc>
        <w:tc>
          <w:tcPr>
            <w:tcW w:w="686" w:type="dxa"/>
            <w:tcBorders>
              <w:top w:val="single" w:color="auto" w:sz="8" w:space="0"/>
              <w:left w:val="nil"/>
              <w:bottom w:val="single" w:color="auto" w:sz="8" w:space="0"/>
              <w:right w:val="single" w:color="auto" w:sz="8" w:space="0"/>
            </w:tcBorders>
            <w:shd w:val="clear" w:color="auto" w:fill="auto"/>
            <w:vAlign w:val="center"/>
          </w:tcPr>
          <w:p>
            <w:pPr>
              <w:widowControl w:val="0"/>
              <w:jc w:val="center"/>
              <w:rPr>
                <w:rFonts w:ascii="宋体" w:hAnsi="宋体" w:cs="宋体"/>
                <w:color w:val="auto"/>
                <w:kern w:val="2"/>
                <w:szCs w:val="21"/>
                <w:highlight w:val="none"/>
              </w:rPr>
            </w:pPr>
            <w:r>
              <w:rPr>
                <w:rFonts w:hint="eastAsia" w:ascii="宋体" w:hAnsi="宋体" w:cs="宋体"/>
                <w:color w:val="auto"/>
                <w:kern w:val="2"/>
                <w:szCs w:val="21"/>
                <w:highlight w:val="none"/>
              </w:rPr>
              <w:t>数量</w:t>
            </w:r>
          </w:p>
        </w:tc>
        <w:tc>
          <w:tcPr>
            <w:tcW w:w="3579" w:type="dxa"/>
            <w:tcBorders>
              <w:top w:val="single" w:color="auto" w:sz="8" w:space="0"/>
              <w:left w:val="nil"/>
              <w:bottom w:val="single" w:color="auto" w:sz="8" w:space="0"/>
              <w:right w:val="single" w:color="auto" w:sz="8" w:space="0"/>
            </w:tcBorders>
            <w:shd w:val="clear" w:color="auto" w:fill="auto"/>
            <w:vAlign w:val="center"/>
          </w:tcPr>
          <w:p>
            <w:pPr>
              <w:widowControl w:val="0"/>
              <w:jc w:val="center"/>
              <w:rPr>
                <w:rFonts w:ascii="宋体" w:hAnsi="宋体" w:cs="宋体"/>
                <w:color w:val="auto"/>
                <w:kern w:val="2"/>
                <w:szCs w:val="21"/>
                <w:highlight w:val="none"/>
              </w:rPr>
            </w:pPr>
            <w:r>
              <w:rPr>
                <w:rFonts w:hint="eastAsia" w:ascii="宋体" w:hAnsi="宋体" w:cs="宋体"/>
                <w:color w:val="auto"/>
                <w:kern w:val="2"/>
                <w:szCs w:val="21"/>
                <w:highlight w:val="none"/>
              </w:rPr>
              <w:t>技术参数</w:t>
            </w:r>
          </w:p>
        </w:tc>
      </w:tr>
      <w:tr>
        <w:tblPrEx>
          <w:tblCellMar>
            <w:top w:w="0" w:type="dxa"/>
            <w:left w:w="108" w:type="dxa"/>
            <w:bottom w:w="0" w:type="dxa"/>
            <w:right w:w="108" w:type="dxa"/>
          </w:tblCellMar>
        </w:tblPrEx>
        <w:trPr>
          <w:trHeight w:val="90" w:hRule="atLeast"/>
        </w:trPr>
        <w:tc>
          <w:tcPr>
            <w:tcW w:w="917" w:type="dxa"/>
            <w:tcBorders>
              <w:top w:val="nil"/>
              <w:left w:val="single" w:color="auto" w:sz="4" w:space="0"/>
              <w:bottom w:val="single" w:color="auto" w:sz="8" w:space="0"/>
              <w:right w:val="single" w:color="auto" w:sz="4" w:space="0"/>
            </w:tcBorders>
            <w:shd w:val="clear" w:color="auto" w:fill="auto"/>
            <w:vAlign w:val="center"/>
          </w:tcPr>
          <w:p>
            <w:pPr>
              <w:widowControl w:val="0"/>
              <w:jc w:val="center"/>
              <w:rPr>
                <w:rFonts w:ascii="宋体" w:hAnsi="宋体" w:cs="宋体"/>
                <w:color w:val="auto"/>
                <w:kern w:val="2"/>
                <w:szCs w:val="21"/>
                <w:highlight w:val="none"/>
              </w:rPr>
            </w:pPr>
            <w:r>
              <w:rPr>
                <w:rFonts w:hint="eastAsia" w:ascii="宋体" w:hAnsi="宋体" w:cs="宋体"/>
                <w:color w:val="auto"/>
                <w:kern w:val="2"/>
                <w:szCs w:val="21"/>
                <w:highlight w:val="none"/>
              </w:rPr>
              <w:t>1</w:t>
            </w:r>
          </w:p>
        </w:tc>
        <w:tc>
          <w:tcPr>
            <w:tcW w:w="2925" w:type="dxa"/>
            <w:tcBorders>
              <w:top w:val="nil"/>
              <w:left w:val="single" w:color="auto" w:sz="4"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color w:val="auto"/>
                <w:kern w:val="2"/>
                <w:szCs w:val="21"/>
                <w:highlight w:val="none"/>
              </w:rPr>
            </w:pPr>
            <w:r>
              <w:rPr>
                <w:rFonts w:hint="eastAsia" w:ascii="宋体" w:hAnsi="宋体" w:eastAsia="宋体" w:cs="宋体"/>
                <w:color w:val="auto"/>
                <w:kern w:val="0"/>
                <w:sz w:val="20"/>
                <w:szCs w:val="20"/>
                <w:highlight w:val="none"/>
                <w:lang w:val="en-US" w:eastAsia="zh-CN" w:bidi="ar"/>
              </w:rPr>
              <w:t>紫外灯管</w:t>
            </w:r>
          </w:p>
        </w:tc>
        <w:tc>
          <w:tcPr>
            <w:tcW w:w="824"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color w:val="auto"/>
                <w:kern w:val="2"/>
                <w:szCs w:val="21"/>
                <w:highlight w:val="none"/>
              </w:rPr>
            </w:pPr>
            <w:r>
              <w:rPr>
                <w:rFonts w:hint="eastAsia" w:ascii="宋体" w:hAnsi="宋体" w:eastAsia="宋体" w:cs="宋体"/>
                <w:color w:val="auto"/>
                <w:kern w:val="0"/>
                <w:sz w:val="20"/>
                <w:szCs w:val="20"/>
                <w:highlight w:val="none"/>
                <w:lang w:val="en-US" w:eastAsia="zh-CN" w:bidi="ar"/>
              </w:rPr>
              <w:t>根</w:t>
            </w:r>
          </w:p>
        </w:tc>
        <w:tc>
          <w:tcPr>
            <w:tcW w:w="68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color w:val="auto"/>
                <w:kern w:val="2"/>
                <w:szCs w:val="21"/>
                <w:highlight w:val="none"/>
              </w:rPr>
            </w:pPr>
            <w:r>
              <w:rPr>
                <w:rFonts w:hint="eastAsia" w:ascii="宋体" w:hAnsi="宋体" w:eastAsia="宋体" w:cs="宋体"/>
                <w:color w:val="auto"/>
                <w:kern w:val="0"/>
                <w:sz w:val="20"/>
                <w:szCs w:val="20"/>
                <w:highlight w:val="none"/>
                <w:lang w:val="en-US" w:eastAsia="zh-CN" w:bidi="ar"/>
              </w:rPr>
              <w:t>308</w:t>
            </w:r>
          </w:p>
        </w:tc>
        <w:tc>
          <w:tcPr>
            <w:tcW w:w="3579"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color w:val="auto"/>
                <w:kern w:val="2"/>
                <w:szCs w:val="21"/>
                <w:highlight w:val="none"/>
              </w:rPr>
            </w:pPr>
            <w:r>
              <w:rPr>
                <w:rFonts w:hint="eastAsia" w:ascii="宋体" w:hAnsi="宋体" w:cs="宋体"/>
                <w:i w:val="0"/>
                <w:color w:val="auto"/>
                <w:sz w:val="24"/>
                <w:szCs w:val="24"/>
                <w:highlight w:val="none"/>
                <w:u w:val="none"/>
                <w:lang w:val="en-US" w:eastAsia="zh-CN"/>
              </w:rPr>
              <w:t>适用于特洁安3000PLUS系统使用</w:t>
            </w:r>
          </w:p>
        </w:tc>
      </w:tr>
      <w:tr>
        <w:tblPrEx>
          <w:tblCellMar>
            <w:top w:w="0" w:type="dxa"/>
            <w:left w:w="108" w:type="dxa"/>
            <w:bottom w:w="0" w:type="dxa"/>
            <w:right w:w="108" w:type="dxa"/>
          </w:tblCellMar>
        </w:tblPrEx>
        <w:trPr>
          <w:trHeight w:val="300" w:hRule="atLeast"/>
        </w:trPr>
        <w:tc>
          <w:tcPr>
            <w:tcW w:w="917" w:type="dxa"/>
            <w:tcBorders>
              <w:top w:val="nil"/>
              <w:left w:val="single" w:color="auto" w:sz="4" w:space="0"/>
              <w:bottom w:val="single" w:color="auto" w:sz="8" w:space="0"/>
              <w:right w:val="single" w:color="auto" w:sz="4" w:space="0"/>
            </w:tcBorders>
            <w:shd w:val="clear" w:color="auto" w:fill="auto"/>
            <w:vAlign w:val="center"/>
          </w:tcPr>
          <w:p>
            <w:pPr>
              <w:widowControl w:val="0"/>
              <w:jc w:val="center"/>
              <w:rPr>
                <w:rFonts w:ascii="宋体" w:hAnsi="宋体" w:cs="宋体"/>
                <w:color w:val="auto"/>
                <w:kern w:val="2"/>
                <w:szCs w:val="21"/>
                <w:highlight w:val="none"/>
              </w:rPr>
            </w:pPr>
            <w:r>
              <w:rPr>
                <w:rFonts w:hint="eastAsia" w:ascii="宋体" w:hAnsi="宋体" w:cs="宋体"/>
                <w:color w:val="auto"/>
                <w:kern w:val="2"/>
                <w:szCs w:val="21"/>
                <w:highlight w:val="none"/>
              </w:rPr>
              <w:t>2</w:t>
            </w:r>
          </w:p>
        </w:tc>
        <w:tc>
          <w:tcPr>
            <w:tcW w:w="2925" w:type="dxa"/>
            <w:tcBorders>
              <w:top w:val="nil"/>
              <w:left w:val="single" w:color="auto" w:sz="4"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color w:val="auto"/>
                <w:kern w:val="2"/>
                <w:szCs w:val="21"/>
                <w:highlight w:val="none"/>
              </w:rPr>
            </w:pPr>
            <w:r>
              <w:rPr>
                <w:rFonts w:hint="eastAsia" w:ascii="宋体" w:hAnsi="宋体" w:eastAsia="宋体" w:cs="宋体"/>
                <w:color w:val="auto"/>
                <w:kern w:val="0"/>
                <w:sz w:val="20"/>
                <w:szCs w:val="20"/>
                <w:highlight w:val="none"/>
                <w:lang w:val="en-US" w:eastAsia="zh-CN" w:bidi="ar"/>
              </w:rPr>
              <w:t>套管O型圈</w:t>
            </w:r>
          </w:p>
        </w:tc>
        <w:tc>
          <w:tcPr>
            <w:tcW w:w="824"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color w:val="auto"/>
                <w:kern w:val="2"/>
                <w:szCs w:val="21"/>
                <w:highlight w:val="none"/>
              </w:rPr>
            </w:pPr>
            <w:r>
              <w:rPr>
                <w:rFonts w:hint="eastAsia" w:ascii="宋体" w:hAnsi="宋体" w:eastAsia="宋体" w:cs="宋体"/>
                <w:color w:val="auto"/>
                <w:kern w:val="2"/>
                <w:sz w:val="20"/>
                <w:szCs w:val="20"/>
                <w:highlight w:val="none"/>
                <w:lang w:val="en-US" w:eastAsia="zh-CN" w:bidi="ar"/>
              </w:rPr>
              <w:t>个</w:t>
            </w:r>
          </w:p>
        </w:tc>
        <w:tc>
          <w:tcPr>
            <w:tcW w:w="68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color w:val="auto"/>
                <w:kern w:val="2"/>
                <w:szCs w:val="21"/>
                <w:highlight w:val="none"/>
              </w:rPr>
            </w:pPr>
            <w:r>
              <w:rPr>
                <w:rFonts w:hint="eastAsia" w:ascii="宋体" w:hAnsi="宋体" w:eastAsia="宋体" w:cs="宋体"/>
                <w:color w:val="auto"/>
                <w:kern w:val="2"/>
                <w:sz w:val="20"/>
                <w:szCs w:val="20"/>
                <w:highlight w:val="none"/>
                <w:lang w:val="en-US" w:eastAsia="zh-CN" w:bidi="ar"/>
              </w:rPr>
              <w:t>308</w:t>
            </w:r>
          </w:p>
        </w:tc>
        <w:tc>
          <w:tcPr>
            <w:tcW w:w="3579"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color w:val="auto"/>
                <w:kern w:val="2"/>
                <w:szCs w:val="21"/>
                <w:highlight w:val="none"/>
                <w:lang w:val="zh-CN"/>
              </w:rPr>
            </w:pPr>
            <w:r>
              <w:rPr>
                <w:rFonts w:hint="eastAsia" w:ascii="宋体" w:hAnsi="宋体" w:cs="宋体"/>
                <w:i w:val="0"/>
                <w:color w:val="auto"/>
                <w:sz w:val="24"/>
                <w:szCs w:val="24"/>
                <w:highlight w:val="none"/>
                <w:u w:val="none"/>
                <w:lang w:val="en-US" w:eastAsia="zh-CN"/>
              </w:rPr>
              <w:t>25*28*1.5mm</w:t>
            </w:r>
          </w:p>
        </w:tc>
      </w:tr>
      <w:tr>
        <w:tblPrEx>
          <w:tblCellMar>
            <w:top w:w="0" w:type="dxa"/>
            <w:left w:w="108" w:type="dxa"/>
            <w:bottom w:w="0" w:type="dxa"/>
            <w:right w:w="108" w:type="dxa"/>
          </w:tblCellMar>
        </w:tblPrEx>
        <w:trPr>
          <w:trHeight w:val="60" w:hRule="atLeast"/>
        </w:trPr>
        <w:tc>
          <w:tcPr>
            <w:tcW w:w="917" w:type="dxa"/>
            <w:tcBorders>
              <w:top w:val="nil"/>
              <w:left w:val="single" w:color="auto" w:sz="4" w:space="0"/>
              <w:bottom w:val="single" w:color="auto" w:sz="8" w:space="0"/>
              <w:right w:val="single" w:color="auto" w:sz="4" w:space="0"/>
            </w:tcBorders>
            <w:shd w:val="clear" w:color="auto" w:fill="auto"/>
            <w:vAlign w:val="center"/>
          </w:tcPr>
          <w:p>
            <w:pPr>
              <w:widowControl w:val="0"/>
              <w:jc w:val="center"/>
              <w:rPr>
                <w:rFonts w:ascii="宋体" w:hAnsi="宋体" w:cs="宋体"/>
                <w:color w:val="auto"/>
                <w:kern w:val="2"/>
                <w:szCs w:val="21"/>
                <w:highlight w:val="none"/>
              </w:rPr>
            </w:pPr>
            <w:r>
              <w:rPr>
                <w:rFonts w:hint="eastAsia" w:ascii="宋体" w:hAnsi="宋体" w:cs="宋体"/>
                <w:color w:val="auto"/>
                <w:kern w:val="2"/>
                <w:szCs w:val="21"/>
                <w:highlight w:val="none"/>
              </w:rPr>
              <w:t>3</w:t>
            </w:r>
          </w:p>
        </w:tc>
        <w:tc>
          <w:tcPr>
            <w:tcW w:w="2925" w:type="dxa"/>
            <w:tcBorders>
              <w:top w:val="nil"/>
              <w:left w:val="single" w:color="auto" w:sz="4"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color w:val="auto"/>
                <w:kern w:val="2"/>
                <w:szCs w:val="21"/>
                <w:highlight w:val="none"/>
              </w:rPr>
            </w:pPr>
            <w:r>
              <w:rPr>
                <w:rFonts w:hint="eastAsia" w:ascii="宋体" w:hAnsi="宋体" w:eastAsia="宋体" w:cs="宋体"/>
                <w:color w:val="auto"/>
                <w:kern w:val="0"/>
                <w:sz w:val="20"/>
                <w:szCs w:val="20"/>
                <w:highlight w:val="none"/>
                <w:lang w:val="en-US" w:eastAsia="zh-CN" w:bidi="ar"/>
              </w:rPr>
              <w:t>石英套管</w:t>
            </w:r>
          </w:p>
        </w:tc>
        <w:tc>
          <w:tcPr>
            <w:tcW w:w="824"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color w:val="auto"/>
                <w:kern w:val="2"/>
                <w:szCs w:val="21"/>
                <w:highlight w:val="none"/>
              </w:rPr>
            </w:pPr>
            <w:r>
              <w:rPr>
                <w:rFonts w:hint="eastAsia" w:ascii="宋体" w:hAnsi="宋体" w:eastAsia="宋体" w:cs="宋体"/>
                <w:color w:val="auto"/>
                <w:kern w:val="0"/>
                <w:sz w:val="20"/>
                <w:szCs w:val="20"/>
                <w:highlight w:val="none"/>
                <w:lang w:val="en-US" w:eastAsia="zh-CN" w:bidi="ar"/>
              </w:rPr>
              <w:t>支</w:t>
            </w:r>
          </w:p>
        </w:tc>
        <w:tc>
          <w:tcPr>
            <w:tcW w:w="68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color w:val="auto"/>
                <w:kern w:val="2"/>
                <w:szCs w:val="21"/>
                <w:highlight w:val="none"/>
              </w:rPr>
            </w:pPr>
            <w:r>
              <w:rPr>
                <w:rFonts w:hint="eastAsia" w:ascii="宋体" w:hAnsi="宋体" w:eastAsia="宋体" w:cs="宋体"/>
                <w:color w:val="auto"/>
                <w:kern w:val="2"/>
                <w:sz w:val="20"/>
                <w:szCs w:val="20"/>
                <w:highlight w:val="none"/>
                <w:lang w:val="en-US" w:eastAsia="zh-CN" w:bidi="ar"/>
              </w:rPr>
              <w:t>308</w:t>
            </w:r>
          </w:p>
        </w:tc>
        <w:tc>
          <w:tcPr>
            <w:tcW w:w="3579"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color w:val="auto"/>
                <w:kern w:val="2"/>
                <w:szCs w:val="21"/>
                <w:highlight w:val="none"/>
                <w:lang w:val="zh-CN"/>
              </w:rPr>
            </w:pPr>
            <w:r>
              <w:rPr>
                <w:rFonts w:hint="eastAsia" w:ascii="宋体" w:hAnsi="宋体" w:cs="宋体"/>
                <w:i w:val="0"/>
                <w:color w:val="auto"/>
                <w:sz w:val="24"/>
                <w:szCs w:val="24"/>
                <w:highlight w:val="none"/>
                <w:u w:val="none"/>
                <w:lang w:val="en-US" w:eastAsia="zh-CN"/>
              </w:rPr>
              <w:t>28*1950*1.5mm</w:t>
            </w:r>
          </w:p>
        </w:tc>
      </w:tr>
      <w:tr>
        <w:tblPrEx>
          <w:tblCellMar>
            <w:top w:w="0" w:type="dxa"/>
            <w:left w:w="108" w:type="dxa"/>
            <w:bottom w:w="0" w:type="dxa"/>
            <w:right w:w="108" w:type="dxa"/>
          </w:tblCellMar>
        </w:tblPrEx>
        <w:trPr>
          <w:trHeight w:val="90" w:hRule="atLeast"/>
        </w:trPr>
        <w:tc>
          <w:tcPr>
            <w:tcW w:w="917" w:type="dxa"/>
            <w:tcBorders>
              <w:top w:val="nil"/>
              <w:left w:val="single" w:color="auto" w:sz="4" w:space="0"/>
              <w:bottom w:val="single" w:color="auto" w:sz="8" w:space="0"/>
              <w:right w:val="single" w:color="auto" w:sz="4" w:space="0"/>
            </w:tcBorders>
            <w:shd w:val="clear" w:color="auto" w:fill="auto"/>
            <w:vAlign w:val="center"/>
          </w:tcPr>
          <w:p>
            <w:pPr>
              <w:widowControl w:val="0"/>
              <w:jc w:val="center"/>
              <w:rPr>
                <w:rFonts w:ascii="宋体" w:hAnsi="宋体" w:cs="宋体"/>
                <w:color w:val="auto"/>
                <w:kern w:val="2"/>
                <w:szCs w:val="21"/>
                <w:highlight w:val="none"/>
              </w:rPr>
            </w:pPr>
            <w:r>
              <w:rPr>
                <w:rFonts w:hint="eastAsia" w:ascii="宋体" w:hAnsi="宋体" w:cs="宋体"/>
                <w:color w:val="auto"/>
                <w:kern w:val="2"/>
                <w:szCs w:val="21"/>
                <w:highlight w:val="none"/>
              </w:rPr>
              <w:t>4</w:t>
            </w:r>
          </w:p>
        </w:tc>
        <w:tc>
          <w:tcPr>
            <w:tcW w:w="2925" w:type="dxa"/>
            <w:tcBorders>
              <w:top w:val="nil"/>
              <w:left w:val="single" w:color="auto" w:sz="4"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color w:val="auto"/>
                <w:kern w:val="2"/>
                <w:szCs w:val="21"/>
                <w:highlight w:val="none"/>
              </w:rPr>
            </w:pPr>
            <w:r>
              <w:rPr>
                <w:rFonts w:hint="eastAsia" w:ascii="宋体" w:hAnsi="宋体" w:eastAsia="宋体" w:cs="宋体"/>
                <w:color w:val="auto"/>
                <w:kern w:val="0"/>
                <w:sz w:val="20"/>
                <w:szCs w:val="20"/>
                <w:highlight w:val="none"/>
                <w:lang w:val="en-US" w:eastAsia="zh-CN" w:bidi="ar"/>
              </w:rPr>
              <w:t>套管弹簧</w:t>
            </w:r>
          </w:p>
        </w:tc>
        <w:tc>
          <w:tcPr>
            <w:tcW w:w="824"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color w:val="auto"/>
                <w:kern w:val="2"/>
                <w:szCs w:val="21"/>
                <w:highlight w:val="none"/>
              </w:rPr>
            </w:pPr>
            <w:r>
              <w:rPr>
                <w:rFonts w:hint="eastAsia" w:ascii="宋体" w:hAnsi="宋体" w:eastAsia="宋体" w:cs="宋体"/>
                <w:color w:val="auto"/>
                <w:kern w:val="0"/>
                <w:sz w:val="20"/>
                <w:szCs w:val="20"/>
                <w:highlight w:val="none"/>
                <w:lang w:val="en-US" w:eastAsia="zh-CN" w:bidi="ar"/>
              </w:rPr>
              <w:t>包</w:t>
            </w:r>
          </w:p>
        </w:tc>
        <w:tc>
          <w:tcPr>
            <w:tcW w:w="68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color w:val="auto"/>
                <w:kern w:val="2"/>
                <w:szCs w:val="21"/>
                <w:highlight w:val="none"/>
              </w:rPr>
            </w:pPr>
            <w:r>
              <w:rPr>
                <w:rFonts w:hint="eastAsia" w:ascii="宋体" w:hAnsi="宋体" w:eastAsia="宋体" w:cs="宋体"/>
                <w:color w:val="auto"/>
                <w:kern w:val="0"/>
                <w:sz w:val="20"/>
                <w:szCs w:val="20"/>
                <w:highlight w:val="none"/>
                <w:lang w:val="en-US" w:eastAsia="zh-CN" w:bidi="ar"/>
              </w:rPr>
              <w:t>1</w:t>
            </w:r>
          </w:p>
        </w:tc>
        <w:tc>
          <w:tcPr>
            <w:tcW w:w="3579"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color w:val="auto"/>
                <w:kern w:val="2"/>
                <w:szCs w:val="21"/>
                <w:highlight w:val="none"/>
                <w:lang w:val="zh-CN"/>
              </w:rPr>
            </w:pPr>
            <w:r>
              <w:rPr>
                <w:rFonts w:hint="eastAsia" w:ascii="宋体" w:hAnsi="宋体" w:cs="宋体"/>
                <w:i w:val="0"/>
                <w:color w:val="auto"/>
                <w:sz w:val="24"/>
                <w:szCs w:val="24"/>
                <w:highlight w:val="none"/>
                <w:u w:val="none"/>
                <w:lang w:val="en-US" w:eastAsia="zh-CN"/>
              </w:rPr>
              <w:t>适用于特洁安3000PLUS系统使用</w:t>
            </w:r>
          </w:p>
        </w:tc>
      </w:tr>
      <w:tr>
        <w:tblPrEx>
          <w:tblCellMar>
            <w:top w:w="0" w:type="dxa"/>
            <w:left w:w="108" w:type="dxa"/>
            <w:bottom w:w="0" w:type="dxa"/>
            <w:right w:w="108" w:type="dxa"/>
          </w:tblCellMar>
        </w:tblPrEx>
        <w:trPr>
          <w:trHeight w:val="60" w:hRule="atLeast"/>
        </w:trPr>
        <w:tc>
          <w:tcPr>
            <w:tcW w:w="917" w:type="dxa"/>
            <w:tcBorders>
              <w:top w:val="nil"/>
              <w:left w:val="single" w:color="auto" w:sz="4" w:space="0"/>
              <w:bottom w:val="single" w:color="auto" w:sz="8" w:space="0"/>
              <w:right w:val="single" w:color="auto" w:sz="4" w:space="0"/>
            </w:tcBorders>
            <w:shd w:val="clear" w:color="auto" w:fill="auto"/>
            <w:vAlign w:val="center"/>
          </w:tcPr>
          <w:p>
            <w:pPr>
              <w:widowControl w:val="0"/>
              <w:jc w:val="center"/>
              <w:rPr>
                <w:rFonts w:ascii="宋体" w:hAnsi="宋体" w:cs="宋体"/>
                <w:color w:val="auto"/>
                <w:kern w:val="2"/>
                <w:szCs w:val="21"/>
                <w:highlight w:val="none"/>
              </w:rPr>
            </w:pPr>
            <w:r>
              <w:rPr>
                <w:rFonts w:hint="eastAsia" w:ascii="宋体" w:hAnsi="宋体" w:cs="宋体"/>
                <w:color w:val="auto"/>
                <w:kern w:val="2"/>
                <w:szCs w:val="21"/>
                <w:highlight w:val="none"/>
              </w:rPr>
              <w:t>5</w:t>
            </w:r>
          </w:p>
        </w:tc>
        <w:tc>
          <w:tcPr>
            <w:tcW w:w="2925" w:type="dxa"/>
            <w:tcBorders>
              <w:top w:val="nil"/>
              <w:left w:val="single" w:color="auto" w:sz="4"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color w:val="auto"/>
                <w:kern w:val="2"/>
                <w:szCs w:val="21"/>
                <w:highlight w:val="none"/>
              </w:rPr>
            </w:pPr>
            <w:r>
              <w:rPr>
                <w:rFonts w:hint="eastAsia" w:ascii="宋体" w:hAnsi="宋体" w:eastAsia="宋体" w:cs="宋体"/>
                <w:color w:val="auto"/>
                <w:kern w:val="0"/>
                <w:sz w:val="20"/>
                <w:szCs w:val="20"/>
                <w:highlight w:val="none"/>
                <w:lang w:val="en-US" w:eastAsia="zh-CN" w:bidi="ar"/>
              </w:rPr>
              <w:t>石英套管螺帽</w:t>
            </w:r>
          </w:p>
        </w:tc>
        <w:tc>
          <w:tcPr>
            <w:tcW w:w="824"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color w:val="auto"/>
                <w:kern w:val="2"/>
                <w:szCs w:val="21"/>
                <w:highlight w:val="none"/>
              </w:rPr>
            </w:pPr>
            <w:r>
              <w:rPr>
                <w:rFonts w:hint="eastAsia" w:ascii="宋体" w:hAnsi="宋体" w:eastAsia="宋体" w:cs="宋体"/>
                <w:color w:val="auto"/>
                <w:kern w:val="0"/>
                <w:sz w:val="20"/>
                <w:szCs w:val="20"/>
                <w:highlight w:val="none"/>
                <w:lang w:val="en-US" w:eastAsia="zh-CN" w:bidi="ar"/>
              </w:rPr>
              <w:t>包</w:t>
            </w:r>
          </w:p>
        </w:tc>
        <w:tc>
          <w:tcPr>
            <w:tcW w:w="68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color w:val="auto"/>
                <w:kern w:val="2"/>
                <w:szCs w:val="21"/>
                <w:highlight w:val="none"/>
              </w:rPr>
            </w:pPr>
            <w:r>
              <w:rPr>
                <w:rFonts w:hint="eastAsia" w:ascii="宋体" w:hAnsi="宋体" w:eastAsia="宋体" w:cs="宋体"/>
                <w:color w:val="auto"/>
                <w:kern w:val="0"/>
                <w:sz w:val="20"/>
                <w:szCs w:val="20"/>
                <w:highlight w:val="none"/>
                <w:lang w:val="en-US" w:eastAsia="zh-CN" w:bidi="ar"/>
              </w:rPr>
              <w:t>2</w:t>
            </w:r>
          </w:p>
        </w:tc>
        <w:tc>
          <w:tcPr>
            <w:tcW w:w="3579"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color w:val="auto"/>
                <w:kern w:val="2"/>
                <w:szCs w:val="21"/>
                <w:highlight w:val="none"/>
                <w:lang w:val="zh-CN"/>
              </w:rPr>
            </w:pPr>
            <w:r>
              <w:rPr>
                <w:rFonts w:hint="eastAsia" w:ascii="宋体" w:hAnsi="宋体" w:cs="宋体"/>
                <w:i w:val="0"/>
                <w:color w:val="auto"/>
                <w:sz w:val="24"/>
                <w:szCs w:val="24"/>
                <w:highlight w:val="none"/>
                <w:u w:val="none"/>
                <w:lang w:val="en-US" w:eastAsia="zh-CN"/>
              </w:rPr>
              <w:t>适用于特洁安3000PLUS系统使用</w:t>
            </w:r>
          </w:p>
        </w:tc>
      </w:tr>
      <w:tr>
        <w:tblPrEx>
          <w:tblCellMar>
            <w:top w:w="0" w:type="dxa"/>
            <w:left w:w="108" w:type="dxa"/>
            <w:bottom w:w="0" w:type="dxa"/>
            <w:right w:w="108" w:type="dxa"/>
          </w:tblCellMar>
        </w:tblPrEx>
        <w:trPr>
          <w:trHeight w:val="60" w:hRule="atLeast"/>
        </w:trPr>
        <w:tc>
          <w:tcPr>
            <w:tcW w:w="917" w:type="dxa"/>
            <w:tcBorders>
              <w:top w:val="nil"/>
              <w:left w:val="single" w:color="auto" w:sz="4" w:space="0"/>
              <w:bottom w:val="single" w:color="auto" w:sz="8" w:space="0"/>
              <w:right w:val="single" w:color="auto" w:sz="4" w:space="0"/>
            </w:tcBorders>
            <w:shd w:val="clear" w:color="auto" w:fill="auto"/>
            <w:vAlign w:val="center"/>
          </w:tcPr>
          <w:p>
            <w:pPr>
              <w:widowControl w:val="0"/>
              <w:jc w:val="center"/>
              <w:rPr>
                <w:rFonts w:ascii="宋体" w:hAnsi="宋体" w:cs="宋体"/>
                <w:color w:val="auto"/>
                <w:kern w:val="2"/>
                <w:szCs w:val="21"/>
                <w:highlight w:val="none"/>
              </w:rPr>
            </w:pPr>
            <w:r>
              <w:rPr>
                <w:rFonts w:hint="eastAsia" w:ascii="宋体" w:hAnsi="宋体" w:cs="宋体"/>
                <w:color w:val="auto"/>
                <w:kern w:val="2"/>
                <w:szCs w:val="21"/>
                <w:highlight w:val="none"/>
              </w:rPr>
              <w:t>6</w:t>
            </w:r>
          </w:p>
        </w:tc>
        <w:tc>
          <w:tcPr>
            <w:tcW w:w="2925" w:type="dxa"/>
            <w:tcBorders>
              <w:top w:val="nil"/>
              <w:left w:val="single" w:color="auto" w:sz="4"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color w:val="auto"/>
                <w:kern w:val="2"/>
                <w:szCs w:val="21"/>
                <w:highlight w:val="none"/>
              </w:rPr>
            </w:pPr>
            <w:r>
              <w:rPr>
                <w:rFonts w:hint="eastAsia" w:ascii="宋体" w:hAnsi="宋体" w:eastAsia="宋体" w:cs="宋体"/>
                <w:color w:val="auto"/>
                <w:kern w:val="0"/>
                <w:sz w:val="20"/>
                <w:szCs w:val="20"/>
                <w:highlight w:val="none"/>
                <w:lang w:val="en-US" w:eastAsia="zh-CN" w:bidi="ar"/>
              </w:rPr>
              <w:t>清洗凝胶（每箱4瓶）</w:t>
            </w:r>
          </w:p>
        </w:tc>
        <w:tc>
          <w:tcPr>
            <w:tcW w:w="824"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color w:val="auto"/>
                <w:kern w:val="2"/>
                <w:szCs w:val="21"/>
                <w:highlight w:val="none"/>
              </w:rPr>
            </w:pPr>
            <w:r>
              <w:rPr>
                <w:rFonts w:hint="eastAsia" w:ascii="宋体" w:hAnsi="宋体" w:eastAsia="宋体" w:cs="宋体"/>
                <w:color w:val="auto"/>
                <w:kern w:val="0"/>
                <w:sz w:val="20"/>
                <w:szCs w:val="20"/>
                <w:highlight w:val="none"/>
                <w:lang w:val="en-US" w:eastAsia="zh-CN" w:bidi="ar"/>
              </w:rPr>
              <w:t>箱</w:t>
            </w:r>
          </w:p>
        </w:tc>
        <w:tc>
          <w:tcPr>
            <w:tcW w:w="68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color w:val="auto"/>
                <w:kern w:val="2"/>
                <w:szCs w:val="21"/>
                <w:highlight w:val="none"/>
              </w:rPr>
            </w:pPr>
            <w:r>
              <w:rPr>
                <w:rFonts w:hint="eastAsia" w:ascii="宋体" w:hAnsi="宋体" w:eastAsia="宋体" w:cs="宋体"/>
                <w:color w:val="auto"/>
                <w:kern w:val="0"/>
                <w:sz w:val="20"/>
                <w:szCs w:val="20"/>
                <w:highlight w:val="none"/>
                <w:lang w:val="en-US" w:eastAsia="zh-CN" w:bidi="ar"/>
              </w:rPr>
              <w:t>5</w:t>
            </w:r>
          </w:p>
        </w:tc>
        <w:tc>
          <w:tcPr>
            <w:tcW w:w="3579"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color w:val="auto"/>
                <w:kern w:val="2"/>
                <w:szCs w:val="21"/>
                <w:highlight w:val="none"/>
                <w:lang w:val="zh-CN"/>
              </w:rPr>
            </w:pPr>
            <w:r>
              <w:rPr>
                <w:rFonts w:hint="eastAsia" w:ascii="宋体" w:hAnsi="宋体" w:cs="宋体"/>
                <w:i w:val="0"/>
                <w:color w:val="auto"/>
                <w:sz w:val="24"/>
                <w:szCs w:val="24"/>
                <w:highlight w:val="none"/>
                <w:u w:val="none"/>
                <w:lang w:val="en-US" w:eastAsia="zh-CN"/>
              </w:rPr>
              <w:t>4*4L食品级</w:t>
            </w:r>
          </w:p>
        </w:tc>
      </w:tr>
      <w:tr>
        <w:tblPrEx>
          <w:tblCellMar>
            <w:top w:w="0" w:type="dxa"/>
            <w:left w:w="108" w:type="dxa"/>
            <w:bottom w:w="0" w:type="dxa"/>
            <w:right w:w="108" w:type="dxa"/>
          </w:tblCellMar>
        </w:tblPrEx>
        <w:trPr>
          <w:trHeight w:val="60" w:hRule="atLeast"/>
        </w:trPr>
        <w:tc>
          <w:tcPr>
            <w:tcW w:w="917" w:type="dxa"/>
            <w:tcBorders>
              <w:top w:val="nil"/>
              <w:left w:val="single" w:color="auto" w:sz="4" w:space="0"/>
              <w:bottom w:val="single" w:color="auto" w:sz="8" w:space="0"/>
              <w:right w:val="single" w:color="auto" w:sz="4" w:space="0"/>
            </w:tcBorders>
            <w:shd w:val="clear" w:color="auto" w:fill="auto"/>
            <w:vAlign w:val="center"/>
          </w:tcPr>
          <w:p>
            <w:pPr>
              <w:widowControl w:val="0"/>
              <w:jc w:val="center"/>
              <w:rPr>
                <w:rFonts w:ascii="宋体" w:hAnsi="宋体" w:cs="宋体"/>
                <w:color w:val="auto"/>
                <w:kern w:val="2"/>
                <w:szCs w:val="21"/>
                <w:highlight w:val="none"/>
              </w:rPr>
            </w:pPr>
            <w:r>
              <w:rPr>
                <w:rFonts w:hint="eastAsia" w:ascii="宋体" w:hAnsi="宋体" w:cs="宋体"/>
                <w:color w:val="auto"/>
                <w:kern w:val="2"/>
                <w:szCs w:val="21"/>
                <w:highlight w:val="none"/>
              </w:rPr>
              <w:t>7</w:t>
            </w:r>
          </w:p>
        </w:tc>
        <w:tc>
          <w:tcPr>
            <w:tcW w:w="2925" w:type="dxa"/>
            <w:tcBorders>
              <w:top w:val="nil"/>
              <w:left w:val="single" w:color="auto" w:sz="4"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color w:val="auto"/>
                <w:kern w:val="2"/>
                <w:szCs w:val="21"/>
                <w:highlight w:val="none"/>
              </w:rPr>
            </w:pPr>
            <w:r>
              <w:rPr>
                <w:rFonts w:hint="eastAsia" w:ascii="宋体" w:hAnsi="宋体" w:eastAsia="宋体" w:cs="宋体"/>
                <w:color w:val="auto"/>
                <w:kern w:val="0"/>
                <w:sz w:val="20"/>
                <w:szCs w:val="20"/>
                <w:highlight w:val="none"/>
                <w:lang w:val="en-US" w:eastAsia="zh-CN" w:bidi="ar"/>
              </w:rPr>
              <w:t>清洗罐连接头（白色直接头）</w:t>
            </w:r>
          </w:p>
        </w:tc>
        <w:tc>
          <w:tcPr>
            <w:tcW w:w="824"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color w:val="auto"/>
                <w:kern w:val="2"/>
                <w:szCs w:val="21"/>
                <w:highlight w:val="none"/>
              </w:rPr>
            </w:pPr>
            <w:r>
              <w:rPr>
                <w:rFonts w:hint="eastAsia" w:ascii="宋体" w:hAnsi="宋体" w:eastAsia="宋体" w:cs="宋体"/>
                <w:color w:val="auto"/>
                <w:kern w:val="0"/>
                <w:sz w:val="20"/>
                <w:szCs w:val="20"/>
                <w:highlight w:val="none"/>
                <w:lang w:val="en-US" w:eastAsia="zh-CN" w:bidi="ar"/>
              </w:rPr>
              <w:t>包</w:t>
            </w:r>
          </w:p>
        </w:tc>
        <w:tc>
          <w:tcPr>
            <w:tcW w:w="68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color w:val="auto"/>
                <w:kern w:val="2"/>
                <w:szCs w:val="21"/>
                <w:highlight w:val="none"/>
              </w:rPr>
            </w:pPr>
            <w:r>
              <w:rPr>
                <w:rFonts w:hint="eastAsia" w:ascii="宋体" w:hAnsi="宋体" w:eastAsia="宋体" w:cs="宋体"/>
                <w:color w:val="auto"/>
                <w:kern w:val="0"/>
                <w:sz w:val="20"/>
                <w:szCs w:val="20"/>
                <w:highlight w:val="none"/>
                <w:lang w:val="en-US" w:eastAsia="zh-CN" w:bidi="ar"/>
              </w:rPr>
              <w:t>2</w:t>
            </w:r>
          </w:p>
        </w:tc>
        <w:tc>
          <w:tcPr>
            <w:tcW w:w="3579"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color w:val="auto"/>
                <w:kern w:val="2"/>
                <w:szCs w:val="21"/>
                <w:highlight w:val="none"/>
                <w:lang w:val="zh-CN"/>
              </w:rPr>
            </w:pPr>
            <w:r>
              <w:rPr>
                <w:rFonts w:hint="eastAsia" w:ascii="宋体" w:hAnsi="宋体" w:cs="宋体"/>
                <w:i w:val="0"/>
                <w:color w:val="auto"/>
                <w:sz w:val="24"/>
                <w:szCs w:val="24"/>
                <w:highlight w:val="none"/>
                <w:u w:val="none"/>
                <w:lang w:val="en-US" w:eastAsia="zh-CN"/>
              </w:rPr>
              <w:t>适用于特洁安3000PLUS系统使用</w:t>
            </w:r>
          </w:p>
        </w:tc>
      </w:tr>
      <w:tr>
        <w:tblPrEx>
          <w:tblCellMar>
            <w:top w:w="0" w:type="dxa"/>
            <w:left w:w="108" w:type="dxa"/>
            <w:bottom w:w="0" w:type="dxa"/>
            <w:right w:w="108" w:type="dxa"/>
          </w:tblCellMar>
        </w:tblPrEx>
        <w:trPr>
          <w:trHeight w:val="285" w:hRule="atLeast"/>
        </w:trPr>
        <w:tc>
          <w:tcPr>
            <w:tcW w:w="917" w:type="dxa"/>
            <w:tcBorders>
              <w:top w:val="nil"/>
              <w:left w:val="single" w:color="auto" w:sz="4" w:space="0"/>
              <w:bottom w:val="single" w:color="auto" w:sz="8" w:space="0"/>
              <w:right w:val="single" w:color="auto" w:sz="4" w:space="0"/>
            </w:tcBorders>
            <w:shd w:val="clear" w:color="auto" w:fill="auto"/>
            <w:vAlign w:val="center"/>
          </w:tcPr>
          <w:p>
            <w:pPr>
              <w:widowControl w:val="0"/>
              <w:jc w:val="center"/>
              <w:rPr>
                <w:rFonts w:ascii="宋体" w:hAnsi="宋体" w:cs="宋体"/>
                <w:color w:val="auto"/>
                <w:kern w:val="2"/>
                <w:szCs w:val="21"/>
                <w:highlight w:val="none"/>
              </w:rPr>
            </w:pPr>
            <w:r>
              <w:rPr>
                <w:rFonts w:hint="eastAsia" w:ascii="宋体" w:hAnsi="宋体" w:cs="宋体"/>
                <w:color w:val="auto"/>
                <w:kern w:val="2"/>
                <w:szCs w:val="21"/>
                <w:highlight w:val="none"/>
              </w:rPr>
              <w:t>8</w:t>
            </w:r>
          </w:p>
        </w:tc>
        <w:tc>
          <w:tcPr>
            <w:tcW w:w="2925" w:type="dxa"/>
            <w:tcBorders>
              <w:top w:val="nil"/>
              <w:left w:val="single" w:color="auto" w:sz="4"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color w:val="auto"/>
                <w:kern w:val="2"/>
                <w:szCs w:val="21"/>
                <w:highlight w:val="none"/>
              </w:rPr>
            </w:pPr>
            <w:r>
              <w:rPr>
                <w:rFonts w:hint="eastAsia" w:ascii="宋体" w:hAnsi="宋体" w:eastAsia="宋体" w:cs="宋体"/>
                <w:color w:val="auto"/>
                <w:kern w:val="0"/>
                <w:sz w:val="20"/>
                <w:szCs w:val="20"/>
                <w:highlight w:val="none"/>
                <w:lang w:val="en-US" w:eastAsia="zh-CN" w:bidi="ar"/>
              </w:rPr>
              <w:t>清洗罐连接头(白色90°弯接头)</w:t>
            </w:r>
          </w:p>
        </w:tc>
        <w:tc>
          <w:tcPr>
            <w:tcW w:w="824"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color w:val="auto"/>
                <w:kern w:val="2"/>
                <w:szCs w:val="21"/>
                <w:highlight w:val="none"/>
              </w:rPr>
            </w:pPr>
            <w:r>
              <w:rPr>
                <w:rFonts w:hint="eastAsia" w:ascii="宋体" w:hAnsi="宋体" w:eastAsia="宋体" w:cs="宋体"/>
                <w:color w:val="auto"/>
                <w:kern w:val="0"/>
                <w:sz w:val="20"/>
                <w:szCs w:val="20"/>
                <w:highlight w:val="none"/>
                <w:lang w:val="en-US" w:eastAsia="zh-CN" w:bidi="ar"/>
              </w:rPr>
              <w:t>包</w:t>
            </w:r>
          </w:p>
        </w:tc>
        <w:tc>
          <w:tcPr>
            <w:tcW w:w="68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color w:val="auto"/>
                <w:kern w:val="2"/>
                <w:szCs w:val="21"/>
                <w:highlight w:val="none"/>
              </w:rPr>
            </w:pPr>
            <w:r>
              <w:rPr>
                <w:rFonts w:hint="eastAsia" w:ascii="宋体" w:hAnsi="宋体" w:eastAsia="宋体" w:cs="宋体"/>
                <w:color w:val="auto"/>
                <w:kern w:val="0"/>
                <w:sz w:val="20"/>
                <w:szCs w:val="20"/>
                <w:highlight w:val="none"/>
                <w:lang w:val="en-US" w:eastAsia="zh-CN" w:bidi="ar"/>
              </w:rPr>
              <w:t>5</w:t>
            </w:r>
          </w:p>
        </w:tc>
        <w:tc>
          <w:tcPr>
            <w:tcW w:w="3579"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color w:val="auto"/>
                <w:kern w:val="2"/>
                <w:szCs w:val="21"/>
                <w:highlight w:val="none"/>
                <w:lang w:val="zh-CN"/>
              </w:rPr>
            </w:pPr>
            <w:r>
              <w:rPr>
                <w:rFonts w:hint="eastAsia" w:ascii="宋体" w:hAnsi="宋体" w:cs="宋体"/>
                <w:i w:val="0"/>
                <w:color w:val="auto"/>
                <w:sz w:val="24"/>
                <w:szCs w:val="24"/>
                <w:highlight w:val="none"/>
                <w:u w:val="none"/>
                <w:lang w:val="en-US" w:eastAsia="zh-CN"/>
              </w:rPr>
              <w:t>适用于特洁安3000PLUS系统使用</w:t>
            </w:r>
          </w:p>
        </w:tc>
      </w:tr>
      <w:tr>
        <w:tblPrEx>
          <w:tblCellMar>
            <w:top w:w="0" w:type="dxa"/>
            <w:left w:w="108" w:type="dxa"/>
            <w:bottom w:w="0" w:type="dxa"/>
            <w:right w:w="108" w:type="dxa"/>
          </w:tblCellMar>
        </w:tblPrEx>
        <w:trPr>
          <w:trHeight w:val="217" w:hRule="atLeast"/>
        </w:trPr>
        <w:tc>
          <w:tcPr>
            <w:tcW w:w="917" w:type="dxa"/>
            <w:tcBorders>
              <w:top w:val="nil"/>
              <w:left w:val="single" w:color="auto" w:sz="4" w:space="0"/>
              <w:bottom w:val="single" w:color="auto" w:sz="8" w:space="0"/>
              <w:right w:val="single" w:color="auto" w:sz="4" w:space="0"/>
            </w:tcBorders>
            <w:shd w:val="clear" w:color="auto" w:fill="auto"/>
            <w:vAlign w:val="center"/>
          </w:tcPr>
          <w:p>
            <w:pPr>
              <w:widowControl w:val="0"/>
              <w:jc w:val="center"/>
              <w:rPr>
                <w:rFonts w:ascii="宋体" w:hAnsi="宋体" w:cs="宋体"/>
                <w:color w:val="auto"/>
                <w:kern w:val="2"/>
                <w:szCs w:val="21"/>
                <w:highlight w:val="none"/>
              </w:rPr>
            </w:pPr>
            <w:r>
              <w:rPr>
                <w:rFonts w:hint="eastAsia" w:ascii="宋体" w:hAnsi="宋体" w:cs="宋体"/>
                <w:color w:val="auto"/>
                <w:kern w:val="2"/>
                <w:szCs w:val="21"/>
                <w:highlight w:val="none"/>
              </w:rPr>
              <w:t>9</w:t>
            </w:r>
          </w:p>
        </w:tc>
        <w:tc>
          <w:tcPr>
            <w:tcW w:w="2925" w:type="dxa"/>
            <w:tcBorders>
              <w:top w:val="nil"/>
              <w:left w:val="single" w:color="auto" w:sz="4"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color w:val="auto"/>
                <w:kern w:val="2"/>
                <w:szCs w:val="21"/>
                <w:highlight w:val="none"/>
              </w:rPr>
            </w:pPr>
            <w:r>
              <w:rPr>
                <w:rFonts w:hint="eastAsia" w:ascii="宋体" w:hAnsi="宋体" w:eastAsia="宋体" w:cs="宋体"/>
                <w:color w:val="auto"/>
                <w:kern w:val="0"/>
                <w:sz w:val="20"/>
                <w:szCs w:val="20"/>
                <w:highlight w:val="none"/>
                <w:lang w:val="en-US" w:eastAsia="zh-CN" w:bidi="ar"/>
              </w:rPr>
              <w:t>弗橡胶管（连接清洗罐的胶管）</w:t>
            </w:r>
          </w:p>
        </w:tc>
        <w:tc>
          <w:tcPr>
            <w:tcW w:w="824"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color w:val="auto"/>
                <w:kern w:val="2"/>
                <w:szCs w:val="21"/>
                <w:highlight w:val="none"/>
              </w:rPr>
            </w:pPr>
            <w:r>
              <w:rPr>
                <w:rFonts w:hint="eastAsia" w:ascii="宋体" w:hAnsi="宋体" w:eastAsia="宋体" w:cs="宋体"/>
                <w:color w:val="auto"/>
                <w:kern w:val="0"/>
                <w:sz w:val="20"/>
                <w:szCs w:val="20"/>
                <w:highlight w:val="none"/>
                <w:lang w:val="en-US" w:eastAsia="zh-CN" w:bidi="ar"/>
              </w:rPr>
              <w:t>米</w:t>
            </w:r>
          </w:p>
        </w:tc>
        <w:tc>
          <w:tcPr>
            <w:tcW w:w="68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color w:val="auto"/>
                <w:kern w:val="2"/>
                <w:szCs w:val="21"/>
                <w:highlight w:val="none"/>
              </w:rPr>
            </w:pPr>
            <w:r>
              <w:rPr>
                <w:rFonts w:hint="eastAsia" w:ascii="宋体" w:hAnsi="宋体" w:eastAsia="宋体" w:cs="宋体"/>
                <w:color w:val="auto"/>
                <w:kern w:val="0"/>
                <w:sz w:val="20"/>
                <w:szCs w:val="20"/>
                <w:highlight w:val="none"/>
                <w:lang w:val="en-US" w:eastAsia="zh-CN" w:bidi="ar"/>
              </w:rPr>
              <w:t>1</w:t>
            </w:r>
          </w:p>
        </w:tc>
        <w:tc>
          <w:tcPr>
            <w:tcW w:w="3579"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color w:val="auto"/>
                <w:kern w:val="2"/>
                <w:szCs w:val="21"/>
                <w:highlight w:val="none"/>
                <w:lang w:val="zh-CN"/>
              </w:rPr>
            </w:pPr>
            <w:r>
              <w:rPr>
                <w:rFonts w:hint="eastAsia" w:ascii="宋体" w:hAnsi="宋体" w:cs="宋体"/>
                <w:i w:val="0"/>
                <w:color w:val="auto"/>
                <w:sz w:val="24"/>
                <w:szCs w:val="24"/>
                <w:highlight w:val="none"/>
                <w:u w:val="none"/>
                <w:lang w:val="en-US" w:eastAsia="zh-CN"/>
              </w:rPr>
              <w:t>适用于特洁安3000PLUS系统使用</w:t>
            </w:r>
          </w:p>
        </w:tc>
      </w:tr>
      <w:tr>
        <w:tblPrEx>
          <w:tblCellMar>
            <w:top w:w="0" w:type="dxa"/>
            <w:left w:w="108" w:type="dxa"/>
            <w:bottom w:w="0" w:type="dxa"/>
            <w:right w:w="108" w:type="dxa"/>
          </w:tblCellMar>
        </w:tblPrEx>
        <w:trPr>
          <w:trHeight w:val="285" w:hRule="atLeast"/>
        </w:trPr>
        <w:tc>
          <w:tcPr>
            <w:tcW w:w="917" w:type="dxa"/>
            <w:tcBorders>
              <w:top w:val="nil"/>
              <w:left w:val="single" w:color="auto" w:sz="4" w:space="0"/>
              <w:bottom w:val="single" w:color="auto" w:sz="8" w:space="0"/>
              <w:right w:val="single" w:color="auto" w:sz="4" w:space="0"/>
            </w:tcBorders>
            <w:shd w:val="clear" w:color="auto" w:fill="auto"/>
            <w:vAlign w:val="center"/>
          </w:tcPr>
          <w:p>
            <w:pPr>
              <w:widowControl w:val="0"/>
              <w:jc w:val="center"/>
              <w:rPr>
                <w:rFonts w:ascii="宋体" w:hAnsi="宋体" w:cs="宋体"/>
                <w:color w:val="auto"/>
                <w:kern w:val="2"/>
                <w:szCs w:val="21"/>
                <w:highlight w:val="none"/>
              </w:rPr>
            </w:pPr>
            <w:r>
              <w:rPr>
                <w:rFonts w:hint="eastAsia" w:ascii="宋体" w:hAnsi="宋体" w:cs="宋体"/>
                <w:color w:val="auto"/>
                <w:kern w:val="2"/>
                <w:szCs w:val="21"/>
                <w:highlight w:val="none"/>
              </w:rPr>
              <w:t>10</w:t>
            </w:r>
          </w:p>
        </w:tc>
        <w:tc>
          <w:tcPr>
            <w:tcW w:w="2925" w:type="dxa"/>
            <w:tcBorders>
              <w:top w:val="nil"/>
              <w:left w:val="single" w:color="auto" w:sz="4"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color w:val="auto"/>
                <w:kern w:val="2"/>
                <w:szCs w:val="21"/>
                <w:highlight w:val="none"/>
              </w:rPr>
            </w:pPr>
            <w:r>
              <w:rPr>
                <w:rFonts w:hint="eastAsia" w:ascii="宋体" w:hAnsi="宋体" w:eastAsia="宋体" w:cs="宋体"/>
                <w:color w:val="auto"/>
                <w:kern w:val="0"/>
                <w:sz w:val="20"/>
                <w:szCs w:val="20"/>
                <w:highlight w:val="none"/>
                <w:lang w:val="en-US" w:eastAsia="zh-CN" w:bidi="ar"/>
              </w:rPr>
              <w:t>擦拭器密封件（包含一根短弗橡胶管）</w:t>
            </w:r>
          </w:p>
        </w:tc>
        <w:tc>
          <w:tcPr>
            <w:tcW w:w="824"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color w:val="auto"/>
                <w:kern w:val="2"/>
                <w:szCs w:val="21"/>
                <w:highlight w:val="none"/>
              </w:rPr>
            </w:pPr>
            <w:r>
              <w:rPr>
                <w:rFonts w:hint="eastAsia" w:ascii="宋体" w:hAnsi="宋体" w:eastAsia="宋体" w:cs="宋体"/>
                <w:color w:val="auto"/>
                <w:kern w:val="0"/>
                <w:sz w:val="20"/>
                <w:szCs w:val="20"/>
                <w:highlight w:val="none"/>
                <w:lang w:val="en-US" w:eastAsia="zh-CN" w:bidi="ar"/>
              </w:rPr>
              <w:t>个</w:t>
            </w:r>
          </w:p>
        </w:tc>
        <w:tc>
          <w:tcPr>
            <w:tcW w:w="68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color w:val="auto"/>
                <w:kern w:val="2"/>
                <w:szCs w:val="21"/>
                <w:highlight w:val="none"/>
              </w:rPr>
            </w:pPr>
            <w:r>
              <w:rPr>
                <w:rFonts w:hint="eastAsia" w:ascii="宋体" w:hAnsi="宋体" w:eastAsia="宋体" w:cs="宋体"/>
                <w:color w:val="auto"/>
                <w:kern w:val="2"/>
                <w:sz w:val="20"/>
                <w:szCs w:val="20"/>
                <w:highlight w:val="none"/>
                <w:lang w:val="en-US" w:eastAsia="zh-CN" w:bidi="ar"/>
              </w:rPr>
              <w:t>120</w:t>
            </w:r>
          </w:p>
        </w:tc>
        <w:tc>
          <w:tcPr>
            <w:tcW w:w="3579"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color w:val="auto"/>
                <w:kern w:val="2"/>
                <w:szCs w:val="21"/>
                <w:highlight w:val="none"/>
                <w:lang w:val="zh-CN"/>
              </w:rPr>
            </w:pPr>
            <w:r>
              <w:rPr>
                <w:rFonts w:hint="eastAsia" w:ascii="宋体" w:hAnsi="宋体" w:cs="宋体"/>
                <w:i w:val="0"/>
                <w:color w:val="auto"/>
                <w:sz w:val="24"/>
                <w:szCs w:val="24"/>
                <w:highlight w:val="none"/>
                <w:u w:val="none"/>
                <w:lang w:val="en-US" w:eastAsia="zh-CN"/>
              </w:rPr>
              <w:t>适用于特洁安3000PLUS系统使用</w:t>
            </w:r>
          </w:p>
        </w:tc>
      </w:tr>
      <w:tr>
        <w:tblPrEx>
          <w:tblCellMar>
            <w:top w:w="0" w:type="dxa"/>
            <w:left w:w="108" w:type="dxa"/>
            <w:bottom w:w="0" w:type="dxa"/>
            <w:right w:w="108" w:type="dxa"/>
          </w:tblCellMar>
        </w:tblPrEx>
        <w:trPr>
          <w:trHeight w:val="285" w:hRule="atLeast"/>
        </w:trPr>
        <w:tc>
          <w:tcPr>
            <w:tcW w:w="917" w:type="dxa"/>
            <w:tcBorders>
              <w:top w:val="nil"/>
              <w:left w:val="single" w:color="auto" w:sz="4" w:space="0"/>
              <w:bottom w:val="single" w:color="auto" w:sz="8" w:space="0"/>
              <w:right w:val="single" w:color="auto" w:sz="4" w:space="0"/>
            </w:tcBorders>
            <w:shd w:val="clear" w:color="auto" w:fill="auto"/>
            <w:vAlign w:val="center"/>
          </w:tcPr>
          <w:p>
            <w:pPr>
              <w:widowControl w:val="0"/>
              <w:jc w:val="center"/>
              <w:rPr>
                <w:rFonts w:ascii="宋体" w:hAnsi="宋体" w:cs="宋体"/>
                <w:color w:val="auto"/>
                <w:kern w:val="2"/>
                <w:szCs w:val="21"/>
                <w:highlight w:val="none"/>
              </w:rPr>
            </w:pPr>
            <w:r>
              <w:rPr>
                <w:rFonts w:hint="eastAsia" w:ascii="宋体" w:hAnsi="宋体" w:cs="宋体"/>
                <w:color w:val="auto"/>
                <w:kern w:val="2"/>
                <w:szCs w:val="21"/>
                <w:highlight w:val="none"/>
              </w:rPr>
              <w:t>11</w:t>
            </w:r>
          </w:p>
        </w:tc>
        <w:tc>
          <w:tcPr>
            <w:tcW w:w="2925" w:type="dxa"/>
            <w:tcBorders>
              <w:top w:val="nil"/>
              <w:left w:val="single" w:color="auto" w:sz="4"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color w:val="auto"/>
                <w:kern w:val="2"/>
                <w:szCs w:val="21"/>
                <w:highlight w:val="none"/>
              </w:rPr>
            </w:pPr>
            <w:r>
              <w:rPr>
                <w:rFonts w:hint="eastAsia" w:ascii="宋体" w:hAnsi="宋体" w:eastAsia="宋体" w:cs="宋体"/>
                <w:color w:val="auto"/>
                <w:kern w:val="0"/>
                <w:sz w:val="20"/>
                <w:szCs w:val="20"/>
                <w:highlight w:val="none"/>
                <w:lang w:val="en-US" w:eastAsia="zh-CN" w:bidi="ar"/>
              </w:rPr>
              <w:t>灯管灯头插座</w:t>
            </w:r>
          </w:p>
        </w:tc>
        <w:tc>
          <w:tcPr>
            <w:tcW w:w="824"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color w:val="auto"/>
                <w:kern w:val="2"/>
                <w:szCs w:val="21"/>
                <w:highlight w:val="none"/>
              </w:rPr>
            </w:pPr>
            <w:r>
              <w:rPr>
                <w:rFonts w:hint="eastAsia" w:ascii="宋体" w:hAnsi="宋体" w:eastAsia="宋体" w:cs="宋体"/>
                <w:color w:val="auto"/>
                <w:kern w:val="2"/>
                <w:sz w:val="20"/>
                <w:szCs w:val="20"/>
                <w:highlight w:val="none"/>
                <w:lang w:val="en-US" w:eastAsia="zh-CN" w:bidi="ar"/>
              </w:rPr>
              <w:t>个</w:t>
            </w:r>
          </w:p>
        </w:tc>
        <w:tc>
          <w:tcPr>
            <w:tcW w:w="68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color w:val="auto"/>
                <w:kern w:val="2"/>
                <w:szCs w:val="21"/>
                <w:highlight w:val="none"/>
              </w:rPr>
            </w:pPr>
            <w:r>
              <w:rPr>
                <w:rFonts w:hint="eastAsia" w:ascii="宋体" w:hAnsi="宋体" w:eastAsia="宋体" w:cs="宋体"/>
                <w:color w:val="auto"/>
                <w:kern w:val="0"/>
                <w:sz w:val="20"/>
                <w:szCs w:val="20"/>
                <w:highlight w:val="none"/>
                <w:lang w:val="en-US" w:eastAsia="zh-CN" w:bidi="ar"/>
              </w:rPr>
              <w:t>20</w:t>
            </w:r>
          </w:p>
        </w:tc>
        <w:tc>
          <w:tcPr>
            <w:tcW w:w="3579"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color w:val="auto"/>
                <w:kern w:val="2"/>
                <w:szCs w:val="21"/>
                <w:highlight w:val="none"/>
                <w:lang w:val="zh-CN"/>
              </w:rPr>
            </w:pPr>
            <w:r>
              <w:rPr>
                <w:rFonts w:hint="eastAsia" w:ascii="宋体" w:hAnsi="宋体" w:cs="宋体"/>
                <w:i w:val="0"/>
                <w:color w:val="auto"/>
                <w:sz w:val="24"/>
                <w:szCs w:val="24"/>
                <w:highlight w:val="none"/>
                <w:u w:val="none"/>
                <w:lang w:val="en-US" w:eastAsia="zh-CN"/>
              </w:rPr>
              <w:t>三米线带硅胶定位槽4孔</w:t>
            </w:r>
          </w:p>
        </w:tc>
      </w:tr>
      <w:tr>
        <w:tblPrEx>
          <w:tblCellMar>
            <w:top w:w="0" w:type="dxa"/>
            <w:left w:w="108" w:type="dxa"/>
            <w:bottom w:w="0" w:type="dxa"/>
            <w:right w:w="108" w:type="dxa"/>
          </w:tblCellMar>
        </w:tblPrEx>
        <w:trPr>
          <w:trHeight w:val="420" w:hRule="atLeast"/>
        </w:trPr>
        <w:tc>
          <w:tcPr>
            <w:tcW w:w="917" w:type="dxa"/>
            <w:tcBorders>
              <w:top w:val="nil"/>
              <w:left w:val="single" w:color="auto" w:sz="4" w:space="0"/>
              <w:bottom w:val="single" w:color="auto" w:sz="8" w:space="0"/>
              <w:right w:val="single" w:color="auto" w:sz="4" w:space="0"/>
            </w:tcBorders>
            <w:shd w:val="clear" w:color="auto" w:fill="auto"/>
            <w:vAlign w:val="center"/>
          </w:tcPr>
          <w:p>
            <w:pPr>
              <w:widowControl w:val="0"/>
              <w:jc w:val="center"/>
              <w:rPr>
                <w:rFonts w:ascii="宋体" w:hAnsi="宋体" w:cs="宋体"/>
                <w:color w:val="auto"/>
                <w:kern w:val="2"/>
                <w:sz w:val="22"/>
                <w:szCs w:val="22"/>
                <w:highlight w:val="none"/>
              </w:rPr>
            </w:pPr>
            <w:r>
              <w:rPr>
                <w:rFonts w:hint="eastAsia" w:ascii="宋体" w:hAnsi="宋体" w:cs="宋体"/>
                <w:color w:val="auto"/>
                <w:kern w:val="2"/>
                <w:sz w:val="22"/>
                <w:szCs w:val="22"/>
                <w:highlight w:val="none"/>
              </w:rPr>
              <w:t>12</w:t>
            </w:r>
          </w:p>
        </w:tc>
        <w:tc>
          <w:tcPr>
            <w:tcW w:w="2925" w:type="dxa"/>
            <w:tcBorders>
              <w:top w:val="nil"/>
              <w:left w:val="single" w:color="auto" w:sz="4"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color w:val="auto"/>
                <w:kern w:val="2"/>
                <w:szCs w:val="21"/>
                <w:highlight w:val="none"/>
              </w:rPr>
            </w:pPr>
            <w:r>
              <w:rPr>
                <w:rFonts w:hint="eastAsia" w:ascii="宋体" w:hAnsi="宋体" w:eastAsia="宋体" w:cs="宋体"/>
                <w:color w:val="auto"/>
                <w:kern w:val="0"/>
                <w:sz w:val="20"/>
                <w:szCs w:val="20"/>
                <w:highlight w:val="none"/>
                <w:lang w:val="en-US" w:eastAsia="zh-CN" w:bidi="ar"/>
              </w:rPr>
              <w:t>模块控制板MCB（模块通讯板）</w:t>
            </w:r>
          </w:p>
        </w:tc>
        <w:tc>
          <w:tcPr>
            <w:tcW w:w="824"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color w:val="auto"/>
                <w:kern w:val="2"/>
                <w:szCs w:val="21"/>
                <w:highlight w:val="none"/>
              </w:rPr>
            </w:pPr>
            <w:r>
              <w:rPr>
                <w:rFonts w:hint="eastAsia" w:ascii="宋体" w:hAnsi="宋体" w:eastAsia="宋体" w:cs="宋体"/>
                <w:color w:val="auto"/>
                <w:kern w:val="2"/>
                <w:sz w:val="20"/>
                <w:szCs w:val="20"/>
                <w:highlight w:val="none"/>
                <w:lang w:val="en-US" w:eastAsia="zh-CN" w:bidi="ar"/>
              </w:rPr>
              <w:t>个</w:t>
            </w:r>
          </w:p>
        </w:tc>
        <w:tc>
          <w:tcPr>
            <w:tcW w:w="68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color w:val="auto"/>
                <w:kern w:val="2"/>
                <w:sz w:val="20"/>
                <w:szCs w:val="22"/>
                <w:highlight w:val="none"/>
              </w:rPr>
            </w:pPr>
            <w:r>
              <w:rPr>
                <w:rFonts w:hint="eastAsia" w:ascii="宋体" w:hAnsi="宋体" w:eastAsia="宋体" w:cs="宋体"/>
                <w:color w:val="auto"/>
                <w:kern w:val="0"/>
                <w:sz w:val="20"/>
                <w:szCs w:val="20"/>
                <w:highlight w:val="none"/>
                <w:lang w:val="en-US" w:eastAsia="zh-CN" w:bidi="ar"/>
              </w:rPr>
              <w:t>4</w:t>
            </w:r>
          </w:p>
        </w:tc>
        <w:tc>
          <w:tcPr>
            <w:tcW w:w="3579"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color w:val="auto"/>
                <w:kern w:val="2"/>
                <w:szCs w:val="21"/>
                <w:highlight w:val="none"/>
                <w:lang w:val="zh-CN"/>
              </w:rPr>
            </w:pPr>
            <w:r>
              <w:rPr>
                <w:rFonts w:hint="eastAsia" w:ascii="宋体" w:hAnsi="宋体" w:cs="宋体"/>
                <w:i w:val="0"/>
                <w:color w:val="auto"/>
                <w:sz w:val="24"/>
                <w:szCs w:val="24"/>
                <w:highlight w:val="none"/>
                <w:u w:val="none"/>
                <w:lang w:val="en-US" w:eastAsia="zh-CN"/>
              </w:rPr>
              <w:t>2220-227v</w:t>
            </w:r>
          </w:p>
        </w:tc>
      </w:tr>
      <w:tr>
        <w:tblPrEx>
          <w:tblCellMar>
            <w:top w:w="0" w:type="dxa"/>
            <w:left w:w="108" w:type="dxa"/>
            <w:bottom w:w="0" w:type="dxa"/>
            <w:right w:w="108" w:type="dxa"/>
          </w:tblCellMar>
        </w:tblPrEx>
        <w:trPr>
          <w:trHeight w:val="285" w:hRule="atLeast"/>
        </w:trPr>
        <w:tc>
          <w:tcPr>
            <w:tcW w:w="917" w:type="dxa"/>
            <w:tcBorders>
              <w:top w:val="nil"/>
              <w:left w:val="single" w:color="auto" w:sz="4" w:space="0"/>
              <w:bottom w:val="single" w:color="auto" w:sz="8" w:space="0"/>
              <w:right w:val="single" w:color="auto" w:sz="4" w:space="0"/>
            </w:tcBorders>
            <w:shd w:val="clear" w:color="auto" w:fill="auto"/>
            <w:vAlign w:val="center"/>
          </w:tcPr>
          <w:p>
            <w:pPr>
              <w:widowControl w:val="0"/>
              <w:jc w:val="center"/>
              <w:rPr>
                <w:rFonts w:ascii="宋体" w:hAnsi="宋体" w:cs="宋体"/>
                <w:color w:val="auto"/>
                <w:kern w:val="2"/>
                <w:sz w:val="22"/>
                <w:szCs w:val="22"/>
                <w:highlight w:val="none"/>
              </w:rPr>
            </w:pPr>
            <w:r>
              <w:rPr>
                <w:rFonts w:hint="eastAsia" w:ascii="宋体" w:hAnsi="宋体" w:cs="宋体"/>
                <w:color w:val="auto"/>
                <w:kern w:val="2"/>
                <w:sz w:val="22"/>
                <w:szCs w:val="22"/>
                <w:highlight w:val="none"/>
              </w:rPr>
              <w:t>13</w:t>
            </w:r>
          </w:p>
        </w:tc>
        <w:tc>
          <w:tcPr>
            <w:tcW w:w="2925" w:type="dxa"/>
            <w:tcBorders>
              <w:top w:val="nil"/>
              <w:left w:val="single" w:color="auto" w:sz="4"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color w:val="auto"/>
                <w:kern w:val="2"/>
                <w:szCs w:val="21"/>
                <w:highlight w:val="none"/>
              </w:rPr>
            </w:pPr>
            <w:r>
              <w:rPr>
                <w:rFonts w:hint="eastAsia" w:ascii="宋体" w:hAnsi="宋体" w:eastAsia="宋体" w:cs="宋体"/>
                <w:color w:val="auto"/>
                <w:kern w:val="0"/>
                <w:sz w:val="20"/>
                <w:szCs w:val="20"/>
                <w:highlight w:val="none"/>
                <w:lang w:val="en-US" w:eastAsia="zh-CN" w:bidi="ar"/>
              </w:rPr>
              <w:t>镇流器</w:t>
            </w:r>
          </w:p>
        </w:tc>
        <w:tc>
          <w:tcPr>
            <w:tcW w:w="824"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color w:val="auto"/>
                <w:kern w:val="2"/>
                <w:szCs w:val="21"/>
                <w:highlight w:val="none"/>
              </w:rPr>
            </w:pPr>
            <w:r>
              <w:rPr>
                <w:rFonts w:hint="eastAsia" w:ascii="宋体" w:hAnsi="宋体" w:eastAsia="宋体" w:cs="宋体"/>
                <w:color w:val="auto"/>
                <w:kern w:val="2"/>
                <w:sz w:val="20"/>
                <w:szCs w:val="20"/>
                <w:highlight w:val="none"/>
                <w:lang w:val="en-US" w:eastAsia="zh-CN" w:bidi="ar"/>
              </w:rPr>
              <w:t>个</w:t>
            </w:r>
          </w:p>
        </w:tc>
        <w:tc>
          <w:tcPr>
            <w:tcW w:w="68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color w:val="auto"/>
                <w:kern w:val="2"/>
                <w:sz w:val="20"/>
                <w:szCs w:val="22"/>
                <w:highlight w:val="none"/>
              </w:rPr>
            </w:pPr>
            <w:r>
              <w:rPr>
                <w:rFonts w:hint="eastAsia" w:ascii="宋体" w:hAnsi="宋体" w:eastAsia="宋体" w:cs="宋体"/>
                <w:color w:val="auto"/>
                <w:kern w:val="0"/>
                <w:sz w:val="20"/>
                <w:szCs w:val="20"/>
                <w:highlight w:val="none"/>
                <w:lang w:val="en-US" w:eastAsia="zh-CN" w:bidi="ar"/>
              </w:rPr>
              <w:t>10</w:t>
            </w:r>
          </w:p>
        </w:tc>
        <w:tc>
          <w:tcPr>
            <w:tcW w:w="3579"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color w:val="auto"/>
                <w:kern w:val="2"/>
                <w:szCs w:val="21"/>
                <w:highlight w:val="none"/>
                <w:lang w:val="zh-CN"/>
              </w:rPr>
            </w:pPr>
            <w:r>
              <w:rPr>
                <w:rFonts w:hint="eastAsia" w:ascii="宋体" w:hAnsi="宋体" w:cs="宋体"/>
                <w:i w:val="0"/>
                <w:color w:val="auto"/>
                <w:sz w:val="24"/>
                <w:szCs w:val="24"/>
                <w:highlight w:val="none"/>
                <w:u w:val="none"/>
                <w:lang w:val="en-US" w:eastAsia="zh-CN"/>
              </w:rPr>
              <w:t>UBP250/2-18N</w:t>
            </w:r>
          </w:p>
        </w:tc>
      </w:tr>
      <w:tr>
        <w:tblPrEx>
          <w:tblCellMar>
            <w:top w:w="0" w:type="dxa"/>
            <w:left w:w="108" w:type="dxa"/>
            <w:bottom w:w="0" w:type="dxa"/>
            <w:right w:w="108" w:type="dxa"/>
          </w:tblCellMar>
        </w:tblPrEx>
        <w:trPr>
          <w:trHeight w:val="285" w:hRule="atLeast"/>
        </w:trPr>
        <w:tc>
          <w:tcPr>
            <w:tcW w:w="917" w:type="dxa"/>
            <w:tcBorders>
              <w:top w:val="nil"/>
              <w:left w:val="single" w:color="auto" w:sz="4" w:space="0"/>
              <w:bottom w:val="single" w:color="auto" w:sz="8" w:space="0"/>
              <w:right w:val="single" w:color="auto" w:sz="4" w:space="0"/>
            </w:tcBorders>
            <w:shd w:val="clear" w:color="auto" w:fill="auto"/>
            <w:vAlign w:val="center"/>
          </w:tcPr>
          <w:p>
            <w:pPr>
              <w:widowControl w:val="0"/>
              <w:jc w:val="center"/>
              <w:rPr>
                <w:rFonts w:ascii="宋体" w:hAnsi="宋体" w:cs="宋体"/>
                <w:color w:val="auto"/>
                <w:kern w:val="2"/>
                <w:sz w:val="22"/>
                <w:szCs w:val="22"/>
                <w:highlight w:val="none"/>
              </w:rPr>
            </w:pPr>
            <w:r>
              <w:rPr>
                <w:rFonts w:hint="eastAsia" w:ascii="宋体" w:hAnsi="宋体" w:cs="宋体"/>
                <w:color w:val="auto"/>
                <w:kern w:val="2"/>
                <w:sz w:val="22"/>
                <w:szCs w:val="22"/>
                <w:highlight w:val="none"/>
              </w:rPr>
              <w:t>14</w:t>
            </w:r>
          </w:p>
        </w:tc>
        <w:tc>
          <w:tcPr>
            <w:tcW w:w="2925" w:type="dxa"/>
            <w:tcBorders>
              <w:top w:val="nil"/>
              <w:left w:val="single" w:color="auto" w:sz="4"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color w:val="auto"/>
                <w:kern w:val="2"/>
                <w:szCs w:val="21"/>
                <w:highlight w:val="none"/>
              </w:rPr>
            </w:pPr>
            <w:r>
              <w:rPr>
                <w:rFonts w:hint="eastAsia" w:ascii="宋体" w:hAnsi="宋体" w:eastAsia="宋体" w:cs="宋体"/>
                <w:color w:val="auto"/>
                <w:kern w:val="0"/>
                <w:sz w:val="20"/>
                <w:szCs w:val="20"/>
                <w:highlight w:val="none"/>
                <w:lang w:val="en-US" w:eastAsia="zh-CN" w:bidi="ar"/>
              </w:rPr>
              <w:t>液压杆润滑油脂</w:t>
            </w:r>
          </w:p>
        </w:tc>
        <w:tc>
          <w:tcPr>
            <w:tcW w:w="824"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color w:val="auto"/>
                <w:kern w:val="2"/>
                <w:szCs w:val="21"/>
                <w:highlight w:val="none"/>
              </w:rPr>
            </w:pPr>
            <w:r>
              <w:rPr>
                <w:rFonts w:hint="eastAsia" w:ascii="宋体" w:hAnsi="宋体" w:eastAsia="宋体" w:cs="宋体"/>
                <w:color w:val="auto"/>
                <w:kern w:val="0"/>
                <w:sz w:val="20"/>
                <w:szCs w:val="20"/>
                <w:highlight w:val="none"/>
                <w:lang w:val="en-US" w:eastAsia="zh-CN" w:bidi="ar"/>
              </w:rPr>
              <w:t>支</w:t>
            </w:r>
          </w:p>
        </w:tc>
        <w:tc>
          <w:tcPr>
            <w:tcW w:w="68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color w:val="auto"/>
                <w:kern w:val="2"/>
                <w:sz w:val="20"/>
                <w:szCs w:val="22"/>
                <w:highlight w:val="none"/>
              </w:rPr>
            </w:pPr>
            <w:r>
              <w:rPr>
                <w:rFonts w:hint="eastAsia" w:ascii="宋体" w:hAnsi="宋体" w:eastAsia="宋体" w:cs="宋体"/>
                <w:color w:val="auto"/>
                <w:kern w:val="0"/>
                <w:sz w:val="20"/>
                <w:szCs w:val="20"/>
                <w:highlight w:val="none"/>
                <w:lang w:val="en-US" w:eastAsia="zh-CN" w:bidi="ar"/>
              </w:rPr>
              <w:t>15</w:t>
            </w:r>
          </w:p>
        </w:tc>
        <w:tc>
          <w:tcPr>
            <w:tcW w:w="3579"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color w:val="auto"/>
                <w:kern w:val="2"/>
                <w:szCs w:val="21"/>
                <w:highlight w:val="none"/>
                <w:lang w:val="zh-CN"/>
              </w:rPr>
            </w:pPr>
            <w:r>
              <w:rPr>
                <w:rFonts w:hint="eastAsia" w:ascii="宋体" w:hAnsi="宋体" w:cs="宋体"/>
                <w:i w:val="0"/>
                <w:color w:val="auto"/>
                <w:sz w:val="24"/>
                <w:szCs w:val="24"/>
                <w:highlight w:val="none"/>
                <w:u w:val="none"/>
                <w:lang w:val="en-US" w:eastAsia="zh-CN"/>
              </w:rPr>
              <w:t>低粘度矿物液压油</w:t>
            </w:r>
          </w:p>
        </w:tc>
      </w:tr>
      <w:tr>
        <w:tblPrEx>
          <w:tblCellMar>
            <w:top w:w="0" w:type="dxa"/>
            <w:left w:w="108" w:type="dxa"/>
            <w:bottom w:w="0" w:type="dxa"/>
            <w:right w:w="108" w:type="dxa"/>
          </w:tblCellMar>
        </w:tblPrEx>
        <w:trPr>
          <w:trHeight w:val="285" w:hRule="atLeast"/>
        </w:trPr>
        <w:tc>
          <w:tcPr>
            <w:tcW w:w="917" w:type="dxa"/>
            <w:tcBorders>
              <w:top w:val="nil"/>
              <w:left w:val="single" w:color="auto" w:sz="4" w:space="0"/>
              <w:bottom w:val="single" w:color="auto" w:sz="8" w:space="0"/>
              <w:right w:val="single" w:color="auto" w:sz="4" w:space="0"/>
            </w:tcBorders>
            <w:shd w:val="clear" w:color="auto" w:fill="auto"/>
            <w:vAlign w:val="center"/>
          </w:tcPr>
          <w:p>
            <w:pPr>
              <w:widowControl w:val="0"/>
              <w:jc w:val="center"/>
              <w:rPr>
                <w:rFonts w:ascii="宋体" w:hAnsi="宋体" w:cs="宋体"/>
                <w:color w:val="auto"/>
                <w:kern w:val="2"/>
                <w:sz w:val="22"/>
                <w:szCs w:val="22"/>
                <w:highlight w:val="none"/>
              </w:rPr>
            </w:pPr>
            <w:r>
              <w:rPr>
                <w:rFonts w:hint="eastAsia" w:ascii="宋体" w:hAnsi="宋体" w:cs="宋体"/>
                <w:color w:val="auto"/>
                <w:kern w:val="2"/>
                <w:sz w:val="22"/>
                <w:szCs w:val="22"/>
                <w:highlight w:val="none"/>
              </w:rPr>
              <w:t>15</w:t>
            </w:r>
          </w:p>
        </w:tc>
        <w:tc>
          <w:tcPr>
            <w:tcW w:w="2925" w:type="dxa"/>
            <w:tcBorders>
              <w:top w:val="nil"/>
              <w:left w:val="single" w:color="auto" w:sz="4"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color w:val="auto"/>
                <w:kern w:val="2"/>
                <w:szCs w:val="21"/>
                <w:highlight w:val="none"/>
              </w:rPr>
            </w:pPr>
            <w:r>
              <w:rPr>
                <w:rFonts w:hint="eastAsia" w:ascii="宋体" w:hAnsi="宋体" w:eastAsia="宋体" w:cs="宋体"/>
                <w:color w:val="auto"/>
                <w:kern w:val="0"/>
                <w:sz w:val="20"/>
                <w:szCs w:val="20"/>
                <w:highlight w:val="none"/>
                <w:lang w:val="en-US" w:eastAsia="zh-CN" w:bidi="ar"/>
              </w:rPr>
              <w:t>液压油</w:t>
            </w:r>
          </w:p>
        </w:tc>
        <w:tc>
          <w:tcPr>
            <w:tcW w:w="824"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color w:val="auto"/>
                <w:kern w:val="2"/>
                <w:szCs w:val="21"/>
                <w:highlight w:val="none"/>
              </w:rPr>
            </w:pPr>
            <w:r>
              <w:rPr>
                <w:rFonts w:hint="eastAsia" w:ascii="宋体" w:hAnsi="宋体" w:eastAsia="宋体" w:cs="宋体"/>
                <w:color w:val="auto"/>
                <w:kern w:val="0"/>
                <w:sz w:val="20"/>
                <w:szCs w:val="20"/>
                <w:highlight w:val="none"/>
                <w:lang w:val="en-US" w:eastAsia="zh-CN" w:bidi="ar"/>
              </w:rPr>
              <w:t>桶</w:t>
            </w:r>
          </w:p>
        </w:tc>
        <w:tc>
          <w:tcPr>
            <w:tcW w:w="68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color w:val="auto"/>
                <w:kern w:val="2"/>
                <w:sz w:val="20"/>
                <w:szCs w:val="22"/>
                <w:highlight w:val="none"/>
              </w:rPr>
            </w:pPr>
            <w:r>
              <w:rPr>
                <w:rFonts w:hint="eastAsia" w:ascii="宋体" w:hAnsi="宋体" w:eastAsia="宋体" w:cs="宋体"/>
                <w:color w:val="auto"/>
                <w:kern w:val="0"/>
                <w:sz w:val="20"/>
                <w:szCs w:val="20"/>
                <w:highlight w:val="none"/>
                <w:lang w:val="en-US" w:eastAsia="zh-CN" w:bidi="ar"/>
              </w:rPr>
              <w:t>2</w:t>
            </w:r>
          </w:p>
        </w:tc>
        <w:tc>
          <w:tcPr>
            <w:tcW w:w="3579"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color w:val="auto"/>
                <w:kern w:val="2"/>
                <w:szCs w:val="21"/>
                <w:highlight w:val="none"/>
                <w:lang w:val="zh-CN"/>
              </w:rPr>
            </w:pPr>
            <w:r>
              <w:rPr>
                <w:rFonts w:hint="eastAsia" w:ascii="宋体" w:hAnsi="宋体" w:cs="宋体"/>
                <w:i w:val="0"/>
                <w:color w:val="auto"/>
                <w:sz w:val="24"/>
                <w:szCs w:val="24"/>
                <w:highlight w:val="none"/>
                <w:u w:val="none"/>
                <w:lang w:val="en-US" w:eastAsia="zh-CN"/>
              </w:rPr>
              <w:t>美孚 DTE10 V15</w:t>
            </w:r>
          </w:p>
        </w:tc>
      </w:tr>
      <w:tr>
        <w:tblPrEx>
          <w:tblCellMar>
            <w:top w:w="0" w:type="dxa"/>
            <w:left w:w="108" w:type="dxa"/>
            <w:bottom w:w="0" w:type="dxa"/>
            <w:right w:w="108" w:type="dxa"/>
          </w:tblCellMar>
        </w:tblPrEx>
        <w:trPr>
          <w:trHeight w:val="285" w:hRule="atLeast"/>
        </w:trPr>
        <w:tc>
          <w:tcPr>
            <w:tcW w:w="917" w:type="dxa"/>
            <w:tcBorders>
              <w:top w:val="nil"/>
              <w:left w:val="single" w:color="auto" w:sz="4" w:space="0"/>
              <w:bottom w:val="single" w:color="auto" w:sz="8" w:space="0"/>
              <w:right w:val="single" w:color="auto" w:sz="4" w:space="0"/>
            </w:tcBorders>
            <w:shd w:val="clear" w:color="auto" w:fill="auto"/>
            <w:vAlign w:val="center"/>
          </w:tcPr>
          <w:p>
            <w:pPr>
              <w:widowControl w:val="0"/>
              <w:jc w:val="center"/>
              <w:rPr>
                <w:rFonts w:ascii="宋体" w:hAnsi="宋体" w:cs="宋体"/>
                <w:color w:val="auto"/>
                <w:kern w:val="2"/>
                <w:sz w:val="22"/>
                <w:szCs w:val="22"/>
                <w:highlight w:val="none"/>
              </w:rPr>
            </w:pPr>
            <w:r>
              <w:rPr>
                <w:rFonts w:hint="eastAsia" w:ascii="宋体" w:hAnsi="宋体" w:cs="宋体"/>
                <w:color w:val="auto"/>
                <w:kern w:val="2"/>
                <w:sz w:val="22"/>
                <w:szCs w:val="22"/>
                <w:highlight w:val="none"/>
              </w:rPr>
              <w:t>16</w:t>
            </w:r>
          </w:p>
        </w:tc>
        <w:tc>
          <w:tcPr>
            <w:tcW w:w="2925" w:type="dxa"/>
            <w:tcBorders>
              <w:top w:val="nil"/>
              <w:left w:val="single" w:color="auto" w:sz="4"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color w:val="auto"/>
                <w:kern w:val="2"/>
                <w:szCs w:val="21"/>
                <w:highlight w:val="none"/>
              </w:rPr>
            </w:pPr>
            <w:r>
              <w:rPr>
                <w:rFonts w:hint="eastAsia" w:ascii="宋体" w:hAnsi="宋体" w:eastAsia="宋体" w:cs="宋体"/>
                <w:color w:val="auto"/>
                <w:kern w:val="0"/>
                <w:sz w:val="20"/>
                <w:szCs w:val="20"/>
                <w:highlight w:val="none"/>
                <w:lang w:val="en-US" w:eastAsia="zh-CN" w:bidi="ar"/>
              </w:rPr>
              <w:t>传感器电缆套件（含电缆和扣环）</w:t>
            </w:r>
          </w:p>
        </w:tc>
        <w:tc>
          <w:tcPr>
            <w:tcW w:w="824"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color w:val="auto"/>
                <w:kern w:val="2"/>
                <w:szCs w:val="21"/>
                <w:highlight w:val="none"/>
              </w:rPr>
            </w:pPr>
            <w:r>
              <w:rPr>
                <w:rFonts w:hint="eastAsia" w:ascii="宋体" w:hAnsi="宋体" w:eastAsia="宋体" w:cs="宋体"/>
                <w:color w:val="auto"/>
                <w:kern w:val="0"/>
                <w:sz w:val="20"/>
                <w:szCs w:val="20"/>
                <w:highlight w:val="none"/>
                <w:lang w:val="en-US" w:eastAsia="zh-CN" w:bidi="ar"/>
              </w:rPr>
              <w:t>套</w:t>
            </w:r>
          </w:p>
        </w:tc>
        <w:tc>
          <w:tcPr>
            <w:tcW w:w="68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color w:val="auto"/>
                <w:kern w:val="2"/>
                <w:sz w:val="20"/>
                <w:szCs w:val="22"/>
                <w:highlight w:val="none"/>
              </w:rPr>
            </w:pPr>
            <w:r>
              <w:rPr>
                <w:rFonts w:hint="eastAsia" w:ascii="宋体" w:hAnsi="宋体" w:cs="宋体"/>
                <w:i w:val="0"/>
                <w:color w:val="auto"/>
                <w:sz w:val="24"/>
                <w:szCs w:val="24"/>
                <w:highlight w:val="none"/>
                <w:u w:val="none"/>
                <w:lang w:val="en-US" w:eastAsia="zh-CN"/>
              </w:rPr>
              <w:t>1</w:t>
            </w:r>
          </w:p>
        </w:tc>
        <w:tc>
          <w:tcPr>
            <w:tcW w:w="3579"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color w:val="auto"/>
                <w:kern w:val="2"/>
                <w:szCs w:val="21"/>
                <w:highlight w:val="none"/>
                <w:lang w:val="zh-CN"/>
              </w:rPr>
            </w:pPr>
            <w:r>
              <w:rPr>
                <w:rFonts w:hint="eastAsia" w:ascii="宋体" w:hAnsi="宋体" w:cs="宋体"/>
                <w:i w:val="0"/>
                <w:color w:val="auto"/>
                <w:sz w:val="24"/>
                <w:szCs w:val="24"/>
                <w:highlight w:val="none"/>
                <w:u w:val="none"/>
                <w:lang w:val="en-US" w:eastAsia="zh-CN"/>
              </w:rPr>
              <w:t>适用于特洁安3000PLUS系统使用</w:t>
            </w:r>
          </w:p>
        </w:tc>
      </w:tr>
      <w:tr>
        <w:tblPrEx>
          <w:tblCellMar>
            <w:top w:w="0" w:type="dxa"/>
            <w:left w:w="108" w:type="dxa"/>
            <w:bottom w:w="0" w:type="dxa"/>
            <w:right w:w="108" w:type="dxa"/>
          </w:tblCellMar>
        </w:tblPrEx>
        <w:trPr>
          <w:trHeight w:val="285" w:hRule="atLeast"/>
        </w:trPr>
        <w:tc>
          <w:tcPr>
            <w:tcW w:w="917" w:type="dxa"/>
            <w:tcBorders>
              <w:top w:val="nil"/>
              <w:left w:val="single" w:color="auto" w:sz="4" w:space="0"/>
              <w:bottom w:val="single" w:color="auto" w:sz="8" w:space="0"/>
              <w:right w:val="single" w:color="auto" w:sz="4" w:space="0"/>
            </w:tcBorders>
            <w:shd w:val="clear" w:color="auto" w:fill="auto"/>
            <w:vAlign w:val="center"/>
          </w:tcPr>
          <w:p>
            <w:pPr>
              <w:widowControl w:val="0"/>
              <w:jc w:val="center"/>
              <w:rPr>
                <w:rFonts w:ascii="宋体" w:hAnsi="宋体" w:cs="宋体"/>
                <w:color w:val="auto"/>
                <w:kern w:val="2"/>
                <w:sz w:val="22"/>
                <w:szCs w:val="22"/>
                <w:highlight w:val="none"/>
              </w:rPr>
            </w:pPr>
            <w:r>
              <w:rPr>
                <w:rFonts w:hint="eastAsia" w:ascii="宋体" w:hAnsi="宋体" w:cs="宋体"/>
                <w:color w:val="auto"/>
                <w:kern w:val="2"/>
                <w:sz w:val="22"/>
                <w:szCs w:val="22"/>
                <w:highlight w:val="none"/>
              </w:rPr>
              <w:t>17</w:t>
            </w:r>
          </w:p>
        </w:tc>
        <w:tc>
          <w:tcPr>
            <w:tcW w:w="2925" w:type="dxa"/>
            <w:tcBorders>
              <w:top w:val="nil"/>
              <w:left w:val="single" w:color="auto" w:sz="4"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color w:val="auto"/>
                <w:kern w:val="2"/>
                <w:szCs w:val="21"/>
                <w:highlight w:val="none"/>
              </w:rPr>
            </w:pPr>
            <w:r>
              <w:rPr>
                <w:rFonts w:hint="eastAsia" w:ascii="宋体" w:hAnsi="宋体" w:eastAsia="宋体" w:cs="宋体"/>
                <w:color w:val="auto"/>
                <w:kern w:val="0"/>
                <w:sz w:val="20"/>
                <w:szCs w:val="20"/>
                <w:highlight w:val="none"/>
                <w:lang w:val="en-US" w:eastAsia="zh-CN" w:bidi="ar"/>
              </w:rPr>
              <w:t>PDC内光强传感器</w:t>
            </w:r>
          </w:p>
        </w:tc>
        <w:tc>
          <w:tcPr>
            <w:tcW w:w="824"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color w:val="auto"/>
                <w:kern w:val="2"/>
                <w:szCs w:val="21"/>
                <w:highlight w:val="none"/>
              </w:rPr>
            </w:pPr>
            <w:r>
              <w:rPr>
                <w:rFonts w:hint="eastAsia" w:ascii="宋体" w:hAnsi="宋体" w:eastAsia="宋体" w:cs="宋体"/>
                <w:color w:val="auto"/>
                <w:kern w:val="0"/>
                <w:sz w:val="20"/>
                <w:szCs w:val="20"/>
                <w:highlight w:val="none"/>
                <w:lang w:val="en-US" w:eastAsia="zh-CN" w:bidi="ar"/>
              </w:rPr>
              <w:t>套</w:t>
            </w:r>
          </w:p>
        </w:tc>
        <w:tc>
          <w:tcPr>
            <w:tcW w:w="68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color w:val="auto"/>
                <w:kern w:val="2"/>
                <w:sz w:val="20"/>
                <w:szCs w:val="22"/>
                <w:highlight w:val="none"/>
              </w:rPr>
            </w:pPr>
            <w:r>
              <w:rPr>
                <w:rFonts w:hint="eastAsia" w:ascii="宋体" w:hAnsi="宋体" w:cs="宋体"/>
                <w:i w:val="0"/>
                <w:color w:val="auto"/>
                <w:sz w:val="24"/>
                <w:szCs w:val="24"/>
                <w:highlight w:val="none"/>
                <w:u w:val="none"/>
                <w:lang w:val="en-US" w:eastAsia="zh-CN"/>
              </w:rPr>
              <w:t>2</w:t>
            </w:r>
          </w:p>
        </w:tc>
        <w:tc>
          <w:tcPr>
            <w:tcW w:w="3579"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color w:val="auto"/>
                <w:kern w:val="2"/>
                <w:szCs w:val="21"/>
                <w:highlight w:val="none"/>
                <w:lang w:val="zh-CN"/>
              </w:rPr>
            </w:pPr>
            <w:r>
              <w:rPr>
                <w:rFonts w:hint="eastAsia" w:ascii="宋体" w:hAnsi="宋体" w:cs="宋体"/>
                <w:i w:val="0"/>
                <w:color w:val="auto"/>
                <w:sz w:val="24"/>
                <w:szCs w:val="24"/>
                <w:highlight w:val="none"/>
                <w:u w:val="none"/>
                <w:lang w:val="en-US" w:eastAsia="zh-CN"/>
              </w:rPr>
              <w:t>碳硅光电二极管，DC24V,4-20mA</w:t>
            </w:r>
          </w:p>
        </w:tc>
      </w:tr>
      <w:tr>
        <w:tblPrEx>
          <w:tblCellMar>
            <w:top w:w="0" w:type="dxa"/>
            <w:left w:w="108" w:type="dxa"/>
            <w:bottom w:w="0" w:type="dxa"/>
            <w:right w:w="108" w:type="dxa"/>
          </w:tblCellMar>
        </w:tblPrEx>
        <w:trPr>
          <w:trHeight w:val="285" w:hRule="atLeast"/>
        </w:trPr>
        <w:tc>
          <w:tcPr>
            <w:tcW w:w="917" w:type="dxa"/>
            <w:tcBorders>
              <w:top w:val="nil"/>
              <w:left w:val="single" w:color="auto" w:sz="4" w:space="0"/>
              <w:bottom w:val="single" w:color="auto" w:sz="4" w:space="0"/>
              <w:right w:val="single" w:color="auto" w:sz="4" w:space="0"/>
            </w:tcBorders>
            <w:shd w:val="clear" w:color="auto" w:fill="auto"/>
            <w:vAlign w:val="center"/>
          </w:tcPr>
          <w:p>
            <w:pPr>
              <w:widowControl w:val="0"/>
              <w:jc w:val="center"/>
              <w:rPr>
                <w:rFonts w:ascii="宋体" w:hAnsi="宋体" w:cs="宋体"/>
                <w:color w:val="auto"/>
                <w:kern w:val="2"/>
                <w:sz w:val="22"/>
                <w:szCs w:val="22"/>
                <w:highlight w:val="none"/>
              </w:rPr>
            </w:pPr>
            <w:r>
              <w:rPr>
                <w:rFonts w:hint="eastAsia" w:ascii="宋体" w:hAnsi="宋体" w:cs="宋体"/>
                <w:color w:val="auto"/>
                <w:kern w:val="2"/>
                <w:sz w:val="22"/>
                <w:szCs w:val="22"/>
                <w:highlight w:val="none"/>
              </w:rPr>
              <w:t>18</w:t>
            </w:r>
          </w:p>
        </w:tc>
        <w:tc>
          <w:tcPr>
            <w:tcW w:w="2925" w:type="dxa"/>
            <w:tcBorders>
              <w:top w:val="nil"/>
              <w:left w:val="single" w:color="auto" w:sz="4"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color w:val="auto"/>
                <w:kern w:val="2"/>
                <w:szCs w:val="21"/>
                <w:highlight w:val="none"/>
              </w:rPr>
            </w:pPr>
            <w:r>
              <w:rPr>
                <w:rFonts w:hint="eastAsia" w:ascii="宋体" w:hAnsi="宋体" w:eastAsia="宋体" w:cs="宋体"/>
                <w:color w:val="auto"/>
                <w:kern w:val="0"/>
                <w:sz w:val="20"/>
                <w:szCs w:val="20"/>
                <w:highlight w:val="none"/>
                <w:lang w:val="en-US" w:eastAsia="zh-CN" w:bidi="ar"/>
              </w:rPr>
              <w:t>液压过滤器</w:t>
            </w:r>
          </w:p>
        </w:tc>
        <w:tc>
          <w:tcPr>
            <w:tcW w:w="824"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color w:val="auto"/>
                <w:kern w:val="2"/>
                <w:szCs w:val="21"/>
                <w:highlight w:val="none"/>
              </w:rPr>
            </w:pPr>
            <w:r>
              <w:rPr>
                <w:rFonts w:hint="eastAsia" w:ascii="宋体" w:hAnsi="宋体" w:eastAsia="宋体" w:cs="宋体"/>
                <w:color w:val="auto"/>
                <w:kern w:val="0"/>
                <w:sz w:val="20"/>
                <w:szCs w:val="20"/>
                <w:highlight w:val="none"/>
                <w:lang w:val="en-US" w:eastAsia="zh-CN" w:bidi="ar"/>
              </w:rPr>
              <w:t>个</w:t>
            </w:r>
          </w:p>
        </w:tc>
        <w:tc>
          <w:tcPr>
            <w:tcW w:w="68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color w:val="auto"/>
                <w:kern w:val="2"/>
                <w:sz w:val="20"/>
                <w:szCs w:val="22"/>
                <w:highlight w:val="none"/>
              </w:rPr>
            </w:pPr>
            <w:r>
              <w:rPr>
                <w:rFonts w:hint="eastAsia" w:ascii="宋体" w:hAnsi="宋体" w:cs="宋体"/>
                <w:i w:val="0"/>
                <w:color w:val="auto"/>
                <w:sz w:val="24"/>
                <w:szCs w:val="24"/>
                <w:highlight w:val="none"/>
                <w:u w:val="none"/>
                <w:lang w:val="en-US" w:eastAsia="zh-CN"/>
              </w:rPr>
              <w:t>3</w:t>
            </w:r>
          </w:p>
        </w:tc>
        <w:tc>
          <w:tcPr>
            <w:tcW w:w="3579"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color w:val="auto"/>
                <w:kern w:val="2"/>
                <w:szCs w:val="21"/>
                <w:highlight w:val="none"/>
                <w:lang w:val="zh-CN"/>
              </w:rPr>
            </w:pPr>
            <w:r>
              <w:rPr>
                <w:rFonts w:hint="eastAsia" w:ascii="宋体" w:hAnsi="宋体" w:cs="宋体"/>
                <w:i w:val="0"/>
                <w:color w:val="auto"/>
                <w:sz w:val="24"/>
                <w:szCs w:val="24"/>
                <w:highlight w:val="none"/>
                <w:u w:val="none"/>
                <w:lang w:val="en-US" w:eastAsia="zh-CN"/>
              </w:rPr>
              <w:t>适用于特洁安3000PLUS系统使用</w:t>
            </w:r>
          </w:p>
        </w:tc>
      </w:tr>
    </w:tbl>
    <w:p>
      <w:pPr>
        <w:pStyle w:val="22"/>
        <w:keepNext w:val="0"/>
        <w:keepLines w:val="0"/>
        <w:pageBreakBefore w:val="0"/>
        <w:widowControl w:val="0"/>
        <w:kinsoku/>
        <w:wordWrap/>
        <w:overflowPunct/>
        <w:topLinePunct w:val="0"/>
        <w:autoSpaceDE/>
        <w:autoSpaceDN/>
        <w:bidi w:val="0"/>
        <w:adjustRightInd w:val="0"/>
        <w:snapToGrid w:val="0"/>
        <w:ind w:left="0" w:leftChars="0" w:firstLine="480" w:firstLineChars="200"/>
        <w:textAlignment w:val="baseline"/>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rPr>
        <w:t>备注：以上配件均包含拆装更换等施工维修费用。</w:t>
      </w:r>
    </w:p>
    <w:p>
      <w:pPr>
        <w:pStyle w:val="22"/>
        <w:ind w:left="0" w:leftChars="0" w:firstLine="0" w:firstLineChars="0"/>
        <w:rPr>
          <w:rFonts w:hint="eastAsia" w:ascii="仿宋_GB2312" w:eastAsia="仿宋_GB2312"/>
          <w:color w:val="auto"/>
          <w:sz w:val="28"/>
          <w:szCs w:val="28"/>
          <w:highlight w:val="none"/>
          <w:lang w:val="en-US" w:eastAsia="zh-CN"/>
        </w:rPr>
      </w:pPr>
      <w:r>
        <w:rPr>
          <w:rFonts w:hint="eastAsia" w:eastAsia="宋体" w:cs="宋体"/>
          <w:b/>
          <w:color w:val="auto"/>
          <w:kern w:val="2"/>
          <w:sz w:val="28"/>
          <w:szCs w:val="28"/>
          <w:highlight w:val="none"/>
          <w:lang w:val="en-US" w:eastAsia="zh-CN"/>
        </w:rPr>
        <w:t>龙归：</w:t>
      </w:r>
    </w:p>
    <w:p>
      <w:pPr>
        <w:widowControl w:val="0"/>
        <w:spacing w:line="360" w:lineRule="auto"/>
        <w:ind w:firstLine="470" w:firstLineChars="196"/>
        <w:jc w:val="both"/>
        <w:rPr>
          <w:rFonts w:ascii="宋体" w:hAnsi="宋体" w:cs="宋体"/>
          <w:color w:val="auto"/>
          <w:kern w:val="2"/>
          <w:sz w:val="24"/>
          <w:szCs w:val="24"/>
          <w:highlight w:val="none"/>
        </w:rPr>
      </w:pPr>
      <w:r>
        <w:rPr>
          <w:rFonts w:hint="eastAsia" w:ascii="宋体" w:hAnsi="宋体" w:cs="宋体"/>
          <w:color w:val="auto"/>
          <w:kern w:val="2"/>
          <w:sz w:val="24"/>
          <w:szCs w:val="24"/>
          <w:highlight w:val="none"/>
        </w:rPr>
        <w:t>现场设备是加大拿特洁安Trojan Technologies，型号为UV3000PLUS，共设置了</w:t>
      </w:r>
      <w:r>
        <w:rPr>
          <w:rFonts w:hint="eastAsia" w:ascii="宋体" w:hAnsi="宋体" w:cs="宋体"/>
          <w:color w:val="auto"/>
          <w:kern w:val="2"/>
          <w:sz w:val="24"/>
          <w:szCs w:val="24"/>
          <w:highlight w:val="none"/>
          <w:lang w:val="en-US" w:eastAsia="zh-CN"/>
        </w:rPr>
        <w:t>3</w:t>
      </w:r>
      <w:r>
        <w:rPr>
          <w:rFonts w:hint="eastAsia" w:ascii="宋体" w:hAnsi="宋体" w:cs="宋体"/>
          <w:color w:val="auto"/>
          <w:kern w:val="2"/>
          <w:sz w:val="24"/>
          <w:szCs w:val="24"/>
          <w:highlight w:val="none"/>
        </w:rPr>
        <w:t>条水渠廊道，共</w:t>
      </w:r>
      <w:r>
        <w:rPr>
          <w:rFonts w:hint="eastAsia" w:ascii="宋体" w:hAnsi="宋体" w:cs="宋体"/>
          <w:color w:val="auto"/>
          <w:kern w:val="2"/>
          <w:sz w:val="24"/>
          <w:szCs w:val="24"/>
          <w:highlight w:val="none"/>
          <w:lang w:val="en-US" w:eastAsia="zh-CN"/>
        </w:rPr>
        <w:t>288</w:t>
      </w:r>
      <w:r>
        <w:rPr>
          <w:rFonts w:hint="eastAsia" w:ascii="宋体" w:hAnsi="宋体" w:cs="宋体"/>
          <w:color w:val="auto"/>
          <w:kern w:val="2"/>
          <w:sz w:val="24"/>
          <w:szCs w:val="24"/>
          <w:highlight w:val="none"/>
        </w:rPr>
        <w:t>支紫外灯管。本项目是采购</w:t>
      </w:r>
      <w:r>
        <w:rPr>
          <w:rFonts w:hint="eastAsia" w:ascii="宋体" w:hAnsi="宋体" w:cs="宋体"/>
          <w:color w:val="auto"/>
          <w:kern w:val="2"/>
          <w:sz w:val="24"/>
          <w:szCs w:val="24"/>
          <w:highlight w:val="none"/>
          <w:lang w:val="en-US" w:eastAsia="zh-CN"/>
        </w:rPr>
        <w:t>龙归</w:t>
      </w:r>
      <w:r>
        <w:rPr>
          <w:rFonts w:hint="eastAsia" w:ascii="宋体" w:hAnsi="宋体" w:cs="宋体"/>
          <w:color w:val="auto"/>
          <w:kern w:val="2"/>
          <w:sz w:val="24"/>
          <w:szCs w:val="24"/>
          <w:highlight w:val="none"/>
        </w:rPr>
        <w:t>分公司</w:t>
      </w:r>
      <w:r>
        <w:rPr>
          <w:rFonts w:hint="eastAsia" w:ascii="宋体" w:hAnsi="宋体" w:cs="宋体"/>
          <w:color w:val="auto"/>
          <w:kern w:val="2"/>
          <w:sz w:val="24"/>
          <w:szCs w:val="24"/>
          <w:highlight w:val="none"/>
          <w:lang w:val="en-US" w:eastAsia="zh-CN"/>
        </w:rPr>
        <w:t>三</w:t>
      </w:r>
      <w:r>
        <w:rPr>
          <w:rFonts w:hint="eastAsia" w:ascii="宋体" w:hAnsi="宋体" w:cs="宋体"/>
          <w:color w:val="auto"/>
          <w:kern w:val="2"/>
          <w:sz w:val="24"/>
          <w:szCs w:val="24"/>
          <w:highlight w:val="none"/>
        </w:rPr>
        <w:t>期紫外线消毒设备配件，包拆除更换施工、包原紫外设备维护保养、包清理系统的水草青苔垃圾、包加清洗凝胶、包加液压油、包质包量、包消毒效果达标排放。具体要求如下：更换本项目的配件后，在出水水质SS≤10mg/L的前提下，经该套紫外线消毒设备的粪大肠杠菌指标执行优于《城镇污水处理厂污染物排放标准》（GB18918-2002）一级A标准，必须小于等于100个/L。</w:t>
      </w:r>
    </w:p>
    <w:p>
      <w:pPr>
        <w:widowControl w:val="0"/>
        <w:adjustRightInd w:val="0"/>
        <w:snapToGrid w:val="0"/>
        <w:spacing w:line="360" w:lineRule="auto"/>
        <w:ind w:firstLine="420"/>
        <w:jc w:val="both"/>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 xml:space="preserve"> 配件清单</w:t>
      </w:r>
    </w:p>
    <w:tbl>
      <w:tblPr>
        <w:tblStyle w:val="23"/>
        <w:tblW w:w="890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981"/>
        <w:gridCol w:w="2605"/>
        <w:gridCol w:w="1239"/>
        <w:gridCol w:w="1343"/>
        <w:gridCol w:w="27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序号</w:t>
            </w:r>
          </w:p>
        </w:tc>
        <w:tc>
          <w:tcPr>
            <w:tcW w:w="2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名称</w:t>
            </w:r>
          </w:p>
        </w:tc>
        <w:tc>
          <w:tcPr>
            <w:tcW w:w="12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单位</w:t>
            </w:r>
          </w:p>
        </w:tc>
        <w:tc>
          <w:tcPr>
            <w:tcW w:w="13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数量</w:t>
            </w:r>
          </w:p>
        </w:tc>
        <w:tc>
          <w:tcPr>
            <w:tcW w:w="2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i w:val="0"/>
                <w:color w:val="auto"/>
                <w:kern w:val="0"/>
                <w:sz w:val="21"/>
                <w:szCs w:val="21"/>
                <w:highlight w:val="none"/>
                <w:u w:val="none"/>
                <w:lang w:val="en-US" w:eastAsia="zh-CN" w:bidi="ar"/>
              </w:rPr>
            </w:pPr>
            <w:r>
              <w:rPr>
                <w:rFonts w:hint="eastAsia" w:ascii="宋体" w:hAnsi="宋体" w:eastAsia="宋体" w:cs="宋体"/>
                <w:b/>
                <w:i w:val="0"/>
                <w:color w:val="auto"/>
                <w:kern w:val="0"/>
                <w:sz w:val="21"/>
                <w:szCs w:val="21"/>
                <w:highlight w:val="none"/>
                <w:u w:val="none"/>
                <w:lang w:val="en-US" w:eastAsia="zh-CN" w:bidi="ar"/>
              </w:rPr>
              <w:t>技术参数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2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紫外灯管</w:t>
            </w:r>
          </w:p>
        </w:tc>
        <w:tc>
          <w:tcPr>
            <w:tcW w:w="12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w:t>
            </w:r>
          </w:p>
        </w:tc>
        <w:tc>
          <w:tcPr>
            <w:tcW w:w="13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288</w:t>
            </w:r>
          </w:p>
        </w:tc>
        <w:tc>
          <w:tcPr>
            <w:tcW w:w="2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cs="宋体"/>
                <w:i w:val="0"/>
                <w:color w:val="auto"/>
                <w:sz w:val="24"/>
                <w:szCs w:val="24"/>
                <w:highlight w:val="none"/>
                <w:u w:val="none"/>
                <w:lang w:val="en-US" w:eastAsia="zh-CN"/>
              </w:rPr>
              <w:t>适用于特洁安3000PLUS系统使用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2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石英套管</w:t>
            </w:r>
          </w:p>
        </w:tc>
        <w:tc>
          <w:tcPr>
            <w:tcW w:w="12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w:t>
            </w:r>
          </w:p>
        </w:tc>
        <w:tc>
          <w:tcPr>
            <w:tcW w:w="13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144</w:t>
            </w:r>
          </w:p>
        </w:tc>
        <w:tc>
          <w:tcPr>
            <w:tcW w:w="2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0"/>
                <w:sz w:val="24"/>
                <w:szCs w:val="24"/>
                <w:highlight w:val="none"/>
                <w:u w:val="none"/>
                <w:lang w:val="en-US" w:eastAsia="zh-CN" w:bidi="ar"/>
              </w:rPr>
              <w:t>28*1950*1.5mm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2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套管密封圈</w:t>
            </w:r>
          </w:p>
        </w:tc>
        <w:tc>
          <w:tcPr>
            <w:tcW w:w="12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包</w:t>
            </w:r>
          </w:p>
        </w:tc>
        <w:tc>
          <w:tcPr>
            <w:tcW w:w="13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29</w:t>
            </w:r>
          </w:p>
        </w:tc>
        <w:tc>
          <w:tcPr>
            <w:tcW w:w="2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0"/>
                <w:sz w:val="24"/>
                <w:szCs w:val="24"/>
                <w:highlight w:val="none"/>
                <w:u w:val="none"/>
                <w:lang w:val="en-US" w:eastAsia="zh-CN" w:bidi="ar"/>
              </w:rPr>
              <w:t>25*28*1.5mm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2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光强传感器套管</w:t>
            </w:r>
          </w:p>
        </w:tc>
        <w:tc>
          <w:tcPr>
            <w:tcW w:w="12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w:t>
            </w:r>
          </w:p>
        </w:tc>
        <w:tc>
          <w:tcPr>
            <w:tcW w:w="13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2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cs="宋体"/>
                <w:i w:val="0"/>
                <w:color w:val="auto"/>
                <w:kern w:val="0"/>
                <w:sz w:val="24"/>
                <w:szCs w:val="24"/>
                <w:highlight w:val="none"/>
                <w:u w:val="none"/>
                <w:lang w:val="en-US" w:eastAsia="zh-CN" w:bidi="ar"/>
              </w:rPr>
              <w:t>紫</w:t>
            </w:r>
            <w:r>
              <w:rPr>
                <w:rFonts w:hint="eastAsia" w:ascii="宋体" w:hAnsi="宋体" w:eastAsia="宋体" w:cs="宋体"/>
                <w:i w:val="0"/>
                <w:color w:val="auto"/>
                <w:kern w:val="0"/>
                <w:sz w:val="24"/>
                <w:szCs w:val="24"/>
                <w:highlight w:val="none"/>
                <w:u w:val="none"/>
                <w:lang w:val="en-US" w:eastAsia="zh-CN" w:bidi="ar"/>
              </w:rPr>
              <w:t>外模块光强传感器石英套管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2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CCB板（子板）</w:t>
            </w:r>
          </w:p>
        </w:tc>
        <w:tc>
          <w:tcPr>
            <w:tcW w:w="12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块</w:t>
            </w:r>
          </w:p>
        </w:tc>
        <w:tc>
          <w:tcPr>
            <w:tcW w:w="13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sz w:val="24"/>
                <w:szCs w:val="24"/>
                <w:highlight w:val="none"/>
                <w:u w:val="none"/>
              </w:rPr>
              <w:t>紫外线模块(8支一组)的通信控制板子板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2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CCB板（母板）</w:t>
            </w:r>
          </w:p>
        </w:tc>
        <w:tc>
          <w:tcPr>
            <w:tcW w:w="12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块</w:t>
            </w:r>
          </w:p>
        </w:tc>
        <w:tc>
          <w:tcPr>
            <w:tcW w:w="13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sz w:val="24"/>
                <w:szCs w:val="24"/>
                <w:highlight w:val="none"/>
                <w:u w:val="none"/>
              </w:rPr>
              <w:t>紫外线模块(8支一组)的通信控制板</w:t>
            </w:r>
            <w:r>
              <w:rPr>
                <w:rFonts w:hint="eastAsia" w:ascii="宋体" w:hAnsi="宋体" w:cs="宋体"/>
                <w:i w:val="0"/>
                <w:color w:val="auto"/>
                <w:sz w:val="24"/>
                <w:szCs w:val="24"/>
                <w:highlight w:val="none"/>
                <w:u w:val="none"/>
                <w:lang w:val="en-US" w:eastAsia="zh-CN"/>
              </w:rPr>
              <w:t>母</w:t>
            </w:r>
            <w:r>
              <w:rPr>
                <w:rFonts w:hint="eastAsia" w:ascii="宋体" w:hAnsi="宋体" w:eastAsia="宋体" w:cs="宋体"/>
                <w:i w:val="0"/>
                <w:color w:val="auto"/>
                <w:sz w:val="24"/>
                <w:szCs w:val="24"/>
                <w:highlight w:val="none"/>
                <w:u w:val="none"/>
              </w:rPr>
              <w:t>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2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模块电缆线</w:t>
            </w:r>
          </w:p>
        </w:tc>
        <w:tc>
          <w:tcPr>
            <w:tcW w:w="12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块</w:t>
            </w:r>
          </w:p>
        </w:tc>
        <w:tc>
          <w:tcPr>
            <w:tcW w:w="13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2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sz w:val="24"/>
                <w:szCs w:val="24"/>
                <w:highlight w:val="none"/>
                <w:u w:val="none"/>
              </w:rPr>
              <w:t>适用于特洁安3000PLUS系统使用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2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PDC内光强传感器电缆线（连接CCB板和传感器电缆, 包含插头）</w:t>
            </w:r>
          </w:p>
        </w:tc>
        <w:tc>
          <w:tcPr>
            <w:tcW w:w="12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13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sz w:val="24"/>
                <w:szCs w:val="24"/>
                <w:highlight w:val="none"/>
                <w:u w:val="none"/>
              </w:rPr>
              <w:t>适用于特洁安3000PLUS系统使</w:t>
            </w:r>
            <w:r>
              <w:rPr>
                <w:rFonts w:hint="eastAsia" w:ascii="宋体" w:hAnsi="宋体" w:cs="宋体"/>
                <w:i w:val="0"/>
                <w:color w:val="auto"/>
                <w:sz w:val="24"/>
                <w:szCs w:val="24"/>
                <w:highlight w:val="none"/>
                <w:u w:val="none"/>
                <w:lang w:val="en-US" w:eastAsia="zh-CN"/>
              </w:rPr>
              <w:t>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9</w:t>
            </w:r>
          </w:p>
        </w:tc>
        <w:tc>
          <w:tcPr>
            <w:tcW w:w="2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液压杆</w:t>
            </w:r>
          </w:p>
        </w:tc>
        <w:tc>
          <w:tcPr>
            <w:tcW w:w="12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w:t>
            </w:r>
          </w:p>
        </w:tc>
        <w:tc>
          <w:tcPr>
            <w:tcW w:w="13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2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sz w:val="24"/>
                <w:szCs w:val="24"/>
                <w:highlight w:val="none"/>
                <w:u w:val="none"/>
              </w:rPr>
              <w:t>Max:290psi/20bar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2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液压油</w:t>
            </w:r>
          </w:p>
        </w:tc>
        <w:tc>
          <w:tcPr>
            <w:tcW w:w="12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桶</w:t>
            </w:r>
          </w:p>
        </w:tc>
        <w:tc>
          <w:tcPr>
            <w:tcW w:w="13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2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sz w:val="24"/>
                <w:szCs w:val="24"/>
                <w:highlight w:val="none"/>
                <w:u w:val="none"/>
              </w:rPr>
              <w:t>美孚TE10 V15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11</w:t>
            </w:r>
          </w:p>
        </w:tc>
        <w:tc>
          <w:tcPr>
            <w:tcW w:w="2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清洗凝胶</w:t>
            </w:r>
          </w:p>
        </w:tc>
        <w:tc>
          <w:tcPr>
            <w:tcW w:w="12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箱</w:t>
            </w:r>
          </w:p>
        </w:tc>
        <w:tc>
          <w:tcPr>
            <w:tcW w:w="13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2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sz w:val="24"/>
                <w:szCs w:val="24"/>
                <w:highlight w:val="none"/>
                <w:u w:val="none"/>
              </w:rPr>
              <w:t>4x4L食品级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c>
          <w:tcPr>
            <w:tcW w:w="2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擦拭器密封件（包含一根短弗橡胶管）</w:t>
            </w:r>
          </w:p>
        </w:tc>
        <w:tc>
          <w:tcPr>
            <w:tcW w:w="12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3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2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sz w:val="24"/>
                <w:szCs w:val="24"/>
                <w:highlight w:val="none"/>
                <w:u w:val="none"/>
              </w:rPr>
              <w:t>适用于特洁安3000PLUS系统使用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13</w:t>
            </w:r>
          </w:p>
        </w:tc>
        <w:tc>
          <w:tcPr>
            <w:tcW w:w="2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UV3+（直头）（白色连接头）</w:t>
            </w:r>
          </w:p>
        </w:tc>
        <w:tc>
          <w:tcPr>
            <w:tcW w:w="12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包</w:t>
            </w:r>
          </w:p>
        </w:tc>
        <w:tc>
          <w:tcPr>
            <w:tcW w:w="13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2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sz w:val="24"/>
                <w:szCs w:val="24"/>
                <w:highlight w:val="none"/>
                <w:u w:val="none"/>
              </w:rPr>
              <w:t>适用于特洁安3000PLUS系统使用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54"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14</w:t>
            </w:r>
          </w:p>
        </w:tc>
        <w:tc>
          <w:tcPr>
            <w:tcW w:w="2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第1个清洗罐（标准模块）</w:t>
            </w:r>
          </w:p>
        </w:tc>
        <w:tc>
          <w:tcPr>
            <w:tcW w:w="12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3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2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sz w:val="24"/>
                <w:szCs w:val="24"/>
                <w:highlight w:val="none"/>
                <w:u w:val="none"/>
              </w:rPr>
              <w:t>适用于特洁安3000PLUS系统使用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80"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21"/>
                <w:szCs w:val="21"/>
                <w:highlight w:val="none"/>
                <w:u w:val="none"/>
                <w:lang w:val="en-US"/>
              </w:rPr>
            </w:pPr>
            <w:r>
              <w:rPr>
                <w:rFonts w:hint="eastAsia" w:ascii="宋体" w:hAnsi="宋体" w:eastAsia="宋体" w:cs="宋体"/>
                <w:i w:val="0"/>
                <w:color w:val="auto"/>
                <w:kern w:val="0"/>
                <w:sz w:val="21"/>
                <w:szCs w:val="21"/>
                <w:highlight w:val="none"/>
                <w:u w:val="none"/>
                <w:lang w:val="en-US" w:eastAsia="zh-CN" w:bidi="ar"/>
              </w:rPr>
              <w:t>15</w:t>
            </w:r>
          </w:p>
        </w:tc>
        <w:tc>
          <w:tcPr>
            <w:tcW w:w="2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防锈剂</w:t>
            </w:r>
          </w:p>
        </w:tc>
        <w:tc>
          <w:tcPr>
            <w:tcW w:w="12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瓶</w:t>
            </w:r>
          </w:p>
        </w:tc>
        <w:tc>
          <w:tcPr>
            <w:tcW w:w="13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2</w:t>
            </w:r>
          </w:p>
        </w:tc>
        <w:tc>
          <w:tcPr>
            <w:tcW w:w="2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sz w:val="24"/>
                <w:szCs w:val="24"/>
                <w:highlight w:val="none"/>
                <w:u w:val="none"/>
              </w:rPr>
              <w:t>适用于特洁安3000PLUS系统使用</w:t>
            </w:r>
          </w:p>
        </w:tc>
      </w:tr>
    </w:tbl>
    <w:p>
      <w:pPr>
        <w:widowControl w:val="0"/>
        <w:spacing w:line="360" w:lineRule="auto"/>
        <w:ind w:firstLine="0" w:firstLineChars="0"/>
        <w:jc w:val="both"/>
        <w:rPr>
          <w:rFonts w:ascii="宋体" w:hAnsi="宋体"/>
          <w:color w:val="auto"/>
          <w:kern w:val="2"/>
          <w:sz w:val="24"/>
          <w:szCs w:val="24"/>
          <w:highlight w:val="none"/>
        </w:rPr>
      </w:pPr>
    </w:p>
    <w:p>
      <w:pPr>
        <w:pStyle w:val="2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备注：以上配件均包含拆装更换等施工维修费用。</w:t>
      </w:r>
    </w:p>
    <w:p>
      <w:pPr>
        <w:pStyle w:val="22"/>
        <w:ind w:left="0" w:leftChars="0" w:firstLine="0" w:firstLineChars="0"/>
        <w:rPr>
          <w:color w:val="auto"/>
          <w:highlight w:val="none"/>
        </w:rPr>
      </w:pPr>
    </w:p>
    <w:p>
      <w:pPr>
        <w:pStyle w:val="22"/>
        <w:ind w:left="0" w:leftChars="0" w:firstLine="0" w:firstLineChars="0"/>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竹料：</w:t>
      </w:r>
    </w:p>
    <w:p>
      <w:pPr>
        <w:widowControl w:val="0"/>
        <w:spacing w:line="360" w:lineRule="auto"/>
        <w:ind w:firstLine="470" w:firstLineChars="196"/>
        <w:jc w:val="both"/>
        <w:rPr>
          <w:rFonts w:ascii="宋体" w:hAnsi="宋体" w:cs="宋体"/>
          <w:color w:val="auto"/>
          <w:kern w:val="2"/>
          <w:sz w:val="24"/>
          <w:szCs w:val="24"/>
          <w:highlight w:val="none"/>
        </w:rPr>
      </w:pPr>
      <w:r>
        <w:rPr>
          <w:rFonts w:hint="eastAsia" w:ascii="宋体" w:hAnsi="宋体" w:cs="宋体"/>
          <w:color w:val="auto"/>
          <w:kern w:val="2"/>
          <w:sz w:val="24"/>
          <w:szCs w:val="24"/>
          <w:highlight w:val="none"/>
        </w:rPr>
        <w:t>现场设备是加大拿特洁安Trojan Technologies，型号为UV3000PLUS，共设置了</w:t>
      </w:r>
      <w:r>
        <w:rPr>
          <w:rFonts w:hint="eastAsia" w:ascii="宋体" w:hAnsi="宋体" w:cs="宋体"/>
          <w:color w:val="auto"/>
          <w:kern w:val="2"/>
          <w:sz w:val="24"/>
          <w:szCs w:val="24"/>
          <w:highlight w:val="none"/>
          <w:lang w:val="en-US" w:eastAsia="zh-CN"/>
        </w:rPr>
        <w:t>2</w:t>
      </w:r>
      <w:r>
        <w:rPr>
          <w:rFonts w:hint="eastAsia" w:ascii="宋体" w:hAnsi="宋体" w:cs="宋体"/>
          <w:color w:val="auto"/>
          <w:kern w:val="2"/>
          <w:sz w:val="24"/>
          <w:szCs w:val="24"/>
          <w:highlight w:val="none"/>
        </w:rPr>
        <w:t>条水渠廊道，共</w:t>
      </w:r>
      <w:r>
        <w:rPr>
          <w:rFonts w:hint="eastAsia" w:ascii="宋体" w:hAnsi="宋体" w:cs="宋体"/>
          <w:color w:val="auto"/>
          <w:kern w:val="2"/>
          <w:sz w:val="24"/>
          <w:szCs w:val="24"/>
          <w:highlight w:val="none"/>
          <w:lang w:val="en-US" w:eastAsia="zh-CN"/>
        </w:rPr>
        <w:t>112</w:t>
      </w:r>
      <w:r>
        <w:rPr>
          <w:rFonts w:hint="eastAsia" w:ascii="宋体" w:hAnsi="宋体" w:cs="宋体"/>
          <w:color w:val="auto"/>
          <w:kern w:val="2"/>
          <w:sz w:val="24"/>
          <w:szCs w:val="24"/>
          <w:highlight w:val="none"/>
        </w:rPr>
        <w:t>支紫外灯管。本项目是采购</w:t>
      </w:r>
      <w:r>
        <w:rPr>
          <w:rFonts w:hint="eastAsia" w:ascii="宋体" w:hAnsi="宋体" w:cs="宋体"/>
          <w:color w:val="auto"/>
          <w:kern w:val="2"/>
          <w:sz w:val="24"/>
          <w:szCs w:val="24"/>
          <w:highlight w:val="none"/>
          <w:lang w:val="en-US" w:eastAsia="zh-CN"/>
        </w:rPr>
        <w:t>竹料</w:t>
      </w:r>
      <w:r>
        <w:rPr>
          <w:rFonts w:hint="eastAsia" w:ascii="宋体" w:hAnsi="宋体" w:cs="宋体"/>
          <w:color w:val="auto"/>
          <w:kern w:val="2"/>
          <w:sz w:val="24"/>
          <w:szCs w:val="24"/>
          <w:highlight w:val="none"/>
        </w:rPr>
        <w:t>分公司</w:t>
      </w:r>
      <w:r>
        <w:rPr>
          <w:rFonts w:hint="eastAsia" w:ascii="宋体" w:hAnsi="宋体" w:cs="宋体"/>
          <w:color w:val="auto"/>
          <w:kern w:val="2"/>
          <w:sz w:val="24"/>
          <w:szCs w:val="24"/>
          <w:highlight w:val="none"/>
          <w:lang w:val="en-US" w:eastAsia="zh-CN"/>
        </w:rPr>
        <w:t>一</w:t>
      </w:r>
      <w:r>
        <w:rPr>
          <w:rFonts w:hint="eastAsia" w:ascii="宋体" w:hAnsi="宋体" w:cs="宋体"/>
          <w:color w:val="auto"/>
          <w:kern w:val="2"/>
          <w:sz w:val="24"/>
          <w:szCs w:val="24"/>
          <w:highlight w:val="none"/>
        </w:rPr>
        <w:t>期</w:t>
      </w:r>
      <w:r>
        <w:rPr>
          <w:rFonts w:hint="eastAsia" w:ascii="宋体" w:hAnsi="宋体" w:cs="宋体"/>
          <w:color w:val="auto"/>
          <w:kern w:val="2"/>
          <w:sz w:val="24"/>
          <w:szCs w:val="24"/>
          <w:highlight w:val="none"/>
          <w:lang w:val="en-US" w:eastAsia="zh-CN"/>
        </w:rPr>
        <w:t>及扩建</w:t>
      </w:r>
      <w:r>
        <w:rPr>
          <w:rFonts w:hint="eastAsia" w:ascii="宋体" w:hAnsi="宋体" w:cs="宋体"/>
          <w:color w:val="auto"/>
          <w:kern w:val="2"/>
          <w:sz w:val="24"/>
          <w:szCs w:val="24"/>
          <w:highlight w:val="none"/>
        </w:rPr>
        <w:t>紫外线消毒设备配件，包拆除更换施工、包原紫外设备维护保养、包清理系统的水草青苔垃圾、包加清洗凝胶、包加液压油、包质包量、包消毒效果达标排放。具体要求如下：更换本项目的配件后，在出水水质SS≤10mg/L的前提下，经该套紫外线消毒设备的粪大肠杠菌指标执行优于《城镇污水处理厂污染物排放标准》（GB18918-2002）一级A标准，必须小于等于10</w:t>
      </w:r>
      <w:r>
        <w:rPr>
          <w:rFonts w:hint="eastAsia" w:ascii="宋体" w:hAnsi="宋体" w:cs="宋体"/>
          <w:color w:val="auto"/>
          <w:kern w:val="2"/>
          <w:sz w:val="24"/>
          <w:szCs w:val="24"/>
          <w:highlight w:val="none"/>
          <w:lang w:val="en-US" w:eastAsia="zh-CN"/>
        </w:rPr>
        <w:t>0</w:t>
      </w:r>
      <w:r>
        <w:rPr>
          <w:rFonts w:hint="eastAsia" w:ascii="宋体" w:hAnsi="宋体" w:cs="宋体"/>
          <w:color w:val="auto"/>
          <w:kern w:val="2"/>
          <w:sz w:val="24"/>
          <w:szCs w:val="24"/>
          <w:highlight w:val="none"/>
        </w:rPr>
        <w:t>个/L。</w:t>
      </w:r>
    </w:p>
    <w:p>
      <w:pPr>
        <w:widowControl w:val="0"/>
        <w:adjustRightInd w:val="0"/>
        <w:snapToGrid w:val="0"/>
        <w:spacing w:line="360" w:lineRule="auto"/>
        <w:ind w:firstLine="420"/>
        <w:jc w:val="both"/>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配件清单</w:t>
      </w:r>
    </w:p>
    <w:tbl>
      <w:tblPr>
        <w:tblStyle w:val="23"/>
        <w:tblW w:w="925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981"/>
        <w:gridCol w:w="2884"/>
        <w:gridCol w:w="1535"/>
        <w:gridCol w:w="1396"/>
        <w:gridCol w:w="24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序号</w:t>
            </w:r>
          </w:p>
        </w:tc>
        <w:tc>
          <w:tcPr>
            <w:tcW w:w="2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名称</w:t>
            </w:r>
          </w:p>
        </w:tc>
        <w:tc>
          <w:tcPr>
            <w:tcW w:w="15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单位</w:t>
            </w:r>
          </w:p>
        </w:tc>
        <w:tc>
          <w:tcPr>
            <w:tcW w:w="13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数量</w:t>
            </w:r>
          </w:p>
        </w:tc>
        <w:tc>
          <w:tcPr>
            <w:tcW w:w="2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i w:val="0"/>
                <w:color w:val="auto"/>
                <w:kern w:val="0"/>
                <w:sz w:val="21"/>
                <w:szCs w:val="21"/>
                <w:highlight w:val="none"/>
                <w:u w:val="none"/>
                <w:lang w:val="en-US" w:eastAsia="zh-CN" w:bidi="ar"/>
              </w:rPr>
            </w:pPr>
            <w:r>
              <w:rPr>
                <w:rFonts w:hint="eastAsia" w:ascii="宋体" w:hAnsi="宋体" w:eastAsia="宋体" w:cs="宋体"/>
                <w:b/>
                <w:i w:val="0"/>
                <w:color w:val="auto"/>
                <w:kern w:val="0"/>
                <w:sz w:val="21"/>
                <w:szCs w:val="21"/>
                <w:highlight w:val="none"/>
                <w:u w:val="none"/>
                <w:lang w:val="en-US" w:eastAsia="zh-CN" w:bidi="ar"/>
              </w:rPr>
              <w:t>技术参数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2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iCs w:val="0"/>
                <w:color w:val="auto"/>
                <w:kern w:val="0"/>
                <w:sz w:val="21"/>
                <w:szCs w:val="21"/>
                <w:highlight w:val="none"/>
                <w:u w:val="none"/>
                <w:lang w:val="en-US" w:eastAsia="zh-CN" w:bidi="ar"/>
              </w:rPr>
              <w:t>一期及扩建</w:t>
            </w:r>
            <w:r>
              <w:rPr>
                <w:rFonts w:hint="eastAsia" w:ascii="宋体" w:hAnsi="宋体" w:eastAsia="宋体" w:cs="宋体"/>
                <w:i w:val="0"/>
                <w:iCs w:val="0"/>
                <w:color w:val="auto"/>
                <w:kern w:val="0"/>
                <w:sz w:val="21"/>
                <w:szCs w:val="21"/>
                <w:highlight w:val="none"/>
                <w:u w:val="none"/>
                <w:lang w:val="en-US" w:eastAsia="zh-CN" w:bidi="ar"/>
              </w:rPr>
              <w:t>紫外灯管</w:t>
            </w:r>
          </w:p>
        </w:tc>
        <w:tc>
          <w:tcPr>
            <w:tcW w:w="15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w:t>
            </w:r>
          </w:p>
        </w:tc>
        <w:tc>
          <w:tcPr>
            <w:tcW w:w="13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21"/>
                <w:szCs w:val="21"/>
                <w:highlight w:val="none"/>
                <w:u w:val="none"/>
                <w:lang w:val="en-US"/>
              </w:rPr>
            </w:pPr>
            <w:r>
              <w:rPr>
                <w:rFonts w:hint="eastAsia" w:ascii="宋体" w:hAnsi="宋体" w:cs="宋体"/>
                <w:i w:val="0"/>
                <w:iCs w:val="0"/>
                <w:color w:val="auto"/>
                <w:kern w:val="0"/>
                <w:sz w:val="21"/>
                <w:szCs w:val="21"/>
                <w:highlight w:val="none"/>
                <w:u w:val="none"/>
                <w:lang w:val="en-US" w:eastAsia="zh-CN" w:bidi="ar"/>
              </w:rPr>
              <w:t>132</w:t>
            </w:r>
          </w:p>
        </w:tc>
        <w:tc>
          <w:tcPr>
            <w:tcW w:w="2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适用于特洁安TROJANUV3000PlusTM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iCs w:val="0"/>
                <w:color w:val="auto"/>
                <w:kern w:val="0"/>
                <w:sz w:val="22"/>
                <w:szCs w:val="22"/>
                <w:highlight w:val="none"/>
                <w:u w:val="none"/>
                <w:lang w:val="en-US" w:eastAsia="zh-CN" w:bidi="ar"/>
              </w:rPr>
              <w:t>2</w:t>
            </w:r>
          </w:p>
        </w:tc>
        <w:tc>
          <w:tcPr>
            <w:tcW w:w="2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石英套管</w:t>
            </w:r>
          </w:p>
        </w:tc>
        <w:tc>
          <w:tcPr>
            <w:tcW w:w="15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w:t>
            </w:r>
          </w:p>
        </w:tc>
        <w:tc>
          <w:tcPr>
            <w:tcW w:w="13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iCs w:val="0"/>
                <w:color w:val="auto"/>
                <w:kern w:val="0"/>
                <w:sz w:val="21"/>
                <w:szCs w:val="21"/>
                <w:highlight w:val="none"/>
                <w:u w:val="none"/>
                <w:lang w:val="en-US" w:eastAsia="zh-CN" w:bidi="ar"/>
              </w:rPr>
              <w:t>112</w:t>
            </w:r>
          </w:p>
        </w:tc>
        <w:tc>
          <w:tcPr>
            <w:tcW w:w="2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color w:val="auto"/>
                <w:sz w:val="24"/>
                <w:szCs w:val="24"/>
                <w:highlight w:val="none"/>
                <w:u w:val="none"/>
                <w:lang w:val="en-US" w:eastAsia="zh-CN"/>
              </w:rPr>
              <w:t>28*1950*1.5mm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iCs w:val="0"/>
                <w:color w:val="auto"/>
                <w:kern w:val="0"/>
                <w:sz w:val="22"/>
                <w:szCs w:val="22"/>
                <w:highlight w:val="none"/>
                <w:u w:val="none"/>
                <w:lang w:val="en-US" w:eastAsia="zh-CN" w:bidi="ar"/>
              </w:rPr>
              <w:t>3</w:t>
            </w:r>
          </w:p>
        </w:tc>
        <w:tc>
          <w:tcPr>
            <w:tcW w:w="2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iCs w:val="0"/>
                <w:color w:val="auto"/>
                <w:kern w:val="0"/>
                <w:sz w:val="21"/>
                <w:szCs w:val="21"/>
                <w:highlight w:val="none"/>
                <w:u w:val="none"/>
                <w:lang w:val="en-US" w:eastAsia="zh-CN" w:bidi="ar"/>
              </w:rPr>
              <w:t>镇流器</w:t>
            </w:r>
          </w:p>
        </w:tc>
        <w:tc>
          <w:tcPr>
            <w:tcW w:w="15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iCs w:val="0"/>
                <w:color w:val="auto"/>
                <w:kern w:val="0"/>
                <w:sz w:val="21"/>
                <w:szCs w:val="21"/>
                <w:highlight w:val="none"/>
                <w:u w:val="none"/>
                <w:lang w:val="en-US" w:eastAsia="zh-CN" w:bidi="ar"/>
              </w:rPr>
              <w:t>个</w:t>
            </w:r>
          </w:p>
        </w:tc>
        <w:tc>
          <w:tcPr>
            <w:tcW w:w="13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iCs w:val="0"/>
                <w:color w:val="auto"/>
                <w:kern w:val="0"/>
                <w:sz w:val="21"/>
                <w:szCs w:val="21"/>
                <w:highlight w:val="none"/>
                <w:u w:val="none"/>
                <w:lang w:val="en-US" w:eastAsia="zh-CN" w:bidi="ar"/>
              </w:rPr>
              <w:t>10</w:t>
            </w:r>
          </w:p>
        </w:tc>
        <w:tc>
          <w:tcPr>
            <w:tcW w:w="2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型号：UVB250/2-18P/ATD</w:t>
            </w:r>
          </w:p>
          <w:p>
            <w:pPr>
              <w:keepNext w:val="0"/>
              <w:keepLines w:val="0"/>
              <w:widowControl/>
              <w:suppressLineNumbers w:val="0"/>
              <w:jc w:val="center"/>
              <w:textAlignment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参数：镇流器长457mm，宽127mm，高43mm。镇流器功率因数为98%，紫外能输出在60%~ 100%间可调。镇流器保护等级IP67，最高工作环境温度可达50oC。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iCs w:val="0"/>
                <w:color w:val="auto"/>
                <w:kern w:val="0"/>
                <w:sz w:val="22"/>
                <w:szCs w:val="22"/>
                <w:highlight w:val="none"/>
                <w:u w:val="none"/>
                <w:lang w:val="en-US" w:eastAsia="zh-CN" w:bidi="ar"/>
              </w:rPr>
              <w:t>4</w:t>
            </w:r>
          </w:p>
        </w:tc>
        <w:tc>
          <w:tcPr>
            <w:tcW w:w="2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0"/>
                <w:szCs w:val="20"/>
                <w:highlight w:val="none"/>
                <w:u w:val="none"/>
                <w:lang w:val="en-US" w:eastAsia="zh-CN" w:bidi="ar"/>
              </w:rPr>
              <w:t>6A保险管</w:t>
            </w:r>
          </w:p>
        </w:tc>
        <w:tc>
          <w:tcPr>
            <w:tcW w:w="15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iCs w:val="0"/>
                <w:color w:val="auto"/>
                <w:kern w:val="0"/>
                <w:sz w:val="21"/>
                <w:szCs w:val="21"/>
                <w:highlight w:val="none"/>
                <w:u w:val="none"/>
                <w:lang w:val="en-US" w:eastAsia="zh-CN" w:bidi="ar"/>
              </w:rPr>
              <w:t>条</w:t>
            </w:r>
          </w:p>
        </w:tc>
        <w:tc>
          <w:tcPr>
            <w:tcW w:w="13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iCs w:val="0"/>
                <w:color w:val="auto"/>
                <w:kern w:val="0"/>
                <w:sz w:val="21"/>
                <w:szCs w:val="21"/>
                <w:highlight w:val="none"/>
                <w:u w:val="none"/>
                <w:lang w:val="en-US" w:eastAsia="zh-CN" w:bidi="ar"/>
              </w:rPr>
              <w:t>10</w:t>
            </w:r>
          </w:p>
        </w:tc>
        <w:tc>
          <w:tcPr>
            <w:tcW w:w="2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both"/>
              <w:textAlignment w:val="top"/>
              <w:rPr>
                <w:rFonts w:hint="eastAsia" w:ascii="宋体" w:hAnsi="宋体" w:eastAsia="宋体" w:cs="宋体"/>
                <w:i w:val="0"/>
                <w:color w:val="auto"/>
                <w:kern w:val="2"/>
                <w:sz w:val="20"/>
                <w:szCs w:val="20"/>
                <w:highlight w:val="none"/>
                <w:u w:val="none"/>
                <w:lang w:val="en-US" w:eastAsia="zh-CN" w:bidi="ar-SA"/>
              </w:rPr>
            </w:pPr>
            <w:r>
              <w:rPr>
                <w:rFonts w:hint="eastAsia" w:ascii="宋体" w:hAnsi="宋体" w:eastAsia="宋体" w:cs="宋体"/>
                <w:i w:val="0"/>
                <w:color w:val="auto"/>
                <w:kern w:val="0"/>
                <w:sz w:val="20"/>
                <w:szCs w:val="20"/>
                <w:highlight w:val="none"/>
                <w:u w:val="none"/>
                <w:lang w:val="en-US" w:eastAsia="zh-CN" w:bidi="ar"/>
              </w:rPr>
              <w:t>适用于特洁安TROJANUV3000PlusTM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iCs w:val="0"/>
                <w:color w:val="auto"/>
                <w:kern w:val="0"/>
                <w:sz w:val="22"/>
                <w:szCs w:val="22"/>
                <w:highlight w:val="none"/>
                <w:u w:val="none"/>
                <w:lang w:val="en-US" w:eastAsia="zh-CN" w:bidi="ar"/>
              </w:rPr>
              <w:t>5</w:t>
            </w:r>
          </w:p>
        </w:tc>
        <w:tc>
          <w:tcPr>
            <w:tcW w:w="2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0"/>
                <w:szCs w:val="20"/>
                <w:highlight w:val="none"/>
                <w:u w:val="none"/>
                <w:lang w:val="en-US" w:eastAsia="zh-CN" w:bidi="ar"/>
              </w:rPr>
              <w:t>15A保险管</w:t>
            </w:r>
          </w:p>
        </w:tc>
        <w:tc>
          <w:tcPr>
            <w:tcW w:w="15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iCs w:val="0"/>
                <w:color w:val="auto"/>
                <w:kern w:val="0"/>
                <w:sz w:val="21"/>
                <w:szCs w:val="21"/>
                <w:highlight w:val="none"/>
                <w:u w:val="none"/>
                <w:lang w:val="en-US" w:eastAsia="zh-CN" w:bidi="ar"/>
              </w:rPr>
              <w:t>条</w:t>
            </w:r>
          </w:p>
        </w:tc>
        <w:tc>
          <w:tcPr>
            <w:tcW w:w="13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iCs w:val="0"/>
                <w:color w:val="auto"/>
                <w:kern w:val="0"/>
                <w:sz w:val="21"/>
                <w:szCs w:val="21"/>
                <w:highlight w:val="none"/>
                <w:u w:val="none"/>
                <w:lang w:val="en-US" w:eastAsia="zh-CN" w:bidi="ar"/>
              </w:rPr>
              <w:t>10</w:t>
            </w:r>
          </w:p>
        </w:tc>
        <w:tc>
          <w:tcPr>
            <w:tcW w:w="2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both"/>
              <w:textAlignment w:val="top"/>
              <w:rPr>
                <w:rFonts w:hint="eastAsia" w:ascii="宋体" w:hAnsi="宋体" w:eastAsia="宋体" w:cs="宋体"/>
                <w:i w:val="0"/>
                <w:color w:val="auto"/>
                <w:kern w:val="2"/>
                <w:sz w:val="20"/>
                <w:szCs w:val="20"/>
                <w:highlight w:val="none"/>
                <w:u w:val="none"/>
                <w:lang w:val="en-US" w:eastAsia="zh-CN" w:bidi="ar-SA"/>
              </w:rPr>
            </w:pPr>
            <w:r>
              <w:rPr>
                <w:rFonts w:hint="eastAsia" w:ascii="宋体" w:hAnsi="宋体" w:eastAsia="宋体" w:cs="宋体"/>
                <w:i w:val="0"/>
                <w:color w:val="auto"/>
                <w:kern w:val="0"/>
                <w:sz w:val="20"/>
                <w:szCs w:val="20"/>
                <w:highlight w:val="none"/>
                <w:u w:val="none"/>
                <w:lang w:val="en-US" w:eastAsia="zh-CN" w:bidi="ar"/>
              </w:rPr>
              <w:t>适用于特洁安TROJANUV3000PlusTM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iCs w:val="0"/>
                <w:color w:val="auto"/>
                <w:kern w:val="0"/>
                <w:sz w:val="22"/>
                <w:szCs w:val="22"/>
                <w:highlight w:val="none"/>
                <w:u w:val="none"/>
                <w:lang w:val="en-US" w:eastAsia="zh-CN" w:bidi="ar"/>
              </w:rPr>
              <w:t>6</w:t>
            </w:r>
          </w:p>
        </w:tc>
        <w:tc>
          <w:tcPr>
            <w:tcW w:w="2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0"/>
                <w:szCs w:val="20"/>
                <w:highlight w:val="none"/>
                <w:u w:val="none"/>
                <w:lang w:val="en-US" w:eastAsia="zh-CN" w:bidi="ar"/>
              </w:rPr>
              <w:t>液压过滤器</w:t>
            </w:r>
          </w:p>
        </w:tc>
        <w:tc>
          <w:tcPr>
            <w:tcW w:w="15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iCs w:val="0"/>
                <w:color w:val="auto"/>
                <w:kern w:val="0"/>
                <w:sz w:val="21"/>
                <w:szCs w:val="21"/>
                <w:highlight w:val="none"/>
                <w:u w:val="none"/>
                <w:lang w:val="en-US" w:eastAsia="zh-CN" w:bidi="ar"/>
              </w:rPr>
              <w:t>个</w:t>
            </w:r>
          </w:p>
        </w:tc>
        <w:tc>
          <w:tcPr>
            <w:tcW w:w="13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iCs w:val="0"/>
                <w:color w:val="auto"/>
                <w:kern w:val="0"/>
                <w:sz w:val="21"/>
                <w:szCs w:val="21"/>
                <w:highlight w:val="none"/>
                <w:u w:val="none"/>
                <w:lang w:val="en-US" w:eastAsia="zh-CN" w:bidi="ar"/>
              </w:rPr>
              <w:t>2</w:t>
            </w:r>
          </w:p>
        </w:tc>
        <w:tc>
          <w:tcPr>
            <w:tcW w:w="2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适用于特洁安TROJANUV3000PlusTM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lang w:val="en-US" w:eastAsia="zh-CN"/>
              </w:rPr>
            </w:pPr>
            <w:r>
              <w:rPr>
                <w:rFonts w:hint="eastAsia" w:ascii="宋体" w:hAnsi="宋体" w:eastAsia="宋体" w:cs="宋体"/>
                <w:i w:val="0"/>
                <w:color w:val="auto"/>
                <w:sz w:val="21"/>
                <w:szCs w:val="21"/>
                <w:highlight w:val="none"/>
                <w:u w:val="none"/>
                <w:lang w:val="en-US" w:eastAsia="zh-CN"/>
              </w:rPr>
              <w:t>7</w:t>
            </w:r>
          </w:p>
        </w:tc>
        <w:tc>
          <w:tcPr>
            <w:tcW w:w="28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液压杆润滑油脂</w:t>
            </w:r>
          </w:p>
        </w:tc>
        <w:tc>
          <w:tcPr>
            <w:tcW w:w="15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iCs w:val="0"/>
                <w:color w:val="auto"/>
                <w:kern w:val="0"/>
                <w:sz w:val="21"/>
                <w:szCs w:val="21"/>
                <w:highlight w:val="none"/>
                <w:u w:val="none"/>
                <w:lang w:val="en-US" w:eastAsia="zh-CN" w:bidi="ar"/>
              </w:rPr>
              <w:t>箱</w:t>
            </w:r>
          </w:p>
        </w:tc>
        <w:tc>
          <w:tcPr>
            <w:tcW w:w="13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lang w:val="en-US" w:eastAsia="zh-CN"/>
              </w:rPr>
            </w:pPr>
            <w:r>
              <w:rPr>
                <w:rFonts w:hint="eastAsia" w:ascii="宋体" w:hAnsi="宋体" w:eastAsia="宋体" w:cs="宋体"/>
                <w:i w:val="0"/>
                <w:color w:val="auto"/>
                <w:sz w:val="21"/>
                <w:szCs w:val="21"/>
                <w:highlight w:val="none"/>
                <w:u w:val="none"/>
                <w:lang w:val="en-US" w:eastAsia="zh-CN"/>
              </w:rPr>
              <w:t>2</w:t>
            </w:r>
          </w:p>
        </w:tc>
        <w:tc>
          <w:tcPr>
            <w:tcW w:w="2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适用于特洁安TROJANUV3000PlusTM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iCs w:val="0"/>
                <w:color w:val="auto"/>
                <w:kern w:val="0"/>
                <w:sz w:val="22"/>
                <w:szCs w:val="22"/>
                <w:highlight w:val="none"/>
                <w:u w:val="none"/>
                <w:lang w:val="en-US" w:eastAsia="zh-CN" w:bidi="ar"/>
              </w:rPr>
              <w:t>8</w:t>
            </w:r>
          </w:p>
        </w:tc>
        <w:tc>
          <w:tcPr>
            <w:tcW w:w="28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灯头插座</w:t>
            </w:r>
          </w:p>
        </w:tc>
        <w:tc>
          <w:tcPr>
            <w:tcW w:w="15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13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iCs w:val="0"/>
                <w:color w:val="auto"/>
                <w:kern w:val="0"/>
                <w:sz w:val="21"/>
                <w:szCs w:val="21"/>
                <w:highlight w:val="none"/>
                <w:u w:val="none"/>
                <w:lang w:val="en-US" w:eastAsia="zh-CN" w:bidi="ar"/>
              </w:rPr>
              <w:t>112</w:t>
            </w:r>
          </w:p>
        </w:tc>
        <w:tc>
          <w:tcPr>
            <w:tcW w:w="2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适用于特洁安TROJANUV3000PlusTM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21"/>
                <w:szCs w:val="21"/>
                <w:highlight w:val="none"/>
                <w:u w:val="none"/>
                <w:lang w:val="en-US"/>
              </w:rPr>
            </w:pPr>
            <w:r>
              <w:rPr>
                <w:rFonts w:hint="eastAsia" w:ascii="宋体" w:hAnsi="宋体" w:cs="宋体"/>
                <w:i w:val="0"/>
                <w:iCs w:val="0"/>
                <w:color w:val="auto"/>
                <w:kern w:val="0"/>
                <w:sz w:val="22"/>
                <w:szCs w:val="22"/>
                <w:highlight w:val="none"/>
                <w:u w:val="none"/>
                <w:lang w:val="en-US" w:eastAsia="zh-CN" w:bidi="ar"/>
              </w:rPr>
              <w:t>9</w:t>
            </w:r>
          </w:p>
        </w:tc>
        <w:tc>
          <w:tcPr>
            <w:tcW w:w="2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一期触摸操作显示屏</w:t>
            </w:r>
          </w:p>
        </w:tc>
        <w:tc>
          <w:tcPr>
            <w:tcW w:w="15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iCs w:val="0"/>
                <w:color w:val="auto"/>
                <w:kern w:val="0"/>
                <w:sz w:val="21"/>
                <w:szCs w:val="21"/>
                <w:highlight w:val="none"/>
                <w:u w:val="none"/>
                <w:lang w:val="en-US" w:eastAsia="zh-CN" w:bidi="ar"/>
              </w:rPr>
              <w:t>套</w:t>
            </w:r>
          </w:p>
        </w:tc>
        <w:tc>
          <w:tcPr>
            <w:tcW w:w="13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iCs w:val="0"/>
                <w:color w:val="auto"/>
                <w:kern w:val="0"/>
                <w:sz w:val="21"/>
                <w:szCs w:val="21"/>
                <w:highlight w:val="none"/>
                <w:u w:val="none"/>
                <w:lang w:val="en-US" w:eastAsia="zh-CN" w:bidi="ar"/>
              </w:rPr>
              <w:t>1</w:t>
            </w:r>
          </w:p>
        </w:tc>
        <w:tc>
          <w:tcPr>
            <w:tcW w:w="2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适用于特洁安TROJANUV3000PlusTM系统使用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21"/>
                <w:szCs w:val="21"/>
                <w:highlight w:val="none"/>
                <w:u w:val="none"/>
                <w:lang w:val="en-US"/>
              </w:rPr>
            </w:pPr>
            <w:r>
              <w:rPr>
                <w:rFonts w:hint="eastAsia" w:ascii="宋体" w:hAnsi="宋体" w:cs="宋体"/>
                <w:i w:val="0"/>
                <w:iCs w:val="0"/>
                <w:color w:val="auto"/>
                <w:kern w:val="0"/>
                <w:sz w:val="22"/>
                <w:szCs w:val="22"/>
                <w:highlight w:val="none"/>
                <w:u w:val="none"/>
                <w:lang w:val="en-US" w:eastAsia="zh-CN" w:bidi="ar"/>
              </w:rPr>
              <w:t>10</w:t>
            </w:r>
          </w:p>
        </w:tc>
        <w:tc>
          <w:tcPr>
            <w:tcW w:w="28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液压油管</w:t>
            </w:r>
          </w:p>
        </w:tc>
        <w:tc>
          <w:tcPr>
            <w:tcW w:w="15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iCs w:val="0"/>
                <w:color w:val="auto"/>
                <w:kern w:val="0"/>
                <w:sz w:val="22"/>
                <w:szCs w:val="22"/>
                <w:highlight w:val="none"/>
                <w:u w:val="none"/>
                <w:lang w:val="en-US" w:eastAsia="zh-CN" w:bidi="ar"/>
              </w:rPr>
              <w:t>条</w:t>
            </w:r>
          </w:p>
        </w:tc>
        <w:tc>
          <w:tcPr>
            <w:tcW w:w="13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iCs w:val="0"/>
                <w:color w:val="auto"/>
                <w:kern w:val="0"/>
                <w:sz w:val="21"/>
                <w:szCs w:val="21"/>
                <w:highlight w:val="none"/>
                <w:u w:val="none"/>
                <w:lang w:val="en-US" w:eastAsia="zh-CN" w:bidi="ar"/>
              </w:rPr>
              <w:t>28</w:t>
            </w:r>
          </w:p>
        </w:tc>
        <w:tc>
          <w:tcPr>
            <w:tcW w:w="2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适用于特洁安TROJANUV3000PlusTM系统使用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21"/>
                <w:szCs w:val="21"/>
                <w:highlight w:val="none"/>
                <w:u w:val="none"/>
                <w:lang w:val="en-US"/>
              </w:rPr>
            </w:pPr>
            <w:r>
              <w:rPr>
                <w:rFonts w:hint="eastAsia" w:ascii="宋体" w:hAnsi="宋体" w:cs="宋体"/>
                <w:i w:val="0"/>
                <w:iCs w:val="0"/>
                <w:color w:val="auto"/>
                <w:kern w:val="0"/>
                <w:sz w:val="22"/>
                <w:szCs w:val="22"/>
                <w:highlight w:val="none"/>
                <w:u w:val="none"/>
                <w:lang w:val="en-US" w:eastAsia="zh-CN" w:bidi="ar"/>
              </w:rPr>
              <w:t>11</w:t>
            </w:r>
          </w:p>
        </w:tc>
        <w:tc>
          <w:tcPr>
            <w:tcW w:w="2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清洗凝胶</w:t>
            </w:r>
          </w:p>
        </w:tc>
        <w:tc>
          <w:tcPr>
            <w:tcW w:w="15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箱</w:t>
            </w:r>
          </w:p>
        </w:tc>
        <w:tc>
          <w:tcPr>
            <w:tcW w:w="13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iCs w:val="0"/>
                <w:color w:val="auto"/>
                <w:kern w:val="0"/>
                <w:sz w:val="21"/>
                <w:szCs w:val="21"/>
                <w:highlight w:val="none"/>
                <w:u w:val="none"/>
                <w:lang w:val="en-US" w:eastAsia="zh-CN" w:bidi="ar"/>
              </w:rPr>
              <w:t>1</w:t>
            </w:r>
          </w:p>
        </w:tc>
        <w:tc>
          <w:tcPr>
            <w:tcW w:w="2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适用于特洁安TROJANUV3000PlusTM</w:t>
            </w:r>
          </w:p>
        </w:tc>
      </w:tr>
    </w:tbl>
    <w:p>
      <w:pPr>
        <w:widowControl w:val="0"/>
        <w:spacing w:line="360" w:lineRule="auto"/>
        <w:ind w:firstLine="0" w:firstLineChars="0"/>
        <w:jc w:val="both"/>
        <w:rPr>
          <w:rFonts w:ascii="宋体" w:hAnsi="宋体"/>
          <w:color w:val="auto"/>
          <w:kern w:val="2"/>
          <w:sz w:val="24"/>
          <w:szCs w:val="24"/>
          <w:highlight w:val="none"/>
        </w:rPr>
      </w:pPr>
    </w:p>
    <w:p>
      <w:pPr>
        <w:widowControl w:val="0"/>
        <w:adjustRightInd w:val="0"/>
        <w:snapToGrid w:val="0"/>
        <w:spacing w:line="360" w:lineRule="auto"/>
        <w:ind w:firstLine="420"/>
        <w:jc w:val="both"/>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备注：以上配件均包含拆装更换等施工维修费用。</w:t>
      </w:r>
    </w:p>
    <w:p>
      <w:pPr>
        <w:pStyle w:val="22"/>
        <w:rPr>
          <w:color w:val="auto"/>
          <w:highlight w:val="none"/>
        </w:rPr>
      </w:pPr>
    </w:p>
    <w:p>
      <w:pPr>
        <w:widowControl w:val="0"/>
        <w:spacing w:line="360" w:lineRule="auto"/>
        <w:ind w:firstLine="470" w:firstLineChars="196"/>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2、配件技术要求：</w:t>
      </w:r>
    </w:p>
    <w:p>
      <w:pPr>
        <w:widowControl w:val="0"/>
        <w:spacing w:line="360" w:lineRule="auto"/>
        <w:jc w:val="both"/>
        <w:rPr>
          <w:rFonts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rPr>
        <w:t xml:space="preserve">(1)  紫外灯管技术要求 </w:t>
      </w:r>
    </w:p>
    <w:p>
      <w:pPr>
        <w:widowControl w:val="0"/>
        <w:spacing w:line="360" w:lineRule="auto"/>
        <w:ind w:firstLine="480" w:firstLineChars="200"/>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① 紫外灯管必须是低压高强灯，单灯管功率不得高于250W，灯管由可变功输出电子镇流器操作控制，每支灯管紫外能输出在60% -100%间可调，一个电子镇流器控制二支灯管。</w:t>
      </w:r>
    </w:p>
    <w:p>
      <w:pPr>
        <w:widowControl w:val="0"/>
        <w:spacing w:line="360" w:lineRule="auto"/>
        <w:ind w:firstLine="480" w:firstLineChars="200"/>
        <w:jc w:val="both"/>
        <w:rPr>
          <w:rFonts w:ascii="宋体" w:hAnsi="宋体" w:eastAsia="宋体" w:cs="宋体"/>
          <w:color w:val="auto"/>
          <w:kern w:val="2"/>
          <w:sz w:val="24"/>
          <w:szCs w:val="24"/>
          <w:highlight w:val="none"/>
          <w:u w:val="single"/>
        </w:rPr>
      </w:pPr>
      <w:r>
        <w:rPr>
          <w:rFonts w:hint="eastAsia" w:ascii="宋体" w:hAnsi="宋体" w:eastAsia="宋体" w:cs="宋体"/>
          <w:color w:val="auto"/>
          <w:kern w:val="2"/>
          <w:sz w:val="24"/>
          <w:szCs w:val="24"/>
          <w:highlight w:val="none"/>
          <w:u w:val="single"/>
        </w:rPr>
        <w:t>②</w:t>
      </w:r>
      <w:r>
        <w:rPr>
          <w:rFonts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u w:val="single"/>
        </w:rPr>
        <w:t>紫外灯管寿命不低于</w:t>
      </w:r>
      <w:r>
        <w:rPr>
          <w:rFonts w:ascii="宋体" w:hAnsi="宋体" w:eastAsia="宋体" w:cs="宋体"/>
          <w:color w:val="auto"/>
          <w:kern w:val="2"/>
          <w:sz w:val="24"/>
          <w:szCs w:val="24"/>
          <w:highlight w:val="none"/>
          <w:u w:val="single"/>
        </w:rPr>
        <w:t xml:space="preserve"> 12000 </w:t>
      </w:r>
      <w:r>
        <w:rPr>
          <w:rFonts w:hint="eastAsia" w:ascii="宋体" w:hAnsi="宋体" w:eastAsia="宋体" w:cs="宋体"/>
          <w:color w:val="auto"/>
          <w:kern w:val="2"/>
          <w:sz w:val="24"/>
          <w:szCs w:val="24"/>
          <w:highlight w:val="none"/>
          <w:u w:val="single"/>
        </w:rPr>
        <w:t>小时，须提供具备CMA认证资质的第三方认证机构出具的认证证明报告。</w:t>
      </w:r>
    </w:p>
    <w:p>
      <w:pPr>
        <w:widowControl w:val="0"/>
        <w:spacing w:line="360" w:lineRule="auto"/>
        <w:ind w:firstLine="480" w:firstLineChars="200"/>
        <w:jc w:val="both"/>
        <w:rPr>
          <w:rFonts w:ascii="宋体" w:hAnsi="宋体" w:eastAsia="宋体" w:cs="宋体"/>
          <w:color w:val="auto"/>
          <w:kern w:val="2"/>
          <w:sz w:val="24"/>
          <w:szCs w:val="24"/>
          <w:highlight w:val="none"/>
          <w:u w:val="single"/>
        </w:rPr>
      </w:pPr>
      <w:r>
        <w:rPr>
          <w:rFonts w:ascii="宋体" w:hAnsi="宋体" w:eastAsia="宋体" w:cs="宋体"/>
          <w:color w:val="auto"/>
          <w:kern w:val="2"/>
          <w:sz w:val="24"/>
          <w:szCs w:val="24"/>
          <w:highlight w:val="none"/>
          <w:u w:val="single"/>
        </w:rPr>
        <w:t xml:space="preserve">供应商必须出具灯管寿命保证承诺书，并在其中承诺当灯管使用寿命不足 12000 </w:t>
      </w:r>
      <w:r>
        <w:rPr>
          <w:rFonts w:hint="eastAsia" w:ascii="宋体" w:hAnsi="宋体" w:eastAsia="宋体" w:cs="宋体"/>
          <w:color w:val="auto"/>
          <w:kern w:val="2"/>
          <w:sz w:val="24"/>
          <w:szCs w:val="24"/>
          <w:highlight w:val="none"/>
          <w:u w:val="single"/>
        </w:rPr>
        <w:t>小时或在</w:t>
      </w:r>
      <w:r>
        <w:rPr>
          <w:rFonts w:ascii="宋体" w:hAnsi="宋体" w:eastAsia="宋体" w:cs="宋体"/>
          <w:color w:val="auto"/>
          <w:kern w:val="2"/>
          <w:sz w:val="24"/>
          <w:szCs w:val="24"/>
          <w:highlight w:val="none"/>
          <w:u w:val="single"/>
        </w:rPr>
        <w:t xml:space="preserve"> 12000 </w:t>
      </w:r>
      <w:r>
        <w:rPr>
          <w:rFonts w:hint="eastAsia" w:ascii="宋体" w:hAnsi="宋体" w:eastAsia="宋体" w:cs="宋体"/>
          <w:color w:val="auto"/>
          <w:kern w:val="2"/>
          <w:sz w:val="24"/>
          <w:szCs w:val="24"/>
          <w:highlight w:val="none"/>
          <w:u w:val="single"/>
        </w:rPr>
        <w:t>小时内紫外系统剂量不足以保证系统消毒效果时，免费更换全新灯管，</w:t>
      </w:r>
      <w:r>
        <w:rPr>
          <w:rFonts w:hint="eastAsia" w:ascii="宋体" w:hAnsi="宋体" w:eastAsia="宋体" w:cs="宋体"/>
          <w:color w:val="auto"/>
          <w:kern w:val="2"/>
          <w:sz w:val="24"/>
          <w:szCs w:val="24"/>
          <w:highlight w:val="none"/>
          <w:u w:val="single"/>
          <w:lang w:val="zh-CN"/>
        </w:rPr>
        <w:t>费用由成交供应商自行承担</w:t>
      </w:r>
      <w:r>
        <w:rPr>
          <w:rFonts w:hint="eastAsia" w:ascii="宋体" w:hAnsi="宋体" w:eastAsia="宋体" w:cs="宋体"/>
          <w:color w:val="auto"/>
          <w:kern w:val="2"/>
          <w:sz w:val="24"/>
          <w:szCs w:val="24"/>
          <w:highlight w:val="none"/>
          <w:u w:val="single"/>
        </w:rPr>
        <w:t>。如灯管寿命不满足要求所造成的经济损失及责任由成交供应商承担。</w:t>
      </w:r>
      <w:r>
        <w:rPr>
          <w:rFonts w:hint="eastAsia" w:ascii="宋体" w:hAnsi="宋体" w:eastAsia="宋体" w:cs="宋体"/>
          <w:color w:val="auto"/>
          <w:kern w:val="2"/>
          <w:sz w:val="24"/>
          <w:szCs w:val="24"/>
          <w:highlight w:val="none"/>
          <w:u w:val="single"/>
          <w:lang w:val="zh-CN"/>
        </w:rPr>
        <w:t>质保期为自验收合格之日起紫外灯管质保寿命为</w:t>
      </w:r>
      <w:r>
        <w:rPr>
          <w:rFonts w:ascii="宋体" w:hAnsi="宋体" w:eastAsia="宋体" w:cs="宋体"/>
          <w:color w:val="auto"/>
          <w:kern w:val="2"/>
          <w:sz w:val="24"/>
          <w:szCs w:val="24"/>
          <w:highlight w:val="none"/>
          <w:u w:val="single"/>
          <w:lang w:val="zh-CN"/>
        </w:rPr>
        <w:t>12000小时，其他零配件一年</w:t>
      </w:r>
      <w:r>
        <w:rPr>
          <w:rFonts w:ascii="宋体" w:hAnsi="宋体" w:eastAsia="宋体" w:cs="宋体"/>
          <w:color w:val="auto"/>
          <w:kern w:val="2"/>
          <w:sz w:val="24"/>
          <w:szCs w:val="24"/>
          <w:highlight w:val="none"/>
          <w:u w:val="single"/>
        </w:rPr>
        <w:t>。如灯管寿命不满足要求，所造成的经济损失及责任由</w:t>
      </w:r>
      <w:r>
        <w:rPr>
          <w:rFonts w:hint="eastAsia" w:ascii="宋体" w:hAnsi="宋体" w:eastAsia="宋体" w:cs="宋体"/>
          <w:color w:val="auto"/>
          <w:kern w:val="2"/>
          <w:sz w:val="24"/>
          <w:szCs w:val="24"/>
          <w:highlight w:val="none"/>
          <w:u w:val="single"/>
        </w:rPr>
        <w:t>成交供应商</w:t>
      </w:r>
      <w:r>
        <w:rPr>
          <w:rFonts w:ascii="宋体" w:hAnsi="宋体" w:eastAsia="宋体" w:cs="宋体"/>
          <w:color w:val="auto"/>
          <w:kern w:val="2"/>
          <w:sz w:val="24"/>
          <w:szCs w:val="24"/>
          <w:highlight w:val="none"/>
          <w:u w:val="single"/>
        </w:rPr>
        <w:t>承担</w:t>
      </w:r>
      <w:r>
        <w:rPr>
          <w:rFonts w:hint="eastAsia" w:ascii="宋体" w:hAnsi="宋体" w:eastAsia="宋体" w:cs="宋体"/>
          <w:color w:val="auto"/>
          <w:kern w:val="2"/>
          <w:sz w:val="24"/>
          <w:szCs w:val="24"/>
          <w:highlight w:val="none"/>
          <w:u w:val="single"/>
        </w:rPr>
        <w:t>，在质保期内出现故障，成交供应商必须二十四小时内响应，进场维修。</w:t>
      </w:r>
    </w:p>
    <w:p>
      <w:pPr>
        <w:widowControl w:val="0"/>
        <w:spacing w:line="360" w:lineRule="auto"/>
        <w:ind w:firstLine="480" w:firstLineChars="200"/>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③电路联接部分只在灯管一端。</w:t>
      </w:r>
    </w:p>
    <w:p>
      <w:pPr>
        <w:widowControl w:val="0"/>
        <w:spacing w:line="360" w:lineRule="auto"/>
        <w:ind w:firstLine="480" w:firstLineChars="200"/>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④灯管为产生零臭氧类灯管。</w:t>
      </w:r>
    </w:p>
    <w:p>
      <w:pPr>
        <w:widowControl w:val="0"/>
        <w:spacing w:line="360" w:lineRule="auto"/>
        <w:ind w:firstLine="480" w:firstLineChars="200"/>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⑤在峰值流量和紫外灯运行寿命终点前，其紫外线有效剂量不应低于20mJ/cm2，成交供应商应附上标明灯管的紫外线有效剂量生物验证剂量作的资料为开箱验收资料，且成交供应商需在安装后5天、运行2000小时、运行5000小时、运行12000小时共4个时间节点，由成交供应商委托第三方有资质单位对每条水渠廊道（共</w:t>
      </w:r>
      <w:r>
        <w:rPr>
          <w:rFonts w:hint="eastAsia" w:ascii="宋体" w:hAnsi="宋体" w:eastAsia="宋体" w:cs="宋体"/>
          <w:color w:val="auto"/>
          <w:kern w:val="2"/>
          <w:sz w:val="24"/>
          <w:szCs w:val="24"/>
          <w:highlight w:val="none"/>
          <w:lang w:val="en-US" w:eastAsia="zh-CN"/>
        </w:rPr>
        <w:t>3</w:t>
      </w:r>
      <w:r>
        <w:rPr>
          <w:rFonts w:hint="eastAsia" w:ascii="宋体" w:hAnsi="宋体" w:eastAsia="宋体" w:cs="宋体"/>
          <w:color w:val="auto"/>
          <w:kern w:val="2"/>
          <w:sz w:val="24"/>
          <w:szCs w:val="24"/>
          <w:highlight w:val="none"/>
        </w:rPr>
        <w:t>条水渠廊道）的在用灯管以及出水水样进行抽检。灯管检测结果必须符合：紫外灯管紫外线有效剂量不低于20mJ/cm2。</w:t>
      </w:r>
      <w:r>
        <w:rPr>
          <w:rFonts w:hint="eastAsia" w:ascii="宋体" w:hAnsi="宋体" w:eastAsia="宋体" w:cs="宋体"/>
          <w:color w:val="auto"/>
          <w:kern w:val="2"/>
          <w:sz w:val="24"/>
          <w:szCs w:val="24"/>
          <w:highlight w:val="none"/>
          <w:lang w:val="en-US" w:eastAsia="zh-CN"/>
        </w:rPr>
        <w:t>否</w:t>
      </w:r>
      <w:r>
        <w:rPr>
          <w:rFonts w:hint="eastAsia" w:ascii="宋体" w:hAnsi="宋体" w:eastAsia="宋体" w:cs="宋体"/>
          <w:color w:val="auto"/>
          <w:kern w:val="2"/>
          <w:sz w:val="24"/>
          <w:szCs w:val="24"/>
          <w:highlight w:val="none"/>
        </w:rPr>
        <w:t>则需对该廊道所有灯管进行更换。出水水样的粪大肠菌群数检测结果必须≤10</w:t>
      </w:r>
      <w:r>
        <w:rPr>
          <w:rFonts w:hint="eastAsia" w:ascii="宋体" w:hAnsi="宋体" w:eastAsia="宋体" w:cs="宋体"/>
          <w:color w:val="auto"/>
          <w:kern w:val="2"/>
          <w:sz w:val="24"/>
          <w:szCs w:val="24"/>
          <w:highlight w:val="none"/>
          <w:lang w:val="en-US" w:eastAsia="zh-CN"/>
        </w:rPr>
        <w:t>0</w:t>
      </w:r>
      <w:r>
        <w:rPr>
          <w:rFonts w:hint="eastAsia" w:ascii="宋体" w:hAnsi="宋体" w:eastAsia="宋体" w:cs="宋体"/>
          <w:color w:val="auto"/>
          <w:kern w:val="2"/>
          <w:sz w:val="24"/>
          <w:szCs w:val="24"/>
          <w:highlight w:val="none"/>
        </w:rPr>
        <w:t>个/L。若出现不符合上述要求，则需成交供应商对该廊道所有灯管进行全部更换。</w:t>
      </w:r>
    </w:p>
    <w:p>
      <w:pPr>
        <w:widowControl w:val="0"/>
        <w:spacing w:line="360" w:lineRule="auto"/>
        <w:ind w:firstLine="480" w:firstLineChars="200"/>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⑥单根灯管的老化系数不低于0.8，老化系数的检测方法按照《紫外线水消毒设备紫外线剂量测试方法》（GB∕T 32091-2015）中附录A《紫外灯管老化系数测试方法》所要求的测试步骤。成交供应商应附上资质第三方验证的灯管老化系数的资料作为开箱验收资料。</w:t>
      </w:r>
    </w:p>
    <w:p>
      <w:pPr>
        <w:widowControl w:val="0"/>
        <w:spacing w:line="360" w:lineRule="auto"/>
        <w:jc w:val="both"/>
        <w:rPr>
          <w:rFonts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rPr>
        <w:t>(2)紫外灯石英套管技术要求</w:t>
      </w:r>
    </w:p>
    <w:p>
      <w:pPr>
        <w:widowControl w:val="0"/>
        <w:spacing w:line="360" w:lineRule="auto"/>
        <w:ind w:firstLine="480" w:firstLineChars="200"/>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① 紫外灯安装在石英套管内，与被消毒水体隔开，洁净石英套管在波长为 253.7 nm的UVT（紫外线透光率）应高于90%,3年内通过人工化学清洗后透光率不能低于80%。</w:t>
      </w:r>
    </w:p>
    <w:p>
      <w:pPr>
        <w:widowControl w:val="0"/>
        <w:spacing w:line="360" w:lineRule="auto"/>
        <w:ind w:firstLine="480" w:firstLineChars="200"/>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②设备紫外线有效剂量计算中应考虑紫外灯石英套管结垢系数。紫外灯石英套管结垢系数通过第三方验证后,可使用验证通过的结垢系数计算设备紫外线有效剂量。若紫外灯石英套管结垢系数值没有通过第三方验证，应使用 0.6 的默认值作为紫外灯石英套管结垢系数，计算设备紫外线有效剂量。成交供应商应附上通过有资质第三方验证石英套管结构系数的资料作为开箱验收资料。</w:t>
      </w:r>
    </w:p>
    <w:p>
      <w:pPr>
        <w:widowControl w:val="0"/>
        <w:spacing w:line="360" w:lineRule="auto"/>
        <w:ind w:firstLine="480" w:firstLineChars="200"/>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②石英套管开口端由SS304不锈钢套管螺帽、钢套和紧压式O型圈组成密封，防护等级IP68。形状结构与原结构一致，可与原套管完全替换不需要再增加或改造连接件。</w:t>
      </w:r>
    </w:p>
    <w:p>
      <w:pPr>
        <w:widowControl w:val="0"/>
        <w:spacing w:line="360" w:lineRule="auto"/>
        <w:ind w:firstLine="480" w:firstLineChars="200"/>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③石英套管螺帽具有滚花面以供紧固时手握，拆卸灯管及套管时不需辅助工具。</w:t>
      </w:r>
    </w:p>
    <w:p>
      <w:pPr>
        <w:widowControl w:val="0"/>
        <w:spacing w:line="360" w:lineRule="auto"/>
        <w:ind w:firstLine="480" w:firstLineChars="200"/>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④类型：一端开口，一端封闭</w:t>
      </w:r>
    </w:p>
    <w:p>
      <w:pPr>
        <w:widowControl w:val="0"/>
        <w:spacing w:line="360" w:lineRule="auto"/>
        <w:ind w:firstLine="480" w:firstLineChars="200"/>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 xml:space="preserve">⑤ 每根紫外灯管内置安装在一根单独的紫外灯套管内，套管一端开口，开口端采用压紧式 O型圈进行密封安装。 </w:t>
      </w:r>
    </w:p>
    <w:p>
      <w:pPr>
        <w:widowControl w:val="0"/>
        <w:spacing w:line="360" w:lineRule="auto"/>
        <w:ind w:firstLine="480" w:firstLineChars="200"/>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 xml:space="preserve">④ 紫外灯套管壁厚度≥1.5mm。 </w:t>
      </w:r>
    </w:p>
    <w:p>
      <w:pPr>
        <w:widowControl w:val="0"/>
        <w:adjustRightInd w:val="0"/>
        <w:snapToGrid w:val="0"/>
        <w:spacing w:line="360" w:lineRule="auto"/>
        <w:ind w:firstLine="420"/>
        <w:jc w:val="both"/>
        <w:textAlignment w:val="baseline"/>
        <w:rPr>
          <w:rFonts w:ascii="宋体" w:hAnsi="宋体" w:eastAsia="宋体" w:cs="宋体"/>
          <w:b/>
          <w:bCs/>
          <w:color w:val="auto"/>
          <w:kern w:val="0"/>
          <w:sz w:val="24"/>
          <w:szCs w:val="24"/>
          <w:highlight w:val="none"/>
        </w:rPr>
      </w:pPr>
      <w:r>
        <w:rPr>
          <w:rFonts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3</w:t>
      </w:r>
      <w:r>
        <w:rPr>
          <w:rFonts w:ascii="宋体" w:hAnsi="宋体" w:eastAsia="宋体" w:cs="宋体"/>
          <w:b/>
          <w:bCs/>
          <w:color w:val="auto"/>
          <w:kern w:val="0"/>
          <w:sz w:val="24"/>
          <w:szCs w:val="24"/>
          <w:highlight w:val="none"/>
        </w:rPr>
        <w:t>)清洗系统</w:t>
      </w:r>
    </w:p>
    <w:p>
      <w:pPr>
        <w:widowControl w:val="0"/>
        <w:adjustRightInd w:val="0"/>
        <w:snapToGrid w:val="0"/>
        <w:spacing w:line="360" w:lineRule="auto"/>
        <w:ind w:firstLine="420"/>
        <w:jc w:val="both"/>
        <w:textAlignment w:val="baseline"/>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①清洗方式采用《城镇给排水紫外线消毒设备》国家标准（GB/T 19837-2019）</w:t>
      </w:r>
      <w:r>
        <w:rPr>
          <w:rFonts w:ascii="宋体" w:hAnsi="宋体" w:eastAsia="宋体" w:cs="宋体"/>
          <w:color w:val="auto"/>
          <w:kern w:val="0"/>
          <w:sz w:val="24"/>
          <w:szCs w:val="24"/>
          <w:highlight w:val="none"/>
        </w:rPr>
        <w:t>中要求的“在污水处理应用中，宜采用机械加化学清洗”的方式。</w:t>
      </w:r>
    </w:p>
    <w:p>
      <w:pPr>
        <w:widowControl w:val="0"/>
        <w:adjustRightInd w:val="0"/>
        <w:snapToGrid w:val="0"/>
        <w:spacing w:line="360" w:lineRule="auto"/>
        <w:ind w:firstLine="420"/>
        <w:jc w:val="both"/>
        <w:textAlignment w:val="baseline"/>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②在线机械加化学全自动清洗系统在整个清洗过程中保证出水水量和水质满足设计要求。</w:t>
      </w:r>
    </w:p>
    <w:p>
      <w:pPr>
        <w:widowControl w:val="0"/>
        <w:adjustRightInd w:val="0"/>
        <w:snapToGrid w:val="0"/>
        <w:spacing w:line="360" w:lineRule="auto"/>
        <w:ind w:firstLine="420"/>
        <w:jc w:val="both"/>
        <w:textAlignment w:val="baseline"/>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③清洗系统运行模式为现场手动和远程自动／手动。远程自动／手动可通过操作界面实现控制。在自动清洗模式时，可根据紫外线光强变化或清洗周期自动运行和停止。</w:t>
      </w:r>
    </w:p>
    <w:p>
      <w:pPr>
        <w:widowControl w:val="0"/>
        <w:adjustRightInd w:val="0"/>
        <w:snapToGrid w:val="0"/>
        <w:spacing w:line="360" w:lineRule="auto"/>
        <w:ind w:firstLine="420"/>
        <w:jc w:val="both"/>
        <w:textAlignment w:val="baseline"/>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④清洗环（清洗头刮擦片）采用耐紫外光的特氟龙和</w:t>
      </w:r>
      <w:r>
        <w:rPr>
          <w:rFonts w:ascii="宋体" w:hAnsi="宋体" w:eastAsia="宋体" w:cs="宋体"/>
          <w:color w:val="auto"/>
          <w:kern w:val="0"/>
          <w:sz w:val="24"/>
          <w:szCs w:val="24"/>
          <w:highlight w:val="none"/>
        </w:rPr>
        <w:t>Viton橡胶和316L不锈钢，使用寿命保证3年以上，不足3年承诺免费予以补偿。</w:t>
      </w:r>
    </w:p>
    <w:p>
      <w:pPr>
        <w:widowControl w:val="0"/>
        <w:adjustRightInd w:val="0"/>
        <w:snapToGrid w:val="0"/>
        <w:spacing w:line="360" w:lineRule="auto"/>
        <w:ind w:firstLine="420"/>
        <w:jc w:val="both"/>
        <w:textAlignment w:val="baseline"/>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⑤清洗系统的封闭外壳采用</w:t>
      </w:r>
      <w:r>
        <w:rPr>
          <w:rFonts w:ascii="宋体" w:hAnsi="宋体" w:eastAsia="宋体" w:cs="宋体"/>
          <w:color w:val="auto"/>
          <w:kern w:val="0"/>
          <w:sz w:val="24"/>
          <w:szCs w:val="24"/>
          <w:highlight w:val="none"/>
        </w:rPr>
        <w:t>AISI304不锈钢或以上材质制造。采用液压驱动清洗系统，采用的清洗凝胶材料为食品级，不会产生二次污染。</w:t>
      </w:r>
    </w:p>
    <w:p>
      <w:pPr>
        <w:widowControl/>
        <w:ind w:firstLine="480" w:firstLineChars="200"/>
        <w:jc w:val="left"/>
        <w:rPr>
          <w:rFonts w:ascii="Times New Roman" w:hAnsi="Times New Roman" w:eastAsia="宋体" w:cs="Times New Roman"/>
          <w:color w:val="auto"/>
          <w:kern w:val="0"/>
          <w:szCs w:val="20"/>
          <w:highlight w:val="none"/>
        </w:rPr>
      </w:pPr>
      <w:r>
        <w:rPr>
          <w:rFonts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4</w:t>
      </w:r>
      <w:r>
        <w:rPr>
          <w:rFonts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en-US" w:eastAsia="zh-CN" w:bidi="ar"/>
        </w:rPr>
        <w:t>镇流器</w:t>
      </w:r>
    </w:p>
    <w:p>
      <w:pPr>
        <w:keepNext w:val="0"/>
        <w:keepLines w:val="0"/>
        <w:widowControl w:val="0"/>
        <w:suppressLineNumbers w:val="0"/>
        <w:adjustRightInd w:val="0"/>
        <w:snapToGrid w:val="0"/>
        <w:spacing w:before="0" w:beforeAutospacing="0" w:after="0" w:afterAutospacing="0" w:line="360" w:lineRule="auto"/>
        <w:ind w:left="0" w:right="0" w:firstLine="420"/>
        <w:jc w:val="both"/>
        <w:textAlignment w:val="baseline"/>
        <w:rPr>
          <w:rFonts w:hint="eastAsia" w:ascii="宋体" w:hAnsi="宋体" w:eastAsia="宋体" w:cs="宋体"/>
          <w:color w:val="auto"/>
          <w:kern w:val="0"/>
          <w:sz w:val="24"/>
          <w:szCs w:val="24"/>
          <w:highlight w:val="none"/>
          <w:vertAlign w:val="baseline"/>
        </w:rPr>
      </w:pPr>
      <w:r>
        <w:rPr>
          <w:rFonts w:hint="eastAsia" w:ascii="宋体" w:hAnsi="宋体" w:eastAsia="宋体" w:cs="宋体"/>
          <w:color w:val="auto"/>
          <w:kern w:val="0"/>
          <w:sz w:val="24"/>
          <w:szCs w:val="24"/>
          <w:highlight w:val="none"/>
          <w:vertAlign w:val="baseline"/>
          <w:lang w:val="en-US" w:eastAsia="zh-CN" w:bidi="ar"/>
        </w:rPr>
        <w:t>①电子镇流器由紫外线设备系统控制中心PLC控制，输出范围60－100％，同时将提供每支紫外线灯的工作状况并把信号输送到控制中心，密封等级为IP65。</w:t>
      </w:r>
    </w:p>
    <w:p>
      <w:pPr>
        <w:keepNext w:val="0"/>
        <w:keepLines w:val="0"/>
        <w:widowControl w:val="0"/>
        <w:suppressLineNumbers w:val="0"/>
        <w:adjustRightInd w:val="0"/>
        <w:snapToGrid w:val="0"/>
        <w:spacing w:before="0" w:beforeAutospacing="0" w:after="0" w:afterAutospacing="0" w:line="360" w:lineRule="auto"/>
        <w:ind w:left="0" w:right="0" w:firstLine="420"/>
        <w:jc w:val="both"/>
        <w:textAlignment w:val="baseline"/>
        <w:rPr>
          <w:rFonts w:hint="eastAsia" w:ascii="宋体" w:hAnsi="宋体" w:eastAsia="宋体" w:cs="宋体"/>
          <w:color w:val="auto"/>
          <w:kern w:val="0"/>
          <w:sz w:val="24"/>
          <w:szCs w:val="24"/>
          <w:highlight w:val="none"/>
          <w:vertAlign w:val="baseline"/>
        </w:rPr>
      </w:pPr>
      <w:r>
        <w:rPr>
          <w:rFonts w:hint="eastAsia" w:ascii="宋体" w:hAnsi="宋体" w:eastAsia="宋体" w:cs="宋体"/>
          <w:color w:val="auto"/>
          <w:kern w:val="0"/>
          <w:sz w:val="24"/>
          <w:szCs w:val="24"/>
          <w:highlight w:val="none"/>
          <w:vertAlign w:val="baseline"/>
          <w:lang w:val="en-US" w:eastAsia="zh-CN" w:bidi="ar"/>
        </w:rPr>
        <w:t>②一个镇流器驱动二根灯管，结构和连接方式及电气参数必须要与原系统匹配。</w:t>
      </w:r>
    </w:p>
    <w:p>
      <w:pPr>
        <w:keepNext w:val="0"/>
        <w:keepLines w:val="0"/>
        <w:widowControl w:val="0"/>
        <w:suppressLineNumbers w:val="0"/>
        <w:adjustRightInd w:val="0"/>
        <w:snapToGrid w:val="0"/>
        <w:spacing w:before="0" w:beforeAutospacing="0" w:after="0" w:afterAutospacing="0" w:line="360" w:lineRule="auto"/>
        <w:ind w:left="0" w:right="0" w:firstLine="420"/>
        <w:jc w:val="both"/>
        <w:textAlignment w:val="baseline"/>
        <w:rPr>
          <w:rFonts w:hint="eastAsia" w:ascii="宋体" w:hAnsi="宋体" w:eastAsia="宋体" w:cs="宋体"/>
          <w:color w:val="auto"/>
          <w:kern w:val="0"/>
          <w:sz w:val="24"/>
          <w:szCs w:val="24"/>
          <w:highlight w:val="none"/>
          <w:vertAlign w:val="baseline"/>
        </w:rPr>
      </w:pPr>
      <w:r>
        <w:rPr>
          <w:rFonts w:hint="eastAsia" w:ascii="宋体" w:hAnsi="宋体" w:eastAsia="宋体" w:cs="宋体"/>
          <w:color w:val="auto"/>
          <w:kern w:val="0"/>
          <w:sz w:val="24"/>
          <w:szCs w:val="24"/>
          <w:highlight w:val="none"/>
          <w:vertAlign w:val="baseline"/>
          <w:lang w:val="en-US" w:eastAsia="zh-CN" w:bidi="ar"/>
        </w:rPr>
        <w:t>③镇流器置于紫外模块上部，镇流器的使用寿命和工作环境的清洁性，镇流器密封箱的密封等级达到IP67。</w:t>
      </w:r>
    </w:p>
    <w:p>
      <w:pPr>
        <w:keepNext w:val="0"/>
        <w:keepLines w:val="0"/>
        <w:widowControl w:val="0"/>
        <w:suppressLineNumbers w:val="0"/>
        <w:adjustRightInd w:val="0"/>
        <w:snapToGrid w:val="0"/>
        <w:spacing w:before="0" w:beforeAutospacing="0" w:after="0" w:afterAutospacing="0" w:line="360" w:lineRule="auto"/>
        <w:ind w:left="0" w:right="0" w:firstLine="420"/>
        <w:jc w:val="both"/>
        <w:textAlignment w:val="baseline"/>
        <w:rPr>
          <w:rFonts w:hint="eastAsia" w:ascii="宋体" w:hAnsi="宋体" w:eastAsia="宋体" w:cs="宋体"/>
          <w:color w:val="auto"/>
          <w:kern w:val="0"/>
          <w:sz w:val="24"/>
          <w:szCs w:val="24"/>
          <w:highlight w:val="none"/>
          <w:vertAlign w:val="baseline"/>
        </w:rPr>
      </w:pPr>
      <w:r>
        <w:rPr>
          <w:rFonts w:hint="eastAsia" w:ascii="宋体" w:hAnsi="宋体" w:eastAsia="宋体" w:cs="宋体"/>
          <w:color w:val="auto"/>
          <w:kern w:val="0"/>
          <w:sz w:val="24"/>
          <w:szCs w:val="24"/>
          <w:highlight w:val="none"/>
          <w:vertAlign w:val="baseline"/>
          <w:lang w:val="en-US" w:eastAsia="zh-CN" w:bidi="ar"/>
        </w:rPr>
        <w:t>④镇流器功率因数(PF)大于0.98。电流谐波含量(ATHD)应小于15%。寿命应达到紫外灯运行寿命的 80%以上（即9600小时以上）,紫外线输出强度应达到灯管的额定值。</w:t>
      </w:r>
    </w:p>
    <w:p>
      <w:pPr>
        <w:keepNext w:val="0"/>
        <w:keepLines w:val="0"/>
        <w:widowControl w:val="0"/>
        <w:suppressLineNumbers w:val="0"/>
        <w:adjustRightInd w:val="0"/>
        <w:snapToGrid w:val="0"/>
        <w:spacing w:before="0" w:beforeAutospacing="0" w:after="0" w:afterAutospacing="0" w:line="360" w:lineRule="auto"/>
        <w:ind w:left="0" w:right="0" w:firstLine="420"/>
        <w:jc w:val="both"/>
        <w:textAlignment w:val="baseline"/>
        <w:rPr>
          <w:rFonts w:hint="eastAsia" w:ascii="宋体" w:hAnsi="宋体" w:eastAsia="宋体" w:cs="宋体"/>
          <w:color w:val="auto"/>
          <w:kern w:val="0"/>
          <w:sz w:val="24"/>
          <w:szCs w:val="24"/>
          <w:highlight w:val="none"/>
          <w:vertAlign w:val="baseline"/>
        </w:rPr>
      </w:pPr>
      <w:r>
        <w:rPr>
          <w:rFonts w:hint="eastAsia" w:ascii="宋体" w:hAnsi="宋体" w:eastAsia="宋体" w:cs="宋体"/>
          <w:color w:val="auto"/>
          <w:kern w:val="0"/>
          <w:sz w:val="24"/>
          <w:szCs w:val="24"/>
          <w:highlight w:val="none"/>
          <w:vertAlign w:val="baseline"/>
          <w:lang w:val="en-US" w:eastAsia="zh-CN" w:bidi="ar"/>
        </w:rPr>
        <w:t>⑤每个系统控制中心供电参数为220V、1相2线+地线，1200VA。</w:t>
      </w:r>
    </w:p>
    <w:p>
      <w:pPr>
        <w:keepNext w:val="0"/>
        <w:keepLines w:val="0"/>
        <w:widowControl w:val="0"/>
        <w:suppressLineNumbers w:val="0"/>
        <w:adjustRightInd w:val="0"/>
        <w:snapToGrid w:val="0"/>
        <w:spacing w:before="0" w:beforeAutospacing="0" w:after="0" w:afterAutospacing="0" w:line="360" w:lineRule="auto"/>
        <w:ind w:left="0" w:right="0" w:firstLine="420"/>
        <w:jc w:val="both"/>
        <w:textAlignment w:val="baseline"/>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⑥镇流器配件的尺寸必须能放进原厂灯组模块内，安装形式必须与原镇流器一致。</w:t>
      </w:r>
    </w:p>
    <w:p>
      <w:pPr>
        <w:widowControl w:val="0"/>
        <w:adjustRightInd w:val="0"/>
        <w:snapToGrid w:val="0"/>
        <w:spacing w:line="360" w:lineRule="auto"/>
        <w:ind w:firstLine="420"/>
        <w:jc w:val="both"/>
        <w:textAlignment w:val="baseline"/>
        <w:rPr>
          <w:rFonts w:hint="eastAsia" w:ascii="宋体" w:hAnsi="宋体" w:eastAsia="宋体" w:cs="宋体"/>
          <w:b/>
          <w:bCs/>
          <w:color w:val="auto"/>
          <w:kern w:val="0"/>
          <w:sz w:val="24"/>
          <w:szCs w:val="24"/>
          <w:highlight w:val="none"/>
          <w:lang w:eastAsia="zh-CN"/>
        </w:rPr>
      </w:pPr>
      <w:r>
        <w:rPr>
          <w:rFonts w:hint="default"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5</w:t>
      </w:r>
      <w:r>
        <w:rPr>
          <w:rFonts w:hint="default"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灯座</w:t>
      </w:r>
    </w:p>
    <w:p>
      <w:pPr>
        <w:keepNext w:val="0"/>
        <w:keepLines w:val="0"/>
        <w:widowControl w:val="0"/>
        <w:suppressLineNumbers w:val="0"/>
        <w:adjustRightInd w:val="0"/>
        <w:snapToGrid w:val="0"/>
        <w:spacing w:before="0" w:beforeAutospacing="0" w:after="0" w:afterAutospacing="0" w:line="360" w:lineRule="auto"/>
        <w:ind w:left="0" w:right="0" w:firstLine="420"/>
        <w:jc w:val="both"/>
        <w:textAlignment w:val="baseline"/>
        <w:rPr>
          <w:rFonts w:hint="eastAsia" w:ascii="宋体" w:hAnsi="宋体" w:eastAsia="宋体" w:cs="宋体"/>
          <w:color w:val="auto"/>
          <w:kern w:val="0"/>
          <w:sz w:val="24"/>
          <w:szCs w:val="24"/>
          <w:highlight w:val="none"/>
          <w:vertAlign w:val="baseline"/>
        </w:rPr>
      </w:pPr>
      <w:r>
        <w:rPr>
          <w:rFonts w:hint="eastAsia" w:ascii="宋体" w:hAnsi="宋体" w:eastAsia="宋体" w:cs="宋体"/>
          <w:color w:val="auto"/>
          <w:kern w:val="0"/>
          <w:sz w:val="24"/>
          <w:szCs w:val="24"/>
          <w:highlight w:val="none"/>
          <w:vertAlign w:val="baseline"/>
          <w:lang w:val="en-US" w:eastAsia="zh-CN" w:bidi="ar"/>
        </w:rPr>
        <w:t>①灯管由一个PVC模铸灯座固定并具备双层密封。灯座的双层密封与套管的O型密封圈构成多级密封屏障。</w:t>
      </w:r>
    </w:p>
    <w:p>
      <w:pPr>
        <w:keepNext w:val="0"/>
        <w:keepLines w:val="0"/>
        <w:widowControl w:val="0"/>
        <w:suppressLineNumbers w:val="0"/>
        <w:adjustRightInd w:val="0"/>
        <w:snapToGrid w:val="0"/>
        <w:spacing w:before="0" w:beforeAutospacing="0" w:after="0" w:afterAutospacing="0" w:line="360" w:lineRule="auto"/>
        <w:ind w:left="0" w:right="0" w:firstLine="420"/>
        <w:jc w:val="both"/>
        <w:textAlignment w:val="baseline"/>
        <w:rPr>
          <w:rFonts w:hint="eastAsia" w:ascii="宋体" w:hAnsi="宋体" w:eastAsia="宋体" w:cs="宋体"/>
          <w:color w:val="auto"/>
          <w:kern w:val="0"/>
          <w:sz w:val="24"/>
          <w:szCs w:val="24"/>
          <w:highlight w:val="none"/>
          <w:vertAlign w:val="baseline"/>
        </w:rPr>
      </w:pPr>
      <w:r>
        <w:rPr>
          <w:rFonts w:hint="eastAsia" w:ascii="宋体" w:hAnsi="宋体" w:eastAsia="宋体" w:cs="宋体"/>
          <w:color w:val="auto"/>
          <w:kern w:val="0"/>
          <w:sz w:val="24"/>
          <w:szCs w:val="24"/>
          <w:highlight w:val="none"/>
          <w:vertAlign w:val="baseline"/>
          <w:lang w:val="en-US" w:eastAsia="zh-CN" w:bidi="ar"/>
        </w:rPr>
        <w:t>②灯座里面的第二级密封将灯与紫外模块和模块上的其它灯封闭隔离开来。</w:t>
      </w:r>
    </w:p>
    <w:p>
      <w:pPr>
        <w:keepNext w:val="0"/>
        <w:keepLines w:val="0"/>
        <w:widowControl w:val="0"/>
        <w:suppressLineNumbers w:val="0"/>
        <w:adjustRightInd w:val="0"/>
        <w:snapToGrid w:val="0"/>
        <w:spacing w:before="0" w:beforeAutospacing="0" w:after="0" w:afterAutospacing="0" w:line="360" w:lineRule="auto"/>
        <w:ind w:left="0" w:right="0" w:firstLine="420"/>
        <w:jc w:val="both"/>
        <w:textAlignment w:val="baseline"/>
        <w:rPr>
          <w:rFonts w:hint="eastAsia" w:ascii="宋体" w:hAnsi="宋体" w:eastAsia="宋体" w:cs="宋体"/>
          <w:color w:val="auto"/>
          <w:kern w:val="0"/>
          <w:sz w:val="24"/>
          <w:szCs w:val="24"/>
          <w:highlight w:val="none"/>
          <w:vertAlign w:val="baseline"/>
        </w:rPr>
      </w:pPr>
      <w:r>
        <w:rPr>
          <w:rFonts w:hint="eastAsia" w:ascii="宋体" w:hAnsi="宋体" w:eastAsia="宋体" w:cs="宋体"/>
          <w:color w:val="auto"/>
          <w:kern w:val="0"/>
          <w:sz w:val="24"/>
          <w:szCs w:val="24"/>
          <w:highlight w:val="none"/>
          <w:vertAlign w:val="baseline"/>
          <w:lang w:val="en-US" w:eastAsia="zh-CN" w:bidi="ar"/>
        </w:rPr>
        <w:t>③在石英套管发生意外破裂时，灯座上的双层密封可以阻止水气进入灯管模块框架和侵袭与其它灯管的线路联接。</w:t>
      </w:r>
    </w:p>
    <w:p>
      <w:pPr>
        <w:widowControl w:val="0"/>
        <w:adjustRightInd w:val="0"/>
        <w:snapToGrid w:val="0"/>
        <w:spacing w:line="360" w:lineRule="auto"/>
        <w:ind w:firstLine="420"/>
        <w:jc w:val="both"/>
        <w:textAlignment w:val="baseline"/>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④灯座具备防紫外的PVC铸模垫避免石英套管与钢套接触。</w:t>
      </w:r>
    </w:p>
    <w:p>
      <w:pPr>
        <w:widowControl w:val="0"/>
        <w:adjustRightInd w:val="0"/>
        <w:snapToGrid w:val="0"/>
        <w:spacing w:line="360" w:lineRule="auto"/>
        <w:ind w:firstLine="420"/>
        <w:jc w:val="both"/>
        <w:textAlignment w:val="baseline"/>
        <w:rPr>
          <w:rFonts w:ascii="宋体" w:hAnsi="宋体" w:eastAsia="宋体" w:cs="宋体"/>
          <w:b/>
          <w:bCs/>
          <w:color w:val="auto"/>
          <w:kern w:val="0"/>
          <w:sz w:val="24"/>
          <w:szCs w:val="24"/>
          <w:highlight w:val="none"/>
        </w:rPr>
      </w:pPr>
      <w:r>
        <w:rPr>
          <w:rFonts w:hint="default"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6</w:t>
      </w:r>
      <w:r>
        <w:rPr>
          <w:rFonts w:hint="default" w:ascii="宋体" w:hAnsi="宋体" w:eastAsia="宋体" w:cs="宋体"/>
          <w:b/>
          <w:bCs/>
          <w:color w:val="auto"/>
          <w:kern w:val="0"/>
          <w:sz w:val="24"/>
          <w:szCs w:val="24"/>
          <w:highlight w:val="none"/>
        </w:rPr>
        <w:t>）液压杆</w:t>
      </w:r>
    </w:p>
    <w:p>
      <w:pPr>
        <w:keepNext w:val="0"/>
        <w:keepLines w:val="0"/>
        <w:widowControl w:val="0"/>
        <w:suppressLineNumbers w:val="0"/>
        <w:adjustRightInd w:val="0"/>
        <w:snapToGrid w:val="0"/>
        <w:spacing w:before="0" w:beforeAutospacing="0" w:after="0" w:afterAutospacing="0" w:line="360" w:lineRule="auto"/>
        <w:ind w:left="0" w:right="0" w:firstLine="420"/>
        <w:jc w:val="both"/>
        <w:textAlignment w:val="baseline"/>
        <w:rPr>
          <w:rFonts w:hint="eastAsia" w:ascii="宋体" w:hAnsi="宋体" w:eastAsia="宋体" w:cs="宋体"/>
          <w:color w:val="auto"/>
          <w:kern w:val="0"/>
          <w:sz w:val="24"/>
          <w:szCs w:val="24"/>
          <w:highlight w:val="none"/>
          <w:vertAlign w:val="baseline"/>
        </w:rPr>
      </w:pPr>
      <w:r>
        <w:rPr>
          <w:rFonts w:hint="eastAsia" w:ascii="宋体" w:hAnsi="宋体" w:eastAsia="宋体" w:cs="宋体"/>
          <w:color w:val="auto"/>
          <w:kern w:val="0"/>
          <w:sz w:val="24"/>
          <w:szCs w:val="24"/>
          <w:highlight w:val="none"/>
          <w:vertAlign w:val="baseline"/>
          <w:lang w:val="en-US" w:eastAsia="zh-CN" w:bidi="ar"/>
        </w:rPr>
        <w:t>①连续工作温度范围：-40°C / +100°C。</w:t>
      </w:r>
    </w:p>
    <w:p>
      <w:pPr>
        <w:keepNext w:val="0"/>
        <w:keepLines w:val="0"/>
        <w:widowControl w:val="0"/>
        <w:suppressLineNumbers w:val="0"/>
        <w:adjustRightInd w:val="0"/>
        <w:snapToGrid w:val="0"/>
        <w:spacing w:before="0" w:beforeAutospacing="0" w:after="0" w:afterAutospacing="0" w:line="360" w:lineRule="auto"/>
        <w:ind w:left="0" w:right="0" w:firstLine="420"/>
        <w:jc w:val="both"/>
        <w:textAlignment w:val="baseline"/>
        <w:rPr>
          <w:rFonts w:hint="eastAsia" w:ascii="宋体" w:hAnsi="宋体" w:eastAsia="宋体" w:cs="宋体"/>
          <w:color w:val="auto"/>
          <w:kern w:val="0"/>
          <w:sz w:val="24"/>
          <w:szCs w:val="24"/>
          <w:highlight w:val="none"/>
          <w:vertAlign w:val="baseline"/>
        </w:rPr>
      </w:pPr>
      <w:r>
        <w:rPr>
          <w:rFonts w:hint="eastAsia" w:ascii="宋体" w:hAnsi="宋体" w:eastAsia="宋体" w:cs="宋体"/>
          <w:color w:val="auto"/>
          <w:kern w:val="0"/>
          <w:sz w:val="24"/>
          <w:szCs w:val="24"/>
          <w:highlight w:val="none"/>
          <w:vertAlign w:val="baseline"/>
          <w:lang w:val="en-US" w:eastAsia="zh-CN" w:bidi="ar"/>
        </w:rPr>
        <w:t>②最高工作温度（间歇工作）：121°C。</w:t>
      </w:r>
    </w:p>
    <w:p>
      <w:pPr>
        <w:keepNext w:val="0"/>
        <w:keepLines w:val="0"/>
        <w:widowControl w:val="0"/>
        <w:suppressLineNumbers w:val="0"/>
        <w:adjustRightInd w:val="0"/>
        <w:snapToGrid w:val="0"/>
        <w:spacing w:before="0" w:beforeAutospacing="0" w:after="0" w:afterAutospacing="0" w:line="360" w:lineRule="auto"/>
        <w:ind w:left="0" w:right="0" w:firstLine="420"/>
        <w:jc w:val="both"/>
        <w:textAlignment w:val="baseline"/>
        <w:rPr>
          <w:rFonts w:hint="eastAsia" w:ascii="宋体" w:hAnsi="宋体" w:eastAsia="宋体" w:cs="宋体"/>
          <w:color w:val="auto"/>
          <w:kern w:val="0"/>
          <w:sz w:val="24"/>
          <w:szCs w:val="24"/>
          <w:highlight w:val="none"/>
          <w:vertAlign w:val="baseline"/>
          <w:lang w:bidi="ar"/>
        </w:rPr>
      </w:pPr>
      <w:r>
        <w:rPr>
          <w:rFonts w:hint="eastAsia" w:ascii="宋体" w:hAnsi="宋体" w:eastAsia="宋体" w:cs="宋体"/>
          <w:color w:val="auto"/>
          <w:kern w:val="0"/>
          <w:sz w:val="24"/>
          <w:szCs w:val="24"/>
          <w:highlight w:val="none"/>
          <w:vertAlign w:val="baseline"/>
          <w:lang w:val="en-US" w:eastAsia="zh-CN" w:bidi="ar"/>
        </w:rPr>
        <w:t>③胶管：耐油腐蚀合成橡胶。</w:t>
      </w:r>
    </w:p>
    <w:p>
      <w:pPr>
        <w:keepNext w:val="0"/>
        <w:keepLines w:val="0"/>
        <w:widowControl w:val="0"/>
        <w:suppressLineNumbers w:val="0"/>
        <w:adjustRightInd w:val="0"/>
        <w:snapToGrid w:val="0"/>
        <w:spacing w:before="0" w:beforeAutospacing="0" w:after="0" w:afterAutospacing="0" w:line="360" w:lineRule="auto"/>
        <w:ind w:left="0" w:right="0" w:firstLine="420"/>
        <w:jc w:val="both"/>
        <w:textAlignment w:val="baseline"/>
        <w:rPr>
          <w:rFonts w:hint="eastAsia" w:ascii="宋体" w:hAnsi="宋体" w:eastAsia="宋体" w:cs="宋体"/>
          <w:color w:val="auto"/>
          <w:kern w:val="0"/>
          <w:sz w:val="24"/>
          <w:szCs w:val="24"/>
          <w:highlight w:val="none"/>
          <w:vertAlign w:val="baseline"/>
          <w:lang w:bidi="ar"/>
        </w:rPr>
      </w:pPr>
      <w:r>
        <w:rPr>
          <w:rFonts w:hint="eastAsia" w:ascii="宋体" w:hAnsi="宋体" w:eastAsia="宋体" w:cs="宋体"/>
          <w:color w:val="auto"/>
          <w:kern w:val="0"/>
          <w:sz w:val="24"/>
          <w:szCs w:val="24"/>
          <w:highlight w:val="none"/>
          <w:vertAlign w:val="baseline"/>
          <w:lang w:val="en-US" w:eastAsia="zh-CN" w:bidi="ar"/>
        </w:rPr>
        <w:t>④外交层：耐强酸、强碱等腐蚀氧化合成橡胶管。</w:t>
      </w:r>
    </w:p>
    <w:p>
      <w:pPr>
        <w:keepNext w:val="0"/>
        <w:keepLines w:val="0"/>
        <w:widowControl w:val="0"/>
        <w:suppressLineNumbers w:val="0"/>
        <w:adjustRightInd w:val="0"/>
        <w:snapToGrid w:val="0"/>
        <w:spacing w:before="0" w:beforeAutospacing="0" w:after="0" w:afterAutospacing="0" w:line="360" w:lineRule="auto"/>
        <w:ind w:left="0" w:right="0" w:firstLine="420"/>
        <w:jc w:val="both"/>
        <w:textAlignment w:val="baseline"/>
        <w:rPr>
          <w:rFonts w:hint="eastAsia" w:ascii="宋体" w:hAnsi="宋体" w:eastAsia="宋体" w:cs="宋体"/>
          <w:color w:val="auto"/>
          <w:kern w:val="0"/>
          <w:sz w:val="24"/>
          <w:szCs w:val="24"/>
          <w:highlight w:val="none"/>
          <w:vertAlign w:val="baseline"/>
          <w:lang w:bidi="ar"/>
        </w:rPr>
      </w:pPr>
      <w:r>
        <w:rPr>
          <w:rFonts w:hint="eastAsia" w:ascii="宋体" w:hAnsi="宋体" w:eastAsia="宋体" w:cs="宋体"/>
          <w:color w:val="auto"/>
          <w:kern w:val="0"/>
          <w:sz w:val="24"/>
          <w:szCs w:val="24"/>
          <w:highlight w:val="none"/>
          <w:vertAlign w:val="baseline"/>
          <w:lang w:val="en-US" w:eastAsia="zh-CN" w:bidi="ar"/>
        </w:rPr>
        <w:t>⑤最大承受压力：≥500PSI/34.5bar。</w:t>
      </w:r>
    </w:p>
    <w:p>
      <w:pPr>
        <w:widowControl w:val="0"/>
        <w:adjustRightInd w:val="0"/>
        <w:snapToGrid w:val="0"/>
        <w:spacing w:line="360" w:lineRule="auto"/>
        <w:ind w:firstLine="420"/>
        <w:jc w:val="both"/>
        <w:textAlignment w:val="baseline"/>
        <w:rPr>
          <w:rFonts w:ascii="Times New Roman" w:hAnsi="Times New Roman" w:eastAsia="宋体" w:cs="Times New Roman"/>
          <w:color w:val="auto"/>
          <w:kern w:val="0"/>
          <w:szCs w:val="20"/>
          <w:highlight w:val="none"/>
        </w:rPr>
      </w:pPr>
      <w:r>
        <w:rPr>
          <w:rFonts w:hint="eastAsia" w:ascii="宋体" w:hAnsi="宋体" w:eastAsia="宋体" w:cs="宋体"/>
          <w:color w:val="auto"/>
          <w:kern w:val="0"/>
          <w:sz w:val="24"/>
          <w:szCs w:val="24"/>
          <w:highlight w:val="none"/>
          <w:lang w:val="en-US" w:eastAsia="zh-CN" w:bidi="ar"/>
        </w:rPr>
        <w:t>⑥包含快速接头，长度、结构与原油管一致，可完全替换原液压油管。</w:t>
      </w:r>
    </w:p>
    <w:p>
      <w:pPr>
        <w:widowControl w:val="0"/>
        <w:adjustRightInd w:val="0"/>
        <w:snapToGrid w:val="0"/>
        <w:spacing w:line="360" w:lineRule="auto"/>
        <w:ind w:firstLine="420"/>
        <w:jc w:val="both"/>
        <w:textAlignment w:val="baseline"/>
        <w:rPr>
          <w:rFonts w:ascii="宋体" w:hAnsi="宋体" w:eastAsia="宋体" w:cs="宋体"/>
          <w:b/>
          <w:bCs/>
          <w:color w:val="auto"/>
          <w:kern w:val="0"/>
          <w:sz w:val="24"/>
          <w:szCs w:val="24"/>
          <w:highlight w:val="none"/>
        </w:rPr>
      </w:pPr>
      <w:r>
        <w:rPr>
          <w:rFonts w:hint="default"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7</w:t>
      </w:r>
      <w:r>
        <w:rPr>
          <w:rFonts w:hint="default" w:ascii="宋体" w:hAnsi="宋体" w:eastAsia="宋体" w:cs="宋体"/>
          <w:b/>
          <w:bCs/>
          <w:color w:val="auto"/>
          <w:kern w:val="0"/>
          <w:sz w:val="24"/>
          <w:szCs w:val="24"/>
          <w:highlight w:val="none"/>
        </w:rPr>
        <w:t>）液压杆</w:t>
      </w:r>
    </w:p>
    <w:p>
      <w:pPr>
        <w:widowControl w:val="0"/>
        <w:adjustRightInd w:val="0"/>
        <w:snapToGrid w:val="0"/>
        <w:spacing w:line="360" w:lineRule="auto"/>
        <w:ind w:firstLine="420"/>
        <w:jc w:val="both"/>
        <w:textAlignment w:val="baseline"/>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①材质为316不锈钢、磁偶液压被动筒形式</w:t>
      </w:r>
    </w:p>
    <w:p>
      <w:pPr>
        <w:widowControl w:val="0"/>
        <w:adjustRightInd w:val="0"/>
        <w:snapToGrid w:val="0"/>
        <w:spacing w:line="360" w:lineRule="auto"/>
        <w:ind w:firstLine="420"/>
        <w:jc w:val="both"/>
        <w:textAlignment w:val="baseline"/>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②液压杆带动清洗器连接板形式，额定液压为2000kPa/20bar（290PSI）</w:t>
      </w:r>
    </w:p>
    <w:p>
      <w:pPr>
        <w:widowControl w:val="0"/>
        <w:adjustRightInd w:val="0"/>
        <w:snapToGrid w:val="0"/>
        <w:spacing w:line="360" w:lineRule="auto"/>
        <w:ind w:firstLine="420"/>
        <w:jc w:val="both"/>
        <w:textAlignment w:val="baseline"/>
        <w:rPr>
          <w:rFonts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5</w:t>
      </w:r>
      <w:r>
        <w:rPr>
          <w:rFonts w:hint="eastAsia" w:ascii="宋体" w:hAnsi="宋体" w:eastAsia="宋体" w:cs="宋体"/>
          <w:b/>
          <w:bCs/>
          <w:color w:val="auto"/>
          <w:kern w:val="0"/>
          <w:sz w:val="24"/>
          <w:szCs w:val="24"/>
          <w:highlight w:val="none"/>
        </w:rPr>
        <w:t>）紫外线消毒设备的防护等级</w:t>
      </w:r>
    </w:p>
    <w:p>
      <w:pPr>
        <w:widowControl w:val="0"/>
        <w:adjustRightInd w:val="0"/>
        <w:snapToGrid w:val="0"/>
        <w:spacing w:line="360" w:lineRule="auto"/>
        <w:ind w:firstLine="420"/>
        <w:jc w:val="both"/>
        <w:textAlignment w:val="baseline"/>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①渠式紫外线消毒设备的水上电气部件防护等级应符合GB/T 4208规定,不应低于IP65等级。</w:t>
      </w:r>
    </w:p>
    <w:p>
      <w:pPr>
        <w:widowControl w:val="0"/>
        <w:adjustRightInd w:val="0"/>
        <w:snapToGrid w:val="0"/>
        <w:spacing w:line="360" w:lineRule="auto"/>
        <w:ind w:firstLine="420"/>
        <w:jc w:val="both"/>
        <w:textAlignment w:val="baseline"/>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②渠式紫外线消毒设备的水下电气部件防护等级应符合GB/T 4208规定,不应低于IP68等级。</w:t>
      </w:r>
    </w:p>
    <w:p>
      <w:pPr>
        <w:widowControl w:val="0"/>
        <w:adjustRightInd w:val="0"/>
        <w:snapToGrid w:val="0"/>
        <w:spacing w:line="360" w:lineRule="auto"/>
        <w:ind w:firstLine="420"/>
        <w:jc w:val="both"/>
        <w:textAlignment w:val="baseline"/>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③户外型电气设备防护等级应符合GB/T 4208规定,不应低于IP65等级。</w:t>
      </w:r>
    </w:p>
    <w:p>
      <w:pPr>
        <w:widowControl w:val="0"/>
        <w:adjustRightInd w:val="0"/>
        <w:snapToGrid w:val="0"/>
        <w:spacing w:line="360" w:lineRule="auto"/>
        <w:ind w:firstLine="420"/>
        <w:jc w:val="both"/>
        <w:textAlignment w:val="baseline"/>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④户内型电气设备防护等级应符合GB/T 4208规定,不应低于IP54等级。</w:t>
      </w:r>
    </w:p>
    <w:p>
      <w:pPr>
        <w:widowControl w:val="0"/>
        <w:spacing w:line="360" w:lineRule="auto"/>
        <w:ind w:firstLine="470" w:firstLineChars="196"/>
        <w:jc w:val="both"/>
        <w:rPr>
          <w:rFonts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rPr>
        <w:t>3、其他要求：</w:t>
      </w:r>
    </w:p>
    <w:p>
      <w:pPr>
        <w:widowControl w:val="0"/>
        <w:spacing w:line="360" w:lineRule="auto"/>
        <w:ind w:firstLine="470" w:firstLineChars="196"/>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本项目拟对紫外线消毒配件进行更换，以排除设备存在的隐患，更换所有到达寿命终点的灯管，检查、维修（含拆、装）、更换配件、调试等，直至紫外线消毒系统恢复至原设计要求，保证设备的消毒效果及正常稳定运行。</w:t>
      </w:r>
    </w:p>
    <w:p>
      <w:pPr>
        <w:widowControl w:val="0"/>
        <w:spacing w:line="360" w:lineRule="auto"/>
        <w:ind w:firstLine="470" w:firstLineChars="196"/>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w:t>
      </w:r>
      <w:r>
        <w:rPr>
          <w:rFonts w:ascii="宋体" w:hAnsi="宋体" w:eastAsia="宋体" w:cs="宋体"/>
          <w:color w:val="auto"/>
          <w:kern w:val="2"/>
          <w:sz w:val="24"/>
          <w:szCs w:val="24"/>
          <w:highlight w:val="none"/>
        </w:rPr>
        <w:t>本合同的工作范围应包括提供所有需要的材料、机械、劳力、以及其他设施、完成合同文件里规定的工作和服务，并达到预期的目标。供应商向</w:t>
      </w:r>
      <w:r>
        <w:rPr>
          <w:rFonts w:hint="eastAsia" w:ascii="宋体" w:hAnsi="宋体" w:eastAsia="宋体" w:cs="宋体"/>
          <w:color w:val="auto"/>
          <w:kern w:val="2"/>
          <w:sz w:val="24"/>
          <w:szCs w:val="24"/>
          <w:highlight w:val="none"/>
        </w:rPr>
        <w:t>采购</w:t>
      </w:r>
      <w:r>
        <w:rPr>
          <w:rFonts w:ascii="宋体" w:hAnsi="宋体" w:eastAsia="宋体" w:cs="宋体"/>
          <w:color w:val="auto"/>
          <w:kern w:val="2"/>
          <w:sz w:val="24"/>
          <w:szCs w:val="24"/>
          <w:highlight w:val="none"/>
        </w:rPr>
        <w:t>人承诺按照合同约定进行供货</w:t>
      </w:r>
      <w:r>
        <w:rPr>
          <w:rFonts w:hint="eastAsia" w:ascii="宋体" w:hAnsi="宋体" w:eastAsia="宋体" w:cs="宋体"/>
          <w:color w:val="auto"/>
          <w:kern w:val="2"/>
          <w:sz w:val="24"/>
          <w:szCs w:val="24"/>
          <w:highlight w:val="none"/>
        </w:rPr>
        <w:t>、</w:t>
      </w:r>
      <w:r>
        <w:rPr>
          <w:rFonts w:ascii="宋体" w:hAnsi="宋体" w:eastAsia="宋体" w:cs="宋体"/>
          <w:color w:val="auto"/>
          <w:kern w:val="2"/>
          <w:sz w:val="24"/>
          <w:szCs w:val="24"/>
          <w:highlight w:val="none"/>
        </w:rPr>
        <w:t>施工、竣工并在质量保修期内承担质量保修责任。</w:t>
      </w:r>
    </w:p>
    <w:p>
      <w:pPr>
        <w:widowControl w:val="0"/>
        <w:spacing w:line="360" w:lineRule="auto"/>
        <w:ind w:firstLine="470" w:firstLineChars="196"/>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（3）</w:t>
      </w:r>
      <w:r>
        <w:rPr>
          <w:rFonts w:ascii="宋体" w:hAnsi="宋体" w:eastAsia="宋体" w:cs="宋体"/>
          <w:color w:val="auto"/>
          <w:kern w:val="2"/>
          <w:sz w:val="24"/>
          <w:szCs w:val="24"/>
          <w:highlight w:val="none"/>
        </w:rPr>
        <w:t xml:space="preserve">更换紫外灯管后污水经紫外线 UV </w:t>
      </w:r>
      <w:r>
        <w:rPr>
          <w:rFonts w:hint="eastAsia" w:ascii="宋体" w:hAnsi="宋体" w:eastAsia="宋体" w:cs="宋体"/>
          <w:color w:val="auto"/>
          <w:kern w:val="2"/>
          <w:sz w:val="24"/>
          <w:szCs w:val="24"/>
          <w:highlight w:val="none"/>
        </w:rPr>
        <w:t>消毒，粪大肠菌群要求≤10</w:t>
      </w:r>
      <w:r>
        <w:rPr>
          <w:rFonts w:hint="eastAsia" w:ascii="宋体" w:hAnsi="宋体" w:eastAsia="宋体" w:cs="宋体"/>
          <w:color w:val="auto"/>
          <w:kern w:val="2"/>
          <w:sz w:val="24"/>
          <w:szCs w:val="24"/>
          <w:highlight w:val="none"/>
          <w:lang w:val="en-US" w:eastAsia="zh-CN"/>
        </w:rPr>
        <w:t>0</w:t>
      </w:r>
      <w:r>
        <w:rPr>
          <w:rFonts w:hint="eastAsia" w:ascii="宋体" w:hAnsi="宋体" w:eastAsia="宋体" w:cs="宋体"/>
          <w:color w:val="auto"/>
          <w:kern w:val="2"/>
          <w:sz w:val="24"/>
          <w:szCs w:val="24"/>
          <w:highlight w:val="none"/>
        </w:rPr>
        <w:t>个/L</w:t>
      </w:r>
      <w:r>
        <w:rPr>
          <w:rFonts w:ascii="宋体" w:hAnsi="宋体" w:eastAsia="宋体" w:cs="宋体"/>
          <w:color w:val="auto"/>
          <w:kern w:val="2"/>
          <w:sz w:val="24"/>
          <w:szCs w:val="24"/>
          <w:highlight w:val="none"/>
        </w:rPr>
        <w:t>。</w:t>
      </w:r>
    </w:p>
    <w:p>
      <w:pPr>
        <w:pStyle w:val="22"/>
        <w:rPr>
          <w:color w:val="auto"/>
          <w:highlight w:val="none"/>
        </w:rPr>
      </w:pPr>
      <w:r>
        <w:rPr>
          <w:rFonts w:hint="eastAsia" w:ascii="宋体" w:hAnsi="宋体" w:eastAsia="宋体" w:cs="宋体"/>
          <w:color w:val="auto"/>
          <w:kern w:val="2"/>
          <w:sz w:val="24"/>
          <w:szCs w:val="24"/>
          <w:highlight w:val="none"/>
        </w:rPr>
        <w:t>（4）供应商</w:t>
      </w:r>
      <w:r>
        <w:rPr>
          <w:rFonts w:hint="eastAsia" w:ascii="宋体" w:hAnsi="宋体" w:eastAsia="宋体" w:cs="宋体"/>
          <w:color w:val="auto"/>
          <w:kern w:val="2"/>
          <w:sz w:val="24"/>
          <w:szCs w:val="24"/>
          <w:highlight w:val="none"/>
          <w:lang w:val="zh-CN"/>
        </w:rPr>
        <w:t>在编制</w:t>
      </w:r>
      <w:r>
        <w:rPr>
          <w:rFonts w:hint="eastAsia" w:ascii="宋体" w:hAnsi="宋体" w:eastAsia="宋体" w:cs="宋体"/>
          <w:color w:val="auto"/>
          <w:kern w:val="2"/>
          <w:sz w:val="24"/>
          <w:szCs w:val="24"/>
          <w:highlight w:val="none"/>
        </w:rPr>
        <w:t>响应</w:t>
      </w:r>
      <w:r>
        <w:rPr>
          <w:rFonts w:hint="eastAsia" w:ascii="宋体" w:hAnsi="宋体" w:eastAsia="宋体" w:cs="宋体"/>
          <w:color w:val="auto"/>
          <w:kern w:val="2"/>
          <w:sz w:val="24"/>
          <w:szCs w:val="24"/>
          <w:highlight w:val="none"/>
          <w:lang w:val="zh-CN"/>
        </w:rPr>
        <w:t>文件中必须提供紫外消毒设备主要配件的含税供货单价（报价条件为货交项目现场采购人指定地点）以供采购人评估更换配件的费用。</w:t>
      </w:r>
      <w:r>
        <w:rPr>
          <w:rFonts w:hint="eastAsia" w:ascii="宋体" w:hAnsi="宋体" w:eastAsia="宋体" w:cs="宋体"/>
          <w:color w:val="auto"/>
          <w:kern w:val="2"/>
          <w:sz w:val="24"/>
          <w:szCs w:val="24"/>
          <w:highlight w:val="none"/>
        </w:rPr>
        <w:t>更换的配件清单如下</w:t>
      </w:r>
      <w:r>
        <w:rPr>
          <w:rFonts w:hint="eastAsia" w:eastAsia="宋体" w:cs="宋体"/>
          <w:color w:val="auto"/>
          <w:kern w:val="2"/>
          <w:sz w:val="24"/>
          <w:szCs w:val="24"/>
          <w:highlight w:val="none"/>
          <w:lang w:eastAsia="zh-CN"/>
        </w:rPr>
        <w:t>（</w:t>
      </w:r>
      <w:r>
        <w:rPr>
          <w:rFonts w:hint="eastAsia" w:eastAsia="宋体" w:cs="宋体"/>
          <w:color w:val="auto"/>
          <w:kern w:val="2"/>
          <w:sz w:val="24"/>
          <w:szCs w:val="24"/>
          <w:highlight w:val="none"/>
          <w:lang w:val="en-US" w:eastAsia="zh-CN"/>
        </w:rPr>
        <w:t>详见报价清单</w:t>
      </w:r>
      <w:r>
        <w:rPr>
          <w:rFonts w:hint="eastAsia"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，如报价清单中无列明的，在以紫外线消毒系统正常运行、达到对应的性能和技术参数、出水消毒效果达到要求为前提，维修过程需要更换的则由成交供应商按原系统的配置免费更换全新的配件。</w:t>
      </w:r>
    </w:p>
    <w:p>
      <w:pPr>
        <w:widowControl w:val="0"/>
        <w:adjustRightInd w:val="0"/>
        <w:snapToGrid w:val="0"/>
        <w:spacing w:line="360" w:lineRule="auto"/>
        <w:ind w:firstLine="420"/>
        <w:jc w:val="both"/>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其中，紫外消毒系统主要配件参考《城镇给排水紫外线消毒设备》国家标准（</w:t>
      </w:r>
      <w:r>
        <w:rPr>
          <w:rFonts w:ascii="宋体" w:hAnsi="宋体" w:cs="宋体"/>
          <w:color w:val="auto"/>
          <w:sz w:val="24"/>
          <w:szCs w:val="24"/>
          <w:highlight w:val="none"/>
        </w:rPr>
        <w:t>GB/T 19837-2019</w:t>
      </w:r>
      <w:r>
        <w:rPr>
          <w:rFonts w:hint="eastAsia" w:ascii="宋体" w:hAnsi="宋体" w:cs="宋体"/>
          <w:color w:val="auto"/>
          <w:sz w:val="24"/>
          <w:szCs w:val="24"/>
          <w:highlight w:val="none"/>
        </w:rPr>
        <w:t>）中要求，以及本文要求的较严值。</w:t>
      </w:r>
    </w:p>
    <w:p>
      <w:pPr>
        <w:widowControl w:val="0"/>
        <w:adjustRightInd w:val="0"/>
        <w:snapToGrid w:val="0"/>
        <w:spacing w:line="360" w:lineRule="auto"/>
        <w:ind w:firstLine="420"/>
        <w:jc w:val="both"/>
        <w:textAlignment w:val="baseline"/>
        <w:rPr>
          <w:rFonts w:ascii="宋体" w:hAnsi="宋体" w:cs="宋体"/>
          <w:color w:val="auto"/>
          <w:sz w:val="24"/>
          <w:szCs w:val="24"/>
          <w:highlight w:val="none"/>
        </w:rPr>
      </w:pPr>
      <w:r>
        <w:rPr>
          <w:rFonts w:ascii="宋体" w:hAnsi="宋体" w:cs="宋体"/>
          <w:color w:val="auto"/>
          <w:sz w:val="24"/>
          <w:szCs w:val="24"/>
          <w:highlight w:val="none"/>
        </w:rPr>
        <w:t>紫外线消毒系统主要结构及（维修保养后必须保证达到的）性能描述：</w:t>
      </w:r>
    </w:p>
    <w:p>
      <w:pPr>
        <w:widowControl w:val="0"/>
        <w:adjustRightInd w:val="0"/>
        <w:snapToGrid w:val="0"/>
        <w:spacing w:line="360" w:lineRule="auto"/>
        <w:ind w:firstLine="420"/>
        <w:jc w:val="both"/>
        <w:textAlignment w:val="baseline"/>
        <w:rPr>
          <w:rFonts w:ascii="宋体" w:hAnsi="宋体" w:cs="宋体"/>
          <w:color w:val="auto"/>
          <w:sz w:val="24"/>
          <w:szCs w:val="24"/>
          <w:highlight w:val="none"/>
        </w:rPr>
      </w:pPr>
      <w:r>
        <w:rPr>
          <w:rFonts w:ascii="宋体" w:hAnsi="宋体" w:cs="宋体"/>
          <w:color w:val="auto"/>
          <w:sz w:val="24"/>
          <w:szCs w:val="24"/>
          <w:highlight w:val="none"/>
        </w:rPr>
        <w:t>(1)紫外线消毒系统包括紫外灯模块组、模块支架、系统控制中心、配电中心、液压中心、在线机械加化学清洗系统、低水位探测仪、水位控制系统、紫外线强度传感器等全套设备。能完成所有正常消毒运行及监控功能；</w:t>
      </w:r>
    </w:p>
    <w:p>
      <w:pPr>
        <w:widowControl w:val="0"/>
        <w:adjustRightInd w:val="0"/>
        <w:snapToGrid w:val="0"/>
        <w:spacing w:line="360" w:lineRule="auto"/>
        <w:ind w:firstLine="420"/>
        <w:jc w:val="both"/>
        <w:textAlignment w:val="baseline"/>
        <w:rPr>
          <w:rFonts w:ascii="宋体" w:hAnsi="宋体" w:cs="宋体"/>
          <w:color w:val="auto"/>
          <w:sz w:val="24"/>
          <w:szCs w:val="24"/>
          <w:highlight w:val="none"/>
        </w:rPr>
      </w:pPr>
      <w:r>
        <w:rPr>
          <w:rFonts w:ascii="宋体" w:hAnsi="宋体" w:cs="宋体"/>
          <w:color w:val="auto"/>
          <w:sz w:val="24"/>
          <w:szCs w:val="24"/>
          <w:highlight w:val="none"/>
        </w:rPr>
        <w:t>(2)紫外线消毒系统保证：在峰值流量</w:t>
      </w:r>
      <w:r>
        <w:rPr>
          <w:rFonts w:hint="eastAsia" w:ascii="宋体" w:hAnsi="宋体" w:cs="宋体"/>
          <w:color w:val="auto"/>
          <w:sz w:val="24"/>
          <w:szCs w:val="24"/>
          <w:highlight w:val="none"/>
        </w:rPr>
        <w:t>730000</w:t>
      </w:r>
      <w:r>
        <w:rPr>
          <w:rFonts w:ascii="宋体" w:hAnsi="宋体" w:cs="宋体"/>
          <w:color w:val="auto"/>
          <w:sz w:val="24"/>
          <w:szCs w:val="24"/>
          <w:highlight w:val="none"/>
        </w:rPr>
        <w:t>m3/d、SS≤10mg/L、平均固体颗粒尺寸≤30 microns，来水紫外线穿透率≥65%时，经紫外线消毒后出水粪大肠菌群检测结果应为</w:t>
      </w:r>
      <w:r>
        <w:rPr>
          <w:rFonts w:hint="eastAsia" w:ascii="宋体" w:hAnsi="宋体" w:cs="宋体"/>
          <w:color w:val="auto"/>
          <w:sz w:val="24"/>
          <w:szCs w:val="24"/>
          <w:highlight w:val="none"/>
        </w:rPr>
        <w:t>≤100个/L</w:t>
      </w:r>
      <w:r>
        <w:rPr>
          <w:rFonts w:ascii="宋体" w:hAnsi="宋体" w:cs="宋体"/>
          <w:color w:val="auto"/>
          <w:sz w:val="24"/>
          <w:szCs w:val="24"/>
          <w:highlight w:val="none"/>
        </w:rPr>
        <w:t>。</w:t>
      </w:r>
    </w:p>
    <w:p>
      <w:pPr>
        <w:widowControl w:val="0"/>
        <w:adjustRightInd w:val="0"/>
        <w:snapToGrid w:val="0"/>
        <w:spacing w:line="360" w:lineRule="auto"/>
        <w:ind w:firstLine="420"/>
        <w:jc w:val="both"/>
        <w:textAlignment w:val="baseline"/>
        <w:rPr>
          <w:rFonts w:ascii="宋体" w:hAnsi="宋体" w:cs="宋体"/>
          <w:color w:val="auto"/>
          <w:sz w:val="24"/>
          <w:szCs w:val="24"/>
          <w:highlight w:val="none"/>
        </w:rPr>
      </w:pPr>
      <w:r>
        <w:rPr>
          <w:rFonts w:ascii="宋体" w:hAnsi="宋体" w:cs="宋体"/>
          <w:color w:val="auto"/>
          <w:sz w:val="24"/>
          <w:szCs w:val="24"/>
          <w:highlight w:val="none"/>
        </w:rPr>
        <w:t>(3)现场的系统控制中心提供友好人机界面，紫外线监控系统显示屏和信息键盘采用完整的触摸屏操作界面，能够显示系统的工艺流程、设备运行状况，实现工艺参数设定以及运行安全报警（设置低水位保护、清洗故障报警、灯管故障报警等）。现场控制中心输出设备工况及主要参数信号开关量或模拟量通过Ethernet-IP协议传输至污水厂中控室（紫外线消毒系统需要实现设备的自动运行、报警、自保护、远程监控等功能；</w:t>
      </w:r>
    </w:p>
    <w:p>
      <w:pPr>
        <w:widowControl w:val="0"/>
        <w:adjustRightInd w:val="0"/>
        <w:snapToGrid w:val="0"/>
        <w:spacing w:line="360" w:lineRule="auto"/>
        <w:ind w:firstLine="420"/>
        <w:jc w:val="both"/>
        <w:textAlignment w:val="baseline"/>
        <w:rPr>
          <w:rFonts w:ascii="宋体" w:hAnsi="宋体" w:cs="宋体"/>
          <w:color w:val="auto"/>
          <w:sz w:val="24"/>
          <w:szCs w:val="24"/>
          <w:highlight w:val="none"/>
        </w:rPr>
      </w:pPr>
      <w:r>
        <w:rPr>
          <w:rFonts w:ascii="宋体" w:hAnsi="宋体" w:cs="宋体"/>
          <w:color w:val="auto"/>
          <w:sz w:val="24"/>
          <w:szCs w:val="24"/>
          <w:highlight w:val="none"/>
        </w:rPr>
        <w:t>(4)紫外线线消毒系统按</w:t>
      </w:r>
      <w:r>
        <w:rPr>
          <w:rFonts w:hint="eastAsia" w:ascii="宋体" w:hAnsi="宋体" w:cs="宋体"/>
          <w:color w:val="auto"/>
          <w:sz w:val="24"/>
          <w:szCs w:val="24"/>
          <w:highlight w:val="none"/>
        </w:rPr>
        <w:t>5</w:t>
      </w:r>
      <w:r>
        <w:rPr>
          <w:rFonts w:ascii="宋体" w:hAnsi="宋体" w:cs="宋体"/>
          <w:color w:val="auto"/>
          <w:sz w:val="24"/>
          <w:szCs w:val="24"/>
          <w:highlight w:val="none"/>
        </w:rPr>
        <w:t>条渠道布置，当实际处理水量未到达设计处理水量之前系统控制中心优化消毒设备的投运组数；</w:t>
      </w:r>
    </w:p>
    <w:p>
      <w:pPr>
        <w:widowControl w:val="0"/>
        <w:adjustRightInd w:val="0"/>
        <w:snapToGrid w:val="0"/>
        <w:spacing w:line="360" w:lineRule="auto"/>
        <w:ind w:firstLine="420"/>
        <w:jc w:val="both"/>
        <w:textAlignment w:val="baseline"/>
        <w:rPr>
          <w:rFonts w:ascii="宋体" w:hAnsi="宋体" w:cs="宋体"/>
          <w:color w:val="auto"/>
          <w:sz w:val="24"/>
          <w:szCs w:val="24"/>
          <w:highlight w:val="none"/>
        </w:rPr>
      </w:pPr>
      <w:r>
        <w:rPr>
          <w:rFonts w:ascii="宋体" w:hAnsi="宋体" w:cs="宋体"/>
          <w:color w:val="auto"/>
          <w:sz w:val="24"/>
          <w:szCs w:val="24"/>
          <w:highlight w:val="none"/>
        </w:rPr>
        <w:t>(5)维修更换灯管、石英套管、镇流器及清洗石英套管时，紫外线消毒系统仍可继续运行消毒，保证出水达标；</w:t>
      </w:r>
    </w:p>
    <w:p>
      <w:pPr>
        <w:widowControl w:val="0"/>
        <w:adjustRightInd w:val="0"/>
        <w:snapToGrid w:val="0"/>
        <w:spacing w:line="360" w:lineRule="auto"/>
        <w:ind w:firstLine="420"/>
        <w:jc w:val="both"/>
        <w:textAlignment w:val="baseline"/>
        <w:rPr>
          <w:rFonts w:ascii="宋体" w:hAnsi="宋体" w:cs="宋体"/>
          <w:color w:val="auto"/>
          <w:sz w:val="24"/>
          <w:szCs w:val="24"/>
          <w:highlight w:val="none"/>
        </w:rPr>
      </w:pPr>
      <w:r>
        <w:rPr>
          <w:rFonts w:ascii="宋体" w:hAnsi="宋体" w:cs="宋体"/>
          <w:color w:val="auto"/>
          <w:sz w:val="24"/>
          <w:szCs w:val="24"/>
          <w:highlight w:val="none"/>
        </w:rPr>
        <w:t>(6)</w:t>
      </w:r>
      <w:r>
        <w:rPr>
          <w:rFonts w:hint="eastAsia" w:ascii="宋体" w:hAnsi="宋体"/>
          <w:color w:val="auto"/>
          <w:sz w:val="24"/>
          <w:szCs w:val="24"/>
          <w:highlight w:val="none"/>
        </w:rPr>
        <w:t xml:space="preserve"> </w:t>
      </w:r>
      <w:r>
        <w:rPr>
          <w:rFonts w:hint="eastAsia" w:ascii="宋体" w:hAnsi="宋体" w:cs="宋体"/>
          <w:color w:val="auto"/>
          <w:sz w:val="24"/>
          <w:szCs w:val="24"/>
          <w:highlight w:val="none"/>
        </w:rPr>
        <w:t>连接紫外灯和镇流器的电缆应具备防水、防渗功能。暴露在污水或紫外灯下的电缆应涂上聚四氟乙烯(PTFE)或其他耐紫外线老化保护涂层。</w:t>
      </w:r>
      <w:r>
        <w:rPr>
          <w:rFonts w:ascii="宋体" w:hAnsi="宋体" w:cs="宋体"/>
          <w:color w:val="auto"/>
          <w:sz w:val="24"/>
          <w:szCs w:val="24"/>
          <w:highlight w:val="none"/>
        </w:rPr>
        <w:t>；</w:t>
      </w:r>
    </w:p>
    <w:p>
      <w:pPr>
        <w:widowControl w:val="0"/>
        <w:adjustRightInd w:val="0"/>
        <w:snapToGrid w:val="0"/>
        <w:spacing w:line="360" w:lineRule="auto"/>
        <w:ind w:firstLine="420"/>
        <w:jc w:val="both"/>
        <w:textAlignment w:val="baseline"/>
        <w:rPr>
          <w:rFonts w:ascii="宋体" w:hAnsi="宋体" w:cs="宋体"/>
          <w:color w:val="auto"/>
          <w:sz w:val="24"/>
          <w:szCs w:val="24"/>
          <w:highlight w:val="none"/>
        </w:rPr>
      </w:pPr>
      <w:r>
        <w:rPr>
          <w:rFonts w:ascii="宋体" w:hAnsi="宋体" w:cs="宋体"/>
          <w:color w:val="auto"/>
          <w:sz w:val="24"/>
          <w:szCs w:val="24"/>
          <w:highlight w:val="none"/>
        </w:rPr>
        <w:t>(7)紫外线消毒系统套管采用在线全自动机械加化学清洗；</w:t>
      </w:r>
    </w:p>
    <w:p>
      <w:pPr>
        <w:widowControl w:val="0"/>
        <w:adjustRightInd w:val="0"/>
        <w:snapToGrid w:val="0"/>
        <w:spacing w:line="360" w:lineRule="auto"/>
        <w:ind w:firstLine="420"/>
        <w:jc w:val="both"/>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4</w:t>
      </w:r>
      <w:r>
        <w:rPr>
          <w:rFonts w:ascii="宋体" w:hAnsi="宋体" w:cs="宋体"/>
          <w:color w:val="auto"/>
          <w:sz w:val="24"/>
          <w:szCs w:val="24"/>
          <w:highlight w:val="none"/>
        </w:rPr>
        <w:t>.</w:t>
      </w:r>
      <w:r>
        <w:rPr>
          <w:rFonts w:hint="eastAsia" w:ascii="宋体" w:hAnsi="宋体" w:cs="宋体"/>
          <w:color w:val="auto"/>
          <w:sz w:val="24"/>
          <w:szCs w:val="24"/>
          <w:highlight w:val="none"/>
        </w:rPr>
        <w:t>（</w:t>
      </w:r>
      <w:r>
        <w:rPr>
          <w:rFonts w:ascii="宋体" w:hAnsi="宋体" w:cs="宋体"/>
          <w:color w:val="auto"/>
          <w:sz w:val="24"/>
          <w:szCs w:val="24"/>
          <w:highlight w:val="none"/>
        </w:rPr>
        <w:t>1）供应商必须具备维修设备所用的必要机器设备。对设备的拆卸及安装调试必须满足产品技术说明书和相关技术规范要求。</w:t>
      </w:r>
    </w:p>
    <w:p>
      <w:pPr>
        <w:widowControl w:val="0"/>
        <w:adjustRightInd w:val="0"/>
        <w:snapToGrid w:val="0"/>
        <w:spacing w:line="360" w:lineRule="auto"/>
        <w:ind w:firstLine="420"/>
        <w:jc w:val="both"/>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2）</w:t>
      </w:r>
      <w:r>
        <w:rPr>
          <w:rFonts w:hint="eastAsia" w:ascii="宋体" w:hAnsi="宋体" w:cs="宋体"/>
          <w:color w:val="auto"/>
          <w:sz w:val="24"/>
          <w:szCs w:val="24"/>
          <w:highlight w:val="none"/>
        </w:rPr>
        <w:t>成交供应商在对紫外消毒设备进行的检查后，根据检查结果更换老化的配件并经采购人书面确认后生效，采购人有权对检查结果提出修正意见，成交供应商必须接受修正意见，因成交供应商失误，在维修保养过程中，发现采购人未定购的需要更换的配件，成交供应商须以总价包干的方式对需要更换的配件进行更换，如不更换，在质保期内出现设备紫外消毒设备不能正常运行，影响消毒效果，造成损失由成交供应商承担。备件清单中所列需更换的配件必须与原厂产品相匹配且满足技术需求。</w:t>
      </w:r>
    </w:p>
    <w:p>
      <w:pPr>
        <w:widowControl w:val="0"/>
        <w:adjustRightInd w:val="0"/>
        <w:snapToGrid w:val="0"/>
        <w:spacing w:line="360" w:lineRule="auto"/>
        <w:ind w:firstLine="420"/>
        <w:jc w:val="both"/>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3）工作所需的工具和劳保安全用品由供应商自行解决。供应商提供的备件必须经</w:t>
      </w:r>
      <w:r>
        <w:rPr>
          <w:rFonts w:hint="eastAsia" w:ascii="宋体" w:hAnsi="宋体" w:cs="宋体"/>
          <w:color w:val="auto"/>
          <w:sz w:val="24"/>
          <w:szCs w:val="24"/>
          <w:highlight w:val="none"/>
        </w:rPr>
        <w:t>采购</w:t>
      </w:r>
      <w:r>
        <w:rPr>
          <w:rFonts w:ascii="宋体" w:hAnsi="宋体" w:cs="宋体"/>
          <w:color w:val="auto"/>
          <w:sz w:val="24"/>
          <w:szCs w:val="24"/>
          <w:highlight w:val="none"/>
        </w:rPr>
        <w:t>人认可和验收后方可安装。维修安装过程中出现新更换备件的损坏，由</w:t>
      </w:r>
      <w:r>
        <w:rPr>
          <w:rFonts w:hint="eastAsia" w:ascii="宋体" w:hAnsi="宋体" w:cs="宋体"/>
          <w:color w:val="auto"/>
          <w:sz w:val="24"/>
          <w:szCs w:val="24"/>
          <w:highlight w:val="none"/>
        </w:rPr>
        <w:t>成交供应商负责赔偿。如质保期内新更换的备件损坏，如非使用方的原因，由维修方负责赔偿。</w:t>
      </w:r>
    </w:p>
    <w:p>
      <w:pPr>
        <w:widowControl w:val="0"/>
        <w:adjustRightInd w:val="0"/>
        <w:snapToGrid w:val="0"/>
        <w:spacing w:line="360" w:lineRule="auto"/>
        <w:ind w:firstLine="420"/>
        <w:jc w:val="both"/>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4）检查维修完成之后，无故障试运行五天内（系统成功投入运行），出具正式的维修报告，维修报告双方签字代表签署后维修完成。</w:t>
      </w:r>
    </w:p>
    <w:p>
      <w:pPr>
        <w:widowControl w:val="0"/>
        <w:adjustRightInd w:val="0"/>
        <w:snapToGrid w:val="0"/>
        <w:spacing w:line="360" w:lineRule="auto"/>
        <w:ind w:firstLine="420"/>
        <w:jc w:val="both"/>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5）</w:t>
      </w:r>
      <w:r>
        <w:rPr>
          <w:rFonts w:hint="eastAsia" w:ascii="宋体" w:hAnsi="宋体" w:cs="宋体"/>
          <w:color w:val="auto"/>
          <w:sz w:val="24"/>
          <w:szCs w:val="24"/>
          <w:highlight w:val="none"/>
        </w:rPr>
        <w:t>成交供应商需对被替换的旧紫外灯管等废弃配件进行回收，作无害化处理，因成交供应商处理不当产生的纠纷及处罚与采购人无关。</w:t>
      </w:r>
    </w:p>
    <w:p>
      <w:pPr>
        <w:widowControl w:val="0"/>
        <w:adjustRightInd w:val="0"/>
        <w:snapToGrid w:val="0"/>
        <w:spacing w:line="360" w:lineRule="auto"/>
        <w:ind w:firstLine="420"/>
        <w:jc w:val="both"/>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5. 更换实施方案如下：</w:t>
      </w:r>
    </w:p>
    <w:p>
      <w:pPr>
        <w:widowControl w:val="0"/>
        <w:adjustRightInd w:val="0"/>
        <w:snapToGrid w:val="0"/>
        <w:spacing w:line="360" w:lineRule="auto"/>
        <w:ind w:firstLine="420"/>
        <w:jc w:val="both"/>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1）</w:t>
      </w:r>
      <w:r>
        <w:rPr>
          <w:rFonts w:hint="eastAsia" w:ascii="宋体" w:hAnsi="宋体" w:cs="宋体"/>
          <w:color w:val="auto"/>
          <w:sz w:val="24"/>
          <w:szCs w:val="24"/>
          <w:highlight w:val="none"/>
        </w:rPr>
        <w:t>将逐条廊道施工，确保出水水质达标排放。</w:t>
      </w:r>
    </w:p>
    <w:p>
      <w:pPr>
        <w:widowControl w:val="0"/>
        <w:adjustRightInd w:val="0"/>
        <w:snapToGrid w:val="0"/>
        <w:spacing w:line="360" w:lineRule="auto"/>
        <w:ind w:firstLine="420"/>
        <w:jc w:val="both"/>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2）</w:t>
      </w:r>
      <w:r>
        <w:rPr>
          <w:rFonts w:hint="eastAsia" w:ascii="宋体" w:hAnsi="宋体" w:cs="宋体"/>
          <w:color w:val="auto"/>
          <w:sz w:val="24"/>
          <w:szCs w:val="24"/>
          <w:highlight w:val="none"/>
        </w:rPr>
        <w:t>清理前格栅水草、清理拍门水草、清理紫外线模块水草。</w:t>
      </w:r>
    </w:p>
    <w:p>
      <w:pPr>
        <w:widowControl w:val="0"/>
        <w:adjustRightInd w:val="0"/>
        <w:snapToGrid w:val="0"/>
        <w:spacing w:line="360" w:lineRule="auto"/>
        <w:ind w:firstLine="420"/>
        <w:jc w:val="both"/>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（3</w:t>
      </w:r>
      <w:r>
        <w:rPr>
          <w:rFonts w:ascii="宋体" w:hAnsi="宋体" w:cs="宋体"/>
          <w:color w:val="auto"/>
          <w:sz w:val="24"/>
          <w:szCs w:val="24"/>
          <w:highlight w:val="none"/>
        </w:rPr>
        <w:t>）</w:t>
      </w:r>
      <w:r>
        <w:rPr>
          <w:rFonts w:hint="eastAsia" w:ascii="宋体" w:hAnsi="宋体" w:cs="宋体"/>
          <w:color w:val="auto"/>
          <w:sz w:val="24"/>
          <w:szCs w:val="24"/>
          <w:highlight w:val="none"/>
        </w:rPr>
        <w:t>更换到达寿命终点的灯管和套管O型密封圈。</w:t>
      </w:r>
    </w:p>
    <w:p>
      <w:pPr>
        <w:widowControl w:val="0"/>
        <w:adjustRightInd w:val="0"/>
        <w:snapToGrid w:val="0"/>
        <w:spacing w:line="360" w:lineRule="auto"/>
        <w:ind w:firstLine="420"/>
        <w:jc w:val="both"/>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（4</w:t>
      </w:r>
      <w:r>
        <w:rPr>
          <w:rFonts w:ascii="宋体" w:hAnsi="宋体" w:cs="宋体"/>
          <w:color w:val="auto"/>
          <w:sz w:val="24"/>
          <w:szCs w:val="24"/>
          <w:highlight w:val="none"/>
        </w:rPr>
        <w:t>）</w:t>
      </w:r>
      <w:r>
        <w:rPr>
          <w:rFonts w:hint="eastAsia" w:ascii="宋体" w:hAnsi="宋体" w:cs="宋体"/>
          <w:color w:val="auto"/>
          <w:sz w:val="24"/>
          <w:szCs w:val="24"/>
          <w:highlight w:val="none"/>
        </w:rPr>
        <w:t>检查紫外线消毒设备的液压系统，维修（含拆、装）、更换配件，调试。</w:t>
      </w:r>
    </w:p>
    <w:p>
      <w:pPr>
        <w:widowControl w:val="0"/>
        <w:adjustRightInd w:val="0"/>
        <w:snapToGrid w:val="0"/>
        <w:spacing w:line="360" w:lineRule="auto"/>
        <w:ind w:firstLine="420"/>
        <w:jc w:val="both"/>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（5</w:t>
      </w:r>
      <w:r>
        <w:rPr>
          <w:rFonts w:ascii="宋体" w:hAnsi="宋体" w:cs="宋体"/>
          <w:color w:val="auto"/>
          <w:sz w:val="24"/>
          <w:szCs w:val="24"/>
          <w:highlight w:val="none"/>
        </w:rPr>
        <w:t>）</w:t>
      </w:r>
      <w:r>
        <w:rPr>
          <w:rFonts w:hint="eastAsia" w:ascii="宋体" w:hAnsi="宋体" w:cs="宋体"/>
          <w:color w:val="auto"/>
          <w:sz w:val="24"/>
          <w:szCs w:val="24"/>
          <w:highlight w:val="none"/>
        </w:rPr>
        <w:t>检查紫外线消毒设备的清洗系统，维修（含拆、装）、更换配件，调试。</w:t>
      </w:r>
    </w:p>
    <w:p>
      <w:pPr>
        <w:widowControl w:val="0"/>
        <w:adjustRightInd w:val="0"/>
        <w:snapToGrid w:val="0"/>
        <w:spacing w:line="360" w:lineRule="auto"/>
        <w:ind w:firstLine="420"/>
        <w:jc w:val="both"/>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（6</w:t>
      </w:r>
      <w:r>
        <w:rPr>
          <w:rFonts w:ascii="宋体" w:hAnsi="宋体" w:cs="宋体"/>
          <w:color w:val="auto"/>
          <w:sz w:val="24"/>
          <w:szCs w:val="24"/>
          <w:highlight w:val="none"/>
        </w:rPr>
        <w:t>）</w:t>
      </w:r>
      <w:r>
        <w:rPr>
          <w:rFonts w:hint="eastAsia" w:ascii="宋体" w:hAnsi="宋体" w:cs="宋体"/>
          <w:color w:val="auto"/>
          <w:sz w:val="24"/>
          <w:szCs w:val="24"/>
          <w:highlight w:val="none"/>
        </w:rPr>
        <w:t>检查紫外线消毒设备的的自动控制，维修（含拆、装）、更换配件，调试。</w:t>
      </w:r>
    </w:p>
    <w:p>
      <w:pPr>
        <w:widowControl w:val="0"/>
        <w:adjustRightInd w:val="0"/>
        <w:snapToGrid w:val="0"/>
        <w:spacing w:line="360" w:lineRule="auto"/>
        <w:ind w:firstLine="420"/>
        <w:jc w:val="both"/>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（7</w:t>
      </w:r>
      <w:r>
        <w:rPr>
          <w:rFonts w:ascii="宋体" w:hAnsi="宋体" w:cs="宋体"/>
          <w:color w:val="auto"/>
          <w:sz w:val="24"/>
          <w:szCs w:val="24"/>
          <w:highlight w:val="none"/>
        </w:rPr>
        <w:t>）</w:t>
      </w:r>
      <w:r>
        <w:rPr>
          <w:rFonts w:hint="eastAsia" w:ascii="宋体" w:hAnsi="宋体" w:cs="宋体"/>
          <w:color w:val="auto"/>
          <w:sz w:val="24"/>
          <w:szCs w:val="24"/>
          <w:highlight w:val="none"/>
        </w:rPr>
        <w:t>具体实施内容如下表：</w:t>
      </w:r>
    </w:p>
    <w:tbl>
      <w:tblPr>
        <w:tblStyle w:val="2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1"/>
        <w:gridCol w:w="6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9" w:hRule="atLeast"/>
        </w:trPr>
        <w:tc>
          <w:tcPr>
            <w:tcW w:w="1061" w:type="pct"/>
            <w:vAlign w:val="center"/>
          </w:tcPr>
          <w:p>
            <w:pPr>
              <w:widowControl w:val="0"/>
              <w:spacing w:line="360" w:lineRule="auto"/>
              <w:jc w:val="center"/>
              <w:rPr>
                <w:rFonts w:ascii="宋体" w:hAnsi="宋体"/>
                <w:color w:val="auto"/>
                <w:kern w:val="2"/>
                <w:sz w:val="24"/>
                <w:szCs w:val="24"/>
                <w:highlight w:val="none"/>
              </w:rPr>
            </w:pPr>
            <w:r>
              <w:rPr>
                <w:rFonts w:hint="eastAsia" w:ascii="宋体" w:hAnsi="宋体"/>
                <w:color w:val="auto"/>
                <w:kern w:val="2"/>
                <w:sz w:val="24"/>
                <w:szCs w:val="24"/>
                <w:highlight w:val="none"/>
              </w:rPr>
              <w:t>系统组件</w:t>
            </w:r>
          </w:p>
        </w:tc>
        <w:tc>
          <w:tcPr>
            <w:tcW w:w="3939" w:type="pct"/>
            <w:vAlign w:val="center"/>
          </w:tcPr>
          <w:p>
            <w:pPr>
              <w:widowControl w:val="0"/>
              <w:spacing w:line="360" w:lineRule="auto"/>
              <w:jc w:val="center"/>
              <w:rPr>
                <w:rFonts w:ascii="宋体" w:hAnsi="宋体"/>
                <w:color w:val="auto"/>
                <w:kern w:val="2"/>
                <w:sz w:val="24"/>
                <w:szCs w:val="24"/>
                <w:highlight w:val="none"/>
              </w:rPr>
            </w:pPr>
            <w:r>
              <w:rPr>
                <w:rFonts w:hint="eastAsia" w:ascii="宋体" w:hAnsi="宋体"/>
                <w:color w:val="auto"/>
                <w:kern w:val="2"/>
                <w:sz w:val="24"/>
                <w:szCs w:val="24"/>
                <w:highlight w:val="none"/>
              </w:rPr>
              <w:t>维修内容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061" w:type="pct"/>
            <w:vAlign w:val="center"/>
          </w:tcPr>
          <w:p>
            <w:pPr>
              <w:widowControl w:val="0"/>
              <w:spacing w:line="360" w:lineRule="auto"/>
              <w:jc w:val="center"/>
              <w:rPr>
                <w:rFonts w:ascii="宋体" w:hAnsi="宋体"/>
                <w:color w:val="auto"/>
                <w:kern w:val="2"/>
                <w:sz w:val="24"/>
                <w:szCs w:val="24"/>
                <w:highlight w:val="none"/>
              </w:rPr>
            </w:pPr>
            <w:r>
              <w:rPr>
                <w:rFonts w:hint="eastAsia" w:ascii="宋体" w:hAnsi="宋体"/>
                <w:color w:val="auto"/>
                <w:kern w:val="2"/>
                <w:sz w:val="24"/>
                <w:szCs w:val="24"/>
                <w:highlight w:val="none"/>
              </w:rPr>
              <w:t>紫外线系统</w:t>
            </w:r>
          </w:p>
        </w:tc>
        <w:tc>
          <w:tcPr>
            <w:tcW w:w="3939" w:type="pct"/>
            <w:vAlign w:val="center"/>
          </w:tcPr>
          <w:p>
            <w:pPr>
              <w:widowControl w:val="0"/>
              <w:spacing w:line="360" w:lineRule="auto"/>
              <w:jc w:val="both"/>
              <w:rPr>
                <w:rFonts w:ascii="宋体" w:hAnsi="宋体"/>
                <w:color w:val="auto"/>
                <w:kern w:val="2"/>
                <w:sz w:val="24"/>
                <w:szCs w:val="24"/>
                <w:highlight w:val="none"/>
              </w:rPr>
            </w:pPr>
            <w:r>
              <w:rPr>
                <w:rFonts w:hint="eastAsia" w:ascii="宋体" w:hAnsi="宋体"/>
                <w:color w:val="auto"/>
                <w:kern w:val="2"/>
                <w:sz w:val="24"/>
                <w:szCs w:val="24"/>
                <w:highlight w:val="none"/>
              </w:rPr>
              <w:t>清理紫外线系统水渠四周的杂物（含进水格栅网、水渠壁四周）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1" w:type="pct"/>
            <w:vAlign w:val="center"/>
          </w:tcPr>
          <w:p>
            <w:pPr>
              <w:widowControl w:val="0"/>
              <w:spacing w:line="360" w:lineRule="auto"/>
              <w:jc w:val="center"/>
              <w:rPr>
                <w:rFonts w:ascii="宋体" w:hAnsi="宋体"/>
                <w:color w:val="auto"/>
                <w:kern w:val="2"/>
                <w:sz w:val="24"/>
                <w:szCs w:val="24"/>
                <w:highlight w:val="none"/>
              </w:rPr>
            </w:pPr>
            <w:r>
              <w:rPr>
                <w:rFonts w:hint="eastAsia" w:ascii="宋体" w:hAnsi="宋体"/>
                <w:color w:val="auto"/>
                <w:kern w:val="2"/>
                <w:sz w:val="24"/>
                <w:szCs w:val="24"/>
                <w:highlight w:val="none"/>
              </w:rPr>
              <w:t>液压系统中心</w:t>
            </w:r>
          </w:p>
        </w:tc>
        <w:tc>
          <w:tcPr>
            <w:tcW w:w="3939" w:type="pct"/>
            <w:vAlign w:val="center"/>
          </w:tcPr>
          <w:p>
            <w:pPr>
              <w:widowControl w:val="0"/>
              <w:spacing w:line="360" w:lineRule="auto"/>
              <w:jc w:val="both"/>
              <w:rPr>
                <w:rFonts w:ascii="宋体" w:hAnsi="宋体"/>
                <w:color w:val="auto"/>
                <w:kern w:val="2"/>
                <w:sz w:val="24"/>
                <w:szCs w:val="24"/>
                <w:highlight w:val="none"/>
              </w:rPr>
            </w:pPr>
            <w:r>
              <w:rPr>
                <w:rFonts w:hint="eastAsia" w:ascii="宋体" w:hAnsi="宋体"/>
                <w:color w:val="auto"/>
                <w:kern w:val="2"/>
                <w:sz w:val="24"/>
                <w:szCs w:val="24"/>
                <w:highlight w:val="none"/>
              </w:rPr>
              <w:t>1、检查液压系统的中心压力是否在许可范围内；</w:t>
            </w:r>
          </w:p>
          <w:p>
            <w:pPr>
              <w:widowControl w:val="0"/>
              <w:spacing w:line="360" w:lineRule="auto"/>
              <w:jc w:val="both"/>
              <w:rPr>
                <w:rFonts w:ascii="宋体" w:hAnsi="宋体"/>
                <w:color w:val="auto"/>
                <w:kern w:val="2"/>
                <w:sz w:val="24"/>
                <w:szCs w:val="24"/>
                <w:highlight w:val="none"/>
              </w:rPr>
            </w:pPr>
            <w:r>
              <w:rPr>
                <w:rFonts w:hint="eastAsia" w:ascii="宋体" w:hAnsi="宋体"/>
                <w:color w:val="auto"/>
                <w:kern w:val="2"/>
                <w:sz w:val="24"/>
                <w:szCs w:val="24"/>
                <w:highlight w:val="none"/>
              </w:rPr>
              <w:t>2、检查液压油液位，如液压油液位偏低，需要添加；</w:t>
            </w:r>
          </w:p>
          <w:p>
            <w:pPr>
              <w:widowControl w:val="0"/>
              <w:spacing w:line="360" w:lineRule="auto"/>
              <w:jc w:val="both"/>
              <w:rPr>
                <w:rFonts w:ascii="宋体" w:hAnsi="宋体"/>
                <w:color w:val="auto"/>
                <w:kern w:val="2"/>
                <w:sz w:val="24"/>
                <w:szCs w:val="24"/>
                <w:highlight w:val="none"/>
              </w:rPr>
            </w:pPr>
            <w:r>
              <w:rPr>
                <w:rFonts w:hint="eastAsia" w:ascii="宋体" w:hAnsi="宋体"/>
                <w:color w:val="auto"/>
                <w:kern w:val="2"/>
                <w:sz w:val="24"/>
                <w:szCs w:val="24"/>
                <w:highlight w:val="none"/>
              </w:rPr>
              <w:t>3、更换过滤器；</w:t>
            </w:r>
          </w:p>
          <w:p>
            <w:pPr>
              <w:widowControl w:val="0"/>
              <w:spacing w:line="360" w:lineRule="auto"/>
              <w:jc w:val="both"/>
              <w:rPr>
                <w:rFonts w:ascii="宋体" w:hAnsi="宋体"/>
                <w:color w:val="auto"/>
                <w:kern w:val="2"/>
                <w:sz w:val="24"/>
                <w:szCs w:val="24"/>
                <w:highlight w:val="none"/>
              </w:rPr>
            </w:pPr>
            <w:r>
              <w:rPr>
                <w:rFonts w:hint="eastAsia" w:ascii="宋体" w:hAnsi="宋体"/>
                <w:color w:val="auto"/>
                <w:kern w:val="2"/>
                <w:sz w:val="24"/>
                <w:szCs w:val="24"/>
                <w:highlight w:val="none"/>
              </w:rPr>
              <w:t>4、检查模块的液压软管是否破损，如软管鼓胀、裂痕、裂缝或缺口明显则应更换；</w:t>
            </w:r>
          </w:p>
          <w:p>
            <w:pPr>
              <w:widowControl w:val="0"/>
              <w:spacing w:line="360" w:lineRule="auto"/>
              <w:jc w:val="both"/>
              <w:rPr>
                <w:rFonts w:ascii="宋体" w:hAnsi="宋体"/>
                <w:color w:val="auto"/>
                <w:kern w:val="2"/>
                <w:sz w:val="24"/>
                <w:szCs w:val="24"/>
                <w:highlight w:val="none"/>
              </w:rPr>
            </w:pPr>
            <w:r>
              <w:rPr>
                <w:rFonts w:hint="eastAsia" w:ascii="宋体" w:hAnsi="宋体"/>
                <w:color w:val="auto"/>
                <w:kern w:val="2"/>
                <w:sz w:val="24"/>
                <w:szCs w:val="24"/>
                <w:highlight w:val="none"/>
              </w:rPr>
              <w:t>5、检查液压系统是否出现漏油，清理液压系统箱内部油迹。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1061" w:type="pct"/>
            <w:vAlign w:val="center"/>
          </w:tcPr>
          <w:p>
            <w:pPr>
              <w:widowControl w:val="0"/>
              <w:spacing w:line="360" w:lineRule="auto"/>
              <w:jc w:val="center"/>
              <w:rPr>
                <w:rFonts w:ascii="宋体" w:hAnsi="宋体"/>
                <w:color w:val="auto"/>
                <w:kern w:val="2"/>
                <w:sz w:val="24"/>
                <w:szCs w:val="24"/>
                <w:highlight w:val="none"/>
              </w:rPr>
            </w:pPr>
            <w:r>
              <w:rPr>
                <w:rFonts w:hint="eastAsia" w:ascii="宋体" w:hAnsi="宋体"/>
                <w:color w:val="auto"/>
                <w:kern w:val="2"/>
                <w:sz w:val="24"/>
                <w:szCs w:val="24"/>
                <w:highlight w:val="none"/>
              </w:rPr>
              <w:t>低水位传感器</w:t>
            </w:r>
          </w:p>
        </w:tc>
        <w:tc>
          <w:tcPr>
            <w:tcW w:w="3939" w:type="pct"/>
            <w:vAlign w:val="center"/>
          </w:tcPr>
          <w:p>
            <w:pPr>
              <w:widowControl w:val="0"/>
              <w:spacing w:line="360" w:lineRule="auto"/>
              <w:jc w:val="both"/>
              <w:rPr>
                <w:rFonts w:ascii="宋体" w:hAnsi="宋体"/>
                <w:color w:val="auto"/>
                <w:kern w:val="2"/>
                <w:sz w:val="24"/>
                <w:szCs w:val="24"/>
                <w:highlight w:val="none"/>
              </w:rPr>
            </w:pPr>
            <w:r>
              <w:rPr>
                <w:rFonts w:hint="eastAsia" w:ascii="宋体" w:hAnsi="宋体"/>
                <w:color w:val="auto"/>
                <w:kern w:val="2"/>
                <w:sz w:val="24"/>
                <w:szCs w:val="24"/>
                <w:highlight w:val="none"/>
              </w:rPr>
              <w:t>检查低水位传感器有无垃圾、藻类或损坏，如有需要，用丝刷清洗传感器棒，出现传感器棒磨损，需要更换。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061" w:type="pct"/>
            <w:vAlign w:val="center"/>
          </w:tcPr>
          <w:p>
            <w:pPr>
              <w:widowControl w:val="0"/>
              <w:spacing w:line="360" w:lineRule="auto"/>
              <w:jc w:val="center"/>
              <w:rPr>
                <w:rFonts w:ascii="宋体" w:hAnsi="宋体"/>
                <w:color w:val="auto"/>
                <w:kern w:val="2"/>
                <w:sz w:val="24"/>
                <w:szCs w:val="24"/>
                <w:highlight w:val="none"/>
              </w:rPr>
            </w:pPr>
            <w:r>
              <w:rPr>
                <w:rFonts w:hint="eastAsia" w:ascii="宋体" w:hAnsi="宋体"/>
                <w:color w:val="auto"/>
                <w:kern w:val="2"/>
                <w:sz w:val="24"/>
                <w:szCs w:val="24"/>
                <w:highlight w:val="none"/>
              </w:rPr>
              <w:t>水位控制器</w:t>
            </w:r>
          </w:p>
        </w:tc>
        <w:tc>
          <w:tcPr>
            <w:tcW w:w="3939" w:type="pct"/>
            <w:vAlign w:val="center"/>
          </w:tcPr>
          <w:p>
            <w:pPr>
              <w:widowControl w:val="0"/>
              <w:spacing w:line="360" w:lineRule="auto"/>
              <w:jc w:val="both"/>
              <w:rPr>
                <w:rFonts w:ascii="宋体" w:hAnsi="宋体"/>
                <w:color w:val="auto"/>
                <w:kern w:val="2"/>
                <w:sz w:val="24"/>
                <w:szCs w:val="24"/>
                <w:highlight w:val="none"/>
              </w:rPr>
            </w:pPr>
            <w:r>
              <w:rPr>
                <w:rFonts w:hint="eastAsia" w:ascii="宋体" w:hAnsi="宋体"/>
                <w:color w:val="auto"/>
                <w:kern w:val="2"/>
                <w:sz w:val="24"/>
                <w:szCs w:val="24"/>
                <w:highlight w:val="none"/>
              </w:rPr>
              <w:t>1、检查有无垃圾</w:t>
            </w:r>
          </w:p>
          <w:p>
            <w:pPr>
              <w:widowControl w:val="0"/>
              <w:spacing w:line="360" w:lineRule="auto"/>
              <w:jc w:val="both"/>
              <w:rPr>
                <w:rFonts w:ascii="宋体" w:hAnsi="宋体"/>
                <w:color w:val="auto"/>
                <w:kern w:val="2"/>
                <w:sz w:val="24"/>
                <w:szCs w:val="24"/>
                <w:highlight w:val="none"/>
              </w:rPr>
            </w:pPr>
            <w:r>
              <w:rPr>
                <w:rFonts w:hint="eastAsia" w:ascii="宋体" w:hAnsi="宋体"/>
                <w:color w:val="auto"/>
                <w:kern w:val="2"/>
                <w:sz w:val="24"/>
                <w:szCs w:val="24"/>
                <w:highlight w:val="none"/>
              </w:rPr>
              <w:t>2、检查有无裂痕或损坏的迹象，检查灌浆、密封并进行更换。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1" w:type="pct"/>
            <w:vAlign w:val="center"/>
          </w:tcPr>
          <w:p>
            <w:pPr>
              <w:widowControl w:val="0"/>
              <w:spacing w:line="360" w:lineRule="auto"/>
              <w:jc w:val="center"/>
              <w:rPr>
                <w:rFonts w:ascii="宋体" w:hAnsi="宋体"/>
                <w:color w:val="auto"/>
                <w:kern w:val="2"/>
                <w:sz w:val="24"/>
                <w:szCs w:val="24"/>
                <w:highlight w:val="none"/>
              </w:rPr>
            </w:pPr>
            <w:r>
              <w:rPr>
                <w:rFonts w:hint="eastAsia" w:ascii="宋体" w:hAnsi="宋体"/>
                <w:color w:val="auto"/>
                <w:kern w:val="2"/>
                <w:sz w:val="24"/>
                <w:szCs w:val="24"/>
                <w:highlight w:val="none"/>
              </w:rPr>
              <w:t>紫外线模块</w:t>
            </w:r>
          </w:p>
        </w:tc>
        <w:tc>
          <w:tcPr>
            <w:tcW w:w="3939" w:type="pct"/>
            <w:vAlign w:val="center"/>
          </w:tcPr>
          <w:p>
            <w:pPr>
              <w:widowControl w:val="0"/>
              <w:spacing w:line="360" w:lineRule="auto"/>
              <w:jc w:val="both"/>
              <w:rPr>
                <w:rFonts w:ascii="宋体" w:hAnsi="宋体"/>
                <w:color w:val="auto"/>
                <w:kern w:val="2"/>
                <w:sz w:val="24"/>
                <w:szCs w:val="24"/>
                <w:highlight w:val="none"/>
              </w:rPr>
            </w:pPr>
            <w:r>
              <w:rPr>
                <w:rFonts w:hint="eastAsia" w:ascii="宋体" w:hAnsi="宋体"/>
                <w:color w:val="auto"/>
                <w:kern w:val="2"/>
                <w:sz w:val="24"/>
                <w:szCs w:val="24"/>
                <w:highlight w:val="none"/>
              </w:rPr>
              <w:t>1、清洗模块中的垃圾、水草，低压冲洗；</w:t>
            </w:r>
          </w:p>
          <w:p>
            <w:pPr>
              <w:widowControl w:val="0"/>
              <w:spacing w:line="360" w:lineRule="auto"/>
              <w:jc w:val="both"/>
              <w:rPr>
                <w:rFonts w:ascii="宋体" w:hAnsi="宋体"/>
                <w:color w:val="auto"/>
                <w:kern w:val="2"/>
                <w:sz w:val="24"/>
                <w:szCs w:val="24"/>
                <w:highlight w:val="none"/>
              </w:rPr>
            </w:pPr>
            <w:r>
              <w:rPr>
                <w:rFonts w:hint="eastAsia" w:ascii="宋体" w:hAnsi="宋体"/>
                <w:color w:val="auto"/>
                <w:kern w:val="2"/>
                <w:sz w:val="24"/>
                <w:szCs w:val="24"/>
                <w:highlight w:val="none"/>
              </w:rPr>
              <w:t>2、检查灯管套管有无结垢或结雾，确保清洗环中充满凝胶。确保套管螺母上紧防止水汽进入套管。</w:t>
            </w:r>
          </w:p>
          <w:p>
            <w:pPr>
              <w:widowControl w:val="0"/>
              <w:spacing w:line="360" w:lineRule="auto"/>
              <w:jc w:val="both"/>
              <w:rPr>
                <w:rFonts w:ascii="宋体" w:hAnsi="宋体"/>
                <w:color w:val="auto"/>
                <w:kern w:val="2"/>
                <w:sz w:val="24"/>
                <w:szCs w:val="24"/>
                <w:highlight w:val="none"/>
              </w:rPr>
            </w:pPr>
            <w:r>
              <w:rPr>
                <w:rFonts w:hint="eastAsia" w:ascii="宋体" w:hAnsi="宋体"/>
                <w:color w:val="auto"/>
                <w:kern w:val="2"/>
                <w:sz w:val="24"/>
                <w:szCs w:val="24"/>
                <w:highlight w:val="none"/>
              </w:rPr>
              <w:t>3、结垢的石英套管需进行酸洗，结雾的套管必须进行清理或更换，确保每支套管穿透率达95%以上。</w:t>
            </w:r>
          </w:p>
          <w:p>
            <w:pPr>
              <w:widowControl w:val="0"/>
              <w:spacing w:line="360" w:lineRule="auto"/>
              <w:jc w:val="both"/>
              <w:rPr>
                <w:rFonts w:ascii="宋体" w:hAnsi="宋体"/>
                <w:color w:val="auto"/>
                <w:kern w:val="2"/>
                <w:sz w:val="24"/>
                <w:szCs w:val="24"/>
                <w:highlight w:val="none"/>
              </w:rPr>
            </w:pPr>
            <w:r>
              <w:rPr>
                <w:rFonts w:hint="eastAsia" w:ascii="宋体" w:hAnsi="宋体"/>
                <w:color w:val="auto"/>
                <w:kern w:val="2"/>
                <w:sz w:val="24"/>
                <w:szCs w:val="24"/>
                <w:highlight w:val="none"/>
              </w:rPr>
              <w:t>4、检查模块支架垫圈箍是否破损，如有破损需进行更换。</w:t>
            </w:r>
          </w:p>
          <w:p>
            <w:pPr>
              <w:widowControl w:val="0"/>
              <w:spacing w:line="360" w:lineRule="auto"/>
              <w:jc w:val="both"/>
              <w:rPr>
                <w:rFonts w:ascii="宋体" w:hAnsi="宋体"/>
                <w:color w:val="auto"/>
                <w:kern w:val="2"/>
                <w:sz w:val="24"/>
                <w:szCs w:val="24"/>
                <w:highlight w:val="none"/>
              </w:rPr>
            </w:pPr>
            <w:r>
              <w:rPr>
                <w:rFonts w:hint="eastAsia" w:ascii="宋体" w:hAnsi="宋体"/>
                <w:color w:val="auto"/>
                <w:kern w:val="2"/>
                <w:sz w:val="24"/>
                <w:szCs w:val="24"/>
                <w:highlight w:val="none"/>
              </w:rPr>
              <w:t>5、更换到达寿命终点的灯管和套管O型密封圈。</w:t>
            </w:r>
          </w:p>
          <w:p>
            <w:pPr>
              <w:widowControl w:val="0"/>
              <w:spacing w:line="360" w:lineRule="auto"/>
              <w:jc w:val="both"/>
              <w:rPr>
                <w:rFonts w:ascii="宋体" w:hAnsi="宋体"/>
                <w:color w:val="auto"/>
                <w:kern w:val="2"/>
                <w:sz w:val="24"/>
                <w:szCs w:val="24"/>
                <w:highlight w:val="none"/>
              </w:rPr>
            </w:pPr>
            <w:r>
              <w:rPr>
                <w:rFonts w:hint="eastAsia" w:ascii="宋体" w:hAnsi="宋体"/>
                <w:color w:val="auto"/>
                <w:kern w:val="2"/>
                <w:sz w:val="24"/>
                <w:szCs w:val="24"/>
                <w:highlight w:val="none"/>
              </w:rPr>
              <w:t>6、检查每组模块擦拭情况，必须手动操作检查伸出、拉回，检查擦拭环的运行情况；检查每组模块的液压杆，对磁环脱扣的液压杆进行修复。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1" w:type="pct"/>
            <w:vAlign w:val="center"/>
          </w:tcPr>
          <w:p>
            <w:pPr>
              <w:widowControl w:val="0"/>
              <w:spacing w:line="360" w:lineRule="auto"/>
              <w:jc w:val="center"/>
              <w:rPr>
                <w:rFonts w:ascii="宋体" w:hAnsi="宋体"/>
                <w:color w:val="auto"/>
                <w:kern w:val="2"/>
                <w:sz w:val="24"/>
                <w:szCs w:val="24"/>
                <w:highlight w:val="none"/>
              </w:rPr>
            </w:pPr>
            <w:r>
              <w:rPr>
                <w:rFonts w:hint="eastAsia" w:ascii="宋体" w:hAnsi="宋体"/>
                <w:color w:val="auto"/>
                <w:kern w:val="2"/>
                <w:sz w:val="24"/>
                <w:szCs w:val="24"/>
                <w:highlight w:val="none"/>
              </w:rPr>
              <w:t>清洗系统</w:t>
            </w:r>
          </w:p>
        </w:tc>
        <w:tc>
          <w:tcPr>
            <w:tcW w:w="3939" w:type="pct"/>
            <w:vAlign w:val="center"/>
          </w:tcPr>
          <w:p>
            <w:pPr>
              <w:widowControl w:val="0"/>
              <w:spacing w:line="360" w:lineRule="auto"/>
              <w:jc w:val="both"/>
              <w:rPr>
                <w:rFonts w:ascii="宋体" w:hAnsi="宋体"/>
                <w:color w:val="auto"/>
                <w:kern w:val="2"/>
                <w:sz w:val="24"/>
                <w:szCs w:val="24"/>
                <w:highlight w:val="none"/>
              </w:rPr>
            </w:pPr>
            <w:r>
              <w:rPr>
                <w:rFonts w:hint="eastAsia" w:ascii="宋体" w:hAnsi="宋体"/>
                <w:color w:val="auto"/>
                <w:kern w:val="2"/>
                <w:sz w:val="24"/>
                <w:szCs w:val="24"/>
                <w:highlight w:val="none"/>
              </w:rPr>
              <w:t>1、清除模块垃圾并用凝胶灌注清洗器环</w:t>
            </w:r>
          </w:p>
          <w:p>
            <w:pPr>
              <w:widowControl w:val="0"/>
              <w:spacing w:line="360" w:lineRule="auto"/>
              <w:jc w:val="both"/>
              <w:rPr>
                <w:rFonts w:ascii="宋体" w:hAnsi="宋体"/>
                <w:color w:val="auto"/>
                <w:kern w:val="2"/>
                <w:sz w:val="24"/>
                <w:szCs w:val="24"/>
                <w:highlight w:val="none"/>
              </w:rPr>
            </w:pPr>
            <w:r>
              <w:rPr>
                <w:rFonts w:hint="eastAsia" w:ascii="宋体" w:hAnsi="宋体"/>
                <w:color w:val="auto"/>
                <w:kern w:val="2"/>
                <w:sz w:val="24"/>
                <w:szCs w:val="24"/>
                <w:highlight w:val="none"/>
              </w:rPr>
              <w:t>2、灌注凝胶时，将油脂涂到清洗器液压筒上，将SafeGard M1涂在液压件上。冲洗和清洁全部清洗系统并更换凝胶。</w:t>
            </w:r>
          </w:p>
          <w:p>
            <w:pPr>
              <w:widowControl w:val="0"/>
              <w:spacing w:line="360" w:lineRule="auto"/>
              <w:jc w:val="both"/>
              <w:rPr>
                <w:rFonts w:ascii="宋体" w:hAnsi="宋体"/>
                <w:color w:val="auto"/>
                <w:kern w:val="2"/>
                <w:sz w:val="24"/>
                <w:szCs w:val="24"/>
                <w:highlight w:val="none"/>
              </w:rPr>
            </w:pPr>
            <w:r>
              <w:rPr>
                <w:rFonts w:hint="eastAsia" w:ascii="宋体" w:hAnsi="宋体"/>
                <w:color w:val="auto"/>
                <w:kern w:val="2"/>
                <w:sz w:val="24"/>
                <w:szCs w:val="24"/>
                <w:highlight w:val="none"/>
              </w:rPr>
              <w:t>3、检查清洗器密封是否损坏，如有需要进行更换。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1061" w:type="pct"/>
            <w:vAlign w:val="center"/>
          </w:tcPr>
          <w:p>
            <w:pPr>
              <w:widowControl w:val="0"/>
              <w:spacing w:line="360" w:lineRule="auto"/>
              <w:jc w:val="center"/>
              <w:rPr>
                <w:rFonts w:ascii="宋体" w:hAnsi="宋体"/>
                <w:color w:val="auto"/>
                <w:kern w:val="2"/>
                <w:sz w:val="24"/>
                <w:szCs w:val="24"/>
                <w:highlight w:val="none"/>
              </w:rPr>
            </w:pPr>
            <w:r>
              <w:rPr>
                <w:rFonts w:hint="eastAsia" w:ascii="宋体" w:hAnsi="宋体"/>
                <w:color w:val="auto"/>
                <w:kern w:val="2"/>
                <w:sz w:val="24"/>
                <w:szCs w:val="24"/>
                <w:highlight w:val="none"/>
              </w:rPr>
              <w:t>系统调试</w:t>
            </w:r>
          </w:p>
        </w:tc>
        <w:tc>
          <w:tcPr>
            <w:tcW w:w="3939" w:type="pct"/>
            <w:vAlign w:val="center"/>
          </w:tcPr>
          <w:p>
            <w:pPr>
              <w:widowControl w:val="0"/>
              <w:spacing w:line="360" w:lineRule="auto"/>
              <w:jc w:val="both"/>
              <w:rPr>
                <w:rFonts w:ascii="宋体" w:hAnsi="宋体"/>
                <w:color w:val="auto"/>
                <w:kern w:val="2"/>
                <w:sz w:val="24"/>
                <w:szCs w:val="24"/>
                <w:highlight w:val="none"/>
              </w:rPr>
            </w:pPr>
            <w:r>
              <w:rPr>
                <w:rFonts w:hint="eastAsia" w:ascii="宋体" w:hAnsi="宋体"/>
                <w:color w:val="auto"/>
                <w:kern w:val="2"/>
                <w:sz w:val="24"/>
                <w:szCs w:val="24"/>
                <w:highlight w:val="none"/>
              </w:rPr>
              <w:t>对整套紫外线消毒系统进行全面的调试，要求达到正常运行标准。</w:t>
            </w:r>
          </w:p>
        </w:tc>
      </w:tr>
    </w:tbl>
    <w:p>
      <w:pPr>
        <w:pStyle w:val="22"/>
        <w:rPr>
          <w:color w:val="auto"/>
          <w:highlight w:val="none"/>
        </w:rPr>
      </w:pPr>
    </w:p>
    <w:p>
      <w:pPr>
        <w:widowControl w:val="0"/>
        <w:adjustRightInd w:val="0"/>
        <w:snapToGrid w:val="0"/>
        <w:spacing w:line="360" w:lineRule="auto"/>
        <w:ind w:firstLine="420"/>
        <w:jc w:val="both"/>
        <w:textAlignment w:val="baseline"/>
        <w:rPr>
          <w:rFonts w:ascii="宋体" w:hAnsi="宋体" w:cs="宋体"/>
          <w:b/>
          <w:bCs/>
          <w:color w:val="auto"/>
          <w:sz w:val="24"/>
          <w:szCs w:val="24"/>
          <w:highlight w:val="none"/>
          <w:lang w:val="zh-CN"/>
        </w:rPr>
      </w:pPr>
      <w:r>
        <w:rPr>
          <w:rFonts w:hint="eastAsia" w:ascii="宋体" w:hAnsi="宋体" w:cs="宋体"/>
          <w:b/>
          <w:bCs/>
          <w:color w:val="auto"/>
          <w:sz w:val="24"/>
          <w:szCs w:val="24"/>
          <w:highlight w:val="none"/>
          <w:lang w:val="zh-CN"/>
        </w:rPr>
        <w:t>三、项目验收</w:t>
      </w:r>
    </w:p>
    <w:p>
      <w:pPr>
        <w:widowControl w:val="0"/>
        <w:adjustRightInd w:val="0"/>
        <w:snapToGrid w:val="0"/>
        <w:spacing w:line="360" w:lineRule="auto"/>
        <w:ind w:firstLine="420"/>
        <w:jc w:val="both"/>
        <w:textAlignment w:val="baseline"/>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1.设备安装及施工方案要求</w:t>
      </w:r>
    </w:p>
    <w:p>
      <w:pPr>
        <w:widowControl w:val="0"/>
        <w:adjustRightInd w:val="0"/>
        <w:snapToGrid w:val="0"/>
        <w:spacing w:line="360" w:lineRule="auto"/>
        <w:ind w:firstLine="420"/>
        <w:jc w:val="both"/>
        <w:textAlignment w:val="baseline"/>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必须提供设备系统改造施工期间的全面的、周密的、符合安全技术规范的施工方案，包括施工组织安排，现场管理人员、技术人员、施工人员配置及安排，应急防范措施，工程计划进度，及应急方案等等。具体方案，以厂方最后审核确认为准。</w:t>
      </w:r>
    </w:p>
    <w:p>
      <w:pPr>
        <w:widowControl w:val="0"/>
        <w:adjustRightInd w:val="0"/>
        <w:snapToGrid w:val="0"/>
        <w:spacing w:line="360" w:lineRule="auto"/>
        <w:ind w:firstLine="420"/>
        <w:jc w:val="both"/>
        <w:textAlignment w:val="baseline"/>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 xml:space="preserve">2.验收标准 </w:t>
      </w:r>
    </w:p>
    <w:p>
      <w:pPr>
        <w:widowControl w:val="0"/>
        <w:adjustRightInd w:val="0"/>
        <w:snapToGrid w:val="0"/>
        <w:spacing w:line="360" w:lineRule="auto"/>
        <w:ind w:firstLine="420"/>
        <w:jc w:val="both"/>
        <w:textAlignment w:val="baseline"/>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供应商须派技术人员到用户现场安装、调试设备、现场操作使用培训。设备所有技术参数经改造后，应符合原设计的技术要求及相关规范，满足厂家技术文件的具体指标及询价文件的要求，并且按国家相关验收规范及净水公司相关验收要求进行验收。</w:t>
      </w:r>
    </w:p>
    <w:p>
      <w:pPr>
        <w:widowControl w:val="0"/>
        <w:adjustRightInd w:val="0"/>
        <w:snapToGrid w:val="0"/>
        <w:spacing w:line="360" w:lineRule="auto"/>
        <w:ind w:firstLine="420"/>
        <w:jc w:val="both"/>
        <w:textAlignment w:val="baseline"/>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在任何时候，供应商均不能免除因设备本身的缺陷所应负的责任。所有需采购的设备运输到采购人指定地点，由采购人提供施工用水用电。设备必须符合国家标准并附质量合格证书。</w:t>
      </w:r>
    </w:p>
    <w:p>
      <w:pPr>
        <w:widowControl w:val="0"/>
        <w:adjustRightInd w:val="0"/>
        <w:snapToGrid w:val="0"/>
        <w:spacing w:line="360" w:lineRule="auto"/>
        <w:ind w:firstLine="420"/>
        <w:jc w:val="both"/>
        <w:textAlignment w:val="baseline"/>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所有新更换的设备在保修期内，如非人为原因而出现的产品质量问题，维修三次后仍然有故障，则必须无条件更换同品牌、同型号的新设备。</w:t>
      </w:r>
    </w:p>
    <w:p>
      <w:pPr>
        <w:widowControl w:val="0"/>
        <w:adjustRightInd w:val="0"/>
        <w:snapToGrid w:val="0"/>
        <w:spacing w:line="360" w:lineRule="auto"/>
        <w:ind w:firstLine="420"/>
        <w:jc w:val="both"/>
        <w:textAlignment w:val="baseline"/>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新更换的设备必须有相应的技术资料、使用说明资料和维护维修资料，除此之外，有需要时应提供外文资料及对应的中文资料；</w:t>
      </w:r>
    </w:p>
    <w:p>
      <w:pPr>
        <w:widowControl w:val="0"/>
        <w:adjustRightInd w:val="0"/>
        <w:snapToGrid w:val="0"/>
        <w:spacing w:line="360" w:lineRule="auto"/>
        <w:ind w:firstLine="420"/>
        <w:jc w:val="both"/>
        <w:textAlignment w:val="baseline"/>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新更换的设备必须符合中华人民共和国有关环保和安全要求以及检测标准、规范。</w:t>
      </w:r>
    </w:p>
    <w:p>
      <w:pPr>
        <w:widowControl w:val="0"/>
        <w:adjustRightInd w:val="0"/>
        <w:snapToGrid w:val="0"/>
        <w:spacing w:line="360" w:lineRule="auto"/>
        <w:ind w:firstLine="420"/>
        <w:jc w:val="both"/>
        <w:textAlignment w:val="baseline"/>
        <w:rPr>
          <w:rFonts w:ascii="宋体" w:hAnsi="宋体" w:cs="宋体"/>
          <w:b/>
          <w:bCs/>
          <w:color w:val="auto"/>
          <w:sz w:val="24"/>
          <w:szCs w:val="24"/>
          <w:highlight w:val="none"/>
          <w:lang w:val="zh-CN"/>
        </w:rPr>
      </w:pPr>
      <w:r>
        <w:rPr>
          <w:rFonts w:hint="eastAsia" w:ascii="宋体" w:hAnsi="宋体" w:cs="宋体"/>
          <w:b/>
          <w:bCs/>
          <w:color w:val="auto"/>
          <w:sz w:val="24"/>
          <w:szCs w:val="24"/>
          <w:highlight w:val="none"/>
          <w:lang w:val="zh-CN"/>
        </w:rPr>
        <w:t>四、商务要求</w:t>
      </w:r>
    </w:p>
    <w:p>
      <w:pPr>
        <w:widowControl w:val="0"/>
        <w:adjustRightInd w:val="0"/>
        <w:snapToGrid w:val="0"/>
        <w:spacing w:line="360" w:lineRule="auto"/>
        <w:ind w:firstLine="420"/>
        <w:jc w:val="both"/>
        <w:textAlignment w:val="baseline"/>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1.工期：维修更换施工工期</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lang w:val="zh-CN"/>
        </w:rPr>
        <w:t>0天。</w:t>
      </w:r>
    </w:p>
    <w:p>
      <w:pPr>
        <w:widowControl w:val="0"/>
        <w:adjustRightInd w:val="0"/>
        <w:snapToGrid w:val="0"/>
        <w:spacing w:line="360" w:lineRule="auto"/>
        <w:ind w:firstLine="420"/>
        <w:jc w:val="both"/>
        <w:textAlignment w:val="baseline"/>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2.质量要求：完成合同规定的工程量，并且设备维修维护安装后可以正常使用，满足实际工作需求。设备及部件外观清洁，标记编号以及盘面显示等字体清晰，明确。所提供的部件必须是质量合格，有相应的出厂证明文件，才能用于设备上。完成后，各设备材料必须满足设计的要求，设备厂家的相关技术规范，并不低于上述标准和国家相关规定。</w:t>
      </w:r>
    </w:p>
    <w:p>
      <w:pPr>
        <w:widowControl w:val="0"/>
        <w:spacing w:line="360" w:lineRule="auto"/>
        <w:ind w:firstLine="480" w:firstLineChars="200"/>
        <w:jc w:val="both"/>
        <w:rPr>
          <w:rFonts w:ascii="宋体" w:hAnsi="宋体" w:cs="宋体"/>
          <w:color w:val="auto"/>
          <w:kern w:val="2"/>
          <w:sz w:val="24"/>
          <w:szCs w:val="24"/>
          <w:highlight w:val="none"/>
          <w:lang w:val="zh-CN"/>
        </w:rPr>
      </w:pPr>
      <w:r>
        <w:rPr>
          <w:rFonts w:hint="eastAsia" w:ascii="宋体" w:hAnsi="宋体" w:cs="宋体"/>
          <w:color w:val="auto"/>
          <w:kern w:val="2"/>
          <w:sz w:val="24"/>
          <w:szCs w:val="24"/>
          <w:highlight w:val="none"/>
          <w:lang w:val="zh-CN"/>
        </w:rPr>
        <w:t>3.</w:t>
      </w:r>
      <w:r>
        <w:rPr>
          <w:rFonts w:hint="eastAsia" w:ascii="宋体" w:hAnsi="宋体"/>
          <w:color w:val="auto"/>
          <w:kern w:val="2"/>
          <w:sz w:val="24"/>
          <w:szCs w:val="24"/>
          <w:highlight w:val="none"/>
        </w:rPr>
        <w:t xml:space="preserve"> </w:t>
      </w:r>
      <w:r>
        <w:rPr>
          <w:rFonts w:hint="eastAsia" w:ascii="宋体" w:hAnsi="宋体" w:cs="宋体"/>
          <w:color w:val="auto"/>
          <w:kern w:val="2"/>
          <w:sz w:val="24"/>
          <w:szCs w:val="24"/>
          <w:highlight w:val="none"/>
          <w:u w:val="single"/>
        </w:rPr>
        <w:t>供应商必须出具灯管寿命保证承诺书，并在其中承诺当灯管使用寿命不足 12000 小时或在 12000 小时内紫外系统剂量不足以保证系统消毒效果时，免费更换全新灯管，</w:t>
      </w:r>
      <w:r>
        <w:rPr>
          <w:rFonts w:hint="eastAsia" w:ascii="宋体" w:hAnsi="宋体" w:cs="宋体"/>
          <w:color w:val="auto"/>
          <w:kern w:val="2"/>
          <w:sz w:val="24"/>
          <w:szCs w:val="24"/>
          <w:highlight w:val="none"/>
          <w:u w:val="single"/>
          <w:lang w:val="zh-CN"/>
        </w:rPr>
        <w:t>费用由</w:t>
      </w:r>
      <w:r>
        <w:rPr>
          <w:rFonts w:hint="eastAsia" w:ascii="宋体" w:hAnsi="宋体" w:cs="宋体"/>
          <w:color w:val="auto"/>
          <w:kern w:val="2"/>
          <w:sz w:val="24"/>
          <w:szCs w:val="24"/>
          <w:highlight w:val="none"/>
          <w:u w:val="single"/>
          <w:lang w:val="en-US" w:eastAsia="zh-CN"/>
        </w:rPr>
        <w:t>成交供应商</w:t>
      </w:r>
      <w:r>
        <w:rPr>
          <w:rFonts w:hint="eastAsia" w:ascii="宋体" w:hAnsi="宋体" w:cs="宋体"/>
          <w:color w:val="auto"/>
          <w:kern w:val="2"/>
          <w:sz w:val="24"/>
          <w:szCs w:val="24"/>
          <w:highlight w:val="none"/>
          <w:u w:val="single"/>
          <w:lang w:val="zh-CN"/>
        </w:rPr>
        <w:t>自行承担</w:t>
      </w:r>
      <w:r>
        <w:rPr>
          <w:rFonts w:hint="eastAsia" w:ascii="宋体" w:hAnsi="宋体" w:cs="宋体"/>
          <w:color w:val="auto"/>
          <w:kern w:val="2"/>
          <w:sz w:val="24"/>
          <w:szCs w:val="24"/>
          <w:highlight w:val="none"/>
          <w:u w:val="single"/>
        </w:rPr>
        <w:t>。如灯管寿命不满足要求所造成的经济损失及责任由</w:t>
      </w:r>
      <w:r>
        <w:rPr>
          <w:rFonts w:hint="eastAsia" w:ascii="宋体" w:hAnsi="宋体" w:cs="宋体"/>
          <w:color w:val="auto"/>
          <w:kern w:val="2"/>
          <w:sz w:val="24"/>
          <w:szCs w:val="24"/>
          <w:highlight w:val="none"/>
          <w:u w:val="single"/>
          <w:lang w:val="en-US" w:eastAsia="zh-CN"/>
        </w:rPr>
        <w:t>成交供应商</w:t>
      </w:r>
      <w:r>
        <w:rPr>
          <w:rFonts w:hint="eastAsia" w:ascii="宋体" w:hAnsi="宋体" w:cs="宋体"/>
          <w:color w:val="auto"/>
          <w:kern w:val="2"/>
          <w:sz w:val="24"/>
          <w:szCs w:val="24"/>
          <w:highlight w:val="none"/>
          <w:u w:val="single"/>
        </w:rPr>
        <w:t>承担。</w:t>
      </w:r>
      <w:r>
        <w:rPr>
          <w:rFonts w:hint="eastAsia" w:ascii="宋体" w:hAnsi="宋体" w:cs="宋体"/>
          <w:color w:val="auto"/>
          <w:kern w:val="2"/>
          <w:sz w:val="24"/>
          <w:szCs w:val="24"/>
          <w:highlight w:val="none"/>
          <w:u w:val="single"/>
          <w:lang w:val="zh-CN"/>
        </w:rPr>
        <w:t>质保期为自验收合格之日起紫外灯管质保寿命为12000小时，其他零配件一年，</w:t>
      </w:r>
      <w:r>
        <w:rPr>
          <w:rFonts w:hint="eastAsia" w:ascii="宋体" w:hAnsi="宋体" w:cs="宋体"/>
          <w:color w:val="auto"/>
          <w:kern w:val="2"/>
          <w:sz w:val="24"/>
          <w:szCs w:val="24"/>
          <w:highlight w:val="none"/>
          <w:u w:val="single"/>
        </w:rPr>
        <w:t>如灯管寿命不满足要求，所造成的经济损失及责任由</w:t>
      </w:r>
      <w:r>
        <w:rPr>
          <w:rFonts w:hint="eastAsia" w:ascii="宋体" w:hAnsi="宋体" w:cs="宋体"/>
          <w:color w:val="auto"/>
          <w:kern w:val="2"/>
          <w:sz w:val="24"/>
          <w:szCs w:val="24"/>
          <w:highlight w:val="none"/>
          <w:u w:val="single"/>
          <w:lang w:val="en-US" w:eastAsia="zh-CN"/>
        </w:rPr>
        <w:t>成交供应商</w:t>
      </w:r>
      <w:r>
        <w:rPr>
          <w:rFonts w:hint="eastAsia" w:ascii="宋体" w:hAnsi="宋体" w:cs="宋体"/>
          <w:color w:val="auto"/>
          <w:kern w:val="2"/>
          <w:sz w:val="24"/>
          <w:szCs w:val="24"/>
          <w:highlight w:val="none"/>
          <w:u w:val="single"/>
        </w:rPr>
        <w:t>承担，在质保期内出现故障，</w:t>
      </w:r>
      <w:r>
        <w:rPr>
          <w:rFonts w:hint="eastAsia" w:ascii="宋体" w:hAnsi="宋体" w:cs="宋体"/>
          <w:color w:val="auto"/>
          <w:kern w:val="2"/>
          <w:sz w:val="24"/>
          <w:szCs w:val="24"/>
          <w:highlight w:val="none"/>
          <w:u w:val="single"/>
          <w:lang w:val="en-US" w:eastAsia="zh-CN"/>
        </w:rPr>
        <w:t>成交供应商</w:t>
      </w:r>
      <w:r>
        <w:rPr>
          <w:rFonts w:hint="eastAsia" w:ascii="宋体" w:hAnsi="宋体" w:cs="宋体"/>
          <w:color w:val="auto"/>
          <w:kern w:val="2"/>
          <w:sz w:val="24"/>
          <w:szCs w:val="24"/>
          <w:highlight w:val="none"/>
          <w:u w:val="single"/>
        </w:rPr>
        <w:t>必须二十四小时内响应，进场维修。</w:t>
      </w:r>
    </w:p>
    <w:p>
      <w:pPr>
        <w:widowControl w:val="0"/>
        <w:adjustRightInd w:val="0"/>
        <w:snapToGrid w:val="0"/>
        <w:spacing w:line="360" w:lineRule="auto"/>
        <w:ind w:firstLine="420"/>
        <w:jc w:val="both"/>
        <w:textAlignment w:val="baseline"/>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4.采购人将自承包商履行完合同义务之日起十个工作日内组织验收，验收要求、验收标准及方法如下：完工后设备运转正常，效果达到要求才能通过验收。</w:t>
      </w:r>
    </w:p>
    <w:p>
      <w:pPr>
        <w:widowControl w:val="0"/>
        <w:adjustRightInd w:val="0"/>
        <w:snapToGrid w:val="0"/>
        <w:spacing w:line="360" w:lineRule="auto"/>
        <w:ind w:firstLine="420"/>
        <w:jc w:val="both"/>
        <w:textAlignment w:val="baseline"/>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5.付款方式：详见合同范本。</w:t>
      </w:r>
    </w:p>
    <w:p>
      <w:pPr>
        <w:widowControl w:val="0"/>
        <w:adjustRightInd w:val="0"/>
        <w:snapToGrid w:val="0"/>
        <w:spacing w:line="360" w:lineRule="auto"/>
        <w:ind w:firstLine="420"/>
        <w:jc w:val="both"/>
        <w:textAlignment w:val="baseline"/>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6.安全文明施工要求：详见合同附件。</w:t>
      </w:r>
    </w:p>
    <w:p>
      <w:pPr>
        <w:widowControl w:val="0"/>
        <w:adjustRightInd w:val="0"/>
        <w:snapToGrid w:val="0"/>
        <w:spacing w:line="360" w:lineRule="auto"/>
        <w:ind w:firstLine="420"/>
        <w:jc w:val="both"/>
        <w:textAlignment w:val="baseline"/>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7.总包及分包规定：不允许分包。</w:t>
      </w:r>
    </w:p>
    <w:p>
      <w:pPr>
        <w:pStyle w:val="22"/>
        <w:rPr>
          <w:color w:val="auto"/>
          <w:highlight w:val="none"/>
        </w:rPr>
      </w:pPr>
      <w:r>
        <w:rPr>
          <w:rFonts w:hint="eastAsia" w:ascii="宋体" w:hAnsi="宋体" w:cs="宋体"/>
          <w:color w:val="auto"/>
          <w:sz w:val="24"/>
          <w:szCs w:val="24"/>
          <w:highlight w:val="none"/>
          <w:lang w:val="zh-CN"/>
        </w:rPr>
        <w:t>8</w:t>
      </w:r>
      <w:r>
        <w:rPr>
          <w:rFonts w:hint="eastAsia" w:ascii="宋体" w:hAnsi="宋体" w:eastAsia="宋体" w:cs="宋体"/>
          <w:color w:val="auto"/>
          <w:sz w:val="24"/>
          <w:szCs w:val="24"/>
          <w:highlight w:val="none"/>
          <w:lang w:val="zh-CN"/>
        </w:rPr>
        <w:t>.承包方式：单价包干，按实结算。</w:t>
      </w:r>
    </w:p>
    <w:p>
      <w:pPr>
        <w:pStyle w:val="3"/>
        <w:rPr>
          <w:rFonts w:hint="eastAsia"/>
          <w:color w:val="auto"/>
          <w:highlight w:val="none"/>
        </w:rPr>
      </w:pPr>
      <w:bookmarkStart w:id="61" w:name="_Toc23353"/>
      <w:bookmarkStart w:id="62" w:name="_Toc23330"/>
      <w:bookmarkStart w:id="63" w:name="_Toc4680"/>
      <w:bookmarkStart w:id="64" w:name="_Toc1284"/>
      <w:bookmarkStart w:id="65" w:name="_Toc1496"/>
      <w:bookmarkStart w:id="66" w:name="_Toc25925"/>
      <w:bookmarkStart w:id="67" w:name="_Toc12135"/>
      <w:bookmarkStart w:id="68" w:name="_Toc537"/>
      <w:bookmarkStart w:id="69" w:name="_Toc18538"/>
      <w:bookmarkStart w:id="70" w:name="_Toc29835"/>
      <w:bookmarkStart w:id="71" w:name="_Toc15570"/>
    </w:p>
    <w:p>
      <w:pPr>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3"/>
        <w:rPr>
          <w:rFonts w:hint="eastAsia"/>
          <w:color w:val="auto"/>
          <w:highlight w:val="none"/>
        </w:rPr>
      </w:pPr>
    </w:p>
    <w:p>
      <w:pPr>
        <w:pStyle w:val="3"/>
        <w:rPr>
          <w:rFonts w:hint="eastAsia"/>
          <w:color w:val="auto"/>
          <w:highlight w:val="none"/>
        </w:rPr>
      </w:pPr>
    </w:p>
    <w:p>
      <w:pPr>
        <w:pStyle w:val="3"/>
        <w:rPr>
          <w:rFonts w:hint="eastAsia"/>
          <w:color w:val="auto"/>
          <w:highlight w:val="none"/>
        </w:rPr>
      </w:pPr>
    </w:p>
    <w:p>
      <w:pPr>
        <w:rPr>
          <w:rFonts w:hint="eastAsia"/>
          <w:color w:val="auto"/>
          <w:highlight w:val="none"/>
        </w:rPr>
      </w:pPr>
    </w:p>
    <w:p>
      <w:pPr>
        <w:pStyle w:val="2"/>
        <w:rPr>
          <w:rFonts w:hint="eastAsia"/>
          <w:color w:val="auto"/>
          <w:highlight w:val="none"/>
        </w:rPr>
      </w:pPr>
    </w:p>
    <w:p>
      <w:pPr>
        <w:pStyle w:val="2"/>
        <w:ind w:left="0" w:leftChars="0" w:firstLine="0" w:firstLineChars="0"/>
        <w:rPr>
          <w:rFonts w:hint="eastAsia"/>
          <w:color w:val="auto"/>
          <w:highlight w:val="none"/>
        </w:rPr>
      </w:pPr>
    </w:p>
    <w:p>
      <w:pPr>
        <w:pStyle w:val="3"/>
        <w:rPr>
          <w:rFonts w:hint="eastAsia"/>
          <w:color w:val="auto"/>
          <w:highlight w:val="none"/>
        </w:rPr>
      </w:pPr>
    </w:p>
    <w:p>
      <w:pPr>
        <w:pStyle w:val="3"/>
        <w:rPr>
          <w:color w:val="auto"/>
          <w:highlight w:val="none"/>
        </w:rPr>
      </w:pPr>
      <w:r>
        <w:rPr>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2172970</wp:posOffset>
                </wp:positionH>
                <wp:positionV relativeFrom="paragraph">
                  <wp:posOffset>3810</wp:posOffset>
                </wp:positionV>
                <wp:extent cx="958850" cy="0"/>
                <wp:effectExtent l="0" t="0" r="0" b="0"/>
                <wp:wrapNone/>
                <wp:docPr id="5"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71.1pt;margin-top:0.3pt;height:0pt;width:75.5pt;z-index:251666432;mso-width-relative:page;mso-height-relative:page;" filled="f" stroked="t" coordsize="21600,21600" o:gfxdata="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9thjCNMAAAAFAQAADwAAAAAAAAABACAAAAAiAAAAZHJzL2Rvd25yZXYueG1sUEsBAhQAFAAAAAgA&#10;h07iQGNmbxzxAQAA4gMAAA4AAAAAAAAAAQAgAAAAIgEAAGRycy9lMm9Eb2MueG1sUEsFBgAAAAAG&#10;AAYAWQEAAIU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7456" behindDoc="0" locked="0" layoutInCell="1" allowOverlap="1">
                <wp:simplePos x="0" y="0"/>
                <wp:positionH relativeFrom="column">
                  <wp:posOffset>2211070</wp:posOffset>
                </wp:positionH>
                <wp:positionV relativeFrom="paragraph">
                  <wp:posOffset>529590</wp:posOffset>
                </wp:positionV>
                <wp:extent cx="958850" cy="0"/>
                <wp:effectExtent l="0" t="0" r="0" b="0"/>
                <wp:wrapNone/>
                <wp:docPr id="6"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74.1pt;margin-top:41.7pt;height:0pt;width:75.5pt;z-index:251667456;mso-width-relative:page;mso-height-relative:page;" filled="f" stroked="t" coordsize="21600,21600" o:gfxdata="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Ovana3WAAAACQEAAA8AAAAAAAAAAQAgAAAAIgAAAGRycy9kb3ducmV2LnhtbFBLAQIUABQA&#10;AAAIAIdO4kAkHaOg8gEAAOIDAAAOAAAAAAAAAAEAIAAAACUBAABkcnMvZTJvRG9jLnhtbFBLBQYA&#10;AAAABgAGAFkBAACJBQAAAAA=&#10;">
                <v:fill on="f" focussize="0,0"/>
                <v:stroke color="#000000" joinstyle="round"/>
                <v:imagedata o:title=""/>
                <o:lock v:ext="edit" aspectratio="f"/>
              </v:shape>
            </w:pict>
          </mc:Fallback>
        </mc:AlternateContent>
      </w:r>
      <w:r>
        <w:rPr>
          <w:rFonts w:hint="eastAsia"/>
          <w:color w:val="auto"/>
          <w:highlight w:val="none"/>
        </w:rPr>
        <w:t>第六章</w:t>
      </w:r>
      <w:bookmarkEnd w:id="61"/>
      <w:bookmarkEnd w:id="62"/>
      <w:bookmarkEnd w:id="63"/>
      <w:bookmarkEnd w:id="64"/>
      <w:bookmarkEnd w:id="65"/>
      <w:bookmarkEnd w:id="66"/>
      <w:bookmarkEnd w:id="67"/>
      <w:bookmarkEnd w:id="68"/>
      <w:bookmarkEnd w:id="69"/>
      <w:bookmarkEnd w:id="70"/>
      <w:bookmarkEnd w:id="71"/>
    </w:p>
    <w:p>
      <w:pPr>
        <w:pStyle w:val="35"/>
        <w:rPr>
          <w:color w:val="auto"/>
          <w:highlight w:val="none"/>
        </w:rPr>
      </w:pPr>
    </w:p>
    <w:p>
      <w:pPr>
        <w:pStyle w:val="3"/>
        <w:rPr>
          <w:color w:val="auto"/>
          <w:highlight w:val="none"/>
        </w:rPr>
      </w:pPr>
      <w:bookmarkStart w:id="72" w:name="_Toc88209949"/>
      <w:bookmarkStart w:id="73" w:name="_Toc87616386"/>
      <w:bookmarkStart w:id="74" w:name="_Toc22797"/>
      <w:bookmarkStart w:id="75" w:name="_Toc8183"/>
      <w:bookmarkStart w:id="76" w:name="_Toc12968"/>
      <w:bookmarkStart w:id="77" w:name="_Toc22501"/>
      <w:bookmarkStart w:id="78" w:name="_Toc12980"/>
      <w:bookmarkStart w:id="79" w:name="_Toc1375"/>
      <w:bookmarkStart w:id="80" w:name="_Toc13309"/>
      <w:bookmarkStart w:id="81" w:name="_Toc12721"/>
      <w:bookmarkStart w:id="82" w:name="_Toc323"/>
      <w:bookmarkStart w:id="83" w:name="_Toc19088"/>
      <w:bookmarkStart w:id="84" w:name="_Toc19686"/>
      <w:r>
        <w:rPr>
          <w:rFonts w:hint="eastAsia"/>
          <w:color w:val="auto"/>
          <w:highlight w:val="none"/>
        </w:rPr>
        <w:t>合同</w:t>
      </w:r>
      <w:bookmarkEnd w:id="72"/>
      <w:bookmarkEnd w:id="73"/>
      <w:bookmarkEnd w:id="74"/>
      <w:bookmarkEnd w:id="75"/>
      <w:bookmarkEnd w:id="76"/>
      <w:bookmarkEnd w:id="77"/>
      <w:bookmarkEnd w:id="78"/>
      <w:bookmarkEnd w:id="79"/>
      <w:bookmarkEnd w:id="80"/>
      <w:bookmarkEnd w:id="81"/>
      <w:bookmarkEnd w:id="82"/>
      <w:bookmarkEnd w:id="83"/>
      <w:bookmarkEnd w:id="84"/>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widowControl w:val="0"/>
        <w:jc w:val="center"/>
        <w:rPr>
          <w:b/>
          <w:color w:val="auto"/>
          <w:sz w:val="48"/>
          <w:szCs w:val="48"/>
          <w:highlight w:val="none"/>
        </w:rPr>
      </w:pPr>
      <w:r>
        <w:rPr>
          <w:b/>
          <w:color w:val="auto"/>
          <w:sz w:val="48"/>
          <w:szCs w:val="48"/>
          <w:highlight w:val="none"/>
        </w:rPr>
        <w:tab/>
      </w:r>
    </w:p>
    <w:p>
      <w:pPr>
        <w:jc w:val="center"/>
        <w:rPr>
          <w:b/>
          <w:color w:val="auto"/>
          <w:sz w:val="48"/>
          <w:szCs w:val="48"/>
          <w:highlight w:val="none"/>
        </w:rPr>
      </w:pPr>
    </w:p>
    <w:p>
      <w:pPr>
        <w:jc w:val="center"/>
        <w:rPr>
          <w:b/>
          <w:color w:val="auto"/>
          <w:sz w:val="48"/>
          <w:szCs w:val="48"/>
          <w:highlight w:val="none"/>
        </w:rPr>
      </w:pPr>
    </w:p>
    <w:p>
      <w:pPr>
        <w:jc w:val="center"/>
        <w:rPr>
          <w:b/>
          <w:color w:val="auto"/>
          <w:sz w:val="48"/>
          <w:szCs w:val="48"/>
          <w:highlight w:val="none"/>
        </w:rPr>
      </w:pPr>
    </w:p>
    <w:p>
      <w:pPr>
        <w:jc w:val="center"/>
        <w:rPr>
          <w:b/>
          <w:color w:val="auto"/>
          <w:sz w:val="48"/>
          <w:szCs w:val="48"/>
          <w:highlight w:val="none"/>
        </w:rPr>
      </w:pPr>
    </w:p>
    <w:p>
      <w:pPr>
        <w:jc w:val="center"/>
        <w:rPr>
          <w:b/>
          <w:color w:val="auto"/>
          <w:sz w:val="48"/>
          <w:szCs w:val="48"/>
          <w:highlight w:val="none"/>
        </w:rPr>
      </w:pPr>
    </w:p>
    <w:p>
      <w:pPr>
        <w:pStyle w:val="2"/>
        <w:rPr>
          <w:b/>
          <w:color w:val="auto"/>
          <w:sz w:val="48"/>
          <w:szCs w:val="48"/>
          <w:highlight w:val="none"/>
        </w:rPr>
      </w:pPr>
    </w:p>
    <w:p>
      <w:pPr>
        <w:pStyle w:val="2"/>
        <w:rPr>
          <w:b/>
          <w:color w:val="auto"/>
          <w:sz w:val="48"/>
          <w:szCs w:val="48"/>
          <w:highlight w:val="none"/>
        </w:rPr>
      </w:pPr>
    </w:p>
    <w:p>
      <w:pPr>
        <w:pStyle w:val="22"/>
        <w:ind w:firstLine="0"/>
        <w:rPr>
          <w:rFonts w:ascii="仿宋_GB2312" w:eastAsia="仿宋_GB2312"/>
          <w:color w:val="auto"/>
          <w:sz w:val="28"/>
          <w:szCs w:val="28"/>
          <w:highlight w:val="none"/>
        </w:rPr>
      </w:pPr>
    </w:p>
    <w:p>
      <w:pPr>
        <w:pStyle w:val="22"/>
        <w:ind w:firstLine="0"/>
        <w:rPr>
          <w:rFonts w:ascii="仿宋_GB2312" w:eastAsia="仿宋_GB2312"/>
          <w:color w:val="auto"/>
          <w:sz w:val="28"/>
          <w:szCs w:val="28"/>
          <w:highlight w:val="none"/>
        </w:rPr>
      </w:pPr>
    </w:p>
    <w:p>
      <w:pPr>
        <w:pStyle w:val="22"/>
        <w:ind w:firstLine="0"/>
        <w:rPr>
          <w:rFonts w:ascii="仿宋_GB2312" w:eastAsia="仿宋_GB2312"/>
          <w:color w:val="auto"/>
          <w:sz w:val="28"/>
          <w:szCs w:val="28"/>
          <w:highlight w:val="none"/>
        </w:rPr>
      </w:pPr>
    </w:p>
    <w:p>
      <w:pPr>
        <w:jc w:val="center"/>
        <w:rPr>
          <w:b/>
          <w:color w:val="auto"/>
          <w:sz w:val="48"/>
          <w:szCs w:val="48"/>
          <w:highlight w:val="none"/>
        </w:rPr>
      </w:pPr>
      <w:r>
        <w:rPr>
          <w:b/>
          <w:color w:val="auto"/>
          <w:sz w:val="48"/>
          <w:szCs w:val="48"/>
          <w:highlight w:val="none"/>
        </w:rPr>
        <w:t>广州市净水有限公司</w:t>
      </w:r>
    </w:p>
    <w:p>
      <w:pPr>
        <w:jc w:val="center"/>
        <w:rPr>
          <w:b/>
          <w:color w:val="auto"/>
          <w:sz w:val="48"/>
          <w:szCs w:val="48"/>
          <w:highlight w:val="none"/>
        </w:rPr>
      </w:pPr>
      <w:r>
        <w:rPr>
          <w:b/>
          <w:color w:val="auto"/>
          <w:sz w:val="48"/>
          <w:szCs w:val="48"/>
          <w:highlight w:val="none"/>
          <w:u w:val="single"/>
        </w:rPr>
        <w:t>厂区设备备件</w:t>
      </w:r>
      <w:r>
        <w:rPr>
          <w:b/>
          <w:color w:val="auto"/>
          <w:sz w:val="48"/>
          <w:szCs w:val="48"/>
          <w:highlight w:val="none"/>
        </w:rPr>
        <w:t>采购合同</w:t>
      </w:r>
    </w:p>
    <w:p>
      <w:pPr>
        <w:jc w:val="center"/>
        <w:rPr>
          <w:b/>
          <w:color w:val="auto"/>
          <w:sz w:val="28"/>
          <w:szCs w:val="28"/>
          <w:highlight w:val="none"/>
        </w:rPr>
      </w:pPr>
    </w:p>
    <w:p>
      <w:pPr>
        <w:pStyle w:val="6"/>
        <w:rPr>
          <w:color w:val="auto"/>
          <w:highlight w:val="none"/>
        </w:rPr>
      </w:pPr>
    </w:p>
    <w:p>
      <w:pPr>
        <w:pStyle w:val="6"/>
        <w:rPr>
          <w:color w:val="auto"/>
          <w:highlight w:val="none"/>
        </w:rPr>
      </w:pPr>
    </w:p>
    <w:p>
      <w:pPr>
        <w:jc w:val="center"/>
        <w:rPr>
          <w:b/>
          <w:color w:val="auto"/>
          <w:sz w:val="30"/>
          <w:highlight w:val="none"/>
        </w:rPr>
      </w:pPr>
    </w:p>
    <w:p>
      <w:pPr>
        <w:rPr>
          <w:b/>
          <w:color w:val="auto"/>
          <w:sz w:val="30"/>
          <w:highlight w:val="none"/>
        </w:rPr>
      </w:pPr>
      <w:r>
        <w:rPr>
          <w:b/>
          <w:color w:val="auto"/>
          <w:sz w:val="30"/>
          <w:highlight w:val="none"/>
        </w:rPr>
        <w:t>项目名称：</w:t>
      </w:r>
      <w:r>
        <w:rPr>
          <w:rFonts w:hint="eastAsia"/>
          <w:b/>
          <w:color w:val="auto"/>
          <w:sz w:val="30"/>
          <w:highlight w:val="none"/>
        </w:rPr>
        <w:t>广州净水公司2024年紫外线消毒设备购置</w:t>
      </w:r>
    </w:p>
    <w:p>
      <w:pPr>
        <w:rPr>
          <w:b/>
          <w:color w:val="auto"/>
          <w:sz w:val="30"/>
          <w:highlight w:val="none"/>
        </w:rPr>
      </w:pPr>
    </w:p>
    <w:p>
      <w:pPr>
        <w:rPr>
          <w:b/>
          <w:color w:val="auto"/>
          <w:sz w:val="30"/>
          <w:highlight w:val="none"/>
        </w:rPr>
      </w:pPr>
      <w:r>
        <w:rPr>
          <w:b/>
          <w:color w:val="auto"/>
          <w:sz w:val="30"/>
          <w:highlight w:val="none"/>
        </w:rPr>
        <w:t>项目编号：</w:t>
      </w:r>
      <w:r>
        <w:rPr>
          <w:rFonts w:hint="eastAsia"/>
          <w:b/>
          <w:color w:val="auto"/>
          <w:sz w:val="30"/>
          <w:highlight w:val="none"/>
        </w:rPr>
        <w:t>03512024000010</w:t>
      </w:r>
    </w:p>
    <w:p>
      <w:pPr>
        <w:rPr>
          <w:b/>
          <w:color w:val="auto"/>
          <w:sz w:val="30"/>
          <w:highlight w:val="none"/>
        </w:rPr>
      </w:pPr>
    </w:p>
    <w:p>
      <w:pPr>
        <w:rPr>
          <w:b/>
          <w:color w:val="auto"/>
          <w:sz w:val="30"/>
          <w:szCs w:val="30"/>
          <w:highlight w:val="none"/>
        </w:rPr>
      </w:pPr>
      <w:r>
        <w:rPr>
          <w:b/>
          <w:color w:val="auto"/>
          <w:sz w:val="30"/>
          <w:highlight w:val="none"/>
        </w:rPr>
        <w:t>合同编号：</w:t>
      </w:r>
      <w:r>
        <w:rPr>
          <w:b/>
          <w:color w:val="auto"/>
          <w:sz w:val="30"/>
          <w:szCs w:val="30"/>
          <w:highlight w:val="none"/>
        </w:rPr>
        <w:t>穗净水合[     ]    号</w:t>
      </w:r>
    </w:p>
    <w:p>
      <w:pPr>
        <w:rPr>
          <w:b/>
          <w:color w:val="auto"/>
          <w:sz w:val="30"/>
          <w:szCs w:val="30"/>
          <w:highlight w:val="none"/>
        </w:rPr>
      </w:pPr>
    </w:p>
    <w:p>
      <w:pPr>
        <w:rPr>
          <w:b/>
          <w:color w:val="auto"/>
          <w:sz w:val="30"/>
          <w:highlight w:val="none"/>
          <w:u w:val="single"/>
        </w:rPr>
      </w:pPr>
      <w:r>
        <w:rPr>
          <w:b/>
          <w:color w:val="auto"/>
          <w:sz w:val="30"/>
          <w:highlight w:val="none"/>
        </w:rPr>
        <w:t>甲方（买方）：广州市净水有限公司</w:t>
      </w:r>
    </w:p>
    <w:p>
      <w:pPr>
        <w:rPr>
          <w:b/>
          <w:color w:val="auto"/>
          <w:sz w:val="30"/>
          <w:highlight w:val="none"/>
        </w:rPr>
      </w:pPr>
    </w:p>
    <w:p>
      <w:pPr>
        <w:rPr>
          <w:b/>
          <w:color w:val="auto"/>
          <w:sz w:val="30"/>
          <w:highlight w:val="none"/>
          <w:u w:val="single"/>
        </w:rPr>
      </w:pPr>
      <w:r>
        <w:rPr>
          <w:b/>
          <w:color w:val="auto"/>
          <w:sz w:val="30"/>
          <w:highlight w:val="none"/>
        </w:rPr>
        <w:t xml:space="preserve">乙方（卖方）：               </w:t>
      </w:r>
    </w:p>
    <w:p>
      <w:pPr>
        <w:pStyle w:val="22"/>
        <w:rPr>
          <w:b/>
          <w:color w:val="auto"/>
          <w:highlight w:val="none"/>
        </w:rPr>
      </w:pPr>
    </w:p>
    <w:p>
      <w:pPr>
        <w:spacing w:line="500" w:lineRule="exact"/>
        <w:rPr>
          <w:b/>
          <w:color w:val="auto"/>
          <w:sz w:val="30"/>
          <w:highlight w:val="none"/>
        </w:rPr>
      </w:pPr>
      <w:r>
        <w:rPr>
          <w:b/>
          <w:color w:val="auto"/>
          <w:sz w:val="30"/>
          <w:szCs w:val="30"/>
          <w:highlight w:val="none"/>
        </w:rPr>
        <w:t xml:space="preserve">签订日期：       年   月   日   </w:t>
      </w:r>
    </w:p>
    <w:p>
      <w:pPr>
        <w:spacing w:line="500" w:lineRule="exact"/>
        <w:rPr>
          <w:b/>
          <w:color w:val="auto"/>
          <w:sz w:val="30"/>
          <w:highlight w:val="none"/>
        </w:rPr>
      </w:pPr>
    </w:p>
    <w:p>
      <w:pPr>
        <w:spacing w:line="500" w:lineRule="exact"/>
        <w:rPr>
          <w:b/>
          <w:color w:val="auto"/>
          <w:sz w:val="36"/>
          <w:szCs w:val="36"/>
          <w:highlight w:val="none"/>
          <w:lang w:val="zh-CN"/>
        </w:rPr>
      </w:pPr>
      <w:r>
        <w:rPr>
          <w:b/>
          <w:color w:val="auto"/>
          <w:sz w:val="30"/>
          <w:highlight w:val="none"/>
        </w:rPr>
        <w:t>签约地点：广州市</w:t>
      </w:r>
    </w:p>
    <w:p>
      <w:pPr>
        <w:spacing w:line="360" w:lineRule="auto"/>
        <w:rPr>
          <w:b/>
          <w:color w:val="auto"/>
          <w:highlight w:val="none"/>
        </w:rPr>
      </w:pPr>
      <w:r>
        <w:rPr>
          <w:b/>
          <w:color w:val="auto"/>
          <w:highlight w:val="none"/>
        </w:rPr>
        <w:t xml:space="preserve">    </w:t>
      </w:r>
    </w:p>
    <w:p>
      <w:pPr>
        <w:rPr>
          <w:color w:val="auto"/>
          <w:highlight w:val="none"/>
        </w:rPr>
        <w:sectPr>
          <w:footerReference r:id="rId4" w:type="default"/>
          <w:pgSz w:w="11907" w:h="16840"/>
          <w:pgMar w:top="1440" w:right="1746" w:bottom="1440" w:left="1746" w:header="851" w:footer="992" w:gutter="0"/>
          <w:pgNumType w:fmt="decimal" w:start="1"/>
          <w:cols w:space="720" w:num="1"/>
          <w:docGrid w:type="linesAndChars" w:linePitch="381" w:charSpace="0"/>
        </w:sectPr>
      </w:pPr>
    </w:p>
    <w:p>
      <w:pPr>
        <w:ind w:firstLine="480" w:firstLineChars="200"/>
        <w:rPr>
          <w:color w:val="auto"/>
          <w:sz w:val="24"/>
          <w:szCs w:val="24"/>
          <w:highlight w:val="none"/>
        </w:rPr>
      </w:pPr>
      <w:r>
        <w:rPr>
          <w:color w:val="auto"/>
          <w:sz w:val="24"/>
          <w:szCs w:val="24"/>
          <w:highlight w:val="none"/>
        </w:rPr>
        <w:t>根据《中华人民共和国民法典》及其他有关法律、行政法规，</w:t>
      </w:r>
      <w:r>
        <w:rPr>
          <w:color w:val="auto"/>
          <w:sz w:val="24"/>
          <w:szCs w:val="24"/>
          <w:highlight w:val="none"/>
          <w:u w:val="single"/>
        </w:rPr>
        <w:t>广州市净水有限公司</w:t>
      </w:r>
      <w:r>
        <w:rPr>
          <w:color w:val="auto"/>
          <w:sz w:val="24"/>
          <w:szCs w:val="24"/>
          <w:highlight w:val="none"/>
        </w:rPr>
        <w:t xml:space="preserve"> （以下简称“甲方”）与</w:t>
      </w:r>
      <w:r>
        <w:rPr>
          <w:rFonts w:hint="eastAsia"/>
          <w:color w:val="auto"/>
          <w:highlight w:val="none"/>
          <w:lang w:val="en-US" w:eastAsia="zh-CN"/>
        </w:rPr>
        <w:t xml:space="preserve">          </w:t>
      </w:r>
      <w:r>
        <w:rPr>
          <w:color w:val="auto"/>
          <w:sz w:val="24"/>
          <w:szCs w:val="24"/>
          <w:highlight w:val="none"/>
        </w:rPr>
        <w:t>（以下简称“乙方”）就</w:t>
      </w:r>
      <w:r>
        <w:rPr>
          <w:rFonts w:hint="eastAsia"/>
          <w:color w:val="auto"/>
          <w:sz w:val="24"/>
          <w:szCs w:val="24"/>
          <w:highlight w:val="none"/>
          <w:u w:val="single"/>
        </w:rPr>
        <w:t>广州净水公司2024年紫外线消毒设备购置</w:t>
      </w:r>
      <w:r>
        <w:rPr>
          <w:color w:val="auto"/>
          <w:sz w:val="24"/>
          <w:szCs w:val="24"/>
          <w:highlight w:val="none"/>
        </w:rPr>
        <w:t>和相应技术服务事宜，遵循平等、自愿、公平和诚实信用的原则，双方协商一致，订立本合同。</w:t>
      </w:r>
    </w:p>
    <w:p>
      <w:pPr>
        <w:ind w:firstLine="540"/>
        <w:rPr>
          <w:b/>
          <w:bCs/>
          <w:color w:val="auto"/>
          <w:sz w:val="24"/>
          <w:szCs w:val="24"/>
          <w:highlight w:val="none"/>
        </w:rPr>
      </w:pPr>
      <w:r>
        <w:rPr>
          <w:b/>
          <w:bCs/>
          <w:color w:val="auto"/>
          <w:sz w:val="24"/>
          <w:szCs w:val="24"/>
          <w:highlight w:val="none"/>
        </w:rPr>
        <w:t>第一条 组成合同的文件及优先顺序</w:t>
      </w:r>
    </w:p>
    <w:p>
      <w:pPr>
        <w:ind w:firstLine="480" w:firstLineChars="200"/>
        <w:rPr>
          <w:color w:val="auto"/>
          <w:sz w:val="24"/>
          <w:szCs w:val="24"/>
          <w:highlight w:val="none"/>
        </w:rPr>
      </w:pPr>
      <w:r>
        <w:rPr>
          <w:bCs/>
          <w:color w:val="auto"/>
          <w:sz w:val="24"/>
          <w:szCs w:val="24"/>
          <w:highlight w:val="none"/>
        </w:rPr>
        <w:t>下列文件（如有）均为本合同的组成部分，可视为能相互说明和补充的，如果合同文件存在歧义或相矛盾的地方，则根据以下次序判断：</w:t>
      </w:r>
    </w:p>
    <w:p>
      <w:pPr>
        <w:ind w:firstLine="482"/>
        <w:rPr>
          <w:bCs/>
          <w:color w:val="auto"/>
          <w:sz w:val="24"/>
          <w:szCs w:val="24"/>
          <w:highlight w:val="none"/>
        </w:rPr>
      </w:pPr>
      <w:r>
        <w:rPr>
          <w:rFonts w:hint="eastAsia" w:ascii="宋体" w:hAnsi="宋体" w:cs="宋体"/>
          <w:bCs/>
          <w:color w:val="auto"/>
          <w:sz w:val="24"/>
          <w:szCs w:val="24"/>
          <w:highlight w:val="none"/>
        </w:rPr>
        <w:t>⑴</w:t>
      </w:r>
      <w:r>
        <w:rPr>
          <w:bCs/>
          <w:color w:val="auto"/>
          <w:sz w:val="24"/>
          <w:szCs w:val="24"/>
          <w:highlight w:val="none"/>
        </w:rPr>
        <w:t xml:space="preserve"> </w:t>
      </w:r>
      <w:r>
        <w:rPr>
          <w:color w:val="auto"/>
          <w:sz w:val="24"/>
          <w:szCs w:val="24"/>
          <w:highlight w:val="none"/>
        </w:rPr>
        <w:t>在本合同实施过程双方签署的补充与修正文件</w:t>
      </w:r>
      <w:r>
        <w:rPr>
          <w:bCs/>
          <w:color w:val="auto"/>
          <w:sz w:val="24"/>
          <w:szCs w:val="24"/>
          <w:highlight w:val="none"/>
        </w:rPr>
        <w:t>；</w:t>
      </w:r>
    </w:p>
    <w:p>
      <w:pPr>
        <w:ind w:firstLine="482"/>
        <w:rPr>
          <w:bCs/>
          <w:color w:val="auto"/>
          <w:sz w:val="24"/>
          <w:szCs w:val="24"/>
          <w:highlight w:val="none"/>
        </w:rPr>
      </w:pPr>
      <w:r>
        <w:rPr>
          <w:rFonts w:hint="eastAsia" w:ascii="宋体" w:hAnsi="宋体" w:cs="宋体"/>
          <w:bCs/>
          <w:color w:val="auto"/>
          <w:sz w:val="24"/>
          <w:szCs w:val="24"/>
          <w:highlight w:val="none"/>
        </w:rPr>
        <w:t>⑵</w:t>
      </w:r>
      <w:r>
        <w:rPr>
          <w:bCs/>
          <w:color w:val="auto"/>
          <w:sz w:val="24"/>
          <w:szCs w:val="24"/>
          <w:highlight w:val="none"/>
        </w:rPr>
        <w:t xml:space="preserve"> 本合同书及附件；</w:t>
      </w:r>
    </w:p>
    <w:p>
      <w:pPr>
        <w:ind w:firstLine="482"/>
        <w:rPr>
          <w:bCs/>
          <w:color w:val="auto"/>
          <w:sz w:val="24"/>
          <w:szCs w:val="24"/>
          <w:highlight w:val="none"/>
        </w:rPr>
      </w:pPr>
      <w:r>
        <w:rPr>
          <w:rFonts w:hint="eastAsia" w:ascii="宋体" w:hAnsi="宋体" w:cs="宋体"/>
          <w:bCs/>
          <w:color w:val="auto"/>
          <w:sz w:val="24"/>
          <w:szCs w:val="24"/>
          <w:highlight w:val="none"/>
        </w:rPr>
        <w:t>⑶</w:t>
      </w:r>
      <w:r>
        <w:rPr>
          <w:bCs/>
          <w:color w:val="auto"/>
          <w:sz w:val="24"/>
          <w:szCs w:val="24"/>
          <w:highlight w:val="none"/>
        </w:rPr>
        <w:t xml:space="preserve"> 中标通知书/发包通知书/成交通知书；</w:t>
      </w:r>
    </w:p>
    <w:p>
      <w:pPr>
        <w:ind w:firstLine="482"/>
        <w:rPr>
          <w:bCs/>
          <w:color w:val="auto"/>
          <w:sz w:val="24"/>
          <w:szCs w:val="24"/>
          <w:highlight w:val="none"/>
        </w:rPr>
      </w:pPr>
      <w:r>
        <w:rPr>
          <w:rFonts w:hint="eastAsia" w:ascii="宋体" w:hAnsi="宋体" w:cs="宋体"/>
          <w:bCs/>
          <w:color w:val="auto"/>
          <w:sz w:val="24"/>
          <w:szCs w:val="24"/>
          <w:highlight w:val="none"/>
        </w:rPr>
        <w:t>⑷</w:t>
      </w:r>
      <w:r>
        <w:rPr>
          <w:bCs/>
          <w:color w:val="auto"/>
          <w:sz w:val="24"/>
          <w:szCs w:val="24"/>
          <w:highlight w:val="none"/>
        </w:rPr>
        <w:t xml:space="preserve"> 招标文件/询价文件；</w:t>
      </w:r>
    </w:p>
    <w:p>
      <w:pPr>
        <w:ind w:firstLine="482"/>
        <w:rPr>
          <w:bCs/>
          <w:color w:val="auto"/>
          <w:sz w:val="24"/>
          <w:szCs w:val="24"/>
          <w:highlight w:val="none"/>
        </w:rPr>
      </w:pPr>
      <w:r>
        <w:rPr>
          <w:rFonts w:hint="eastAsia" w:ascii="宋体" w:hAnsi="宋体" w:cs="宋体"/>
          <w:bCs/>
          <w:color w:val="auto"/>
          <w:sz w:val="24"/>
          <w:szCs w:val="24"/>
          <w:highlight w:val="none"/>
        </w:rPr>
        <w:t>⑸</w:t>
      </w:r>
      <w:r>
        <w:rPr>
          <w:bCs/>
          <w:color w:val="auto"/>
          <w:sz w:val="24"/>
          <w:szCs w:val="24"/>
          <w:highlight w:val="none"/>
        </w:rPr>
        <w:t xml:space="preserve"> 投标文件/响应文件；</w:t>
      </w:r>
    </w:p>
    <w:p>
      <w:pPr>
        <w:ind w:firstLine="482"/>
        <w:rPr>
          <w:bCs/>
          <w:color w:val="auto"/>
          <w:sz w:val="24"/>
          <w:szCs w:val="24"/>
          <w:highlight w:val="none"/>
        </w:rPr>
      </w:pPr>
      <w:r>
        <w:rPr>
          <w:rFonts w:hint="eastAsia" w:ascii="宋体" w:hAnsi="宋体" w:cs="宋体"/>
          <w:bCs/>
          <w:color w:val="auto"/>
          <w:sz w:val="24"/>
          <w:szCs w:val="24"/>
          <w:highlight w:val="none"/>
        </w:rPr>
        <w:t>⑹</w:t>
      </w:r>
      <w:r>
        <w:rPr>
          <w:bCs/>
          <w:color w:val="auto"/>
          <w:sz w:val="24"/>
          <w:szCs w:val="24"/>
          <w:highlight w:val="none"/>
        </w:rPr>
        <w:t xml:space="preserve"> 标准、规范及有关技术性文件；</w:t>
      </w:r>
    </w:p>
    <w:p>
      <w:pPr>
        <w:ind w:firstLine="482"/>
        <w:rPr>
          <w:bCs/>
          <w:color w:val="auto"/>
          <w:sz w:val="24"/>
          <w:szCs w:val="24"/>
          <w:highlight w:val="none"/>
        </w:rPr>
      </w:pPr>
      <w:r>
        <w:rPr>
          <w:rFonts w:hint="eastAsia" w:ascii="宋体" w:hAnsi="宋体" w:cs="宋体"/>
          <w:bCs/>
          <w:color w:val="auto"/>
          <w:sz w:val="24"/>
          <w:szCs w:val="24"/>
          <w:highlight w:val="none"/>
        </w:rPr>
        <w:t>⑺</w:t>
      </w:r>
      <w:r>
        <w:rPr>
          <w:bCs/>
          <w:color w:val="auto"/>
          <w:sz w:val="24"/>
          <w:szCs w:val="24"/>
          <w:highlight w:val="none"/>
        </w:rPr>
        <w:t xml:space="preserve"> 图纸；</w:t>
      </w:r>
    </w:p>
    <w:p>
      <w:pPr>
        <w:ind w:firstLine="482"/>
        <w:rPr>
          <w:bCs/>
          <w:color w:val="auto"/>
          <w:sz w:val="24"/>
          <w:szCs w:val="24"/>
          <w:highlight w:val="none"/>
        </w:rPr>
      </w:pPr>
      <w:r>
        <w:rPr>
          <w:rFonts w:hint="eastAsia" w:ascii="宋体" w:hAnsi="宋体" w:cs="宋体"/>
          <w:bCs/>
          <w:color w:val="auto"/>
          <w:sz w:val="24"/>
          <w:szCs w:val="24"/>
          <w:highlight w:val="none"/>
        </w:rPr>
        <w:t>⑻</w:t>
      </w:r>
      <w:r>
        <w:rPr>
          <w:bCs/>
          <w:color w:val="auto"/>
          <w:sz w:val="24"/>
          <w:szCs w:val="24"/>
          <w:highlight w:val="none"/>
        </w:rPr>
        <w:t xml:space="preserve"> 工程量清单/</w:t>
      </w:r>
      <w:r>
        <w:rPr>
          <w:color w:val="auto"/>
          <w:sz w:val="24"/>
          <w:szCs w:val="24"/>
          <w:highlight w:val="none"/>
        </w:rPr>
        <w:t>工程报价单或预算书；</w:t>
      </w:r>
    </w:p>
    <w:p>
      <w:pPr>
        <w:rPr>
          <w:bCs/>
          <w:color w:val="auto"/>
          <w:sz w:val="24"/>
          <w:szCs w:val="24"/>
          <w:highlight w:val="none"/>
        </w:rPr>
      </w:pPr>
      <w:r>
        <w:rPr>
          <w:color w:val="auto"/>
          <w:sz w:val="24"/>
          <w:szCs w:val="24"/>
          <w:highlight w:val="none"/>
        </w:rPr>
        <w:t xml:space="preserve">   </w:t>
      </w:r>
      <w:r>
        <w:rPr>
          <w:b/>
          <w:bCs/>
          <w:color w:val="auto"/>
          <w:sz w:val="24"/>
          <w:szCs w:val="24"/>
          <w:highlight w:val="none"/>
        </w:rPr>
        <w:t xml:space="preserve"> 第二条 </w:t>
      </w:r>
      <w:r>
        <w:rPr>
          <w:b/>
          <w:color w:val="auto"/>
          <w:sz w:val="24"/>
          <w:szCs w:val="24"/>
          <w:highlight w:val="none"/>
        </w:rPr>
        <w:t>合同标的</w:t>
      </w:r>
    </w:p>
    <w:p>
      <w:pPr>
        <w:autoSpaceDE w:val="0"/>
        <w:autoSpaceDN w:val="0"/>
        <w:adjustRightInd w:val="0"/>
        <w:ind w:firstLine="480" w:firstLineChars="200"/>
        <w:rPr>
          <w:color w:val="auto"/>
          <w:sz w:val="24"/>
          <w:szCs w:val="24"/>
          <w:highlight w:val="none"/>
        </w:rPr>
      </w:pPr>
      <w:r>
        <w:rPr>
          <w:color w:val="auto"/>
          <w:sz w:val="24"/>
          <w:szCs w:val="24"/>
          <w:highlight w:val="none"/>
          <w:lang w:val="zh-CN"/>
        </w:rPr>
        <w:t>本合同所指</w:t>
      </w:r>
      <w:r>
        <w:rPr>
          <w:color w:val="auto"/>
          <w:sz w:val="24"/>
          <w:szCs w:val="24"/>
          <w:highlight w:val="none"/>
        </w:rPr>
        <w:t>货物</w:t>
      </w:r>
      <w:r>
        <w:rPr>
          <w:color w:val="auto"/>
          <w:sz w:val="24"/>
          <w:szCs w:val="24"/>
          <w:highlight w:val="none"/>
          <w:lang w:val="zh-CN"/>
        </w:rPr>
        <w:t>为</w:t>
      </w:r>
      <w:r>
        <w:rPr>
          <w:color w:val="auto"/>
          <w:sz w:val="24"/>
          <w:szCs w:val="24"/>
          <w:highlight w:val="none"/>
          <w:u w:val="single"/>
        </w:rPr>
        <w:t xml:space="preserve"> </w:t>
      </w:r>
      <w:r>
        <w:rPr>
          <w:color w:val="auto"/>
          <w:sz w:val="24"/>
          <w:szCs w:val="24"/>
          <w:highlight w:val="none"/>
          <w:u w:val="single"/>
          <w:lang w:val="zh-CN"/>
        </w:rPr>
        <w:t>备件</w:t>
      </w:r>
      <w:r>
        <w:rPr>
          <w:rFonts w:hint="eastAsia"/>
          <w:color w:val="auto"/>
          <w:sz w:val="24"/>
          <w:szCs w:val="24"/>
          <w:highlight w:val="none"/>
          <w:u w:val="single"/>
          <w:lang w:val="zh-CN"/>
        </w:rPr>
        <w:t xml:space="preserve"> </w:t>
      </w:r>
      <w:r>
        <w:rPr>
          <w:color w:val="auto"/>
          <w:sz w:val="24"/>
          <w:szCs w:val="24"/>
          <w:highlight w:val="none"/>
          <w:lang w:val="zh-CN"/>
        </w:rPr>
        <w:t>全新的原装产品，</w:t>
      </w:r>
      <w:r>
        <w:rPr>
          <w:color w:val="auto"/>
          <w:sz w:val="24"/>
          <w:szCs w:val="24"/>
          <w:highlight w:val="none"/>
        </w:rPr>
        <w:t>其</w:t>
      </w:r>
      <w:r>
        <w:rPr>
          <w:color w:val="auto"/>
          <w:sz w:val="24"/>
          <w:szCs w:val="24"/>
          <w:highlight w:val="none"/>
          <w:lang w:val="zh-CN"/>
        </w:rPr>
        <w:t>名称、型号、规格、数量、</w:t>
      </w:r>
      <w:r>
        <w:rPr>
          <w:color w:val="auto"/>
          <w:sz w:val="24"/>
          <w:szCs w:val="24"/>
          <w:highlight w:val="none"/>
        </w:rPr>
        <w:t>品牌</w:t>
      </w:r>
      <w:r>
        <w:rPr>
          <w:color w:val="auto"/>
          <w:sz w:val="24"/>
          <w:szCs w:val="24"/>
          <w:highlight w:val="none"/>
          <w:lang w:val="zh-CN"/>
        </w:rPr>
        <w:t>详见</w:t>
      </w:r>
      <w:r>
        <w:rPr>
          <w:color w:val="auto"/>
          <w:sz w:val="24"/>
          <w:szCs w:val="24"/>
          <w:highlight w:val="none"/>
        </w:rPr>
        <w:t>附件报价清单。</w:t>
      </w:r>
    </w:p>
    <w:p>
      <w:pPr>
        <w:spacing w:after="156" w:afterLines="50"/>
        <w:ind w:firstLine="482" w:firstLineChars="200"/>
        <w:rPr>
          <w:color w:val="auto"/>
          <w:sz w:val="24"/>
          <w:szCs w:val="24"/>
          <w:highlight w:val="none"/>
        </w:rPr>
      </w:pPr>
      <w:r>
        <w:rPr>
          <w:b/>
          <w:color w:val="auto"/>
          <w:sz w:val="24"/>
          <w:szCs w:val="24"/>
          <w:highlight w:val="none"/>
        </w:rPr>
        <w:t>第三条 交货日期及地点</w:t>
      </w:r>
    </w:p>
    <w:p>
      <w:pPr>
        <w:spacing w:after="156" w:afterLines="50"/>
        <w:ind w:firstLine="480" w:firstLineChars="200"/>
        <w:rPr>
          <w:color w:val="auto"/>
          <w:sz w:val="24"/>
          <w:szCs w:val="24"/>
          <w:highlight w:val="none"/>
        </w:rPr>
      </w:pPr>
      <w:r>
        <w:rPr>
          <w:color w:val="auto"/>
          <w:sz w:val="24"/>
          <w:szCs w:val="24"/>
          <w:highlight w:val="none"/>
        </w:rPr>
        <w:t>3.1 交货日期 ：合同签订后</w:t>
      </w:r>
      <w:r>
        <w:rPr>
          <w:rFonts w:hint="eastAsia"/>
          <w:color w:val="auto"/>
          <w:sz w:val="24"/>
          <w:szCs w:val="24"/>
          <w:highlight w:val="none"/>
          <w:u w:val="single"/>
          <w:lang w:val="en-US" w:eastAsia="zh-CN"/>
        </w:rPr>
        <w:t>30</w:t>
      </w:r>
      <w:r>
        <w:rPr>
          <w:color w:val="auto"/>
          <w:sz w:val="24"/>
          <w:szCs w:val="24"/>
          <w:highlight w:val="none"/>
          <w:u w:val="single"/>
        </w:rPr>
        <w:t xml:space="preserve"> </w:t>
      </w:r>
      <w:r>
        <w:rPr>
          <w:color w:val="auto"/>
          <w:sz w:val="24"/>
          <w:szCs w:val="24"/>
          <w:highlight w:val="none"/>
        </w:rPr>
        <w:t>日内，即</w:t>
      </w:r>
      <w:r>
        <w:rPr>
          <w:color w:val="auto"/>
          <w:sz w:val="24"/>
          <w:szCs w:val="24"/>
          <w:highlight w:val="none"/>
          <w:u w:val="single"/>
        </w:rPr>
        <w:t xml:space="preserve"> 2024 </w:t>
      </w:r>
      <w:r>
        <w:rPr>
          <w:color w:val="auto"/>
          <w:sz w:val="24"/>
          <w:szCs w:val="24"/>
          <w:highlight w:val="none"/>
        </w:rPr>
        <w:t>年</w:t>
      </w:r>
      <w:r>
        <w:rPr>
          <w:color w:val="auto"/>
          <w:sz w:val="24"/>
          <w:szCs w:val="24"/>
          <w:highlight w:val="none"/>
          <w:u w:val="single"/>
        </w:rPr>
        <w:t xml:space="preserve"> </w:t>
      </w:r>
      <w:r>
        <w:rPr>
          <w:rFonts w:hint="eastAsia"/>
          <w:color w:val="auto"/>
          <w:sz w:val="24"/>
          <w:szCs w:val="24"/>
          <w:highlight w:val="none"/>
          <w:u w:val="single"/>
        </w:rPr>
        <w:t xml:space="preserve">  </w:t>
      </w:r>
      <w:r>
        <w:rPr>
          <w:color w:val="auto"/>
          <w:sz w:val="24"/>
          <w:szCs w:val="24"/>
          <w:highlight w:val="none"/>
          <w:u w:val="single"/>
        </w:rPr>
        <w:t xml:space="preserve"> </w:t>
      </w:r>
      <w:r>
        <w:rPr>
          <w:color w:val="auto"/>
          <w:sz w:val="24"/>
          <w:szCs w:val="24"/>
          <w:highlight w:val="none"/>
        </w:rPr>
        <w:t>月</w:t>
      </w:r>
      <w:r>
        <w:rPr>
          <w:color w:val="auto"/>
          <w:sz w:val="24"/>
          <w:szCs w:val="24"/>
          <w:highlight w:val="none"/>
          <w:u w:val="single"/>
        </w:rPr>
        <w:t xml:space="preserve"> </w:t>
      </w:r>
      <w:r>
        <w:rPr>
          <w:rFonts w:hint="eastAsia"/>
          <w:color w:val="auto"/>
          <w:sz w:val="24"/>
          <w:szCs w:val="24"/>
          <w:highlight w:val="none"/>
          <w:u w:val="single"/>
        </w:rPr>
        <w:t xml:space="preserve">  </w:t>
      </w:r>
      <w:r>
        <w:rPr>
          <w:color w:val="auto"/>
          <w:sz w:val="24"/>
          <w:szCs w:val="24"/>
          <w:highlight w:val="none"/>
          <w:u w:val="single"/>
        </w:rPr>
        <w:t xml:space="preserve"> </w:t>
      </w:r>
      <w:r>
        <w:rPr>
          <w:color w:val="auto"/>
          <w:sz w:val="24"/>
          <w:szCs w:val="24"/>
          <w:highlight w:val="none"/>
        </w:rPr>
        <w:t>日前完成供货（如需有不同交货时间注明）,具体交货时间以甲方书面通知为准。</w:t>
      </w:r>
    </w:p>
    <w:p>
      <w:pPr>
        <w:ind w:firstLine="480" w:firstLineChars="200"/>
        <w:rPr>
          <w:bCs/>
          <w:color w:val="auto"/>
          <w:sz w:val="24"/>
          <w:szCs w:val="24"/>
          <w:highlight w:val="none"/>
        </w:rPr>
      </w:pPr>
      <w:r>
        <w:rPr>
          <w:bCs/>
          <w:color w:val="auto"/>
          <w:sz w:val="24"/>
          <w:szCs w:val="24"/>
          <w:highlight w:val="none"/>
        </w:rPr>
        <w:t>3.2交货地点：</w:t>
      </w:r>
      <w:r>
        <w:rPr>
          <w:bCs/>
          <w:color w:val="auto"/>
          <w:sz w:val="24"/>
          <w:szCs w:val="24"/>
          <w:highlight w:val="none"/>
          <w:u w:val="single"/>
        </w:rPr>
        <w:t>广州市净水有限公司</w:t>
      </w:r>
      <w:r>
        <w:rPr>
          <w:rFonts w:hint="eastAsia"/>
          <w:bCs/>
          <w:color w:val="auto"/>
          <w:sz w:val="24"/>
          <w:szCs w:val="24"/>
          <w:highlight w:val="none"/>
          <w:u w:val="single"/>
          <w:lang w:val="en-US" w:eastAsia="zh-CN"/>
        </w:rPr>
        <w:t>石井净</w:t>
      </w:r>
      <w:r>
        <w:rPr>
          <w:bCs/>
          <w:color w:val="auto"/>
          <w:sz w:val="24"/>
          <w:szCs w:val="24"/>
          <w:highlight w:val="none"/>
          <w:u w:val="single"/>
        </w:rPr>
        <w:t>分公司</w:t>
      </w:r>
      <w:r>
        <w:rPr>
          <w:rFonts w:hint="eastAsia"/>
          <w:bCs/>
          <w:color w:val="auto"/>
          <w:sz w:val="24"/>
          <w:szCs w:val="24"/>
          <w:highlight w:val="none"/>
          <w:u w:val="single"/>
          <w:lang w:eastAsia="zh-CN"/>
        </w:rPr>
        <w:t>、</w:t>
      </w:r>
      <w:r>
        <w:rPr>
          <w:rFonts w:hint="eastAsia"/>
          <w:bCs/>
          <w:color w:val="auto"/>
          <w:sz w:val="24"/>
          <w:szCs w:val="24"/>
          <w:highlight w:val="none"/>
          <w:u w:val="single"/>
          <w:lang w:val="en-US" w:eastAsia="zh-CN"/>
        </w:rPr>
        <w:t>龙归分公司、竹料分公司</w:t>
      </w:r>
      <w:r>
        <w:rPr>
          <w:bCs/>
          <w:color w:val="auto"/>
          <w:sz w:val="24"/>
          <w:szCs w:val="24"/>
          <w:highlight w:val="none"/>
        </w:rPr>
        <w:t>，最终具体交货地点以甲方通知为准。</w:t>
      </w:r>
    </w:p>
    <w:p>
      <w:pPr>
        <w:spacing w:after="156" w:afterLines="50"/>
        <w:ind w:firstLine="480" w:firstLineChars="200"/>
        <w:rPr>
          <w:b/>
          <w:color w:val="auto"/>
          <w:sz w:val="24"/>
          <w:szCs w:val="24"/>
          <w:highlight w:val="none"/>
        </w:rPr>
      </w:pPr>
      <w:r>
        <w:rPr>
          <w:bCs/>
          <w:color w:val="auto"/>
          <w:sz w:val="24"/>
          <w:szCs w:val="24"/>
          <w:highlight w:val="none"/>
        </w:rPr>
        <w:t>3.3 其他：</w:t>
      </w:r>
      <w:r>
        <w:rPr>
          <w:rFonts w:hint="eastAsia"/>
          <w:bCs/>
          <w:color w:val="auto"/>
          <w:sz w:val="24"/>
          <w:szCs w:val="24"/>
          <w:highlight w:val="none"/>
          <w:u w:val="single"/>
          <w:lang w:val="en-US" w:eastAsia="zh-CN"/>
        </w:rPr>
        <w:t xml:space="preserve">  /   </w:t>
      </w:r>
      <w:r>
        <w:rPr>
          <w:rFonts w:hint="eastAsia"/>
          <w:bCs/>
          <w:color w:val="auto"/>
          <w:sz w:val="24"/>
          <w:szCs w:val="24"/>
          <w:highlight w:val="none"/>
          <w:u w:val="single"/>
        </w:rPr>
        <w:t>。</w:t>
      </w:r>
    </w:p>
    <w:p>
      <w:pPr>
        <w:ind w:firstLine="482" w:firstLineChars="200"/>
        <w:rPr>
          <w:color w:val="auto"/>
          <w:sz w:val="24"/>
          <w:szCs w:val="24"/>
          <w:highlight w:val="none"/>
          <w:lang w:val="zh-CN"/>
        </w:rPr>
      </w:pPr>
      <w:r>
        <w:rPr>
          <w:b/>
          <w:color w:val="auto"/>
          <w:sz w:val="24"/>
          <w:szCs w:val="24"/>
          <w:highlight w:val="none"/>
        </w:rPr>
        <w:t>第四条 合同价格</w:t>
      </w:r>
    </w:p>
    <w:p>
      <w:pPr>
        <w:autoSpaceDE w:val="0"/>
        <w:autoSpaceDN w:val="0"/>
        <w:adjustRightInd w:val="0"/>
        <w:ind w:firstLine="480" w:firstLineChars="200"/>
        <w:rPr>
          <w:color w:val="auto"/>
          <w:sz w:val="24"/>
          <w:szCs w:val="24"/>
          <w:highlight w:val="none"/>
          <w:lang w:val="zh-CN"/>
        </w:rPr>
      </w:pPr>
      <w:r>
        <w:rPr>
          <w:color w:val="auto"/>
          <w:sz w:val="24"/>
          <w:szCs w:val="24"/>
          <w:highlight w:val="none"/>
        </w:rPr>
        <w:t xml:space="preserve">4.1 </w:t>
      </w:r>
      <w:r>
        <w:rPr>
          <w:color w:val="auto"/>
          <w:sz w:val="24"/>
          <w:szCs w:val="24"/>
          <w:highlight w:val="none"/>
          <w:lang w:val="zh-CN"/>
        </w:rPr>
        <w:t>本合同</w:t>
      </w:r>
      <w:r>
        <w:rPr>
          <w:color w:val="auto"/>
          <w:sz w:val="24"/>
          <w:szCs w:val="24"/>
          <w:highlight w:val="none"/>
        </w:rPr>
        <w:t>暂定</w:t>
      </w:r>
      <w:r>
        <w:rPr>
          <w:color w:val="auto"/>
          <w:sz w:val="24"/>
          <w:szCs w:val="24"/>
          <w:highlight w:val="none"/>
          <w:lang w:val="zh-CN"/>
        </w:rPr>
        <w:t>总价为</w:t>
      </w:r>
      <w:r>
        <w:rPr>
          <w:rFonts w:hint="eastAsia"/>
          <w:color w:val="auto"/>
          <w:sz w:val="24"/>
          <w:szCs w:val="24"/>
          <w:highlight w:val="none"/>
          <w:u w:val="single"/>
          <w:lang w:val="en-US" w:eastAsia="zh-CN"/>
        </w:rPr>
        <w:t xml:space="preserve">     </w:t>
      </w:r>
      <w:r>
        <w:rPr>
          <w:color w:val="auto"/>
          <w:sz w:val="24"/>
          <w:szCs w:val="24"/>
          <w:highlight w:val="none"/>
          <w:lang w:val="zh-CN"/>
        </w:rPr>
        <w:t>万元，（人民币）大写：</w:t>
      </w:r>
      <w:r>
        <w:rPr>
          <w:rFonts w:hint="eastAsia"/>
          <w:color w:val="auto"/>
          <w:sz w:val="24"/>
          <w:szCs w:val="24"/>
          <w:highlight w:val="none"/>
          <w:u w:val="single"/>
          <w:lang w:val="en-US" w:eastAsia="zh-CN"/>
        </w:rPr>
        <w:t xml:space="preserve">      </w:t>
      </w:r>
      <w:r>
        <w:rPr>
          <w:color w:val="auto"/>
          <w:sz w:val="24"/>
          <w:szCs w:val="24"/>
          <w:highlight w:val="none"/>
          <w:u w:val="single"/>
        </w:rPr>
        <w:t xml:space="preserve"> </w:t>
      </w:r>
      <w:r>
        <w:rPr>
          <w:color w:val="auto"/>
          <w:sz w:val="24"/>
          <w:szCs w:val="24"/>
          <w:highlight w:val="none"/>
          <w:lang w:val="zh-CN"/>
        </w:rPr>
        <w:t xml:space="preserve">。 </w:t>
      </w:r>
    </w:p>
    <w:p>
      <w:pPr>
        <w:autoSpaceDE w:val="0"/>
        <w:autoSpaceDN w:val="0"/>
        <w:adjustRightInd w:val="0"/>
        <w:ind w:firstLine="480" w:firstLineChars="200"/>
        <w:rPr>
          <w:color w:val="auto"/>
          <w:sz w:val="24"/>
          <w:szCs w:val="24"/>
          <w:highlight w:val="none"/>
          <w:lang w:val="zh-CN"/>
        </w:rPr>
      </w:pPr>
      <w:r>
        <w:rPr>
          <w:color w:val="auto"/>
          <w:sz w:val="24"/>
          <w:szCs w:val="24"/>
          <w:highlight w:val="none"/>
        </w:rPr>
        <w:t>4</w:t>
      </w:r>
      <w:r>
        <w:rPr>
          <w:color w:val="auto"/>
          <w:sz w:val="24"/>
          <w:szCs w:val="24"/>
          <w:highlight w:val="none"/>
          <w:lang w:val="zh-CN"/>
        </w:rPr>
        <w:t>.2</w:t>
      </w:r>
      <w:r>
        <w:rPr>
          <w:color w:val="auto"/>
          <w:sz w:val="24"/>
          <w:szCs w:val="24"/>
          <w:highlight w:val="none"/>
        </w:rPr>
        <w:t xml:space="preserve"> </w:t>
      </w:r>
      <w:r>
        <w:rPr>
          <w:color w:val="auto"/>
          <w:sz w:val="24"/>
          <w:szCs w:val="24"/>
          <w:highlight w:val="none"/>
          <w:lang w:val="zh-CN"/>
        </w:rPr>
        <w:t>合同单价为综合单价，指货物运到甲方指定地点的交货价，该价格包括但不限于：货物的生产、产品检验（含出厂及到货验收）、运输（含转运）、包装、装卸（含卸车费用）、</w:t>
      </w:r>
      <w:r>
        <w:rPr>
          <w:color w:val="auto"/>
          <w:sz w:val="24"/>
          <w:szCs w:val="24"/>
          <w:highlight w:val="none"/>
          <w:u w:val="single"/>
          <w:lang w:val="zh-CN"/>
        </w:rPr>
        <w:t>安装调试运行</w:t>
      </w:r>
      <w:r>
        <w:rPr>
          <w:color w:val="auto"/>
          <w:sz w:val="24"/>
          <w:szCs w:val="24"/>
          <w:highlight w:val="none"/>
          <w:lang w:val="zh-CN"/>
        </w:rPr>
        <w:t>（具体按“采购需求”）、质量抽检、培训、相关税费、保险费、物货伴随服务（包括安装使用说明书、图纸的提供、质保期服务）等全部费用。</w:t>
      </w:r>
    </w:p>
    <w:p>
      <w:pPr>
        <w:autoSpaceDE w:val="0"/>
        <w:autoSpaceDN w:val="0"/>
        <w:adjustRightInd w:val="0"/>
        <w:ind w:firstLine="480" w:firstLineChars="200"/>
        <w:rPr>
          <w:color w:val="auto"/>
          <w:sz w:val="24"/>
          <w:szCs w:val="24"/>
          <w:highlight w:val="none"/>
        </w:rPr>
      </w:pPr>
      <w:r>
        <w:rPr>
          <w:color w:val="auto"/>
          <w:sz w:val="24"/>
          <w:szCs w:val="24"/>
          <w:highlight w:val="none"/>
        </w:rPr>
        <w:t>合同单价在合同有效期内为不变价。乙方已经充分考虑本合同履行期间的市场风险和国家政策性调整风险系数并已计入报价，因此合同单价在合同有效期内不因任何因素而作调整。</w:t>
      </w:r>
    </w:p>
    <w:p>
      <w:pPr>
        <w:tabs>
          <w:tab w:val="left" w:pos="851"/>
        </w:tabs>
        <w:adjustRightInd w:val="0"/>
        <w:ind w:firstLine="480" w:firstLineChars="200"/>
        <w:rPr>
          <w:color w:val="auto"/>
          <w:sz w:val="24"/>
          <w:szCs w:val="24"/>
          <w:highlight w:val="none"/>
        </w:rPr>
      </w:pPr>
      <w:r>
        <w:rPr>
          <w:color w:val="auto"/>
          <w:sz w:val="24"/>
          <w:szCs w:val="24"/>
          <w:highlight w:val="none"/>
        </w:rPr>
        <w:t>4</w:t>
      </w:r>
      <w:r>
        <w:rPr>
          <w:color w:val="auto"/>
          <w:sz w:val="24"/>
          <w:szCs w:val="24"/>
          <w:highlight w:val="none"/>
          <w:lang w:val="zh-CN"/>
        </w:rPr>
        <w:t>.3</w:t>
      </w:r>
      <w:r>
        <w:rPr>
          <w:color w:val="auto"/>
          <w:sz w:val="24"/>
          <w:szCs w:val="24"/>
          <w:highlight w:val="none"/>
        </w:rPr>
        <w:t xml:space="preserve"> 本合同约定的价格为含税价价格（税率</w:t>
      </w:r>
      <w:r>
        <w:rPr>
          <w:rFonts w:hint="eastAsia"/>
          <w:color w:val="auto"/>
          <w:sz w:val="24"/>
          <w:szCs w:val="24"/>
          <w:highlight w:val="none"/>
          <w:u w:val="single"/>
          <w:lang w:val="en-US" w:eastAsia="zh-CN"/>
        </w:rPr>
        <w:t xml:space="preserve">   </w:t>
      </w:r>
      <w:r>
        <w:rPr>
          <w:color w:val="auto"/>
          <w:sz w:val="24"/>
          <w:szCs w:val="24"/>
          <w:highlight w:val="none"/>
          <w:u w:val="single"/>
        </w:rPr>
        <w:t>%</w:t>
      </w:r>
      <w:r>
        <w:rPr>
          <w:color w:val="auto"/>
          <w:sz w:val="24"/>
          <w:szCs w:val="24"/>
          <w:highlight w:val="none"/>
        </w:rPr>
        <w:t>），合同履行期间国家税率调整或乙方开票的实际税率与前述税率不一致的，不含税价不变，价税合计按实际税率相应调整，以开具发票时间为准。</w:t>
      </w:r>
    </w:p>
    <w:p>
      <w:pPr>
        <w:autoSpaceDE w:val="0"/>
        <w:autoSpaceDN w:val="0"/>
        <w:adjustRightInd w:val="0"/>
        <w:ind w:firstLine="482" w:firstLineChars="200"/>
        <w:rPr>
          <w:b/>
          <w:color w:val="auto"/>
          <w:sz w:val="24"/>
          <w:szCs w:val="24"/>
          <w:highlight w:val="none"/>
        </w:rPr>
      </w:pPr>
      <w:r>
        <w:rPr>
          <w:b/>
          <w:color w:val="auto"/>
          <w:sz w:val="24"/>
          <w:szCs w:val="24"/>
          <w:highlight w:val="none"/>
        </w:rPr>
        <w:t>第五条 支付方式</w:t>
      </w:r>
    </w:p>
    <w:p>
      <w:pPr>
        <w:tabs>
          <w:tab w:val="left" w:pos="851"/>
        </w:tabs>
        <w:adjustRightInd w:val="0"/>
        <w:ind w:firstLine="480" w:firstLineChars="200"/>
        <w:rPr>
          <w:color w:val="auto"/>
          <w:sz w:val="24"/>
          <w:szCs w:val="24"/>
          <w:highlight w:val="none"/>
        </w:rPr>
      </w:pPr>
      <w:r>
        <w:rPr>
          <w:color w:val="auto"/>
          <w:sz w:val="24"/>
          <w:szCs w:val="24"/>
          <w:highlight w:val="none"/>
        </w:rPr>
        <w:t>5.1</w:t>
      </w:r>
      <w:r>
        <w:rPr>
          <w:bCs/>
          <w:color w:val="auto"/>
          <w:sz w:val="24"/>
          <w:szCs w:val="24"/>
          <w:highlight w:val="none"/>
        </w:rPr>
        <w:t>预付款的支付：</w:t>
      </w:r>
      <w:r>
        <w:rPr>
          <w:color w:val="auto"/>
          <w:sz w:val="24"/>
          <w:szCs w:val="24"/>
          <w:highlight w:val="none"/>
        </w:rPr>
        <w:t>□</w:t>
      </w:r>
      <w:r>
        <w:rPr>
          <w:bCs/>
          <w:color w:val="auto"/>
          <w:sz w:val="24"/>
          <w:szCs w:val="24"/>
          <w:highlight w:val="none"/>
        </w:rPr>
        <w:t xml:space="preserve">无；   </w:t>
      </w:r>
      <w:r>
        <w:rPr>
          <w:color w:val="auto"/>
          <w:sz w:val="24"/>
          <w:szCs w:val="24"/>
          <w:highlight w:val="none"/>
        </w:rPr>
        <w:t xml:space="preserve"> </w:t>
      </w:r>
      <w:r>
        <w:rPr>
          <w:rFonts w:hint="eastAsia" w:ascii="MS Gothic" w:hAnsi="MS Gothic" w:eastAsia="MS Gothic" w:cs="MS Gothic"/>
          <w:color w:val="auto"/>
          <w:sz w:val="24"/>
          <w:szCs w:val="24"/>
          <w:highlight w:val="none"/>
        </w:rPr>
        <w:t>☑</w:t>
      </w:r>
      <w:r>
        <w:rPr>
          <w:bCs/>
          <w:color w:val="auto"/>
          <w:sz w:val="24"/>
          <w:szCs w:val="24"/>
          <w:highlight w:val="none"/>
        </w:rPr>
        <w:t>有</w:t>
      </w:r>
      <w:r>
        <w:rPr>
          <w:color w:val="auto"/>
          <w:sz w:val="24"/>
          <w:szCs w:val="24"/>
          <w:highlight w:val="none"/>
        </w:rPr>
        <w:t>，</w:t>
      </w:r>
      <w:r>
        <w:rPr>
          <w:bCs/>
          <w:color w:val="auto"/>
          <w:sz w:val="24"/>
          <w:szCs w:val="24"/>
          <w:highlight w:val="none"/>
        </w:rPr>
        <w:t>合同签订后，乙方开具等额的增值税专用发票</w:t>
      </w:r>
      <w:r>
        <w:rPr>
          <w:bCs/>
          <w:color w:val="auto"/>
          <w:sz w:val="24"/>
          <w:szCs w:val="24"/>
          <w:highlight w:val="none"/>
          <w:u w:val="single"/>
        </w:rPr>
        <w:t>及提交履约担保和预付款保函</w:t>
      </w:r>
      <w:r>
        <w:rPr>
          <w:bCs/>
          <w:color w:val="auto"/>
          <w:sz w:val="24"/>
          <w:szCs w:val="24"/>
          <w:highlight w:val="none"/>
        </w:rPr>
        <w:t>后</w:t>
      </w:r>
      <w:r>
        <w:rPr>
          <w:bCs/>
          <w:color w:val="auto"/>
          <w:sz w:val="24"/>
          <w:szCs w:val="24"/>
          <w:highlight w:val="none"/>
          <w:u w:val="single"/>
        </w:rPr>
        <w:t>10</w:t>
      </w:r>
      <w:r>
        <w:rPr>
          <w:bCs/>
          <w:color w:val="auto"/>
          <w:sz w:val="24"/>
          <w:szCs w:val="24"/>
          <w:highlight w:val="none"/>
        </w:rPr>
        <w:t>个工作日内，</w:t>
      </w:r>
      <w:r>
        <w:rPr>
          <w:color w:val="auto"/>
          <w:sz w:val="24"/>
          <w:szCs w:val="24"/>
          <w:highlight w:val="none"/>
          <w:u w:val="single"/>
        </w:rPr>
        <w:t>甲方</w:t>
      </w:r>
      <w:r>
        <w:rPr>
          <w:bCs/>
          <w:color w:val="auto"/>
          <w:sz w:val="24"/>
          <w:szCs w:val="24"/>
          <w:highlight w:val="none"/>
        </w:rPr>
        <w:t xml:space="preserve">支付合同暂定总价的 </w:t>
      </w:r>
      <w:r>
        <w:rPr>
          <w:bCs/>
          <w:color w:val="auto"/>
          <w:sz w:val="24"/>
          <w:szCs w:val="24"/>
          <w:highlight w:val="none"/>
          <w:u w:val="single"/>
        </w:rPr>
        <w:t xml:space="preserve"> 30%   </w:t>
      </w:r>
      <w:r>
        <w:rPr>
          <w:color w:val="auto"/>
          <w:sz w:val="24"/>
          <w:szCs w:val="24"/>
          <w:highlight w:val="none"/>
        </w:rPr>
        <w:t>即</w:t>
      </w:r>
      <w:r>
        <w:rPr>
          <w:rFonts w:hint="eastAsia"/>
          <w:color w:val="auto"/>
          <w:sz w:val="24"/>
          <w:szCs w:val="24"/>
          <w:highlight w:val="none"/>
          <w:u w:val="single"/>
          <w:lang w:val="en-US" w:eastAsia="zh-CN"/>
        </w:rPr>
        <w:t xml:space="preserve">      </w:t>
      </w:r>
      <w:r>
        <w:rPr>
          <w:color w:val="auto"/>
          <w:sz w:val="24"/>
          <w:szCs w:val="24"/>
          <w:highlight w:val="none"/>
        </w:rPr>
        <w:t>元，（大写：）</w:t>
      </w:r>
      <w:r>
        <w:rPr>
          <w:bCs/>
          <w:color w:val="auto"/>
          <w:sz w:val="24"/>
          <w:szCs w:val="24"/>
          <w:highlight w:val="none"/>
        </w:rPr>
        <w:t>作为预付款。</w:t>
      </w:r>
      <w:r>
        <w:rPr>
          <w:color w:val="auto"/>
          <w:sz w:val="24"/>
          <w:szCs w:val="24"/>
          <w:highlight w:val="none"/>
        </w:rPr>
        <w:t>若合同解除或终止，乙方在</w:t>
      </w:r>
      <w:r>
        <w:rPr>
          <w:color w:val="auto"/>
          <w:sz w:val="24"/>
          <w:szCs w:val="24"/>
          <w:highlight w:val="none"/>
          <w:u w:val="single"/>
        </w:rPr>
        <w:t xml:space="preserve"> 5 </w:t>
      </w:r>
      <w:r>
        <w:rPr>
          <w:color w:val="auto"/>
          <w:sz w:val="24"/>
          <w:szCs w:val="24"/>
          <w:highlight w:val="none"/>
        </w:rPr>
        <w:t>个工作日内返还预付款（无息）。</w:t>
      </w:r>
      <w:r>
        <w:rPr>
          <w:bCs/>
          <w:color w:val="auto"/>
          <w:sz w:val="24"/>
          <w:szCs w:val="24"/>
          <w:highlight w:val="none"/>
        </w:rPr>
        <w:t>逾期未返还，每逾期一天，乙方应按合同暂定总价的</w:t>
      </w:r>
      <w:r>
        <w:rPr>
          <w:bCs/>
          <w:color w:val="auto"/>
          <w:sz w:val="24"/>
          <w:szCs w:val="24"/>
          <w:highlight w:val="none"/>
          <w:u w:val="single"/>
        </w:rPr>
        <w:t>万分之五/天</w:t>
      </w:r>
      <w:r>
        <w:rPr>
          <w:bCs/>
          <w:color w:val="auto"/>
          <w:sz w:val="24"/>
          <w:szCs w:val="24"/>
          <w:highlight w:val="none"/>
        </w:rPr>
        <w:t>支付违约金</w:t>
      </w:r>
      <w:r>
        <w:rPr>
          <w:color w:val="auto"/>
          <w:sz w:val="24"/>
          <w:szCs w:val="24"/>
          <w:highlight w:val="none"/>
        </w:rPr>
        <w:t>。</w:t>
      </w:r>
    </w:p>
    <w:p>
      <w:pPr>
        <w:tabs>
          <w:tab w:val="left" w:pos="851"/>
        </w:tabs>
        <w:adjustRightInd w:val="0"/>
        <w:ind w:left="479" w:leftChars="228"/>
        <w:rPr>
          <w:color w:val="auto"/>
          <w:sz w:val="24"/>
          <w:szCs w:val="24"/>
          <w:highlight w:val="none"/>
        </w:rPr>
      </w:pPr>
      <w:r>
        <w:rPr>
          <w:color w:val="auto"/>
          <w:sz w:val="24"/>
          <w:szCs w:val="24"/>
          <w:highlight w:val="none"/>
        </w:rPr>
        <w:t>5.2 支付方式</w:t>
      </w:r>
    </w:p>
    <w:p>
      <w:pPr>
        <w:ind w:firstLine="480" w:firstLineChars="200"/>
        <w:rPr>
          <w:color w:val="auto"/>
          <w:sz w:val="24"/>
          <w:szCs w:val="24"/>
          <w:highlight w:val="none"/>
        </w:rPr>
      </w:pPr>
      <w:r>
        <w:rPr>
          <w:rFonts w:hint="eastAsia"/>
          <w:color w:val="auto"/>
          <w:sz w:val="24"/>
          <w:szCs w:val="24"/>
          <w:highlight w:val="none"/>
          <w:lang w:val="en-US" w:eastAsia="zh-CN"/>
        </w:rPr>
        <w:t>5.2.1</w:t>
      </w:r>
      <w:r>
        <w:rPr>
          <w:color w:val="auto"/>
          <w:sz w:val="24"/>
          <w:szCs w:val="24"/>
          <w:highlight w:val="none"/>
        </w:rPr>
        <w:t>合同价款按以下支付：</w:t>
      </w:r>
    </w:p>
    <w:p>
      <w:pPr>
        <w:numPr>
          <w:ilvl w:val="0"/>
          <w:numId w:val="4"/>
        </w:numPr>
        <w:ind w:firstLine="480"/>
        <w:rPr>
          <w:bCs/>
          <w:color w:val="auto"/>
          <w:sz w:val="24"/>
          <w:szCs w:val="24"/>
          <w:highlight w:val="none"/>
        </w:rPr>
      </w:pPr>
      <w:r>
        <w:rPr>
          <w:rFonts w:hint="eastAsia"/>
          <w:bCs/>
          <w:color w:val="auto"/>
          <w:sz w:val="24"/>
          <w:szCs w:val="24"/>
          <w:highlight w:val="none"/>
          <w:lang w:val="en-US" w:eastAsia="zh-CN"/>
        </w:rPr>
        <w:t>自</w:t>
      </w:r>
      <w:r>
        <w:rPr>
          <w:bCs/>
          <w:color w:val="auto"/>
          <w:sz w:val="24"/>
          <w:szCs w:val="24"/>
          <w:highlight w:val="none"/>
        </w:rPr>
        <w:t>设备正常投入使用5天</w:t>
      </w:r>
      <w:r>
        <w:rPr>
          <w:rFonts w:hint="eastAsia"/>
          <w:bCs/>
          <w:color w:val="auto"/>
          <w:sz w:val="24"/>
          <w:szCs w:val="24"/>
          <w:highlight w:val="none"/>
          <w:lang w:val="en-US" w:eastAsia="zh-CN"/>
        </w:rPr>
        <w:t>起至</w:t>
      </w:r>
      <w:r>
        <w:rPr>
          <w:bCs/>
          <w:color w:val="auto"/>
          <w:sz w:val="24"/>
          <w:szCs w:val="24"/>
          <w:highlight w:val="none"/>
        </w:rPr>
        <w:t>设备正常投入使用2000小时，在此期间每天出水粪大肠菌群数达到≤10</w:t>
      </w:r>
      <w:r>
        <w:rPr>
          <w:rFonts w:hint="eastAsia"/>
          <w:bCs/>
          <w:color w:val="auto"/>
          <w:sz w:val="24"/>
          <w:szCs w:val="24"/>
          <w:highlight w:val="none"/>
          <w:lang w:val="en-US" w:eastAsia="zh-CN"/>
        </w:rPr>
        <w:t>0</w:t>
      </w:r>
      <w:r>
        <w:rPr>
          <w:bCs/>
          <w:color w:val="auto"/>
          <w:sz w:val="24"/>
          <w:szCs w:val="24"/>
          <w:highlight w:val="none"/>
        </w:rPr>
        <w:t>个/L的要求，</w:t>
      </w:r>
      <w:r>
        <w:rPr>
          <w:rFonts w:hint="eastAsia"/>
          <w:bCs/>
          <w:color w:val="auto"/>
          <w:sz w:val="24"/>
          <w:szCs w:val="24"/>
          <w:highlight w:val="none"/>
        </w:rPr>
        <w:t>并在</w:t>
      </w:r>
      <w:r>
        <w:rPr>
          <w:rFonts w:hint="eastAsia"/>
          <w:bCs/>
          <w:color w:val="auto"/>
          <w:sz w:val="24"/>
          <w:szCs w:val="24"/>
          <w:highlight w:val="none"/>
          <w:lang w:val="en-US" w:eastAsia="zh-CN"/>
        </w:rPr>
        <w:t>此</w:t>
      </w:r>
      <w:r>
        <w:rPr>
          <w:rFonts w:hint="eastAsia"/>
          <w:bCs/>
          <w:color w:val="auto"/>
          <w:sz w:val="24"/>
          <w:szCs w:val="24"/>
          <w:highlight w:val="none"/>
        </w:rPr>
        <w:t>2个时间节点各由乙方委托对在使用灯管以及出水水样交由第三方有资质单位进行抽检，</w:t>
      </w:r>
      <w:r>
        <w:rPr>
          <w:bCs/>
          <w:color w:val="auto"/>
          <w:sz w:val="24"/>
          <w:szCs w:val="24"/>
          <w:highlight w:val="none"/>
        </w:rPr>
        <w:t>检测结果符合：1. 出水水样粪大肠菌群数达到≤10</w:t>
      </w:r>
      <w:r>
        <w:rPr>
          <w:rFonts w:hint="eastAsia"/>
          <w:bCs/>
          <w:color w:val="auto"/>
          <w:sz w:val="24"/>
          <w:szCs w:val="24"/>
          <w:highlight w:val="none"/>
          <w:lang w:val="en-US" w:eastAsia="zh-CN"/>
        </w:rPr>
        <w:t>0</w:t>
      </w:r>
      <w:r>
        <w:rPr>
          <w:bCs/>
          <w:color w:val="auto"/>
          <w:sz w:val="24"/>
          <w:szCs w:val="24"/>
          <w:highlight w:val="none"/>
        </w:rPr>
        <w:t>个/L</w:t>
      </w:r>
      <w:r>
        <w:rPr>
          <w:rFonts w:hint="eastAsia"/>
          <w:bCs/>
          <w:color w:val="auto"/>
          <w:sz w:val="24"/>
          <w:szCs w:val="24"/>
          <w:highlight w:val="none"/>
          <w:lang w:eastAsia="zh-CN"/>
        </w:rPr>
        <w:t>；</w:t>
      </w:r>
      <w:r>
        <w:rPr>
          <w:bCs/>
          <w:color w:val="auto"/>
          <w:sz w:val="24"/>
          <w:szCs w:val="24"/>
          <w:highlight w:val="none"/>
        </w:rPr>
        <w:t>2.紫外灯管紫外线有效剂量不低于20mJ/cm</w:t>
      </w:r>
      <w:r>
        <w:rPr>
          <w:bCs/>
          <w:color w:val="auto"/>
          <w:sz w:val="24"/>
          <w:szCs w:val="24"/>
          <w:highlight w:val="none"/>
          <w:vertAlign w:val="superscript"/>
        </w:rPr>
        <w:t>2</w:t>
      </w:r>
      <w:r>
        <w:rPr>
          <w:bCs/>
          <w:color w:val="auto"/>
          <w:sz w:val="24"/>
          <w:szCs w:val="24"/>
          <w:highlight w:val="none"/>
        </w:rPr>
        <w:t>。由乙方提交申请支付资料 15 个工作日内，甲方支付至合同暂定总价的60％(含预付款)。</w:t>
      </w:r>
    </w:p>
    <w:p>
      <w:pPr>
        <w:numPr>
          <w:ilvl w:val="0"/>
          <w:numId w:val="4"/>
        </w:numPr>
        <w:ind w:firstLine="480"/>
        <w:rPr>
          <w:bCs/>
          <w:color w:val="auto"/>
          <w:sz w:val="24"/>
          <w:szCs w:val="24"/>
          <w:highlight w:val="none"/>
        </w:rPr>
      </w:pPr>
      <w:r>
        <w:rPr>
          <w:bCs/>
          <w:color w:val="auto"/>
          <w:sz w:val="24"/>
          <w:szCs w:val="24"/>
          <w:highlight w:val="none"/>
        </w:rPr>
        <w:t>设备正常投入使用5000小时后，在此期间每天出水粪大肠菌群数达到≤10</w:t>
      </w:r>
      <w:r>
        <w:rPr>
          <w:rFonts w:hint="eastAsia"/>
          <w:bCs/>
          <w:color w:val="auto"/>
          <w:sz w:val="24"/>
          <w:szCs w:val="24"/>
          <w:highlight w:val="none"/>
          <w:lang w:val="en-US" w:eastAsia="zh-CN"/>
        </w:rPr>
        <w:t>0</w:t>
      </w:r>
      <w:r>
        <w:rPr>
          <w:bCs/>
          <w:color w:val="auto"/>
          <w:sz w:val="24"/>
          <w:szCs w:val="24"/>
          <w:highlight w:val="none"/>
        </w:rPr>
        <w:t>个/L的要求，并在此时间节点由乙方委托对在使用灯管以及出水水样交由第三方有资质单位进行抽检，检测结果符合：1. 出水水样粪大肠菌群数达到≤10</w:t>
      </w:r>
      <w:r>
        <w:rPr>
          <w:rFonts w:hint="eastAsia"/>
          <w:bCs/>
          <w:color w:val="auto"/>
          <w:sz w:val="24"/>
          <w:szCs w:val="24"/>
          <w:highlight w:val="none"/>
          <w:lang w:val="en-US" w:eastAsia="zh-CN"/>
        </w:rPr>
        <w:t>0</w:t>
      </w:r>
      <w:r>
        <w:rPr>
          <w:bCs/>
          <w:color w:val="auto"/>
          <w:sz w:val="24"/>
          <w:szCs w:val="24"/>
          <w:highlight w:val="none"/>
        </w:rPr>
        <w:t>个/L</w:t>
      </w:r>
      <w:r>
        <w:rPr>
          <w:rFonts w:hint="eastAsia"/>
          <w:bCs/>
          <w:color w:val="auto"/>
          <w:sz w:val="24"/>
          <w:szCs w:val="24"/>
          <w:highlight w:val="none"/>
          <w:lang w:eastAsia="zh-CN"/>
        </w:rPr>
        <w:t>；</w:t>
      </w:r>
      <w:r>
        <w:rPr>
          <w:bCs/>
          <w:color w:val="auto"/>
          <w:sz w:val="24"/>
          <w:szCs w:val="24"/>
          <w:highlight w:val="none"/>
        </w:rPr>
        <w:t>2.紫外灯管紫外线有效剂量不低于20mJ/cm</w:t>
      </w:r>
      <w:r>
        <w:rPr>
          <w:bCs/>
          <w:color w:val="auto"/>
          <w:sz w:val="24"/>
          <w:szCs w:val="24"/>
          <w:highlight w:val="none"/>
          <w:vertAlign w:val="superscript"/>
        </w:rPr>
        <w:t>2</w:t>
      </w:r>
      <w:r>
        <w:rPr>
          <w:bCs/>
          <w:color w:val="auto"/>
          <w:sz w:val="24"/>
          <w:szCs w:val="24"/>
          <w:highlight w:val="none"/>
        </w:rPr>
        <w:t>。经甲方或甲方委托有资质第三方机构审核后，开具剩余金额的增值税专用发票，由乙方提交申请支付资料，15 个工作日内，甲方支付至合同结算价的95%（含预付款）（若审核价低于合同暂定总价，则以审核价作为合同结算价，否则以合同暂定总价为合同结算价），合同结算价的5%作为质保金留存。</w:t>
      </w:r>
    </w:p>
    <w:p>
      <w:pPr>
        <w:numPr>
          <w:ilvl w:val="0"/>
          <w:numId w:val="4"/>
        </w:numPr>
        <w:tabs>
          <w:tab w:val="left" w:pos="851"/>
        </w:tabs>
        <w:adjustRightInd w:val="0"/>
        <w:ind w:firstLine="480" w:firstLineChars="200"/>
        <w:rPr>
          <w:bCs/>
          <w:color w:val="auto"/>
          <w:sz w:val="24"/>
          <w:szCs w:val="24"/>
          <w:highlight w:val="none"/>
        </w:rPr>
      </w:pPr>
      <w:r>
        <w:rPr>
          <w:bCs/>
          <w:color w:val="auto"/>
          <w:sz w:val="24"/>
          <w:szCs w:val="24"/>
          <w:highlight w:val="none"/>
        </w:rPr>
        <w:t>质保期按合同第十条规定执行，质保期满后且乙方不存在违约情形，由乙方提交申请质保金退还资料</w:t>
      </w:r>
      <w:r>
        <w:rPr>
          <w:rFonts w:hint="eastAsia"/>
          <w:bCs/>
          <w:color w:val="auto"/>
          <w:sz w:val="24"/>
          <w:szCs w:val="24"/>
          <w:highlight w:val="none"/>
          <w:lang w:val="en-US" w:eastAsia="zh-CN"/>
        </w:rPr>
        <w:t>，甲方审核无误后在</w:t>
      </w:r>
      <w:r>
        <w:rPr>
          <w:bCs/>
          <w:color w:val="auto"/>
          <w:sz w:val="24"/>
          <w:szCs w:val="24"/>
          <w:highlight w:val="none"/>
        </w:rPr>
        <w:t xml:space="preserve"> 15 个工作日内支付合同结算价的5％（质保金）给乙方（无息）。</w:t>
      </w:r>
    </w:p>
    <w:p>
      <w:pPr>
        <w:ind w:firstLine="480" w:firstLineChars="200"/>
        <w:rPr>
          <w:color w:val="auto"/>
          <w:sz w:val="24"/>
          <w:szCs w:val="24"/>
          <w:highlight w:val="none"/>
        </w:rPr>
      </w:pPr>
      <w:r>
        <w:rPr>
          <w:color w:val="auto"/>
          <w:sz w:val="24"/>
          <w:szCs w:val="24"/>
          <w:highlight w:val="none"/>
        </w:rPr>
        <w:t>5.2.</w:t>
      </w:r>
      <w:r>
        <w:rPr>
          <w:rFonts w:hint="eastAsia"/>
          <w:color w:val="auto"/>
          <w:sz w:val="24"/>
          <w:szCs w:val="24"/>
          <w:highlight w:val="none"/>
          <w:lang w:val="en-US" w:eastAsia="zh-CN"/>
        </w:rPr>
        <w:t>2</w:t>
      </w:r>
      <w:r>
        <w:rPr>
          <w:color w:val="auto"/>
          <w:sz w:val="24"/>
          <w:szCs w:val="24"/>
          <w:highlight w:val="none"/>
        </w:rPr>
        <w:t>乙方收款账户：</w:t>
      </w:r>
      <w:r>
        <w:rPr>
          <w:rFonts w:hint="eastAsia"/>
          <w:color w:val="auto"/>
          <w:sz w:val="24"/>
          <w:szCs w:val="24"/>
          <w:highlight w:val="none"/>
          <w:u w:val="single"/>
          <w:lang w:val="en-US" w:eastAsia="zh-CN"/>
        </w:rPr>
        <w:t xml:space="preserve">         </w:t>
      </w:r>
      <w:r>
        <w:rPr>
          <w:color w:val="auto"/>
          <w:sz w:val="24"/>
          <w:szCs w:val="24"/>
          <w:highlight w:val="none"/>
          <w:u w:val="single"/>
        </w:rPr>
        <w:t xml:space="preserve">   </w:t>
      </w:r>
      <w:r>
        <w:rPr>
          <w:color w:val="auto"/>
          <w:sz w:val="24"/>
          <w:szCs w:val="24"/>
          <w:highlight w:val="none"/>
        </w:rPr>
        <w:t>；</w:t>
      </w:r>
    </w:p>
    <w:p>
      <w:pPr>
        <w:ind w:firstLine="1200" w:firstLineChars="500"/>
        <w:rPr>
          <w:color w:val="auto"/>
          <w:sz w:val="24"/>
          <w:szCs w:val="24"/>
          <w:highlight w:val="none"/>
        </w:rPr>
      </w:pPr>
      <w:r>
        <w:rPr>
          <w:color w:val="auto"/>
          <w:sz w:val="24"/>
          <w:szCs w:val="24"/>
          <w:highlight w:val="none"/>
        </w:rPr>
        <w:t>收款账号：</w:t>
      </w:r>
      <w:r>
        <w:rPr>
          <w:color w:val="auto"/>
          <w:sz w:val="24"/>
          <w:szCs w:val="24"/>
          <w:highlight w:val="none"/>
          <w:u w:val="single"/>
        </w:rPr>
        <w:t xml:space="preserve">  </w:t>
      </w:r>
      <w:r>
        <w:rPr>
          <w:rFonts w:hint="eastAsia"/>
          <w:color w:val="auto"/>
          <w:sz w:val="24"/>
          <w:szCs w:val="24"/>
          <w:highlight w:val="none"/>
          <w:u w:val="single"/>
          <w:lang w:val="en-US" w:eastAsia="zh-CN"/>
        </w:rPr>
        <w:t xml:space="preserve">        </w:t>
      </w:r>
      <w:r>
        <w:rPr>
          <w:color w:val="auto"/>
          <w:sz w:val="24"/>
          <w:szCs w:val="24"/>
          <w:highlight w:val="none"/>
          <w:u w:val="single"/>
        </w:rPr>
        <w:t xml:space="preserve">  </w:t>
      </w:r>
      <w:r>
        <w:rPr>
          <w:color w:val="auto"/>
          <w:sz w:val="24"/>
          <w:szCs w:val="24"/>
          <w:highlight w:val="none"/>
        </w:rPr>
        <w:t>；</w:t>
      </w:r>
    </w:p>
    <w:p>
      <w:pPr>
        <w:ind w:firstLine="1200" w:firstLineChars="500"/>
        <w:rPr>
          <w:color w:val="auto"/>
          <w:sz w:val="24"/>
          <w:szCs w:val="24"/>
          <w:highlight w:val="none"/>
        </w:rPr>
      </w:pPr>
      <w:r>
        <w:rPr>
          <w:color w:val="auto"/>
          <w:sz w:val="24"/>
          <w:szCs w:val="24"/>
          <w:highlight w:val="none"/>
        </w:rPr>
        <w:t>开户行：</w:t>
      </w:r>
      <w:r>
        <w:rPr>
          <w:color w:val="auto"/>
          <w:sz w:val="24"/>
          <w:szCs w:val="24"/>
          <w:highlight w:val="none"/>
          <w:u w:val="single"/>
        </w:rPr>
        <w:t xml:space="preserve">  </w:t>
      </w:r>
      <w:r>
        <w:rPr>
          <w:rFonts w:hint="eastAsia"/>
          <w:color w:val="auto"/>
          <w:sz w:val="24"/>
          <w:szCs w:val="24"/>
          <w:highlight w:val="none"/>
          <w:u w:val="single"/>
          <w:lang w:val="en-US" w:eastAsia="zh-CN"/>
        </w:rPr>
        <w:t xml:space="preserve">    </w:t>
      </w:r>
      <w:r>
        <w:rPr>
          <w:color w:val="auto"/>
          <w:sz w:val="24"/>
          <w:szCs w:val="24"/>
          <w:highlight w:val="none"/>
        </w:rPr>
        <w:t>；</w:t>
      </w:r>
    </w:p>
    <w:p>
      <w:pPr>
        <w:ind w:firstLine="480" w:firstLineChars="200"/>
        <w:rPr>
          <w:color w:val="auto"/>
          <w:sz w:val="24"/>
          <w:szCs w:val="24"/>
          <w:highlight w:val="none"/>
        </w:rPr>
      </w:pPr>
      <w:r>
        <w:rPr>
          <w:color w:val="auto"/>
          <w:sz w:val="24"/>
          <w:szCs w:val="24"/>
          <w:highlight w:val="none"/>
        </w:rPr>
        <w:t>5.2.</w:t>
      </w:r>
      <w:r>
        <w:rPr>
          <w:rFonts w:hint="eastAsia"/>
          <w:color w:val="auto"/>
          <w:sz w:val="24"/>
          <w:szCs w:val="24"/>
          <w:highlight w:val="none"/>
          <w:lang w:val="en-US" w:eastAsia="zh-CN"/>
        </w:rPr>
        <w:t>3</w:t>
      </w:r>
      <w:r>
        <w:rPr>
          <w:color w:val="auto"/>
          <w:sz w:val="24"/>
          <w:szCs w:val="24"/>
          <w:highlight w:val="none"/>
        </w:rPr>
        <w:t>乙方在收款前需向甲方提交等额增值税专用发票，增值税专用发票信息：</w:t>
      </w:r>
    </w:p>
    <w:p>
      <w:pPr>
        <w:ind w:firstLine="480" w:firstLineChars="200"/>
        <w:rPr>
          <w:color w:val="auto"/>
          <w:sz w:val="24"/>
          <w:szCs w:val="24"/>
          <w:highlight w:val="none"/>
        </w:rPr>
      </w:pPr>
      <w:r>
        <w:rPr>
          <w:color w:val="auto"/>
          <w:sz w:val="24"/>
          <w:szCs w:val="24"/>
          <w:highlight w:val="none"/>
        </w:rPr>
        <w:t>名称：广州市净水有限公司</w:t>
      </w:r>
    </w:p>
    <w:p>
      <w:pPr>
        <w:ind w:firstLine="480" w:firstLineChars="200"/>
        <w:rPr>
          <w:color w:val="auto"/>
          <w:sz w:val="24"/>
          <w:szCs w:val="24"/>
          <w:highlight w:val="none"/>
        </w:rPr>
      </w:pPr>
      <w:r>
        <w:rPr>
          <w:color w:val="auto"/>
          <w:sz w:val="24"/>
          <w:szCs w:val="24"/>
          <w:highlight w:val="none"/>
        </w:rPr>
        <w:t>税号：</w:t>
      </w:r>
      <w:r>
        <w:rPr>
          <w:color w:val="auto"/>
          <w:sz w:val="24"/>
          <w:szCs w:val="24"/>
          <w:highlight w:val="none"/>
          <w:u w:val="single"/>
        </w:rPr>
        <w:t>91440101755584729Q</w:t>
      </w:r>
    </w:p>
    <w:p>
      <w:pPr>
        <w:ind w:firstLine="480" w:firstLineChars="200"/>
        <w:rPr>
          <w:color w:val="auto"/>
          <w:sz w:val="24"/>
          <w:szCs w:val="24"/>
          <w:highlight w:val="none"/>
        </w:rPr>
      </w:pPr>
      <w:r>
        <w:rPr>
          <w:color w:val="auto"/>
          <w:sz w:val="24"/>
          <w:szCs w:val="24"/>
          <w:highlight w:val="none"/>
        </w:rPr>
        <w:t>地址及电话：</w:t>
      </w:r>
      <w:r>
        <w:rPr>
          <w:color w:val="auto"/>
          <w:sz w:val="24"/>
          <w:szCs w:val="24"/>
          <w:highlight w:val="none"/>
          <w:u w:val="single"/>
        </w:rPr>
        <w:t>广州市天河区临江大道501号 020-38890283</w:t>
      </w:r>
      <w:r>
        <w:rPr>
          <w:color w:val="auto"/>
          <w:sz w:val="24"/>
          <w:szCs w:val="24"/>
          <w:highlight w:val="none"/>
        </w:rPr>
        <w:t>；</w:t>
      </w:r>
    </w:p>
    <w:p>
      <w:pPr>
        <w:ind w:firstLine="480" w:firstLineChars="200"/>
        <w:rPr>
          <w:color w:val="auto"/>
          <w:sz w:val="24"/>
          <w:szCs w:val="24"/>
          <w:highlight w:val="none"/>
        </w:rPr>
      </w:pPr>
      <w:r>
        <w:rPr>
          <w:color w:val="auto"/>
          <w:sz w:val="24"/>
          <w:szCs w:val="24"/>
          <w:highlight w:val="none"/>
        </w:rPr>
        <w:t>开户行/账号：</w:t>
      </w:r>
      <w:r>
        <w:rPr>
          <w:color w:val="auto"/>
          <w:sz w:val="24"/>
          <w:szCs w:val="24"/>
          <w:highlight w:val="none"/>
          <w:u w:val="single"/>
        </w:rPr>
        <w:t>民生银行广州分行0301014140006932</w:t>
      </w:r>
      <w:r>
        <w:rPr>
          <w:color w:val="auto"/>
          <w:sz w:val="24"/>
          <w:szCs w:val="24"/>
          <w:highlight w:val="none"/>
        </w:rPr>
        <w:t>。</w:t>
      </w:r>
    </w:p>
    <w:p>
      <w:pPr>
        <w:tabs>
          <w:tab w:val="left" w:pos="851"/>
        </w:tabs>
        <w:adjustRightInd w:val="0"/>
        <w:ind w:firstLine="480" w:firstLineChars="200"/>
        <w:outlineLvl w:val="1"/>
        <w:rPr>
          <w:color w:val="auto"/>
          <w:sz w:val="24"/>
          <w:szCs w:val="24"/>
          <w:highlight w:val="none"/>
        </w:rPr>
      </w:pPr>
      <w:r>
        <w:rPr>
          <w:color w:val="auto"/>
          <w:sz w:val="24"/>
          <w:szCs w:val="24"/>
          <w:highlight w:val="none"/>
        </w:rPr>
        <w:t xml:space="preserve">5.3付款方式： </w:t>
      </w:r>
      <w:r>
        <w:rPr>
          <w:color w:val="auto"/>
          <w:sz w:val="24"/>
          <w:szCs w:val="24"/>
          <w:highlight w:val="none"/>
        </w:rPr>
        <w:sym w:font="Wingdings" w:char="F0FE"/>
      </w:r>
      <w:r>
        <w:rPr>
          <w:color w:val="auto"/>
          <w:sz w:val="24"/>
          <w:szCs w:val="24"/>
          <w:highlight w:val="none"/>
        </w:rPr>
        <w:t xml:space="preserve">网银支付；  </w:t>
      </w:r>
      <w:r>
        <w:rPr>
          <w:color w:val="auto"/>
          <w:sz w:val="24"/>
          <w:szCs w:val="24"/>
          <w:highlight w:val="none"/>
        </w:rPr>
        <w:sym w:font="Wingdings" w:char="F0A8"/>
      </w:r>
      <w:r>
        <w:rPr>
          <w:color w:val="auto"/>
          <w:sz w:val="24"/>
          <w:szCs w:val="24"/>
          <w:highlight w:val="none"/>
        </w:rPr>
        <w:t xml:space="preserve">支票；   </w:t>
      </w:r>
      <w:r>
        <w:rPr>
          <w:color w:val="auto"/>
          <w:sz w:val="24"/>
          <w:szCs w:val="24"/>
          <w:highlight w:val="none"/>
        </w:rPr>
        <w:sym w:font="Wingdings" w:char="F0A8"/>
      </w:r>
      <w:r>
        <w:rPr>
          <w:color w:val="auto"/>
          <w:sz w:val="24"/>
          <w:szCs w:val="24"/>
          <w:highlight w:val="none"/>
        </w:rPr>
        <w:t xml:space="preserve">其他： /      </w:t>
      </w:r>
    </w:p>
    <w:p>
      <w:pPr>
        <w:numPr>
          <w:ilvl w:val="0"/>
          <w:numId w:val="5"/>
        </w:numPr>
        <w:autoSpaceDE w:val="0"/>
        <w:autoSpaceDN w:val="0"/>
        <w:adjustRightInd w:val="0"/>
        <w:ind w:firstLine="482" w:firstLineChars="200"/>
        <w:rPr>
          <w:b/>
          <w:color w:val="auto"/>
          <w:sz w:val="24"/>
          <w:szCs w:val="24"/>
          <w:highlight w:val="none"/>
        </w:rPr>
      </w:pPr>
      <w:r>
        <w:rPr>
          <w:b/>
          <w:color w:val="auto"/>
          <w:sz w:val="24"/>
          <w:szCs w:val="24"/>
          <w:highlight w:val="none"/>
        </w:rPr>
        <w:t>履约担保及预付款保函</w:t>
      </w:r>
    </w:p>
    <w:p>
      <w:pPr>
        <w:ind w:firstLine="480" w:firstLineChars="200"/>
        <w:outlineLvl w:val="0"/>
        <w:rPr>
          <w:color w:val="auto"/>
          <w:sz w:val="24"/>
          <w:szCs w:val="24"/>
          <w:highlight w:val="none"/>
        </w:rPr>
      </w:pPr>
      <w:r>
        <w:rPr>
          <w:color w:val="auto"/>
          <w:sz w:val="24"/>
          <w:szCs w:val="24"/>
          <w:highlight w:val="none"/>
        </w:rPr>
        <w:t>6.1履约担保：</w:t>
      </w:r>
      <w:r>
        <w:rPr>
          <w:color w:val="auto"/>
          <w:sz w:val="24"/>
          <w:szCs w:val="24"/>
          <w:highlight w:val="none"/>
        </w:rPr>
        <w:sym w:font="Wingdings" w:char="F0A8"/>
      </w:r>
      <w:r>
        <w:rPr>
          <w:bCs/>
          <w:color w:val="auto"/>
          <w:sz w:val="24"/>
          <w:szCs w:val="24"/>
          <w:highlight w:val="none"/>
        </w:rPr>
        <w:t xml:space="preserve">无；  </w:t>
      </w:r>
      <w:r>
        <w:rPr>
          <w:color w:val="auto"/>
          <w:sz w:val="24"/>
          <w:szCs w:val="24"/>
          <w:highlight w:val="none"/>
        </w:rPr>
        <w:t xml:space="preserve"> </w:t>
      </w:r>
      <w:r>
        <w:rPr>
          <w:color w:val="auto"/>
          <w:sz w:val="24"/>
          <w:szCs w:val="24"/>
          <w:highlight w:val="none"/>
        </w:rPr>
        <w:sym w:font="Wingdings" w:char="F0FE"/>
      </w:r>
      <w:r>
        <w:rPr>
          <w:color w:val="auto"/>
          <w:sz w:val="24"/>
          <w:szCs w:val="24"/>
          <w:highlight w:val="none"/>
        </w:rPr>
        <w:t>有，本合同签订后10日内以合同暂定总价的10%作为履约担保金，金额为：</w:t>
      </w:r>
      <w:r>
        <w:rPr>
          <w:rFonts w:hint="eastAsia"/>
          <w:color w:val="auto"/>
          <w:sz w:val="24"/>
          <w:szCs w:val="24"/>
          <w:highlight w:val="none"/>
          <w:u w:val="single"/>
          <w:lang w:val="en-US" w:eastAsia="zh-CN"/>
        </w:rPr>
        <w:t xml:space="preserve">      </w:t>
      </w:r>
      <w:r>
        <w:rPr>
          <w:rFonts w:hint="eastAsia"/>
          <w:color w:val="auto"/>
          <w:sz w:val="24"/>
          <w:szCs w:val="24"/>
          <w:highlight w:val="none"/>
          <w:u w:val="single"/>
        </w:rPr>
        <w:t>元</w:t>
      </w:r>
      <w:r>
        <w:rPr>
          <w:color w:val="auto"/>
          <w:sz w:val="24"/>
          <w:szCs w:val="24"/>
          <w:highlight w:val="none"/>
        </w:rPr>
        <w:t>（大写人民币：</w:t>
      </w:r>
      <w:r>
        <w:rPr>
          <w:rFonts w:hint="eastAsia"/>
          <w:color w:val="auto"/>
          <w:sz w:val="24"/>
          <w:szCs w:val="24"/>
          <w:highlight w:val="none"/>
          <w:lang w:val="en-US" w:eastAsia="zh-CN"/>
        </w:rPr>
        <w:t xml:space="preserve">         </w:t>
      </w:r>
      <w:r>
        <w:rPr>
          <w:color w:val="auto"/>
          <w:sz w:val="24"/>
          <w:szCs w:val="24"/>
          <w:highlight w:val="none"/>
        </w:rPr>
        <w:t>）。</w:t>
      </w:r>
    </w:p>
    <w:p>
      <w:pPr>
        <w:ind w:firstLine="480" w:firstLineChars="200"/>
        <w:outlineLvl w:val="0"/>
        <w:rPr>
          <w:color w:val="auto"/>
          <w:sz w:val="24"/>
          <w:szCs w:val="24"/>
          <w:highlight w:val="none"/>
        </w:rPr>
      </w:pPr>
      <w:r>
        <w:rPr>
          <w:color w:val="auto"/>
          <w:sz w:val="24"/>
          <w:szCs w:val="24"/>
          <w:highlight w:val="none"/>
        </w:rPr>
        <w:t>6.2履约担保按以下任一种形式提供：</w:t>
      </w:r>
    </w:p>
    <w:p>
      <w:pPr>
        <w:ind w:firstLine="480" w:firstLineChars="200"/>
        <w:outlineLvl w:val="0"/>
        <w:rPr>
          <w:color w:val="auto"/>
          <w:sz w:val="24"/>
          <w:szCs w:val="24"/>
          <w:highlight w:val="none"/>
        </w:rPr>
      </w:pPr>
      <w:r>
        <w:rPr>
          <w:color w:val="auto"/>
          <w:sz w:val="24"/>
          <w:szCs w:val="24"/>
          <w:highlight w:val="none"/>
        </w:rPr>
        <w:t>1、符合甲方要求（详见附件</w:t>
      </w:r>
      <w:r>
        <w:rPr>
          <w:rFonts w:hint="eastAsia"/>
          <w:color w:val="auto"/>
          <w:sz w:val="24"/>
          <w:szCs w:val="24"/>
          <w:highlight w:val="none"/>
          <w:lang w:val="en-US" w:eastAsia="zh-CN"/>
        </w:rPr>
        <w:t>6</w:t>
      </w:r>
      <w:r>
        <w:rPr>
          <w:color w:val="auto"/>
          <w:sz w:val="24"/>
          <w:szCs w:val="24"/>
          <w:highlight w:val="none"/>
        </w:rPr>
        <w:t>保函格式）的银行独立保函，</w:t>
      </w:r>
    </w:p>
    <w:p>
      <w:pPr>
        <w:ind w:firstLine="480" w:firstLineChars="200"/>
        <w:outlineLvl w:val="0"/>
        <w:rPr>
          <w:color w:val="auto"/>
          <w:sz w:val="24"/>
          <w:szCs w:val="24"/>
          <w:highlight w:val="none"/>
        </w:rPr>
      </w:pPr>
      <w:r>
        <w:rPr>
          <w:color w:val="auto"/>
          <w:sz w:val="24"/>
          <w:szCs w:val="24"/>
          <w:highlight w:val="none"/>
        </w:rPr>
        <w:t>2、现金转账至甲方以下指定账户：</w:t>
      </w:r>
    </w:p>
    <w:p>
      <w:pPr>
        <w:ind w:firstLine="480" w:firstLineChars="200"/>
        <w:outlineLvl w:val="0"/>
        <w:rPr>
          <w:color w:val="auto"/>
          <w:sz w:val="24"/>
          <w:szCs w:val="24"/>
          <w:highlight w:val="none"/>
        </w:rPr>
      </w:pPr>
      <w:r>
        <w:rPr>
          <w:color w:val="auto"/>
          <w:sz w:val="24"/>
          <w:szCs w:val="24"/>
          <w:highlight w:val="none"/>
        </w:rPr>
        <w:t>户名：广州市净水有限公司</w:t>
      </w:r>
    </w:p>
    <w:p>
      <w:pPr>
        <w:tabs>
          <w:tab w:val="left" w:pos="1995"/>
        </w:tabs>
        <w:ind w:firstLine="480" w:firstLineChars="200"/>
        <w:rPr>
          <w:bCs/>
          <w:color w:val="auto"/>
          <w:sz w:val="24"/>
          <w:szCs w:val="24"/>
          <w:highlight w:val="none"/>
        </w:rPr>
      </w:pPr>
      <w:r>
        <w:rPr>
          <w:bCs/>
          <w:color w:val="auto"/>
          <w:sz w:val="24"/>
          <w:szCs w:val="24"/>
          <w:highlight w:val="none"/>
        </w:rPr>
        <w:t>账号：82010154900000342</w:t>
      </w:r>
    </w:p>
    <w:p>
      <w:pPr>
        <w:tabs>
          <w:tab w:val="left" w:pos="1995"/>
        </w:tabs>
        <w:ind w:firstLine="480" w:firstLineChars="200"/>
        <w:rPr>
          <w:bCs/>
          <w:color w:val="auto"/>
          <w:sz w:val="24"/>
          <w:szCs w:val="24"/>
          <w:highlight w:val="none"/>
        </w:rPr>
      </w:pPr>
      <w:r>
        <w:rPr>
          <w:bCs/>
          <w:color w:val="auto"/>
          <w:sz w:val="24"/>
          <w:szCs w:val="24"/>
          <w:highlight w:val="none"/>
        </w:rPr>
        <w:t>开户行：浦发银行广州分行</w:t>
      </w:r>
    </w:p>
    <w:p>
      <w:pPr>
        <w:ind w:firstLine="480"/>
        <w:outlineLvl w:val="0"/>
        <w:rPr>
          <w:color w:val="auto"/>
          <w:sz w:val="24"/>
          <w:szCs w:val="24"/>
          <w:highlight w:val="none"/>
        </w:rPr>
      </w:pPr>
      <w:r>
        <w:rPr>
          <w:color w:val="auto"/>
          <w:sz w:val="24"/>
          <w:szCs w:val="24"/>
          <w:highlight w:val="none"/>
        </w:rPr>
        <w:t>6.3履约担保的担保期限和返还</w:t>
      </w:r>
    </w:p>
    <w:p>
      <w:pPr>
        <w:ind w:firstLine="480"/>
        <w:outlineLvl w:val="0"/>
        <w:rPr>
          <w:color w:val="auto"/>
          <w:sz w:val="24"/>
          <w:szCs w:val="24"/>
          <w:highlight w:val="none"/>
        </w:rPr>
      </w:pPr>
      <w:r>
        <w:rPr>
          <w:color w:val="auto"/>
          <w:sz w:val="24"/>
          <w:szCs w:val="24"/>
          <w:highlight w:val="none"/>
        </w:rPr>
        <w:t>6.4履约银行保函（或现金履约保证金）的担保期限：从提供履约担保（或转账成功）之日起至合同履行完成。</w:t>
      </w:r>
    </w:p>
    <w:p>
      <w:pPr>
        <w:ind w:firstLine="480" w:firstLineChars="200"/>
        <w:rPr>
          <w:color w:val="auto"/>
          <w:sz w:val="24"/>
          <w:szCs w:val="24"/>
          <w:highlight w:val="none"/>
        </w:rPr>
      </w:pPr>
      <w:r>
        <w:rPr>
          <w:color w:val="auto"/>
          <w:sz w:val="24"/>
          <w:szCs w:val="24"/>
          <w:highlight w:val="none"/>
        </w:rPr>
        <w:t xml:space="preserve">6.5履约银行保函在合同履行完成后，由乙方提出申请，甲方在28日内返还，不支付利息； </w:t>
      </w:r>
    </w:p>
    <w:p>
      <w:pPr>
        <w:ind w:firstLine="480" w:firstLineChars="200"/>
        <w:rPr>
          <w:color w:val="auto"/>
          <w:sz w:val="24"/>
          <w:szCs w:val="24"/>
          <w:highlight w:val="none"/>
        </w:rPr>
      </w:pPr>
      <w:r>
        <w:rPr>
          <w:color w:val="auto"/>
          <w:sz w:val="24"/>
          <w:szCs w:val="24"/>
          <w:highlight w:val="none"/>
        </w:rPr>
        <w:t>6.6延长担保期限：履约银行保函形式提交履约保证金的，在银行保函到期前，乙方应提前</w:t>
      </w:r>
      <w:r>
        <w:rPr>
          <w:color w:val="auto"/>
          <w:sz w:val="24"/>
          <w:szCs w:val="24"/>
          <w:highlight w:val="none"/>
          <w:u w:val="single"/>
        </w:rPr>
        <w:t xml:space="preserve"> 7 </w:t>
      </w:r>
      <w:r>
        <w:rPr>
          <w:color w:val="auto"/>
          <w:sz w:val="24"/>
          <w:szCs w:val="24"/>
          <w:highlight w:val="none"/>
        </w:rPr>
        <w:t>天向甲方提交新的保函以替换即将到期的保函。如乙方未及时提交的，甲方有权直接要求担保银行支付其担保的全部金额并解除合同。</w:t>
      </w:r>
    </w:p>
    <w:p>
      <w:pPr>
        <w:ind w:firstLine="480" w:firstLineChars="200"/>
        <w:rPr>
          <w:color w:val="auto"/>
          <w:sz w:val="24"/>
          <w:szCs w:val="24"/>
          <w:highlight w:val="none"/>
        </w:rPr>
      </w:pPr>
      <w:r>
        <w:rPr>
          <w:color w:val="auto"/>
          <w:sz w:val="24"/>
          <w:szCs w:val="24"/>
          <w:highlight w:val="none"/>
        </w:rPr>
        <w:t>6.7现金履约保证金的退还：合同履行完成后，由乙方提出申请，甲方在28天内将剩余履约保证金（无息）返还。</w:t>
      </w:r>
    </w:p>
    <w:p>
      <w:pPr>
        <w:ind w:firstLine="480" w:firstLineChars="200"/>
        <w:rPr>
          <w:color w:val="auto"/>
          <w:sz w:val="24"/>
          <w:szCs w:val="24"/>
          <w:highlight w:val="none"/>
        </w:rPr>
      </w:pPr>
      <w:r>
        <w:rPr>
          <w:color w:val="auto"/>
          <w:sz w:val="24"/>
          <w:szCs w:val="24"/>
          <w:highlight w:val="none"/>
        </w:rPr>
        <w:t>6.8甲方按合同约定提取履约担保金额后，乙方应在收到甲方通知后 7 天内补足数额，逾期未补足，则甲方有权提取履约担保的全部余额并解除合同。</w:t>
      </w:r>
    </w:p>
    <w:p>
      <w:pPr>
        <w:ind w:firstLine="480" w:firstLineChars="200"/>
        <w:rPr>
          <w:color w:val="auto"/>
          <w:sz w:val="24"/>
          <w:szCs w:val="24"/>
          <w:highlight w:val="none"/>
        </w:rPr>
      </w:pPr>
      <w:r>
        <w:rPr>
          <w:color w:val="auto"/>
          <w:sz w:val="24"/>
          <w:szCs w:val="24"/>
          <w:highlight w:val="none"/>
        </w:rPr>
        <w:t xml:space="preserve">6.9预付款保函 </w:t>
      </w:r>
    </w:p>
    <w:p>
      <w:pPr>
        <w:ind w:firstLine="480"/>
        <w:rPr>
          <w:color w:val="auto"/>
          <w:sz w:val="24"/>
          <w:szCs w:val="24"/>
          <w:highlight w:val="none"/>
        </w:rPr>
      </w:pPr>
      <w:r>
        <w:rPr>
          <w:color w:val="auto"/>
          <w:sz w:val="24"/>
          <w:szCs w:val="24"/>
          <w:highlight w:val="none"/>
        </w:rPr>
        <w:t>6.9.1预付款保函的担保金额应与预付款金额相同。预付款保函的担保金额可根据完成的工作量的金额相应递减。</w:t>
      </w:r>
    </w:p>
    <w:p>
      <w:pPr>
        <w:ind w:firstLine="480"/>
        <w:rPr>
          <w:color w:val="auto"/>
          <w:sz w:val="24"/>
          <w:szCs w:val="24"/>
          <w:highlight w:val="none"/>
        </w:rPr>
      </w:pPr>
      <w:r>
        <w:rPr>
          <w:color w:val="auto"/>
          <w:sz w:val="24"/>
          <w:szCs w:val="24"/>
          <w:highlight w:val="none"/>
        </w:rPr>
        <w:t>6.9.2预付款保函应与甲方确认相应完成的工作量后14天内退还给乙方。甲方不承担乙方与预付款保函有关的任何利息或其他类似的费用或收益。</w:t>
      </w:r>
    </w:p>
    <w:p>
      <w:pPr>
        <w:ind w:firstLine="482" w:firstLineChars="200"/>
        <w:rPr>
          <w:b/>
          <w:color w:val="auto"/>
          <w:sz w:val="24"/>
          <w:szCs w:val="24"/>
          <w:highlight w:val="none"/>
        </w:rPr>
      </w:pPr>
      <w:r>
        <w:rPr>
          <w:b/>
          <w:bCs/>
          <w:color w:val="auto"/>
          <w:sz w:val="24"/>
          <w:szCs w:val="24"/>
          <w:highlight w:val="none"/>
        </w:rPr>
        <w:t xml:space="preserve">第七条 </w:t>
      </w:r>
      <w:r>
        <w:rPr>
          <w:b/>
          <w:color w:val="auto"/>
          <w:sz w:val="24"/>
          <w:szCs w:val="24"/>
          <w:highlight w:val="none"/>
        </w:rPr>
        <w:t>交货及检验要求</w:t>
      </w:r>
    </w:p>
    <w:p>
      <w:pPr>
        <w:autoSpaceDE w:val="0"/>
        <w:autoSpaceDN w:val="0"/>
        <w:adjustRightInd w:val="0"/>
        <w:ind w:firstLine="480" w:firstLineChars="200"/>
        <w:rPr>
          <w:bCs/>
          <w:color w:val="auto"/>
          <w:sz w:val="24"/>
          <w:szCs w:val="24"/>
          <w:highlight w:val="none"/>
        </w:rPr>
      </w:pPr>
      <w:r>
        <w:rPr>
          <w:bCs/>
          <w:color w:val="auto"/>
          <w:sz w:val="24"/>
          <w:szCs w:val="24"/>
          <w:highlight w:val="none"/>
        </w:rPr>
        <w:t>7.1 交货要求：乙方应在交货时向甲方提供出厂合格证、</w:t>
      </w:r>
      <w:r>
        <w:rPr>
          <w:bCs/>
          <w:color w:val="auto"/>
          <w:sz w:val="24"/>
          <w:szCs w:val="24"/>
          <w:highlight w:val="none"/>
          <w:u w:val="single"/>
        </w:rPr>
        <w:t>厂家品牌授权（如需）</w:t>
      </w:r>
      <w:r>
        <w:rPr>
          <w:bCs/>
          <w:color w:val="auto"/>
          <w:sz w:val="24"/>
          <w:szCs w:val="24"/>
          <w:highlight w:val="none"/>
        </w:rPr>
        <w:t>、产品质量证明文件、操作维修手册等（手册应包含货物情况、系统和主要部件常见故障、保养要求、紧急维修电话等内容）。</w:t>
      </w:r>
    </w:p>
    <w:p>
      <w:pPr>
        <w:ind w:firstLine="480" w:firstLineChars="200"/>
        <w:rPr>
          <w:bCs/>
          <w:color w:val="auto"/>
          <w:sz w:val="24"/>
          <w:szCs w:val="24"/>
          <w:highlight w:val="none"/>
        </w:rPr>
      </w:pPr>
      <w:r>
        <w:rPr>
          <w:bCs/>
          <w:color w:val="auto"/>
          <w:sz w:val="24"/>
          <w:szCs w:val="24"/>
          <w:highlight w:val="none"/>
        </w:rPr>
        <w:t>7.2外观验收：货物运抵交货地点后，甲乙双方根据合同约定对合同货物的包装、外观与件数进行清点检查，并共同签署合同货物外观检查记录。</w:t>
      </w:r>
    </w:p>
    <w:p>
      <w:pPr>
        <w:ind w:firstLine="480" w:firstLineChars="200"/>
        <w:rPr>
          <w:color w:val="auto"/>
          <w:sz w:val="24"/>
          <w:szCs w:val="24"/>
          <w:highlight w:val="none"/>
        </w:rPr>
      </w:pPr>
      <w:r>
        <w:rPr>
          <w:bCs/>
          <w:color w:val="auto"/>
          <w:sz w:val="24"/>
          <w:szCs w:val="24"/>
          <w:highlight w:val="none"/>
        </w:rPr>
        <w:t>7.3 开箱验收：开箱检验在合同货物交付地点进行，</w:t>
      </w:r>
      <w:r>
        <w:rPr>
          <w:color w:val="auto"/>
          <w:sz w:val="24"/>
          <w:szCs w:val="24"/>
          <w:highlight w:val="none"/>
        </w:rPr>
        <w:t>包括但不限于对合同货物数量、规格、外观完好性进行检验。经验收合格后，甲方签发开箱检验合格证明。开箱验收合格前，货物的损坏风险由乙方承担。</w:t>
      </w:r>
    </w:p>
    <w:p>
      <w:pPr>
        <w:adjustRightInd w:val="0"/>
        <w:rPr>
          <w:color w:val="auto"/>
          <w:sz w:val="24"/>
          <w:szCs w:val="24"/>
          <w:highlight w:val="none"/>
        </w:rPr>
      </w:pPr>
      <w:r>
        <w:rPr>
          <w:color w:val="auto"/>
          <w:sz w:val="24"/>
          <w:szCs w:val="24"/>
          <w:highlight w:val="none"/>
        </w:rPr>
        <w:t xml:space="preserve">    7.4如双方对合同货物开箱检验有争议，应到甲方指定的第三方检测机构进行检测，第三方检测机构的检测结果对双方均具有约束力。检测费用先由乙方支付，如果检验结果为不合格，则该费用由乙方承担，如果检验结果为合格，则该费用由甲方承担。</w:t>
      </w:r>
    </w:p>
    <w:p>
      <w:pPr>
        <w:rPr>
          <w:color w:val="auto"/>
          <w:sz w:val="24"/>
          <w:szCs w:val="24"/>
          <w:highlight w:val="none"/>
        </w:rPr>
      </w:pPr>
      <w:r>
        <w:rPr>
          <w:color w:val="auto"/>
          <w:sz w:val="24"/>
          <w:szCs w:val="24"/>
          <w:highlight w:val="none"/>
        </w:rPr>
        <w:t xml:space="preserve">    7.5对货物外观检查与开箱检查发现的问题，如数量、规格、外表质量等与合同约定不符，货物或部件因包装、运输、装卸问题造成的任何损坏、丢失，装箱文件短缺等，乙方应在不影响甲方生产运营的前提下，在甲方规定期限内消除合同货物中存在的缺陷，用合格的新货物更换有缺陷的货物、退货或补发，并自行承担费用。甲方有权在货物缺陷消除或货物更换后，委托第三方检测机构进行检测，检测结果及费用承担按本合同第7.4条执行，交货时间不顺延。</w:t>
      </w:r>
    </w:p>
    <w:p>
      <w:pPr>
        <w:rPr>
          <w:color w:val="auto"/>
          <w:sz w:val="24"/>
          <w:szCs w:val="24"/>
          <w:highlight w:val="none"/>
        </w:rPr>
      </w:pPr>
      <w:r>
        <w:rPr>
          <w:color w:val="auto"/>
          <w:sz w:val="24"/>
          <w:szCs w:val="24"/>
          <w:highlight w:val="none"/>
        </w:rPr>
        <w:t xml:space="preserve">    7.6 甲方有权对合同货物进行原厂正品验证，若合同货物无法获原厂验证，甲方有权退回货物，要求乙方在</w:t>
      </w:r>
      <w:r>
        <w:rPr>
          <w:color w:val="auto"/>
          <w:sz w:val="24"/>
          <w:szCs w:val="24"/>
          <w:highlight w:val="none"/>
          <w:u w:val="single"/>
        </w:rPr>
        <w:t xml:space="preserve"> 5 </w:t>
      </w:r>
      <w:r>
        <w:rPr>
          <w:color w:val="auto"/>
          <w:sz w:val="24"/>
          <w:szCs w:val="24"/>
          <w:highlight w:val="none"/>
        </w:rPr>
        <w:t>个工作日内退回甲方已支付款项并按货物价格的</w:t>
      </w:r>
      <w:r>
        <w:rPr>
          <w:color w:val="auto"/>
          <w:sz w:val="24"/>
          <w:szCs w:val="24"/>
          <w:highlight w:val="none"/>
          <w:u w:val="single"/>
        </w:rPr>
        <w:t xml:space="preserve">   5% </w:t>
      </w:r>
      <w:r>
        <w:rPr>
          <w:color w:val="auto"/>
          <w:sz w:val="24"/>
          <w:szCs w:val="24"/>
          <w:highlight w:val="none"/>
        </w:rPr>
        <w:t>支付违约金。</w:t>
      </w:r>
    </w:p>
    <w:p>
      <w:pPr>
        <w:spacing w:before="120" w:after="120"/>
        <w:ind w:firstLine="482" w:firstLineChars="200"/>
        <w:rPr>
          <w:b/>
          <w:color w:val="auto"/>
          <w:sz w:val="24"/>
          <w:szCs w:val="24"/>
          <w:highlight w:val="none"/>
        </w:rPr>
      </w:pPr>
      <w:r>
        <w:rPr>
          <w:b/>
          <w:color w:val="auto"/>
          <w:sz w:val="24"/>
          <w:szCs w:val="24"/>
          <w:highlight w:val="none"/>
        </w:rPr>
        <w:t>第八条 包装、标示及运输要求</w:t>
      </w:r>
    </w:p>
    <w:p>
      <w:pPr>
        <w:ind w:firstLine="482"/>
        <w:rPr>
          <w:bCs/>
          <w:color w:val="auto"/>
          <w:sz w:val="24"/>
          <w:szCs w:val="24"/>
          <w:highlight w:val="none"/>
        </w:rPr>
      </w:pPr>
      <w:r>
        <w:rPr>
          <w:bCs/>
          <w:color w:val="auto"/>
          <w:sz w:val="24"/>
          <w:szCs w:val="24"/>
          <w:highlight w:val="none"/>
        </w:rPr>
        <w:t>8.1 包装</w:t>
      </w:r>
    </w:p>
    <w:p>
      <w:pPr>
        <w:ind w:firstLine="482"/>
        <w:rPr>
          <w:bCs/>
          <w:color w:val="auto"/>
          <w:sz w:val="24"/>
          <w:szCs w:val="24"/>
          <w:highlight w:val="none"/>
        </w:rPr>
      </w:pPr>
      <w:r>
        <w:rPr>
          <w:bCs/>
          <w:color w:val="auto"/>
          <w:sz w:val="24"/>
          <w:szCs w:val="24"/>
          <w:highlight w:val="none"/>
        </w:rPr>
        <w:t>8.1.1乙方根据货物的特点，按照有关国家、行业标准要求，对货物及其零配件进行适合长途运输、多次搬运与装卸、防震、防水、防潮、防霉、防锈、防腐蚀等的坚固可靠包装，确保货物能适应高温、雨淋、潮湿环境下的长途运输、多次装卸与现场存放。</w:t>
      </w:r>
    </w:p>
    <w:p>
      <w:pPr>
        <w:ind w:firstLine="482"/>
        <w:rPr>
          <w:bCs/>
          <w:color w:val="auto"/>
          <w:sz w:val="24"/>
          <w:szCs w:val="24"/>
          <w:highlight w:val="none"/>
        </w:rPr>
      </w:pPr>
      <w:r>
        <w:rPr>
          <w:bCs/>
          <w:color w:val="auto"/>
          <w:sz w:val="24"/>
          <w:szCs w:val="24"/>
          <w:highlight w:val="none"/>
        </w:rPr>
        <w:t>8.1.2超限货物的包装要求：</w:t>
      </w:r>
      <w:r>
        <w:rPr>
          <w:bCs/>
          <w:color w:val="auto"/>
          <w:sz w:val="24"/>
          <w:szCs w:val="24"/>
          <w:highlight w:val="none"/>
          <w:u w:val="single"/>
        </w:rPr>
        <w:t xml:space="preserve">  /  </w:t>
      </w:r>
      <w:r>
        <w:rPr>
          <w:bCs/>
          <w:color w:val="auto"/>
          <w:sz w:val="24"/>
          <w:szCs w:val="24"/>
          <w:highlight w:val="none"/>
        </w:rPr>
        <w:t>。</w:t>
      </w:r>
    </w:p>
    <w:p>
      <w:pPr>
        <w:ind w:firstLine="482"/>
        <w:rPr>
          <w:bCs/>
          <w:color w:val="auto"/>
          <w:sz w:val="24"/>
          <w:szCs w:val="24"/>
          <w:highlight w:val="none"/>
        </w:rPr>
      </w:pPr>
      <w:r>
        <w:rPr>
          <w:bCs/>
          <w:color w:val="auto"/>
          <w:sz w:val="24"/>
          <w:szCs w:val="24"/>
          <w:highlight w:val="none"/>
        </w:rPr>
        <w:t>8.2 标志</w:t>
      </w:r>
    </w:p>
    <w:p>
      <w:pPr>
        <w:ind w:firstLine="482"/>
        <w:rPr>
          <w:bCs/>
          <w:color w:val="auto"/>
          <w:sz w:val="24"/>
          <w:szCs w:val="24"/>
          <w:highlight w:val="none"/>
        </w:rPr>
      </w:pPr>
      <w:r>
        <w:rPr>
          <w:bCs/>
          <w:color w:val="auto"/>
          <w:sz w:val="24"/>
          <w:szCs w:val="24"/>
          <w:highlight w:val="none"/>
        </w:rPr>
        <w:t>8.2.1乙方应按照国家标准对货物的外包装进行标志。</w:t>
      </w:r>
    </w:p>
    <w:p>
      <w:pPr>
        <w:adjustRightInd w:val="0"/>
        <w:ind w:firstLine="480" w:firstLineChars="200"/>
        <w:rPr>
          <w:bCs/>
          <w:color w:val="auto"/>
          <w:sz w:val="24"/>
          <w:szCs w:val="24"/>
          <w:highlight w:val="none"/>
        </w:rPr>
      </w:pPr>
      <w:r>
        <w:rPr>
          <w:color w:val="auto"/>
          <w:sz w:val="24"/>
          <w:szCs w:val="24"/>
          <w:highlight w:val="none"/>
        </w:rPr>
        <w:t>8.2.2根据合同货物的特点和运输、保管的不同要求，乙方应在包装箱上清楚地标注“小心轻放”、“此端朝上，请勿倒置”、“保持干燥”等字样和其他适当标记。对于超大超重件，乙方应在包装箱两侧标注“重心”和“起吊点”以便装卸和搬运。如货物中含有易燃易爆物品、腐蚀物品、放射性物质等危险品，则应在包装箱上标明危险品标志。</w:t>
      </w:r>
    </w:p>
    <w:p>
      <w:pPr>
        <w:adjustRightInd w:val="0"/>
        <w:ind w:firstLine="480" w:firstLineChars="200"/>
        <w:rPr>
          <w:bCs/>
          <w:color w:val="auto"/>
          <w:sz w:val="24"/>
          <w:szCs w:val="24"/>
          <w:highlight w:val="none"/>
        </w:rPr>
      </w:pPr>
      <w:r>
        <w:rPr>
          <w:bCs/>
          <w:color w:val="auto"/>
          <w:sz w:val="24"/>
          <w:szCs w:val="24"/>
          <w:highlight w:val="none"/>
        </w:rPr>
        <w:t>8.2.3  如由于包装不当或包装箱内部保护措施不符合要求而导致在装车或运输中发生货物或其任何部件的损坏或遗失，乙方应自费对缺损的货物、部件进行修理、更换或补供。</w:t>
      </w:r>
    </w:p>
    <w:p>
      <w:pPr>
        <w:adjustRightInd w:val="0"/>
        <w:ind w:firstLine="480" w:firstLineChars="200"/>
        <w:rPr>
          <w:color w:val="auto"/>
          <w:sz w:val="24"/>
          <w:szCs w:val="24"/>
          <w:highlight w:val="none"/>
        </w:rPr>
      </w:pPr>
      <w:r>
        <w:rPr>
          <w:color w:val="auto"/>
          <w:sz w:val="24"/>
          <w:szCs w:val="24"/>
          <w:highlight w:val="none"/>
        </w:rPr>
        <w:t>8.3运输</w:t>
      </w:r>
    </w:p>
    <w:p>
      <w:pPr>
        <w:adjustRightInd w:val="0"/>
        <w:ind w:firstLine="480" w:firstLineChars="200"/>
        <w:rPr>
          <w:color w:val="auto"/>
          <w:sz w:val="24"/>
          <w:szCs w:val="24"/>
          <w:highlight w:val="none"/>
        </w:rPr>
      </w:pPr>
      <w:r>
        <w:rPr>
          <w:color w:val="auto"/>
          <w:sz w:val="24"/>
          <w:szCs w:val="24"/>
          <w:highlight w:val="none"/>
        </w:rPr>
        <w:t>8.3.1乙方应自行选择适宜的运输工具及线路安排合同货物运输。</w:t>
      </w:r>
    </w:p>
    <w:p>
      <w:pPr>
        <w:adjustRightInd w:val="0"/>
        <w:ind w:firstLine="480" w:firstLineChars="200"/>
        <w:rPr>
          <w:color w:val="auto"/>
          <w:sz w:val="24"/>
          <w:szCs w:val="24"/>
          <w:highlight w:val="none"/>
        </w:rPr>
      </w:pPr>
      <w:r>
        <w:rPr>
          <w:color w:val="auto"/>
          <w:sz w:val="24"/>
          <w:szCs w:val="24"/>
          <w:highlight w:val="none"/>
        </w:rPr>
        <w:t>8.3.2 除合同条款另有约定外，每件货物的备品备件应整套装运。</w:t>
      </w:r>
    </w:p>
    <w:p>
      <w:pPr>
        <w:adjustRightInd w:val="0"/>
        <w:ind w:firstLine="480" w:firstLineChars="200"/>
        <w:rPr>
          <w:color w:val="auto"/>
          <w:sz w:val="24"/>
          <w:szCs w:val="24"/>
          <w:highlight w:val="none"/>
        </w:rPr>
      </w:pPr>
      <w:r>
        <w:rPr>
          <w:color w:val="auto"/>
          <w:sz w:val="24"/>
          <w:szCs w:val="24"/>
          <w:highlight w:val="none"/>
        </w:rPr>
        <w:t>8.3.3 除合同条款另有约定外，乙方应在合同货物预计启运7日前，将合同货物名称、数量、箱数、总毛重、每箱尺寸、装运合同货物总金额、运输方式、预计交付日期和合同货物在运输、装卸、保管中的注意事项等预通知甲方（如涉及易燃易爆物品、腐蚀物品、放射性物质等危险品，应告知危险品的品名、性质、在运输、装卸、保管方面的特殊要求、注意事项和意外情况的处理方法），并在合同货物启运后 24 小时之内正式通知甲方。</w:t>
      </w:r>
    </w:p>
    <w:p>
      <w:pPr>
        <w:adjustRightInd w:val="0"/>
        <w:spacing w:before="156" w:beforeLines="50" w:after="156" w:afterLines="50"/>
        <w:ind w:firstLine="482" w:firstLineChars="200"/>
        <w:rPr>
          <w:color w:val="auto"/>
          <w:sz w:val="24"/>
          <w:szCs w:val="24"/>
          <w:highlight w:val="none"/>
        </w:rPr>
      </w:pPr>
      <w:r>
        <w:rPr>
          <w:b/>
          <w:color w:val="auto"/>
          <w:sz w:val="24"/>
          <w:szCs w:val="24"/>
          <w:highlight w:val="none"/>
        </w:rPr>
        <w:t>第九条 技术服务</w:t>
      </w:r>
    </w:p>
    <w:p>
      <w:pPr>
        <w:adjustRightInd w:val="0"/>
        <w:ind w:firstLine="480" w:firstLineChars="200"/>
        <w:rPr>
          <w:color w:val="auto"/>
          <w:sz w:val="24"/>
          <w:szCs w:val="24"/>
          <w:highlight w:val="none"/>
        </w:rPr>
      </w:pPr>
      <w:r>
        <w:rPr>
          <w:color w:val="auto"/>
          <w:sz w:val="24"/>
          <w:szCs w:val="24"/>
          <w:highlight w:val="none"/>
        </w:rPr>
        <w:t>9.1  乙方应按甲方需求，派遣技术熟练、称职的技术人员到现场为甲方提供货物调试运行等技术服务。</w:t>
      </w:r>
    </w:p>
    <w:p>
      <w:pPr>
        <w:adjustRightInd w:val="0"/>
        <w:ind w:firstLine="480" w:firstLineChars="200"/>
        <w:rPr>
          <w:color w:val="auto"/>
          <w:sz w:val="24"/>
          <w:szCs w:val="24"/>
          <w:highlight w:val="none"/>
        </w:rPr>
      </w:pPr>
      <w:r>
        <w:rPr>
          <w:color w:val="auto"/>
          <w:sz w:val="24"/>
          <w:szCs w:val="24"/>
          <w:highlight w:val="none"/>
        </w:rPr>
        <w:t>9.2  甲方为乙方技术人员提供工作条件及便利，包括但不限于必要的办公场所、技术资料及出入许可等。除合同另有约定外，乙方技术人员的交通、食宿费用由乙方承担。</w:t>
      </w:r>
    </w:p>
    <w:p>
      <w:pPr>
        <w:adjustRightInd w:val="0"/>
        <w:ind w:firstLine="480" w:firstLineChars="200"/>
        <w:rPr>
          <w:color w:val="auto"/>
          <w:sz w:val="24"/>
          <w:szCs w:val="24"/>
          <w:highlight w:val="none"/>
        </w:rPr>
      </w:pPr>
      <w:r>
        <w:rPr>
          <w:color w:val="auto"/>
          <w:sz w:val="24"/>
          <w:szCs w:val="24"/>
          <w:highlight w:val="none"/>
        </w:rPr>
        <w:t>9.3  乙方技术人员应遵守甲方施工现场的各项规章制度和安全操作规程，并服从甲方的现场管理。</w:t>
      </w:r>
    </w:p>
    <w:p>
      <w:pPr>
        <w:adjustRightInd w:val="0"/>
        <w:ind w:firstLine="480" w:firstLineChars="200"/>
        <w:rPr>
          <w:color w:val="auto"/>
          <w:sz w:val="24"/>
          <w:szCs w:val="24"/>
          <w:highlight w:val="none"/>
        </w:rPr>
      </w:pPr>
      <w:r>
        <w:rPr>
          <w:color w:val="auto"/>
          <w:sz w:val="24"/>
          <w:szCs w:val="24"/>
          <w:highlight w:val="none"/>
        </w:rPr>
        <w:t>9.4  如果乙方技术人员提供的服务达不到合同和甲方要求的，甲方有权要求乙方撤换，因撤换而产生的费用应由乙方承担。在不影响技术服务并且征得甲方同意的条件下，乙方也可自负费用更换其技术人员。</w:t>
      </w:r>
    </w:p>
    <w:p>
      <w:pPr>
        <w:autoSpaceDE w:val="0"/>
        <w:autoSpaceDN w:val="0"/>
        <w:adjustRightInd w:val="0"/>
        <w:ind w:firstLine="482" w:firstLineChars="200"/>
        <w:rPr>
          <w:b/>
          <w:color w:val="auto"/>
          <w:sz w:val="24"/>
          <w:szCs w:val="24"/>
          <w:highlight w:val="none"/>
        </w:rPr>
      </w:pPr>
      <w:r>
        <w:rPr>
          <w:b/>
          <w:color w:val="auto"/>
          <w:sz w:val="24"/>
          <w:szCs w:val="24"/>
          <w:highlight w:val="none"/>
        </w:rPr>
        <w:t>第十条 质量保修</w:t>
      </w:r>
    </w:p>
    <w:p>
      <w:pPr>
        <w:tabs>
          <w:tab w:val="left" w:pos="851"/>
        </w:tabs>
        <w:adjustRightInd w:val="0"/>
        <w:ind w:firstLine="480" w:firstLineChars="200"/>
        <w:rPr>
          <w:color w:val="auto"/>
          <w:sz w:val="24"/>
          <w:szCs w:val="24"/>
          <w:highlight w:val="none"/>
        </w:rPr>
      </w:pPr>
      <w:r>
        <w:rPr>
          <w:color w:val="auto"/>
          <w:sz w:val="24"/>
          <w:szCs w:val="24"/>
          <w:highlight w:val="none"/>
        </w:rPr>
        <w:t>10.1保修期：紫外线灯管自安装调试</w:t>
      </w:r>
      <w:r>
        <w:rPr>
          <w:color w:val="auto"/>
          <w:sz w:val="24"/>
          <w:szCs w:val="24"/>
          <w:highlight w:val="none"/>
          <w:lang w:val="zh-CN"/>
        </w:rPr>
        <w:t>验收合格之日起</w:t>
      </w:r>
      <w:r>
        <w:rPr>
          <w:color w:val="auto"/>
          <w:sz w:val="24"/>
          <w:szCs w:val="24"/>
          <w:highlight w:val="none"/>
        </w:rPr>
        <w:t xml:space="preserve"> 12000小时，其余货物自</w:t>
      </w:r>
      <w:r>
        <w:rPr>
          <w:color w:val="auto"/>
          <w:sz w:val="24"/>
          <w:szCs w:val="24"/>
          <w:highlight w:val="none"/>
          <w:lang w:val="zh-CN"/>
        </w:rPr>
        <w:t>货物</w:t>
      </w:r>
      <w:r>
        <w:rPr>
          <w:color w:val="auto"/>
          <w:sz w:val="24"/>
          <w:szCs w:val="24"/>
          <w:highlight w:val="none"/>
        </w:rPr>
        <w:t>安装调试</w:t>
      </w:r>
      <w:r>
        <w:rPr>
          <w:color w:val="auto"/>
          <w:sz w:val="24"/>
          <w:szCs w:val="24"/>
          <w:highlight w:val="none"/>
          <w:lang w:val="zh-CN"/>
        </w:rPr>
        <w:t>验收合格之日起</w:t>
      </w:r>
      <w:r>
        <w:rPr>
          <w:color w:val="auto"/>
          <w:sz w:val="24"/>
          <w:szCs w:val="24"/>
          <w:highlight w:val="none"/>
          <w:u w:val="single"/>
        </w:rPr>
        <w:t xml:space="preserve"> 壹 </w:t>
      </w:r>
      <w:r>
        <w:rPr>
          <w:color w:val="auto"/>
          <w:sz w:val="24"/>
          <w:szCs w:val="24"/>
          <w:highlight w:val="none"/>
        </w:rPr>
        <w:t xml:space="preserve">年且不得低于法定规定保修时间。保修期内乙方应免费对货物进行日常维护保养及质量缺陷修复。                                          </w:t>
      </w:r>
    </w:p>
    <w:p>
      <w:pPr>
        <w:tabs>
          <w:tab w:val="left" w:pos="851"/>
        </w:tabs>
        <w:adjustRightInd w:val="0"/>
        <w:ind w:firstLine="480" w:firstLineChars="200"/>
        <w:rPr>
          <w:color w:val="auto"/>
          <w:sz w:val="24"/>
          <w:szCs w:val="24"/>
          <w:highlight w:val="none"/>
          <w:lang w:val="zh-CN"/>
        </w:rPr>
      </w:pPr>
      <w:r>
        <w:rPr>
          <w:color w:val="auto"/>
          <w:sz w:val="24"/>
          <w:szCs w:val="24"/>
          <w:highlight w:val="none"/>
        </w:rPr>
        <w:t>10.2保修</w:t>
      </w:r>
      <w:r>
        <w:rPr>
          <w:color w:val="auto"/>
          <w:sz w:val="24"/>
          <w:szCs w:val="24"/>
          <w:highlight w:val="none"/>
          <w:lang w:val="zh-CN"/>
        </w:rPr>
        <w:t>期内，乙方应对货物质量问题负责。如货物质量问题导致处理水量、出水水质达不到合同要求的，乙方需无条件免费更换货物并支付合</w:t>
      </w:r>
      <w:r>
        <w:rPr>
          <w:color w:val="auto"/>
          <w:sz w:val="24"/>
          <w:szCs w:val="24"/>
          <w:highlight w:val="none"/>
          <w:u w:val="single"/>
          <w:lang w:val="zh-CN"/>
        </w:rPr>
        <w:t>同暂定总价的10%作为</w:t>
      </w:r>
      <w:r>
        <w:rPr>
          <w:color w:val="auto"/>
          <w:sz w:val="24"/>
          <w:szCs w:val="24"/>
          <w:highlight w:val="none"/>
          <w:lang w:val="zh-CN"/>
        </w:rPr>
        <w:t>违约金，</w:t>
      </w:r>
      <w:r>
        <w:rPr>
          <w:color w:val="auto"/>
          <w:sz w:val="24"/>
          <w:szCs w:val="24"/>
          <w:highlight w:val="none"/>
        </w:rPr>
        <w:t>由此产生的</w:t>
      </w:r>
      <w:r>
        <w:rPr>
          <w:color w:val="auto"/>
          <w:sz w:val="24"/>
          <w:szCs w:val="24"/>
          <w:highlight w:val="none"/>
          <w:lang w:val="zh-CN"/>
        </w:rPr>
        <w:t>费用由乙方承担。</w:t>
      </w:r>
    </w:p>
    <w:p>
      <w:pPr>
        <w:tabs>
          <w:tab w:val="left" w:pos="851"/>
        </w:tabs>
        <w:adjustRightInd w:val="0"/>
        <w:ind w:firstLine="480" w:firstLineChars="200"/>
        <w:rPr>
          <w:bCs/>
          <w:color w:val="auto"/>
          <w:sz w:val="24"/>
          <w:szCs w:val="24"/>
          <w:highlight w:val="none"/>
        </w:rPr>
      </w:pPr>
      <w:r>
        <w:rPr>
          <w:bCs/>
          <w:color w:val="auto"/>
          <w:sz w:val="24"/>
          <w:szCs w:val="24"/>
          <w:highlight w:val="none"/>
        </w:rPr>
        <w:t>10.3 保修期间由于货物本身原因产生的故障仍属质保范围，对更换或维修过的零部件从更换或维修完成并验收合格之日起，质量保修期重新计算。</w:t>
      </w:r>
    </w:p>
    <w:p>
      <w:pPr>
        <w:ind w:firstLine="482"/>
        <w:rPr>
          <w:bCs/>
          <w:color w:val="auto"/>
          <w:sz w:val="24"/>
          <w:szCs w:val="24"/>
          <w:highlight w:val="none"/>
        </w:rPr>
      </w:pPr>
      <w:r>
        <w:rPr>
          <w:bCs/>
          <w:color w:val="auto"/>
          <w:sz w:val="24"/>
          <w:szCs w:val="24"/>
          <w:highlight w:val="none"/>
        </w:rPr>
        <w:t>10.4 质量保修期间，如合同货物出现故障，乙方应在接到甲方通知后</w:t>
      </w:r>
      <w:r>
        <w:rPr>
          <w:bCs/>
          <w:color w:val="auto"/>
          <w:sz w:val="24"/>
          <w:szCs w:val="24"/>
          <w:highlight w:val="none"/>
          <w:u w:val="single"/>
        </w:rPr>
        <w:t>12</w:t>
      </w:r>
      <w:r>
        <w:rPr>
          <w:bCs/>
          <w:color w:val="auto"/>
          <w:sz w:val="24"/>
          <w:szCs w:val="24"/>
          <w:highlight w:val="none"/>
        </w:rPr>
        <w:t xml:space="preserve"> 小时内通过电话、网络等提供远程技术指导，如甲方需要乙方到场的，乙方应在收到甲方通知后</w:t>
      </w:r>
      <w:r>
        <w:rPr>
          <w:bCs/>
          <w:color w:val="auto"/>
          <w:sz w:val="24"/>
          <w:szCs w:val="24"/>
          <w:highlight w:val="none"/>
          <w:u w:val="single"/>
        </w:rPr>
        <w:t xml:space="preserve"> 24 </w:t>
      </w:r>
      <w:r>
        <w:rPr>
          <w:bCs/>
          <w:color w:val="auto"/>
          <w:sz w:val="24"/>
          <w:szCs w:val="24"/>
          <w:highlight w:val="none"/>
        </w:rPr>
        <w:t>小时内派专业技术人员到场负责解决及维修故障。如果乙方不按时到场维修或到场后不能修复的，甲方有权委托他人予以维修，乙方承担由此发生的费用并支付</w:t>
      </w:r>
      <w:r>
        <w:rPr>
          <w:bCs/>
          <w:color w:val="auto"/>
          <w:sz w:val="24"/>
          <w:szCs w:val="24"/>
          <w:highlight w:val="none"/>
          <w:u w:val="single"/>
        </w:rPr>
        <w:t>合同暂定总价10%/次</w:t>
      </w:r>
      <w:r>
        <w:rPr>
          <w:bCs/>
          <w:color w:val="auto"/>
          <w:sz w:val="24"/>
          <w:szCs w:val="24"/>
          <w:highlight w:val="none"/>
        </w:rPr>
        <w:t>作为违约金。</w:t>
      </w:r>
    </w:p>
    <w:p>
      <w:pPr>
        <w:ind w:firstLine="482"/>
        <w:rPr>
          <w:bCs/>
          <w:color w:val="auto"/>
          <w:sz w:val="24"/>
          <w:szCs w:val="24"/>
          <w:highlight w:val="none"/>
        </w:rPr>
      </w:pPr>
      <w:r>
        <w:rPr>
          <w:bCs/>
          <w:color w:val="auto"/>
          <w:sz w:val="24"/>
          <w:szCs w:val="24"/>
          <w:highlight w:val="none"/>
        </w:rPr>
        <w:t>10.5紫外线灯管质量保修期间，应保证</w:t>
      </w:r>
      <w:r>
        <w:rPr>
          <w:rFonts w:hint="eastAsia"/>
          <w:bCs/>
          <w:color w:val="auto"/>
          <w:sz w:val="24"/>
          <w:szCs w:val="24"/>
          <w:highlight w:val="none"/>
          <w:lang w:val="en-US" w:eastAsia="zh-CN"/>
        </w:rPr>
        <w:t>各</w:t>
      </w:r>
      <w:r>
        <w:rPr>
          <w:bCs/>
          <w:color w:val="auto"/>
          <w:sz w:val="24"/>
          <w:szCs w:val="24"/>
          <w:highlight w:val="none"/>
        </w:rPr>
        <w:t>分公司出水在</w:t>
      </w:r>
      <w:r>
        <w:rPr>
          <w:rFonts w:hint="eastAsia"/>
          <w:bCs/>
          <w:color w:val="auto"/>
          <w:sz w:val="24"/>
          <w:szCs w:val="24"/>
          <w:highlight w:val="none"/>
          <w:lang w:val="en-US" w:eastAsia="zh-CN"/>
        </w:rPr>
        <w:t>峰值流量（石井净分公司</w:t>
      </w:r>
      <w:r>
        <w:rPr>
          <w:rFonts w:ascii="宋体" w:hAnsi="宋体" w:eastAsia="宋体" w:cs="宋体"/>
          <w:color w:val="auto"/>
          <w:sz w:val="24"/>
          <w:szCs w:val="24"/>
          <w:highlight w:val="none"/>
        </w:rPr>
        <w:t>195000m³/d</w:t>
      </w:r>
      <w:r>
        <w:rPr>
          <w:rFonts w:hint="eastAsia"/>
          <w:bCs/>
          <w:color w:val="auto"/>
          <w:sz w:val="24"/>
          <w:szCs w:val="24"/>
          <w:highlight w:val="none"/>
          <w:lang w:val="en-US" w:eastAsia="zh-CN"/>
        </w:rPr>
        <w:t>、龙归分公司</w:t>
      </w:r>
      <w:r>
        <w:rPr>
          <w:rFonts w:ascii="宋体" w:hAnsi="宋体" w:eastAsia="宋体" w:cs="宋体"/>
          <w:color w:val="auto"/>
          <w:sz w:val="24"/>
          <w:szCs w:val="24"/>
          <w:highlight w:val="none"/>
        </w:rPr>
        <w:t>195000m³/d</w:t>
      </w:r>
      <w:r>
        <w:rPr>
          <w:rFonts w:hint="eastAsia"/>
          <w:bCs/>
          <w:color w:val="auto"/>
          <w:sz w:val="24"/>
          <w:szCs w:val="24"/>
          <w:highlight w:val="none"/>
          <w:lang w:val="en-US" w:eastAsia="zh-CN"/>
        </w:rPr>
        <w:t>、竹料分公司85000m³/d）、</w:t>
      </w:r>
      <w:r>
        <w:rPr>
          <w:bCs/>
          <w:color w:val="auto"/>
          <w:sz w:val="24"/>
          <w:szCs w:val="24"/>
          <w:highlight w:val="none"/>
        </w:rPr>
        <w:t>SS≤10mg/L、平均固体颗粒尺寸≤30 microns，来水紫外线穿透率≥65%时，经紫外线消毒后出水粪大肠菌群检测结果≤10</w:t>
      </w:r>
      <w:r>
        <w:rPr>
          <w:rFonts w:hint="eastAsia"/>
          <w:bCs/>
          <w:color w:val="auto"/>
          <w:sz w:val="24"/>
          <w:szCs w:val="24"/>
          <w:highlight w:val="none"/>
          <w:lang w:val="en-US" w:eastAsia="zh-CN"/>
        </w:rPr>
        <w:t>0</w:t>
      </w:r>
      <w:r>
        <w:rPr>
          <w:bCs/>
          <w:color w:val="auto"/>
          <w:sz w:val="24"/>
          <w:szCs w:val="24"/>
          <w:highlight w:val="none"/>
        </w:rPr>
        <w:t>个/L。甲方每天于分公司出水取样口取样送化验室检测，若甲方化验室检测出水粪大肠菌数大于100个</w:t>
      </w:r>
      <w:r>
        <w:rPr>
          <w:rFonts w:hint="eastAsia"/>
          <w:bCs/>
          <w:color w:val="auto"/>
          <w:sz w:val="24"/>
          <w:szCs w:val="24"/>
          <w:highlight w:val="none"/>
          <w:lang w:val="en-US" w:eastAsia="zh-CN"/>
        </w:rPr>
        <w:t>/</w:t>
      </w:r>
      <w:r>
        <w:rPr>
          <w:bCs/>
          <w:color w:val="auto"/>
          <w:sz w:val="24"/>
          <w:szCs w:val="24"/>
          <w:highlight w:val="none"/>
        </w:rPr>
        <w:t>L，则由甲方委托有CMA资质的第三方检测单位到厂取水样进行连续三天的检测，检测费用由乙方负责，甲乙双方对第三方检测单位的检测结果均不得提出异议。</w:t>
      </w:r>
    </w:p>
    <w:p>
      <w:pPr>
        <w:ind w:firstLine="482"/>
        <w:rPr>
          <w:bCs/>
          <w:color w:val="auto"/>
          <w:sz w:val="24"/>
          <w:szCs w:val="24"/>
          <w:highlight w:val="none"/>
        </w:rPr>
      </w:pPr>
      <w:r>
        <w:rPr>
          <w:bCs/>
          <w:color w:val="auto"/>
          <w:sz w:val="24"/>
          <w:szCs w:val="24"/>
          <w:highlight w:val="none"/>
        </w:rPr>
        <w:t>若第三方检测单位检测结果不符合粪大肠菌群检测结果为≤10</w:t>
      </w:r>
      <w:r>
        <w:rPr>
          <w:rFonts w:hint="eastAsia"/>
          <w:bCs/>
          <w:color w:val="auto"/>
          <w:sz w:val="24"/>
          <w:szCs w:val="24"/>
          <w:highlight w:val="none"/>
          <w:lang w:val="en-US" w:eastAsia="zh-CN"/>
        </w:rPr>
        <w:t>0</w:t>
      </w:r>
      <w:r>
        <w:rPr>
          <w:bCs/>
          <w:color w:val="auto"/>
          <w:sz w:val="24"/>
          <w:szCs w:val="24"/>
          <w:highlight w:val="none"/>
        </w:rPr>
        <w:t>个/L，则检测结果视为不及格，甲方可要求乙方对所供设备进行全部更换并扣罚10000元作为违约金。因粪大肠杆菌不及格所造成的甲方经济损失,按照当天项目实施单位生产线日处理量,每吨2元计算违约金，甲方将保留追究法律责任的权利。</w:t>
      </w:r>
    </w:p>
    <w:p>
      <w:pPr>
        <w:ind w:firstLine="482"/>
        <w:rPr>
          <w:bCs/>
          <w:color w:val="auto"/>
          <w:sz w:val="24"/>
          <w:szCs w:val="24"/>
          <w:highlight w:val="none"/>
        </w:rPr>
      </w:pPr>
      <w:r>
        <w:rPr>
          <w:b/>
          <w:color w:val="auto"/>
          <w:sz w:val="24"/>
          <w:szCs w:val="24"/>
          <w:highlight w:val="none"/>
        </w:rPr>
        <w:t>第十一条 违约责任</w:t>
      </w:r>
    </w:p>
    <w:p>
      <w:pPr>
        <w:ind w:firstLine="482"/>
        <w:rPr>
          <w:bCs/>
          <w:color w:val="auto"/>
          <w:sz w:val="24"/>
          <w:szCs w:val="24"/>
          <w:highlight w:val="none"/>
        </w:rPr>
      </w:pPr>
      <w:r>
        <w:rPr>
          <w:bCs/>
          <w:color w:val="auto"/>
          <w:sz w:val="24"/>
          <w:szCs w:val="24"/>
          <w:highlight w:val="none"/>
        </w:rPr>
        <w:t>11.1 延期交货的违约责任</w:t>
      </w:r>
    </w:p>
    <w:p>
      <w:pPr>
        <w:ind w:firstLine="482"/>
        <w:rPr>
          <w:bCs/>
          <w:color w:val="auto"/>
          <w:sz w:val="24"/>
          <w:szCs w:val="24"/>
          <w:highlight w:val="none"/>
        </w:rPr>
      </w:pPr>
      <w:r>
        <w:rPr>
          <w:bCs/>
          <w:color w:val="auto"/>
          <w:sz w:val="24"/>
          <w:szCs w:val="24"/>
          <w:highlight w:val="none"/>
        </w:rPr>
        <w:t>11.1.1 乙方应按照本合同约定的时间交货。如乙方因客观情况导致无法按时交货，乙方应在交货期前</w:t>
      </w:r>
      <w:r>
        <w:rPr>
          <w:bCs/>
          <w:color w:val="auto"/>
          <w:sz w:val="24"/>
          <w:szCs w:val="24"/>
          <w:highlight w:val="none"/>
          <w:u w:val="single"/>
        </w:rPr>
        <w:t xml:space="preserve"> 15 </w:t>
      </w:r>
      <w:r>
        <w:rPr>
          <w:bCs/>
          <w:color w:val="auto"/>
          <w:sz w:val="24"/>
          <w:szCs w:val="24"/>
          <w:highlight w:val="none"/>
        </w:rPr>
        <w:t>日，以书面形式将原因及预计拖延的时间通知甲方。经甲方同意后，交货期顺延。</w:t>
      </w:r>
    </w:p>
    <w:p>
      <w:pPr>
        <w:ind w:firstLine="482"/>
        <w:rPr>
          <w:bCs/>
          <w:color w:val="auto"/>
          <w:sz w:val="24"/>
          <w:szCs w:val="24"/>
          <w:highlight w:val="none"/>
        </w:rPr>
      </w:pPr>
      <w:r>
        <w:rPr>
          <w:bCs/>
          <w:color w:val="auto"/>
          <w:sz w:val="24"/>
          <w:szCs w:val="24"/>
          <w:highlight w:val="none"/>
        </w:rPr>
        <w:t>11.1.2乙方未能在合同规定期限内交货并交付完整技术资料的，每逾期一天，甲方有权按迟</w:t>
      </w:r>
      <w:r>
        <w:rPr>
          <w:bCs/>
          <w:color w:val="auto"/>
          <w:sz w:val="24"/>
          <w:szCs w:val="24"/>
          <w:highlight w:val="none"/>
          <w:u w:val="single"/>
        </w:rPr>
        <w:t>交货货物价格的1%/天</w:t>
      </w:r>
      <w:r>
        <w:rPr>
          <w:bCs/>
          <w:color w:val="auto"/>
          <w:sz w:val="24"/>
          <w:szCs w:val="24"/>
          <w:highlight w:val="none"/>
        </w:rPr>
        <w:t>要求乙方支付违约金。逾期超过</w:t>
      </w:r>
      <w:r>
        <w:rPr>
          <w:bCs/>
          <w:color w:val="auto"/>
          <w:sz w:val="24"/>
          <w:szCs w:val="24"/>
          <w:highlight w:val="none"/>
          <w:u w:val="single"/>
        </w:rPr>
        <w:t xml:space="preserve"> 15 </w:t>
      </w:r>
      <w:r>
        <w:rPr>
          <w:bCs/>
          <w:color w:val="auto"/>
          <w:sz w:val="24"/>
          <w:szCs w:val="24"/>
          <w:highlight w:val="none"/>
        </w:rPr>
        <w:t>天，甲方有权解除合同，要求乙方支付迟延违约金并在3天内退回预付款及利息（如有），且扣除乙方履约担保全部金额（如有）。如由于乙方逾期交货对甲方生产造成影响，甲方有权要求乙方赔偿损失。</w:t>
      </w:r>
    </w:p>
    <w:p>
      <w:pPr>
        <w:ind w:firstLine="482"/>
        <w:rPr>
          <w:bCs/>
          <w:color w:val="auto"/>
          <w:sz w:val="24"/>
          <w:szCs w:val="24"/>
          <w:highlight w:val="none"/>
        </w:rPr>
      </w:pPr>
      <w:r>
        <w:rPr>
          <w:bCs/>
          <w:color w:val="auto"/>
          <w:sz w:val="24"/>
          <w:szCs w:val="24"/>
          <w:highlight w:val="none"/>
        </w:rPr>
        <w:t>11.2 质量问题的违约责任</w:t>
      </w:r>
    </w:p>
    <w:p>
      <w:pPr>
        <w:ind w:firstLine="482"/>
        <w:rPr>
          <w:bCs/>
          <w:color w:val="auto"/>
          <w:sz w:val="24"/>
          <w:szCs w:val="24"/>
          <w:highlight w:val="none"/>
        </w:rPr>
      </w:pPr>
      <w:r>
        <w:rPr>
          <w:bCs/>
          <w:color w:val="auto"/>
          <w:sz w:val="24"/>
          <w:szCs w:val="24"/>
          <w:highlight w:val="none"/>
        </w:rPr>
        <w:t>11.2.1 自乙方交货后至质量保修期满的期间内，甲方经检查发现或合同货物经安装、调试、试车或运行显示，合同货物或其任何部件存在质量问题，达不到本合同技术要求。甲方有权要求乙方采取下列一种或多种方式予以解决：</w:t>
      </w:r>
    </w:p>
    <w:p>
      <w:pPr>
        <w:ind w:firstLine="482"/>
        <w:rPr>
          <w:bCs/>
          <w:color w:val="auto"/>
          <w:sz w:val="24"/>
          <w:szCs w:val="24"/>
          <w:highlight w:val="none"/>
        </w:rPr>
      </w:pPr>
      <w:r>
        <w:rPr>
          <w:bCs/>
          <w:color w:val="auto"/>
          <w:sz w:val="24"/>
          <w:szCs w:val="24"/>
          <w:highlight w:val="none"/>
        </w:rPr>
        <w:t>（1）乙方承担费用，用合格的新货物更换有缺陷的货物或修补缺陷部分；</w:t>
      </w:r>
    </w:p>
    <w:p>
      <w:pPr>
        <w:ind w:firstLine="482"/>
        <w:rPr>
          <w:bCs/>
          <w:color w:val="auto"/>
          <w:sz w:val="24"/>
          <w:szCs w:val="24"/>
          <w:highlight w:val="none"/>
        </w:rPr>
      </w:pPr>
      <w:r>
        <w:rPr>
          <w:bCs/>
          <w:color w:val="auto"/>
          <w:sz w:val="24"/>
          <w:szCs w:val="24"/>
          <w:highlight w:val="none"/>
        </w:rPr>
        <w:t>（2）退还货物，同时将甲方已经支付的合同价款全额退还甲方，并承担甲方因履行本合同而支出的一切费用，包括但不限于利息、银行手续费、仓储费、卸货费以及因退回货物所需的其他费用。</w:t>
      </w:r>
    </w:p>
    <w:p>
      <w:pPr>
        <w:ind w:firstLine="482"/>
        <w:rPr>
          <w:bCs/>
          <w:color w:val="auto"/>
          <w:sz w:val="24"/>
          <w:szCs w:val="24"/>
          <w:highlight w:val="none"/>
        </w:rPr>
      </w:pPr>
      <w:r>
        <w:rPr>
          <w:bCs/>
          <w:color w:val="auto"/>
          <w:sz w:val="24"/>
          <w:szCs w:val="24"/>
          <w:highlight w:val="none"/>
        </w:rPr>
        <w:t>（3）按不合格货物价格的</w:t>
      </w:r>
      <w:r>
        <w:rPr>
          <w:bCs/>
          <w:color w:val="auto"/>
          <w:sz w:val="24"/>
          <w:szCs w:val="24"/>
          <w:highlight w:val="none"/>
          <w:u w:val="single"/>
        </w:rPr>
        <w:t>50</w:t>
      </w:r>
      <w:r>
        <w:rPr>
          <w:bCs/>
          <w:color w:val="auto"/>
          <w:sz w:val="24"/>
          <w:szCs w:val="24"/>
          <w:highlight w:val="none"/>
        </w:rPr>
        <w:t>%支付违约金。</w:t>
      </w:r>
    </w:p>
    <w:p>
      <w:pPr>
        <w:ind w:firstLine="480" w:firstLineChars="200"/>
        <w:rPr>
          <w:bCs/>
          <w:color w:val="auto"/>
          <w:sz w:val="24"/>
          <w:szCs w:val="24"/>
          <w:highlight w:val="none"/>
        </w:rPr>
      </w:pPr>
      <w:r>
        <w:rPr>
          <w:bCs/>
          <w:color w:val="auto"/>
          <w:sz w:val="24"/>
          <w:szCs w:val="24"/>
          <w:highlight w:val="none"/>
        </w:rPr>
        <w:t>（4）赔偿甲方因货物质量问题导致的一切损失。</w:t>
      </w:r>
    </w:p>
    <w:p>
      <w:pPr>
        <w:ind w:firstLine="482"/>
        <w:rPr>
          <w:bCs/>
          <w:color w:val="auto"/>
          <w:sz w:val="24"/>
          <w:szCs w:val="24"/>
          <w:highlight w:val="none"/>
        </w:rPr>
      </w:pPr>
      <w:r>
        <w:rPr>
          <w:bCs/>
          <w:color w:val="auto"/>
          <w:sz w:val="24"/>
          <w:szCs w:val="24"/>
          <w:highlight w:val="none"/>
        </w:rPr>
        <w:t>11.2.2 如果乙方提供的技术资料有错误，或者由于乙方技术人员原因造成货物安装、调试不成功和（或）造成合同货物损坏的情况，乙方应在</w:t>
      </w:r>
      <w:r>
        <w:rPr>
          <w:bCs/>
          <w:color w:val="auto"/>
          <w:sz w:val="24"/>
          <w:szCs w:val="24"/>
          <w:highlight w:val="none"/>
          <w:u w:val="single"/>
        </w:rPr>
        <w:t>24</w:t>
      </w:r>
      <w:r>
        <w:rPr>
          <w:bCs/>
          <w:color w:val="auto"/>
          <w:sz w:val="24"/>
          <w:szCs w:val="24"/>
          <w:highlight w:val="none"/>
        </w:rPr>
        <w:t>小时内采取修理、更换、退货等补救措施并负担因此发生的费用，同时需向甲方支付</w:t>
      </w:r>
      <w:r>
        <w:rPr>
          <w:bCs/>
          <w:color w:val="auto"/>
          <w:sz w:val="24"/>
          <w:szCs w:val="24"/>
          <w:highlight w:val="none"/>
          <w:u w:val="single"/>
        </w:rPr>
        <w:t xml:space="preserve">不合格货物价格的 50 </w:t>
      </w:r>
      <w:r>
        <w:rPr>
          <w:bCs/>
          <w:color w:val="auto"/>
          <w:sz w:val="24"/>
          <w:szCs w:val="24"/>
          <w:highlight w:val="none"/>
        </w:rPr>
        <w:t>%作为违约金。</w:t>
      </w:r>
    </w:p>
    <w:p>
      <w:pPr>
        <w:ind w:firstLine="482"/>
        <w:rPr>
          <w:color w:val="auto"/>
          <w:sz w:val="24"/>
          <w:szCs w:val="24"/>
          <w:highlight w:val="none"/>
        </w:rPr>
      </w:pPr>
      <w:r>
        <w:rPr>
          <w:bCs/>
          <w:color w:val="auto"/>
          <w:sz w:val="24"/>
          <w:szCs w:val="24"/>
          <w:highlight w:val="none"/>
        </w:rPr>
        <w:t>11.2.3 在开箱检验、或使用过程中发现乙方提交的合同货物为贴牌、假冒、伪劣、翻新产品，或生产组成合同货物的原材料、配件是贴牌、假冒、伪劣货物时，乙方应在甲方通知之日自行收回货物，甲方不负保管责任，货物毁损灭失风险自甲方通知之时起由乙方承担，乙方将甲方已支付款项（含预付款）退还甲方，并按</w:t>
      </w:r>
      <w:r>
        <w:rPr>
          <w:bCs/>
          <w:color w:val="auto"/>
          <w:sz w:val="24"/>
          <w:szCs w:val="24"/>
          <w:highlight w:val="none"/>
          <w:u w:val="single"/>
        </w:rPr>
        <w:t>合同暂定总价的 100 %</w:t>
      </w:r>
      <w:r>
        <w:rPr>
          <w:bCs/>
          <w:color w:val="auto"/>
          <w:sz w:val="24"/>
          <w:szCs w:val="24"/>
          <w:highlight w:val="none"/>
        </w:rPr>
        <w:t>支付违约金。</w:t>
      </w:r>
    </w:p>
    <w:p>
      <w:pPr>
        <w:ind w:firstLine="480" w:firstLineChars="200"/>
        <w:rPr>
          <w:color w:val="auto"/>
          <w:sz w:val="24"/>
          <w:szCs w:val="24"/>
          <w:highlight w:val="none"/>
        </w:rPr>
      </w:pPr>
      <w:r>
        <w:rPr>
          <w:color w:val="auto"/>
          <w:sz w:val="24"/>
          <w:szCs w:val="24"/>
          <w:highlight w:val="none"/>
        </w:rPr>
        <w:t>11.2.4 在合同货物设计使用寿命期内，如果乙方发现合同货物由于设计、制造、标识等原因存在足以危及人身、财产安全的缺陷，应及时通知甲方并采取修正或者补充标识、修理、更换等措施消除缺陷，因货物缺陷造成的一切损害，乙方应承担全部赔偿责任。</w:t>
      </w:r>
    </w:p>
    <w:p>
      <w:pPr>
        <w:ind w:firstLine="482"/>
        <w:rPr>
          <w:bCs/>
          <w:color w:val="auto"/>
          <w:sz w:val="24"/>
          <w:szCs w:val="24"/>
          <w:highlight w:val="none"/>
        </w:rPr>
      </w:pPr>
      <w:r>
        <w:rPr>
          <w:bCs/>
          <w:color w:val="auto"/>
          <w:sz w:val="24"/>
          <w:szCs w:val="24"/>
          <w:highlight w:val="none"/>
        </w:rPr>
        <w:t>11.3 如乙方未按合同第六条约定递交履约保证金，甲方有权解除合同并要求乙方支付</w:t>
      </w:r>
      <w:r>
        <w:rPr>
          <w:bCs/>
          <w:color w:val="auto"/>
          <w:sz w:val="24"/>
          <w:szCs w:val="24"/>
          <w:highlight w:val="none"/>
          <w:u w:val="single"/>
        </w:rPr>
        <w:t>合同暂定总价的20%</w:t>
      </w:r>
      <w:r>
        <w:rPr>
          <w:bCs/>
          <w:color w:val="auto"/>
          <w:sz w:val="24"/>
          <w:szCs w:val="24"/>
          <w:highlight w:val="none"/>
        </w:rPr>
        <w:t xml:space="preserve">作为违约金。 </w:t>
      </w:r>
    </w:p>
    <w:p>
      <w:pPr>
        <w:ind w:firstLine="482"/>
        <w:rPr>
          <w:color w:val="auto"/>
          <w:sz w:val="24"/>
          <w:szCs w:val="24"/>
          <w:highlight w:val="none"/>
        </w:rPr>
      </w:pPr>
      <w:r>
        <w:rPr>
          <w:bCs/>
          <w:color w:val="auto"/>
          <w:sz w:val="24"/>
          <w:szCs w:val="24"/>
          <w:highlight w:val="none"/>
        </w:rPr>
        <w:t>11.4 如双方对质量责任认定有争议，</w:t>
      </w:r>
      <w:r>
        <w:rPr>
          <w:color w:val="auto"/>
          <w:sz w:val="24"/>
          <w:szCs w:val="24"/>
          <w:highlight w:val="none"/>
        </w:rPr>
        <w:t>由甲方委托具备相关资质的第三方质检机构出具质检报告。因第三方质检机构产生的费用先由乙方支付，如果检验结果为不合格，则该费用由乙方承担，如果检验结果为合格，则该费用由甲方承担。</w:t>
      </w:r>
    </w:p>
    <w:p>
      <w:pPr>
        <w:ind w:firstLine="482"/>
        <w:rPr>
          <w:bCs/>
          <w:color w:val="auto"/>
          <w:sz w:val="24"/>
          <w:szCs w:val="24"/>
          <w:highlight w:val="none"/>
        </w:rPr>
      </w:pPr>
      <w:r>
        <w:rPr>
          <w:bCs/>
          <w:color w:val="auto"/>
          <w:sz w:val="24"/>
          <w:szCs w:val="24"/>
          <w:highlight w:val="none"/>
        </w:rPr>
        <w:t>11.5乙方不履行合同义务、或履行合同义务不符合合同约定、或违反国家、省、市行业标准的，甲方有权要求乙方限期整改。乙方逾期未完成整改的，每项每超过1日支付违约金人民币1万元，超过</w:t>
      </w:r>
      <w:r>
        <w:rPr>
          <w:bCs/>
          <w:color w:val="auto"/>
          <w:sz w:val="24"/>
          <w:szCs w:val="24"/>
          <w:highlight w:val="none"/>
          <w:u w:val="single"/>
        </w:rPr>
        <w:t>15</w:t>
      </w:r>
      <w:r>
        <w:rPr>
          <w:bCs/>
          <w:color w:val="auto"/>
          <w:sz w:val="24"/>
          <w:szCs w:val="24"/>
          <w:highlight w:val="none"/>
        </w:rPr>
        <w:t>日，甲方有权解除合同并要求乙方支付</w:t>
      </w:r>
      <w:r>
        <w:rPr>
          <w:bCs/>
          <w:color w:val="auto"/>
          <w:sz w:val="24"/>
          <w:szCs w:val="24"/>
          <w:highlight w:val="none"/>
          <w:u w:val="single"/>
        </w:rPr>
        <w:t>合同暂定总价的20%</w:t>
      </w:r>
      <w:r>
        <w:rPr>
          <w:bCs/>
          <w:color w:val="auto"/>
          <w:sz w:val="24"/>
          <w:szCs w:val="24"/>
          <w:highlight w:val="none"/>
        </w:rPr>
        <w:t>作为违约金（</w:t>
      </w:r>
      <w:r>
        <w:rPr>
          <w:color w:val="auto"/>
          <w:sz w:val="24"/>
          <w:szCs w:val="24"/>
          <w:highlight w:val="none"/>
        </w:rPr>
        <w:t>如合同另行约定违约责任，从其约定</w:t>
      </w:r>
      <w:r>
        <w:rPr>
          <w:bCs/>
          <w:color w:val="auto"/>
          <w:sz w:val="24"/>
          <w:szCs w:val="24"/>
          <w:highlight w:val="none"/>
        </w:rPr>
        <w:t xml:space="preserve">）。 </w:t>
      </w:r>
    </w:p>
    <w:p>
      <w:pPr>
        <w:ind w:firstLine="482" w:firstLineChars="200"/>
        <w:rPr>
          <w:b/>
          <w:color w:val="auto"/>
          <w:sz w:val="24"/>
          <w:szCs w:val="24"/>
          <w:highlight w:val="none"/>
        </w:rPr>
      </w:pPr>
      <w:r>
        <w:rPr>
          <w:b/>
          <w:color w:val="auto"/>
          <w:sz w:val="24"/>
          <w:szCs w:val="24"/>
          <w:highlight w:val="none"/>
        </w:rPr>
        <w:t>第十二条 变更或解除</w:t>
      </w:r>
    </w:p>
    <w:p>
      <w:pPr>
        <w:ind w:firstLine="482"/>
        <w:rPr>
          <w:bCs/>
          <w:color w:val="auto"/>
          <w:sz w:val="24"/>
          <w:szCs w:val="24"/>
          <w:highlight w:val="none"/>
        </w:rPr>
      </w:pPr>
      <w:r>
        <w:rPr>
          <w:bCs/>
          <w:color w:val="auto"/>
          <w:sz w:val="24"/>
          <w:szCs w:val="24"/>
          <w:highlight w:val="none"/>
        </w:rPr>
        <w:t>12.1 甲方解除合同</w:t>
      </w:r>
    </w:p>
    <w:p>
      <w:pPr>
        <w:ind w:firstLine="482"/>
        <w:rPr>
          <w:bCs/>
          <w:color w:val="auto"/>
          <w:sz w:val="24"/>
          <w:szCs w:val="24"/>
          <w:highlight w:val="none"/>
        </w:rPr>
      </w:pPr>
      <w:r>
        <w:rPr>
          <w:bCs/>
          <w:color w:val="auto"/>
          <w:sz w:val="24"/>
          <w:szCs w:val="24"/>
          <w:highlight w:val="none"/>
        </w:rPr>
        <w:t>如乙方存在下述情况之一，甲方有权向乙方发出书面通知，全部或部分解除本合同：</w:t>
      </w:r>
    </w:p>
    <w:p>
      <w:pPr>
        <w:ind w:firstLine="482"/>
        <w:rPr>
          <w:bCs/>
          <w:color w:val="auto"/>
          <w:sz w:val="24"/>
          <w:szCs w:val="24"/>
          <w:highlight w:val="none"/>
        </w:rPr>
      </w:pPr>
      <w:r>
        <w:rPr>
          <w:bCs/>
          <w:color w:val="auto"/>
          <w:sz w:val="24"/>
          <w:szCs w:val="24"/>
          <w:highlight w:val="none"/>
        </w:rPr>
        <w:t xml:space="preserve">12.1.1 乙方未能在本合同约定或甲方另行指定的期限内提供部分或全部货物或提供技术服务，并经甲方催告后仍未提供； </w:t>
      </w:r>
    </w:p>
    <w:p>
      <w:pPr>
        <w:ind w:firstLine="480" w:firstLineChars="200"/>
        <w:rPr>
          <w:bCs/>
          <w:color w:val="auto"/>
          <w:sz w:val="24"/>
          <w:szCs w:val="24"/>
          <w:highlight w:val="none"/>
        </w:rPr>
      </w:pPr>
      <w:r>
        <w:rPr>
          <w:bCs/>
          <w:color w:val="auto"/>
          <w:sz w:val="24"/>
          <w:szCs w:val="24"/>
          <w:highlight w:val="none"/>
        </w:rPr>
        <w:t>12.1.2乙方交付的货物存在严重的质量问题，导致本合同目的不能实现；</w:t>
      </w:r>
    </w:p>
    <w:p>
      <w:pPr>
        <w:ind w:firstLine="480" w:firstLineChars="200"/>
        <w:rPr>
          <w:bCs/>
          <w:color w:val="auto"/>
          <w:sz w:val="24"/>
          <w:szCs w:val="24"/>
          <w:highlight w:val="none"/>
        </w:rPr>
      </w:pPr>
      <w:r>
        <w:rPr>
          <w:bCs/>
          <w:color w:val="auto"/>
          <w:sz w:val="24"/>
          <w:szCs w:val="24"/>
          <w:highlight w:val="none"/>
        </w:rPr>
        <w:t>12.1.3 乙方存在违反合同义务的其他情形，经甲方催告后仍未作出补救或完成整改；</w:t>
      </w:r>
    </w:p>
    <w:p>
      <w:pPr>
        <w:ind w:firstLine="480" w:firstLineChars="200"/>
        <w:rPr>
          <w:bCs/>
          <w:color w:val="auto"/>
          <w:sz w:val="24"/>
          <w:szCs w:val="24"/>
          <w:highlight w:val="none"/>
        </w:rPr>
      </w:pPr>
      <w:r>
        <w:rPr>
          <w:bCs/>
          <w:color w:val="auto"/>
          <w:sz w:val="24"/>
          <w:szCs w:val="24"/>
          <w:highlight w:val="none"/>
        </w:rPr>
        <w:t>12.1.4 乙方投标时提交的资料不真实，或任何时候发现乙方有违反投标时的承诺和（或）声明的情况；</w:t>
      </w:r>
    </w:p>
    <w:p>
      <w:pPr>
        <w:ind w:firstLine="482"/>
        <w:rPr>
          <w:bCs/>
          <w:color w:val="auto"/>
          <w:sz w:val="24"/>
          <w:szCs w:val="24"/>
          <w:highlight w:val="none"/>
        </w:rPr>
      </w:pPr>
      <w:r>
        <w:rPr>
          <w:bCs/>
          <w:color w:val="auto"/>
          <w:sz w:val="24"/>
          <w:szCs w:val="24"/>
          <w:highlight w:val="none"/>
        </w:rPr>
        <w:t>12.2 乙方解除合同</w:t>
      </w:r>
    </w:p>
    <w:p>
      <w:pPr>
        <w:ind w:firstLine="482"/>
        <w:rPr>
          <w:color w:val="auto"/>
          <w:sz w:val="24"/>
          <w:szCs w:val="24"/>
          <w:highlight w:val="none"/>
        </w:rPr>
      </w:pPr>
      <w:r>
        <w:rPr>
          <w:bCs/>
          <w:color w:val="auto"/>
          <w:sz w:val="24"/>
          <w:szCs w:val="24"/>
          <w:highlight w:val="none"/>
        </w:rPr>
        <w:t>如甲方无正当理由未能按本合同约定期限向乙方支付合同款，并经乙方催告后超过</w:t>
      </w:r>
      <w:r>
        <w:rPr>
          <w:bCs/>
          <w:color w:val="auto"/>
          <w:sz w:val="24"/>
          <w:szCs w:val="24"/>
          <w:highlight w:val="none"/>
          <w:u w:val="single"/>
        </w:rPr>
        <w:t xml:space="preserve"> 60 </w:t>
      </w:r>
      <w:r>
        <w:rPr>
          <w:bCs/>
          <w:color w:val="auto"/>
          <w:sz w:val="24"/>
          <w:szCs w:val="24"/>
          <w:highlight w:val="none"/>
        </w:rPr>
        <w:t>天仍未支付，乙方有权以书面通知解除本合同。</w:t>
      </w:r>
    </w:p>
    <w:p>
      <w:pPr>
        <w:ind w:firstLine="482"/>
        <w:rPr>
          <w:color w:val="auto"/>
          <w:sz w:val="24"/>
          <w:szCs w:val="24"/>
          <w:highlight w:val="none"/>
        </w:rPr>
      </w:pPr>
      <w:r>
        <w:rPr>
          <w:color w:val="auto"/>
          <w:sz w:val="24"/>
          <w:szCs w:val="24"/>
          <w:highlight w:val="none"/>
        </w:rPr>
        <w:t>   12.3甲乙双方经协商一致后解除合同。</w:t>
      </w:r>
    </w:p>
    <w:p>
      <w:pPr>
        <w:ind w:firstLine="482" w:firstLineChars="200"/>
        <w:rPr>
          <w:color w:val="auto"/>
          <w:sz w:val="24"/>
          <w:szCs w:val="24"/>
          <w:highlight w:val="none"/>
        </w:rPr>
      </w:pPr>
      <w:r>
        <w:rPr>
          <w:b/>
          <w:bCs/>
          <w:color w:val="auto"/>
          <w:sz w:val="24"/>
          <w:szCs w:val="24"/>
          <w:highlight w:val="none"/>
        </w:rPr>
        <w:t>第十三条 不可抗力</w:t>
      </w:r>
    </w:p>
    <w:p>
      <w:pPr>
        <w:ind w:firstLine="480" w:firstLineChars="200"/>
        <w:rPr>
          <w:color w:val="auto"/>
          <w:sz w:val="24"/>
          <w:szCs w:val="24"/>
          <w:highlight w:val="none"/>
        </w:rPr>
      </w:pPr>
      <w:r>
        <w:rPr>
          <w:color w:val="auto"/>
          <w:sz w:val="24"/>
          <w:szCs w:val="24"/>
          <w:highlight w:val="none"/>
        </w:rPr>
        <w:t>13.1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ind w:firstLine="480" w:firstLineChars="200"/>
        <w:rPr>
          <w:color w:val="auto"/>
          <w:sz w:val="24"/>
          <w:szCs w:val="24"/>
          <w:highlight w:val="none"/>
        </w:rPr>
      </w:pPr>
      <w:r>
        <w:rPr>
          <w:color w:val="auto"/>
          <w:sz w:val="24"/>
          <w:szCs w:val="24"/>
          <w:highlight w:val="none"/>
        </w:rPr>
        <w:t>（1）地震、火山爆发、滑坡、暴雨（橙色预警及以上）、台风（黄色预警及以上）、海啸、龙卷风、大面积流行病(如：非典型性肺炎等)或瘟疫；</w:t>
      </w:r>
    </w:p>
    <w:p>
      <w:pPr>
        <w:ind w:firstLine="480" w:firstLineChars="200"/>
        <w:rPr>
          <w:color w:val="auto"/>
          <w:sz w:val="24"/>
          <w:szCs w:val="24"/>
          <w:highlight w:val="none"/>
        </w:rPr>
      </w:pPr>
      <w:r>
        <w:rPr>
          <w:color w:val="auto"/>
          <w:sz w:val="24"/>
          <w:szCs w:val="24"/>
          <w:highlight w:val="none"/>
        </w:rPr>
        <w:t>（2）战争行为、入侵、武装冲突或外敌行为、封锁、暴乱、恐怖行为或军事演习；</w:t>
      </w:r>
    </w:p>
    <w:p>
      <w:pPr>
        <w:ind w:firstLine="480" w:firstLineChars="200"/>
        <w:rPr>
          <w:color w:val="auto"/>
          <w:sz w:val="24"/>
          <w:szCs w:val="24"/>
          <w:highlight w:val="none"/>
        </w:rPr>
      </w:pPr>
      <w:r>
        <w:rPr>
          <w:color w:val="auto"/>
          <w:sz w:val="24"/>
          <w:szCs w:val="24"/>
          <w:highlight w:val="none"/>
        </w:rPr>
        <w:t>13.2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ind w:firstLine="480" w:firstLineChars="200"/>
        <w:rPr>
          <w:color w:val="auto"/>
          <w:sz w:val="24"/>
          <w:szCs w:val="24"/>
          <w:highlight w:val="none"/>
        </w:rPr>
      </w:pPr>
      <w:r>
        <w:rPr>
          <w:color w:val="auto"/>
          <w:sz w:val="24"/>
          <w:szCs w:val="24"/>
          <w:highlight w:val="none"/>
        </w:rPr>
        <w:t>13.3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ind w:firstLine="480" w:firstLineChars="200"/>
        <w:rPr>
          <w:color w:val="auto"/>
          <w:sz w:val="24"/>
          <w:szCs w:val="24"/>
          <w:highlight w:val="none"/>
        </w:rPr>
      </w:pPr>
      <w:r>
        <w:rPr>
          <w:color w:val="auto"/>
          <w:sz w:val="24"/>
          <w:szCs w:val="24"/>
          <w:highlight w:val="none"/>
        </w:rPr>
        <w:t>13.4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ind w:firstLine="482" w:firstLineChars="200"/>
        <w:rPr>
          <w:b/>
          <w:color w:val="auto"/>
          <w:sz w:val="24"/>
          <w:szCs w:val="24"/>
          <w:highlight w:val="none"/>
        </w:rPr>
      </w:pPr>
      <w:r>
        <w:rPr>
          <w:b/>
          <w:color w:val="auto"/>
          <w:sz w:val="24"/>
          <w:szCs w:val="24"/>
          <w:highlight w:val="none"/>
        </w:rPr>
        <w:t>第十四条 争议解决方式：</w:t>
      </w:r>
    </w:p>
    <w:p>
      <w:pPr>
        <w:ind w:firstLine="600" w:firstLineChars="250"/>
        <w:rPr>
          <w:color w:val="auto"/>
          <w:sz w:val="24"/>
          <w:szCs w:val="24"/>
          <w:highlight w:val="none"/>
        </w:rPr>
      </w:pPr>
      <w:r>
        <w:rPr>
          <w:color w:val="auto"/>
          <w:sz w:val="24"/>
          <w:szCs w:val="24"/>
          <w:highlight w:val="none"/>
        </w:rPr>
        <w:t>14.1 因本合同引起的或与本合同有关的任何争议，甲乙双方应友好协商解决，如协商不成，任何一方均可依法向</w:t>
      </w:r>
      <w:r>
        <w:rPr>
          <w:color w:val="auto"/>
          <w:sz w:val="24"/>
          <w:szCs w:val="24"/>
          <w:highlight w:val="none"/>
          <w:u w:val="single"/>
        </w:rPr>
        <w:t>甲方所在地人民法院</w:t>
      </w:r>
      <w:r>
        <w:rPr>
          <w:color w:val="auto"/>
          <w:sz w:val="24"/>
          <w:szCs w:val="24"/>
          <w:highlight w:val="none"/>
        </w:rPr>
        <w:t>提起诉讼。</w:t>
      </w:r>
    </w:p>
    <w:p>
      <w:pPr>
        <w:ind w:firstLine="600" w:firstLineChars="250"/>
        <w:rPr>
          <w:color w:val="auto"/>
          <w:sz w:val="24"/>
          <w:szCs w:val="24"/>
          <w:highlight w:val="none"/>
        </w:rPr>
      </w:pPr>
      <w:r>
        <w:rPr>
          <w:color w:val="auto"/>
          <w:sz w:val="24"/>
          <w:szCs w:val="24"/>
          <w:highlight w:val="none"/>
        </w:rPr>
        <w:t>14.2 在甲方同意的情况下，除有争端之外的合同其它部分在争端解决前应继续执行。</w:t>
      </w:r>
    </w:p>
    <w:p>
      <w:pPr>
        <w:ind w:firstLine="482" w:firstLineChars="200"/>
        <w:rPr>
          <w:b/>
          <w:color w:val="auto"/>
          <w:sz w:val="24"/>
          <w:szCs w:val="24"/>
          <w:highlight w:val="none"/>
        </w:rPr>
      </w:pPr>
      <w:r>
        <w:rPr>
          <w:b/>
          <w:color w:val="auto"/>
          <w:sz w:val="24"/>
          <w:szCs w:val="24"/>
          <w:highlight w:val="none"/>
        </w:rPr>
        <w:t>第十五条 其他：</w:t>
      </w:r>
    </w:p>
    <w:p>
      <w:pPr>
        <w:ind w:firstLine="595" w:firstLineChars="248"/>
        <w:rPr>
          <w:b/>
          <w:color w:val="auto"/>
          <w:sz w:val="24"/>
          <w:szCs w:val="24"/>
          <w:highlight w:val="none"/>
        </w:rPr>
      </w:pPr>
      <w:r>
        <w:rPr>
          <w:bCs/>
          <w:color w:val="auto"/>
          <w:sz w:val="24"/>
          <w:szCs w:val="24"/>
          <w:highlight w:val="none"/>
        </w:rPr>
        <w:t>15.1</w:t>
      </w:r>
      <w:r>
        <w:rPr>
          <w:color w:val="auto"/>
          <w:sz w:val="24"/>
          <w:szCs w:val="24"/>
          <w:highlight w:val="none"/>
        </w:rPr>
        <w:t>本合同未尽事宜，可由甲乙双方另行签订补充协议。补充协议与本合同具有同等法律效力。</w:t>
      </w:r>
    </w:p>
    <w:p>
      <w:pPr>
        <w:ind w:firstLine="600" w:firstLineChars="250"/>
        <w:rPr>
          <w:color w:val="auto"/>
          <w:sz w:val="24"/>
          <w:szCs w:val="24"/>
          <w:highlight w:val="none"/>
        </w:rPr>
      </w:pPr>
      <w:r>
        <w:rPr>
          <w:color w:val="auto"/>
          <w:sz w:val="24"/>
          <w:szCs w:val="24"/>
          <w:highlight w:val="none"/>
        </w:rPr>
        <w:t>15.2本合同自甲乙双方法定代表人或授权代理人签字并盖章之日起生效。</w:t>
      </w:r>
    </w:p>
    <w:p>
      <w:pPr>
        <w:ind w:firstLine="600" w:firstLineChars="250"/>
        <w:rPr>
          <w:color w:val="auto"/>
          <w:sz w:val="24"/>
          <w:szCs w:val="24"/>
          <w:highlight w:val="none"/>
        </w:rPr>
      </w:pPr>
      <w:r>
        <w:rPr>
          <w:color w:val="auto"/>
          <w:sz w:val="24"/>
          <w:szCs w:val="24"/>
          <w:highlight w:val="none"/>
        </w:rPr>
        <w:t>15.3本合同一式</w:t>
      </w:r>
      <w:r>
        <w:rPr>
          <w:color w:val="auto"/>
          <w:sz w:val="24"/>
          <w:szCs w:val="24"/>
          <w:highlight w:val="none"/>
          <w:u w:val="single"/>
        </w:rPr>
        <w:t xml:space="preserve"> </w:t>
      </w:r>
      <w:r>
        <w:rPr>
          <w:rFonts w:hint="eastAsia"/>
          <w:color w:val="auto"/>
          <w:sz w:val="24"/>
          <w:szCs w:val="24"/>
          <w:highlight w:val="none"/>
          <w:u w:val="single"/>
          <w:lang w:val="en-US" w:eastAsia="zh-CN"/>
        </w:rPr>
        <w:t xml:space="preserve">  </w:t>
      </w:r>
      <w:r>
        <w:rPr>
          <w:color w:val="auto"/>
          <w:sz w:val="24"/>
          <w:szCs w:val="24"/>
          <w:highlight w:val="none"/>
          <w:u w:val="single"/>
        </w:rPr>
        <w:t xml:space="preserve"> </w:t>
      </w:r>
      <w:r>
        <w:rPr>
          <w:color w:val="auto"/>
          <w:sz w:val="24"/>
          <w:szCs w:val="24"/>
          <w:highlight w:val="none"/>
        </w:rPr>
        <w:t>份，甲方执</w:t>
      </w:r>
      <w:r>
        <w:rPr>
          <w:color w:val="auto"/>
          <w:sz w:val="24"/>
          <w:szCs w:val="24"/>
          <w:highlight w:val="none"/>
          <w:u w:val="single"/>
        </w:rPr>
        <w:t xml:space="preserve"> </w:t>
      </w:r>
      <w:r>
        <w:rPr>
          <w:rFonts w:hint="eastAsia"/>
          <w:color w:val="auto"/>
          <w:sz w:val="24"/>
          <w:szCs w:val="24"/>
          <w:highlight w:val="none"/>
          <w:u w:val="single"/>
          <w:lang w:val="en-US" w:eastAsia="zh-CN"/>
        </w:rPr>
        <w:t xml:space="preserve">  </w:t>
      </w:r>
      <w:r>
        <w:rPr>
          <w:color w:val="auto"/>
          <w:sz w:val="24"/>
          <w:szCs w:val="24"/>
          <w:highlight w:val="none"/>
          <w:u w:val="single"/>
        </w:rPr>
        <w:t xml:space="preserve"> </w:t>
      </w:r>
      <w:r>
        <w:rPr>
          <w:color w:val="auto"/>
          <w:sz w:val="24"/>
          <w:szCs w:val="24"/>
          <w:highlight w:val="none"/>
        </w:rPr>
        <w:t>份，乙方执</w:t>
      </w:r>
      <w:r>
        <w:rPr>
          <w:color w:val="auto"/>
          <w:sz w:val="24"/>
          <w:szCs w:val="24"/>
          <w:highlight w:val="none"/>
          <w:u w:val="single"/>
        </w:rPr>
        <w:t xml:space="preserve"> </w:t>
      </w:r>
      <w:r>
        <w:rPr>
          <w:rFonts w:hint="eastAsia"/>
          <w:color w:val="auto"/>
          <w:sz w:val="24"/>
          <w:szCs w:val="24"/>
          <w:highlight w:val="none"/>
          <w:u w:val="single"/>
          <w:lang w:val="en-US" w:eastAsia="zh-CN"/>
        </w:rPr>
        <w:t xml:space="preserve">  </w:t>
      </w:r>
      <w:r>
        <w:rPr>
          <w:color w:val="auto"/>
          <w:sz w:val="24"/>
          <w:szCs w:val="24"/>
          <w:highlight w:val="none"/>
          <w:u w:val="single"/>
        </w:rPr>
        <w:t xml:space="preserve"> </w:t>
      </w:r>
      <w:r>
        <w:rPr>
          <w:color w:val="auto"/>
          <w:sz w:val="24"/>
          <w:szCs w:val="24"/>
          <w:highlight w:val="none"/>
        </w:rPr>
        <w:t>份。均具有同等法律效力。</w:t>
      </w:r>
    </w:p>
    <w:p>
      <w:pPr>
        <w:ind w:firstLine="720" w:firstLineChars="300"/>
        <w:rPr>
          <w:color w:val="auto"/>
          <w:sz w:val="24"/>
          <w:szCs w:val="24"/>
          <w:highlight w:val="none"/>
        </w:rPr>
      </w:pPr>
      <w:r>
        <w:rPr>
          <w:color w:val="auto"/>
          <w:sz w:val="24"/>
          <w:szCs w:val="24"/>
          <w:highlight w:val="none"/>
        </w:rPr>
        <w:t>15.4补充条款：</w:t>
      </w:r>
      <w:r>
        <w:rPr>
          <w:color w:val="auto"/>
          <w:sz w:val="24"/>
          <w:szCs w:val="24"/>
          <w:highlight w:val="none"/>
          <w:u w:val="single"/>
        </w:rPr>
        <w:t xml:space="preserve"> </w:t>
      </w:r>
      <w:r>
        <w:rPr>
          <w:rFonts w:hint="eastAsia"/>
          <w:color w:val="auto"/>
          <w:sz w:val="24"/>
          <w:szCs w:val="24"/>
          <w:highlight w:val="none"/>
          <w:u w:val="single"/>
          <w:lang w:val="en-US" w:eastAsia="zh-CN"/>
        </w:rPr>
        <w:t>报价清单（附件5，含不同分公司/子公司）中相同项目（或单项）的单价应保持一致，如单价不同的，按最低的单价结算</w:t>
      </w:r>
      <w:r>
        <w:rPr>
          <w:color w:val="auto"/>
          <w:sz w:val="24"/>
          <w:szCs w:val="24"/>
          <w:highlight w:val="none"/>
          <w:u w:val="single"/>
        </w:rPr>
        <w:t xml:space="preserve"> </w:t>
      </w:r>
      <w:r>
        <w:rPr>
          <w:color w:val="auto"/>
          <w:sz w:val="24"/>
          <w:szCs w:val="24"/>
          <w:highlight w:val="none"/>
        </w:rPr>
        <w:t xml:space="preserve">。     </w:t>
      </w:r>
    </w:p>
    <w:p>
      <w:pPr>
        <w:pStyle w:val="6"/>
        <w:rPr>
          <w:color w:val="auto"/>
          <w:highlight w:val="none"/>
        </w:rPr>
      </w:pPr>
    </w:p>
    <w:p>
      <w:pPr>
        <w:ind w:firstLine="480"/>
        <w:rPr>
          <w:color w:val="auto"/>
          <w:sz w:val="24"/>
          <w:szCs w:val="24"/>
          <w:highlight w:val="none"/>
        </w:rPr>
      </w:pPr>
      <w:r>
        <w:rPr>
          <w:color w:val="auto"/>
          <w:sz w:val="24"/>
          <w:szCs w:val="24"/>
          <w:highlight w:val="none"/>
        </w:rPr>
        <w:t>附件：</w:t>
      </w:r>
    </w:p>
    <w:p>
      <w:pPr>
        <w:numPr>
          <w:ilvl w:val="0"/>
          <w:numId w:val="6"/>
        </w:numPr>
        <w:ind w:firstLine="480"/>
        <w:rPr>
          <w:color w:val="auto"/>
          <w:sz w:val="24"/>
          <w:szCs w:val="24"/>
          <w:highlight w:val="none"/>
        </w:rPr>
      </w:pPr>
      <w:r>
        <w:rPr>
          <w:color w:val="auto"/>
          <w:sz w:val="24"/>
          <w:szCs w:val="24"/>
          <w:highlight w:val="none"/>
        </w:rPr>
        <w:t>成交通知书</w:t>
      </w:r>
    </w:p>
    <w:p>
      <w:pPr>
        <w:numPr>
          <w:ilvl w:val="0"/>
          <w:numId w:val="6"/>
        </w:numPr>
        <w:ind w:firstLine="480"/>
        <w:rPr>
          <w:color w:val="auto"/>
          <w:sz w:val="24"/>
          <w:szCs w:val="24"/>
          <w:highlight w:val="none"/>
        </w:rPr>
      </w:pPr>
      <w:r>
        <w:rPr>
          <w:color w:val="auto"/>
          <w:sz w:val="24"/>
          <w:szCs w:val="24"/>
          <w:highlight w:val="none"/>
        </w:rPr>
        <w:t>廉洁协议</w:t>
      </w:r>
    </w:p>
    <w:p>
      <w:pPr>
        <w:numPr>
          <w:ilvl w:val="0"/>
          <w:numId w:val="6"/>
        </w:numPr>
        <w:ind w:firstLine="480"/>
        <w:rPr>
          <w:color w:val="auto"/>
          <w:sz w:val="24"/>
          <w:szCs w:val="24"/>
          <w:highlight w:val="none"/>
        </w:rPr>
      </w:pPr>
      <w:r>
        <w:rPr>
          <w:color w:val="auto"/>
          <w:sz w:val="24"/>
          <w:szCs w:val="24"/>
          <w:highlight w:val="none"/>
        </w:rPr>
        <w:t>物品采购安全协议书</w:t>
      </w:r>
    </w:p>
    <w:p>
      <w:pPr>
        <w:pStyle w:val="22"/>
        <w:rPr>
          <w:rFonts w:hint="default" w:eastAsia="等线"/>
          <w:color w:val="auto"/>
          <w:highlight w:val="none"/>
          <w:lang w:val="en-US" w:eastAsia="zh-CN"/>
        </w:rPr>
      </w:pPr>
      <w:r>
        <w:rPr>
          <w:rFonts w:hint="eastAsia"/>
          <w:color w:val="auto"/>
          <w:highlight w:val="none"/>
          <w:lang w:val="en-US" w:eastAsia="zh-CN"/>
        </w:rPr>
        <w:t>4.</w:t>
      </w:r>
      <w:r>
        <w:rPr>
          <w:rFonts w:hint="eastAsia" w:asciiTheme="minorHAnsi" w:hAnsiTheme="minorHAnsi" w:eastAsiaTheme="minorEastAsia" w:cstheme="minorBidi"/>
          <w:color w:val="auto"/>
          <w:kern w:val="2"/>
          <w:sz w:val="24"/>
          <w:szCs w:val="24"/>
          <w:highlight w:val="none"/>
          <w:lang w:val="en-US" w:eastAsia="zh-CN" w:bidi="ar-SA"/>
        </w:rPr>
        <w:t>营运场所施工安全及消防安全协议书</w:t>
      </w:r>
    </w:p>
    <w:p>
      <w:pPr>
        <w:numPr>
          <w:ilvl w:val="0"/>
          <w:numId w:val="0"/>
        </w:numPr>
        <w:ind w:left="480" w:leftChars="0"/>
        <w:rPr>
          <w:color w:val="auto"/>
          <w:sz w:val="24"/>
          <w:szCs w:val="24"/>
          <w:highlight w:val="none"/>
        </w:rPr>
      </w:pPr>
      <w:r>
        <w:rPr>
          <w:rFonts w:hint="eastAsia"/>
          <w:color w:val="auto"/>
          <w:sz w:val="24"/>
          <w:szCs w:val="24"/>
          <w:highlight w:val="none"/>
          <w:lang w:val="en-US" w:eastAsia="zh-CN"/>
        </w:rPr>
        <w:t>5.</w:t>
      </w:r>
      <w:r>
        <w:rPr>
          <w:color w:val="auto"/>
          <w:sz w:val="24"/>
          <w:szCs w:val="24"/>
          <w:highlight w:val="none"/>
        </w:rPr>
        <w:t>报价清单</w:t>
      </w:r>
    </w:p>
    <w:p>
      <w:pPr>
        <w:numPr>
          <w:ilvl w:val="0"/>
          <w:numId w:val="0"/>
        </w:numPr>
        <w:ind w:left="480" w:leftChars="0"/>
        <w:rPr>
          <w:color w:val="auto"/>
          <w:sz w:val="24"/>
          <w:szCs w:val="24"/>
          <w:highlight w:val="none"/>
        </w:rPr>
      </w:pPr>
      <w:r>
        <w:rPr>
          <w:rFonts w:hint="eastAsia"/>
          <w:color w:val="auto"/>
          <w:sz w:val="24"/>
          <w:szCs w:val="24"/>
          <w:highlight w:val="none"/>
          <w:lang w:val="en-US" w:eastAsia="zh-CN"/>
        </w:rPr>
        <w:t>6.</w:t>
      </w:r>
      <w:r>
        <w:rPr>
          <w:color w:val="auto"/>
          <w:sz w:val="24"/>
          <w:szCs w:val="24"/>
          <w:highlight w:val="none"/>
        </w:rPr>
        <w:t>履约保函（模板）</w:t>
      </w:r>
    </w:p>
    <w:p>
      <w:pPr>
        <w:numPr>
          <w:ilvl w:val="0"/>
          <w:numId w:val="0"/>
        </w:numPr>
        <w:ind w:left="422" w:leftChars="0"/>
        <w:rPr>
          <w:color w:val="auto"/>
          <w:sz w:val="24"/>
          <w:szCs w:val="24"/>
          <w:highlight w:val="none"/>
        </w:rPr>
      </w:pPr>
      <w:r>
        <w:rPr>
          <w:rFonts w:hint="eastAsia"/>
          <w:color w:val="auto"/>
          <w:sz w:val="24"/>
          <w:szCs w:val="24"/>
          <w:highlight w:val="none"/>
          <w:lang w:val="en-US" w:eastAsia="zh-CN"/>
        </w:rPr>
        <w:t>7.</w:t>
      </w:r>
      <w:r>
        <w:rPr>
          <w:rFonts w:hint="eastAsia"/>
          <w:color w:val="auto"/>
          <w:sz w:val="24"/>
          <w:szCs w:val="24"/>
          <w:highlight w:val="none"/>
        </w:rPr>
        <w:t>预付款保函（模板）</w:t>
      </w:r>
    </w:p>
    <w:tbl>
      <w:tblPr>
        <w:tblStyle w:val="23"/>
        <w:tblpPr w:leftFromText="180" w:rightFromText="180" w:vertAnchor="text" w:horzAnchor="page" w:tblpX="1330" w:tblpY="358"/>
        <w:tblOverlap w:val="never"/>
        <w:tblW w:w="95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3"/>
        <w:gridCol w:w="46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4812" w:type="dxa"/>
            <w:tcBorders>
              <w:top w:val="nil"/>
              <w:left w:val="nil"/>
              <w:bottom w:val="nil"/>
              <w:right w:val="nil"/>
            </w:tcBorders>
          </w:tcPr>
          <w:p>
            <w:pPr>
              <w:adjustRightInd w:val="0"/>
              <w:rPr>
                <w:color w:val="auto"/>
                <w:sz w:val="24"/>
                <w:szCs w:val="24"/>
                <w:highlight w:val="none"/>
              </w:rPr>
            </w:pPr>
            <w:r>
              <w:rPr>
                <w:b/>
                <w:color w:val="auto"/>
                <w:sz w:val="24"/>
                <w:szCs w:val="24"/>
                <w:highlight w:val="none"/>
              </w:rPr>
              <w:t>甲方</w:t>
            </w:r>
            <w:r>
              <w:rPr>
                <w:color w:val="auto"/>
                <w:sz w:val="24"/>
                <w:szCs w:val="24"/>
                <w:highlight w:val="none"/>
              </w:rPr>
              <w:t>：（章）广州市净水有限公司</w:t>
            </w:r>
          </w:p>
        </w:tc>
        <w:tc>
          <w:tcPr>
            <w:tcW w:w="4696" w:type="dxa"/>
            <w:tcBorders>
              <w:top w:val="nil"/>
              <w:left w:val="nil"/>
              <w:bottom w:val="nil"/>
              <w:right w:val="nil"/>
            </w:tcBorders>
          </w:tcPr>
          <w:p>
            <w:pPr>
              <w:adjustRightInd w:val="0"/>
              <w:rPr>
                <w:color w:val="auto"/>
                <w:sz w:val="24"/>
                <w:szCs w:val="24"/>
                <w:highlight w:val="none"/>
              </w:rPr>
            </w:pPr>
            <w:r>
              <w:rPr>
                <w:b/>
                <w:color w:val="auto"/>
                <w:sz w:val="24"/>
                <w:szCs w:val="24"/>
                <w:highlight w:val="none"/>
              </w:rPr>
              <w:t>乙方：</w:t>
            </w:r>
            <w:r>
              <w:rPr>
                <w:color w:val="auto"/>
                <w:sz w:val="24"/>
                <w:szCs w:val="24"/>
                <w:highlight w:val="none"/>
              </w:rPr>
              <w:t>（章）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rPr>
                <w:color w:val="auto"/>
                <w:sz w:val="24"/>
                <w:szCs w:val="24"/>
                <w:highlight w:val="none"/>
              </w:rPr>
            </w:pPr>
            <w:r>
              <w:rPr>
                <w:color w:val="auto"/>
                <w:sz w:val="24"/>
                <w:szCs w:val="24"/>
                <w:highlight w:val="none"/>
              </w:rPr>
              <w:t>法定代表人或授权代理人：</w:t>
            </w:r>
          </w:p>
        </w:tc>
        <w:tc>
          <w:tcPr>
            <w:tcW w:w="4696" w:type="dxa"/>
            <w:tcBorders>
              <w:top w:val="nil"/>
              <w:left w:val="nil"/>
              <w:bottom w:val="nil"/>
              <w:right w:val="nil"/>
            </w:tcBorders>
          </w:tcPr>
          <w:p>
            <w:pPr>
              <w:adjustRightInd w:val="0"/>
              <w:rPr>
                <w:color w:val="auto"/>
                <w:sz w:val="24"/>
                <w:szCs w:val="24"/>
                <w:highlight w:val="none"/>
              </w:rPr>
            </w:pPr>
            <w:r>
              <w:rPr>
                <w:color w:val="auto"/>
                <w:sz w:val="24"/>
                <w:szCs w:val="24"/>
                <w:highlight w:val="none"/>
              </w:rPr>
              <w:t>法定代表人或授权代理人：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rPr>
                <w:color w:val="auto"/>
                <w:sz w:val="24"/>
                <w:szCs w:val="24"/>
                <w:highlight w:val="none"/>
              </w:rPr>
            </w:pPr>
            <w:r>
              <w:rPr>
                <w:color w:val="auto"/>
                <w:sz w:val="24"/>
                <w:szCs w:val="24"/>
                <w:highlight w:val="none"/>
              </w:rPr>
              <w:t xml:space="preserve">经办人： </w:t>
            </w:r>
          </w:p>
        </w:tc>
        <w:tc>
          <w:tcPr>
            <w:tcW w:w="4696" w:type="dxa"/>
            <w:tcBorders>
              <w:top w:val="nil"/>
              <w:left w:val="nil"/>
              <w:bottom w:val="nil"/>
              <w:right w:val="nil"/>
            </w:tcBorders>
          </w:tcPr>
          <w:p>
            <w:pPr>
              <w:adjustRightInd w:val="0"/>
              <w:rPr>
                <w:color w:val="auto"/>
                <w:sz w:val="24"/>
                <w:szCs w:val="24"/>
                <w:highlight w:val="none"/>
              </w:rPr>
            </w:pPr>
            <w:r>
              <w:rPr>
                <w:color w:val="auto"/>
                <w:sz w:val="24"/>
                <w:szCs w:val="24"/>
                <w:highlight w:val="none"/>
              </w:rPr>
              <w:t>经办人：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rPr>
                <w:color w:val="auto"/>
                <w:sz w:val="24"/>
                <w:szCs w:val="24"/>
                <w:highlight w:val="none"/>
              </w:rPr>
            </w:pPr>
            <w:r>
              <w:rPr>
                <w:color w:val="auto"/>
                <w:sz w:val="24"/>
                <w:szCs w:val="24"/>
                <w:highlight w:val="none"/>
              </w:rPr>
              <w:t xml:space="preserve">电话： </w:t>
            </w:r>
          </w:p>
        </w:tc>
        <w:tc>
          <w:tcPr>
            <w:tcW w:w="4696" w:type="dxa"/>
            <w:tcBorders>
              <w:top w:val="nil"/>
              <w:left w:val="nil"/>
              <w:bottom w:val="nil"/>
              <w:right w:val="nil"/>
            </w:tcBorders>
          </w:tcPr>
          <w:p>
            <w:pPr>
              <w:adjustRightInd w:val="0"/>
              <w:rPr>
                <w:color w:val="auto"/>
                <w:sz w:val="24"/>
                <w:szCs w:val="24"/>
                <w:highlight w:val="none"/>
              </w:rPr>
            </w:pPr>
            <w:r>
              <w:rPr>
                <w:color w:val="auto"/>
                <w:sz w:val="24"/>
                <w:szCs w:val="24"/>
                <w:highlight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rPr>
                <w:color w:val="auto"/>
                <w:sz w:val="24"/>
                <w:szCs w:val="24"/>
                <w:highlight w:val="none"/>
              </w:rPr>
            </w:pPr>
            <w:r>
              <w:rPr>
                <w:color w:val="auto"/>
                <w:sz w:val="24"/>
                <w:szCs w:val="24"/>
                <w:highlight w:val="none"/>
              </w:rPr>
              <w:t>传真：</w:t>
            </w:r>
          </w:p>
        </w:tc>
        <w:tc>
          <w:tcPr>
            <w:tcW w:w="4696" w:type="dxa"/>
            <w:tcBorders>
              <w:top w:val="nil"/>
              <w:left w:val="nil"/>
              <w:bottom w:val="nil"/>
              <w:right w:val="nil"/>
            </w:tcBorders>
          </w:tcPr>
          <w:p>
            <w:pPr>
              <w:adjustRightInd w:val="0"/>
              <w:rPr>
                <w:color w:val="auto"/>
                <w:sz w:val="24"/>
                <w:szCs w:val="24"/>
                <w:highlight w:val="none"/>
              </w:rPr>
            </w:pPr>
            <w:r>
              <w:rPr>
                <w:color w:val="auto"/>
                <w:sz w:val="24"/>
                <w:szCs w:val="24"/>
                <w:highlight w:val="none"/>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ind w:left="240" w:hanging="240" w:hangingChars="100"/>
              <w:rPr>
                <w:color w:val="auto"/>
                <w:sz w:val="24"/>
                <w:szCs w:val="24"/>
                <w:highlight w:val="none"/>
              </w:rPr>
            </w:pPr>
            <w:r>
              <w:rPr>
                <w:color w:val="auto"/>
                <w:sz w:val="24"/>
                <w:szCs w:val="24"/>
                <w:highlight w:val="none"/>
              </w:rPr>
              <w:t xml:space="preserve">签订日期：                                                     </w:t>
            </w:r>
          </w:p>
        </w:tc>
        <w:tc>
          <w:tcPr>
            <w:tcW w:w="4696" w:type="dxa"/>
            <w:tcBorders>
              <w:top w:val="nil"/>
              <w:left w:val="nil"/>
              <w:bottom w:val="nil"/>
              <w:right w:val="nil"/>
            </w:tcBorders>
          </w:tcPr>
          <w:p>
            <w:pPr>
              <w:adjustRightInd w:val="0"/>
              <w:ind w:left="4181" w:hanging="4180" w:hangingChars="1742"/>
              <w:rPr>
                <w:color w:val="auto"/>
                <w:sz w:val="24"/>
                <w:szCs w:val="24"/>
                <w:highlight w:val="none"/>
              </w:rPr>
            </w:pPr>
            <w:r>
              <w:rPr>
                <w:color w:val="auto"/>
                <w:sz w:val="24"/>
                <w:szCs w:val="24"/>
                <w:highlight w:val="none"/>
              </w:rPr>
              <w:t>签订日期:</w:t>
            </w:r>
          </w:p>
        </w:tc>
      </w:tr>
    </w:tbl>
    <w:p>
      <w:pPr>
        <w:pStyle w:val="22"/>
        <w:ind w:firstLine="0"/>
        <w:rPr>
          <w:b/>
          <w:bCs/>
          <w:color w:val="auto"/>
          <w:szCs w:val="21"/>
          <w:highlight w:val="none"/>
        </w:rPr>
      </w:pPr>
    </w:p>
    <w:p>
      <w:pPr>
        <w:rPr>
          <w:b/>
          <w:bCs/>
          <w:color w:val="auto"/>
          <w:sz w:val="24"/>
          <w:szCs w:val="28"/>
          <w:highlight w:val="none"/>
        </w:rPr>
      </w:pPr>
      <w:r>
        <w:rPr>
          <w:b/>
          <w:bCs/>
          <w:color w:val="auto"/>
          <w:sz w:val="24"/>
          <w:szCs w:val="28"/>
          <w:highlight w:val="none"/>
        </w:rPr>
        <w:br w:type="page"/>
      </w:r>
    </w:p>
    <w:p>
      <w:pPr>
        <w:spacing w:line="360" w:lineRule="auto"/>
        <w:rPr>
          <w:b/>
          <w:bCs/>
          <w:color w:val="auto"/>
          <w:sz w:val="24"/>
          <w:szCs w:val="28"/>
          <w:highlight w:val="none"/>
        </w:rPr>
      </w:pPr>
      <w:r>
        <w:rPr>
          <w:b/>
          <w:bCs/>
          <w:color w:val="auto"/>
          <w:sz w:val="24"/>
          <w:szCs w:val="28"/>
          <w:highlight w:val="none"/>
        </w:rPr>
        <w:t>附件1  成交通知书</w:t>
      </w:r>
    </w:p>
    <w:p>
      <w:pPr>
        <w:pStyle w:val="6"/>
        <w:rPr>
          <w:color w:val="auto"/>
          <w:highlight w:val="none"/>
        </w:rPr>
      </w:pPr>
    </w:p>
    <w:p>
      <w:pPr>
        <w:pStyle w:val="6"/>
        <w:rPr>
          <w:color w:val="auto"/>
          <w:highlight w:val="none"/>
        </w:rPr>
      </w:pPr>
    </w:p>
    <w:p>
      <w:pPr>
        <w:pStyle w:val="6"/>
        <w:rPr>
          <w:color w:val="auto"/>
          <w:highlight w:val="none"/>
        </w:rPr>
      </w:pPr>
    </w:p>
    <w:p>
      <w:pPr>
        <w:pStyle w:val="6"/>
        <w:rPr>
          <w:color w:val="auto"/>
          <w:highlight w:val="none"/>
        </w:rPr>
      </w:pPr>
    </w:p>
    <w:p>
      <w:pPr>
        <w:pStyle w:val="6"/>
        <w:rPr>
          <w:color w:val="auto"/>
          <w:highlight w:val="none"/>
        </w:rPr>
      </w:pPr>
    </w:p>
    <w:p>
      <w:pPr>
        <w:pStyle w:val="6"/>
        <w:rPr>
          <w:color w:val="auto"/>
          <w:highlight w:val="none"/>
        </w:rPr>
      </w:pPr>
    </w:p>
    <w:p>
      <w:pPr>
        <w:pStyle w:val="6"/>
        <w:rPr>
          <w:color w:val="auto"/>
          <w:highlight w:val="none"/>
        </w:rPr>
      </w:pPr>
    </w:p>
    <w:p>
      <w:pPr>
        <w:rPr>
          <w:rFonts w:eastAsia="仿宋_GB2312"/>
          <w:bCs/>
          <w:color w:val="auto"/>
          <w:sz w:val="24"/>
          <w:szCs w:val="24"/>
          <w:highlight w:val="none"/>
        </w:rPr>
      </w:pPr>
      <w:r>
        <w:rPr>
          <w:b/>
          <w:bCs/>
          <w:color w:val="auto"/>
          <w:sz w:val="24"/>
          <w:szCs w:val="24"/>
          <w:highlight w:val="none"/>
        </w:rPr>
        <w:t xml:space="preserve">附件2  廉洁协议   </w:t>
      </w:r>
      <w:r>
        <w:rPr>
          <w:rFonts w:eastAsia="仿宋_GB2312"/>
          <w:bCs/>
          <w:color w:val="auto"/>
          <w:sz w:val="24"/>
          <w:szCs w:val="24"/>
          <w:highlight w:val="none"/>
        </w:rPr>
        <w:t xml:space="preserve">                   </w:t>
      </w:r>
    </w:p>
    <w:p>
      <w:pPr>
        <w:ind w:firstLine="720" w:firstLineChars="300"/>
        <w:jc w:val="center"/>
        <w:rPr>
          <w:bCs/>
          <w:color w:val="auto"/>
          <w:sz w:val="24"/>
          <w:szCs w:val="24"/>
          <w:highlight w:val="none"/>
        </w:rPr>
      </w:pPr>
      <w:r>
        <w:rPr>
          <w:bCs/>
          <w:color w:val="auto"/>
          <w:sz w:val="24"/>
          <w:szCs w:val="24"/>
          <w:highlight w:val="none"/>
        </w:rPr>
        <w:t>廉洁协议</w:t>
      </w:r>
    </w:p>
    <w:p>
      <w:pPr>
        <w:ind w:firstLine="480" w:firstLineChars="200"/>
        <w:rPr>
          <w:bCs/>
          <w:color w:val="auto"/>
          <w:sz w:val="24"/>
          <w:szCs w:val="24"/>
          <w:highlight w:val="none"/>
        </w:rPr>
      </w:pPr>
      <w:r>
        <w:rPr>
          <w:bCs/>
          <w:color w:val="auto"/>
          <w:sz w:val="24"/>
          <w:szCs w:val="24"/>
          <w:highlight w:val="none"/>
        </w:rPr>
        <w:t>为促进双方诚信经营、廉洁从业，防范商业贿赂，保护国家、集体和当事人的合法权益，根据国家有关法律法规和广东省、广州市廉政建设的规定，</w:t>
      </w:r>
      <w:r>
        <w:rPr>
          <w:bCs/>
          <w:color w:val="auto"/>
          <w:sz w:val="24"/>
          <w:szCs w:val="24"/>
          <w:highlight w:val="none"/>
          <w:u w:val="single"/>
        </w:rPr>
        <w:t>广州市净水有限公司</w:t>
      </w:r>
      <w:r>
        <w:rPr>
          <w:bCs/>
          <w:color w:val="auto"/>
          <w:sz w:val="24"/>
          <w:szCs w:val="24"/>
          <w:highlight w:val="none"/>
        </w:rPr>
        <w:t>(以下称甲方)与</w:t>
      </w:r>
      <w:r>
        <w:rPr>
          <w:bCs/>
          <w:color w:val="auto"/>
          <w:sz w:val="24"/>
          <w:szCs w:val="24"/>
          <w:highlight w:val="none"/>
          <w:u w:val="single"/>
        </w:rPr>
        <w:t xml:space="preserve"> </w:t>
      </w:r>
      <w:r>
        <w:rPr>
          <w:rFonts w:hint="eastAsia"/>
          <w:bCs/>
          <w:color w:val="auto"/>
          <w:sz w:val="24"/>
          <w:szCs w:val="24"/>
          <w:highlight w:val="none"/>
          <w:u w:val="single"/>
          <w:lang w:val="en-US" w:eastAsia="zh-CN"/>
        </w:rPr>
        <w:t xml:space="preserve">      </w:t>
      </w:r>
      <w:r>
        <w:rPr>
          <w:bCs/>
          <w:color w:val="auto"/>
          <w:sz w:val="24"/>
          <w:szCs w:val="24"/>
          <w:highlight w:val="none"/>
        </w:rPr>
        <w:t>(以下称乙方)，特此订立本协议共同遵照执行。</w:t>
      </w:r>
    </w:p>
    <w:p>
      <w:pPr>
        <w:ind w:firstLine="480" w:firstLineChars="200"/>
        <w:rPr>
          <w:bCs/>
          <w:color w:val="auto"/>
          <w:sz w:val="24"/>
          <w:szCs w:val="24"/>
          <w:highlight w:val="none"/>
        </w:rPr>
      </w:pPr>
      <w:r>
        <w:rPr>
          <w:bCs/>
          <w:color w:val="auto"/>
          <w:sz w:val="24"/>
          <w:szCs w:val="24"/>
          <w:highlight w:val="none"/>
        </w:rPr>
        <w:t>第一条 甲乙双方的权利和义务</w:t>
      </w:r>
    </w:p>
    <w:p>
      <w:pPr>
        <w:ind w:firstLine="480" w:firstLineChars="200"/>
        <w:rPr>
          <w:bCs/>
          <w:color w:val="auto"/>
          <w:sz w:val="24"/>
          <w:szCs w:val="24"/>
          <w:highlight w:val="none"/>
        </w:rPr>
      </w:pPr>
      <w:r>
        <w:rPr>
          <w:bCs/>
          <w:color w:val="auto"/>
          <w:sz w:val="24"/>
          <w:szCs w:val="24"/>
          <w:highlight w:val="none"/>
        </w:rPr>
        <w:t>（一）甲乙双方严格遵守国家关于市场准入、项目招标投标、市场经营活动等有关法律、法规相关政策及廉政建设的各项规定。</w:t>
      </w:r>
    </w:p>
    <w:p>
      <w:pPr>
        <w:ind w:firstLine="480" w:firstLineChars="200"/>
        <w:rPr>
          <w:bCs/>
          <w:color w:val="auto"/>
          <w:sz w:val="24"/>
          <w:szCs w:val="24"/>
          <w:highlight w:val="none"/>
        </w:rPr>
      </w:pPr>
      <w:r>
        <w:rPr>
          <w:bCs/>
          <w:color w:val="auto"/>
          <w:sz w:val="24"/>
          <w:szCs w:val="24"/>
          <w:highlight w:val="none"/>
        </w:rPr>
        <w:t>（二）严格执行</w:t>
      </w:r>
      <w:r>
        <w:rPr>
          <w:rFonts w:hint="eastAsia"/>
          <w:bCs/>
          <w:color w:val="auto"/>
          <w:sz w:val="24"/>
          <w:szCs w:val="24"/>
          <w:highlight w:val="none"/>
          <w:u w:val="single"/>
          <w:lang w:val="en-US" w:eastAsia="zh-CN"/>
        </w:rPr>
        <w:t xml:space="preserve">    </w:t>
      </w:r>
      <w:r>
        <w:rPr>
          <w:bCs/>
          <w:color w:val="auto"/>
          <w:sz w:val="24"/>
          <w:szCs w:val="24"/>
          <w:highlight w:val="none"/>
        </w:rPr>
        <w:t>合同（以下简称：主合同），自觉履行合同约定的相关义务。</w:t>
      </w:r>
    </w:p>
    <w:p>
      <w:pPr>
        <w:ind w:firstLine="480" w:firstLineChars="200"/>
        <w:rPr>
          <w:bCs/>
          <w:color w:val="auto"/>
          <w:sz w:val="24"/>
          <w:szCs w:val="24"/>
          <w:highlight w:val="none"/>
        </w:rPr>
      </w:pPr>
      <w:r>
        <w:rPr>
          <w:bCs/>
          <w:color w:val="auto"/>
          <w:sz w:val="24"/>
          <w:szCs w:val="24"/>
          <w:highlight w:val="none"/>
        </w:rPr>
        <w:t>（三）在业务活动中坚持公开、公正、诚信、透明的原则，不得损害国家、集体利益。</w:t>
      </w:r>
    </w:p>
    <w:p>
      <w:pPr>
        <w:ind w:firstLine="480" w:firstLineChars="200"/>
        <w:rPr>
          <w:bCs/>
          <w:color w:val="auto"/>
          <w:sz w:val="24"/>
          <w:szCs w:val="24"/>
          <w:highlight w:val="none"/>
        </w:rPr>
      </w:pPr>
      <w:r>
        <w:rPr>
          <w:bCs/>
          <w:color w:val="auto"/>
          <w:sz w:val="24"/>
          <w:szCs w:val="24"/>
          <w:highlight w:val="none"/>
        </w:rPr>
        <w:t>（四）建立健全廉洁从业制度，开展廉洁教育，公布举报电话，监督并认真查处不廉洁及违法违纪行为。</w:t>
      </w:r>
    </w:p>
    <w:p>
      <w:pPr>
        <w:ind w:firstLine="480" w:firstLineChars="200"/>
        <w:rPr>
          <w:bCs/>
          <w:color w:val="auto"/>
          <w:sz w:val="24"/>
          <w:szCs w:val="24"/>
          <w:highlight w:val="none"/>
        </w:rPr>
      </w:pPr>
      <w:r>
        <w:rPr>
          <w:bCs/>
          <w:color w:val="auto"/>
          <w:sz w:val="24"/>
          <w:szCs w:val="24"/>
          <w:highlight w:val="none"/>
        </w:rPr>
        <w:t>（五）发现对方在业务活动中有不廉洁行为，应及时提醒对方纠正。情节严重的，应向其有关监督部门检举。</w:t>
      </w:r>
    </w:p>
    <w:p>
      <w:pPr>
        <w:ind w:firstLine="480" w:firstLineChars="200"/>
        <w:rPr>
          <w:bCs/>
          <w:color w:val="auto"/>
          <w:sz w:val="24"/>
          <w:szCs w:val="24"/>
          <w:highlight w:val="none"/>
        </w:rPr>
      </w:pPr>
      <w:r>
        <w:rPr>
          <w:bCs/>
          <w:color w:val="auto"/>
          <w:sz w:val="24"/>
          <w:szCs w:val="24"/>
          <w:highlight w:val="none"/>
        </w:rPr>
        <w:t>第二条甲方的义务</w:t>
      </w:r>
    </w:p>
    <w:p>
      <w:pPr>
        <w:ind w:firstLine="480" w:firstLineChars="200"/>
        <w:rPr>
          <w:bCs/>
          <w:color w:val="auto"/>
          <w:sz w:val="24"/>
          <w:szCs w:val="24"/>
          <w:highlight w:val="none"/>
        </w:rPr>
      </w:pPr>
      <w:r>
        <w:rPr>
          <w:bCs/>
          <w:color w:val="auto"/>
          <w:sz w:val="24"/>
          <w:szCs w:val="24"/>
          <w:highlight w:val="none"/>
        </w:rPr>
        <w:t>（一）甲方及其工作人员不得索要或接受乙方的礼金、有价证券和贵重物品，不得在乙方报销任何应由甲方或个人支付的费用等。</w:t>
      </w:r>
    </w:p>
    <w:p>
      <w:pPr>
        <w:ind w:firstLine="480" w:firstLineChars="200"/>
        <w:rPr>
          <w:bCs/>
          <w:color w:val="auto"/>
          <w:sz w:val="24"/>
          <w:szCs w:val="24"/>
          <w:highlight w:val="none"/>
        </w:rPr>
      </w:pPr>
      <w:r>
        <w:rPr>
          <w:bCs/>
          <w:color w:val="auto"/>
          <w:sz w:val="24"/>
          <w:szCs w:val="24"/>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ind w:left="15" w:leftChars="7" w:firstLine="480" w:firstLineChars="200"/>
        <w:rPr>
          <w:bCs/>
          <w:color w:val="auto"/>
          <w:sz w:val="24"/>
          <w:szCs w:val="24"/>
          <w:highlight w:val="none"/>
        </w:rPr>
      </w:pPr>
      <w:r>
        <w:rPr>
          <w:bCs/>
          <w:color w:val="auto"/>
          <w:sz w:val="24"/>
          <w:szCs w:val="24"/>
          <w:highlight w:val="none"/>
        </w:rPr>
        <w:t>（三）甲方及其工作人员不得要求或者接受乙方为其住房装修、婚丧嫁娶活动、配偶子女工作安排以及出国出境、旅游等提供方便等。</w:t>
      </w:r>
    </w:p>
    <w:p>
      <w:pPr>
        <w:ind w:left="15" w:leftChars="7" w:firstLine="480" w:firstLineChars="200"/>
        <w:rPr>
          <w:bCs/>
          <w:color w:val="auto"/>
          <w:sz w:val="24"/>
          <w:szCs w:val="24"/>
          <w:highlight w:val="none"/>
        </w:rPr>
      </w:pPr>
      <w:r>
        <w:rPr>
          <w:bCs/>
          <w:color w:val="auto"/>
          <w:sz w:val="24"/>
          <w:szCs w:val="24"/>
          <w:highlight w:val="none"/>
        </w:rPr>
        <w:t>（四）甲方工作人员不得在乙方或与乙方有股权关联的企业兼职，不得向乙方介绍家属或者亲友从事与甲方业务有关的经济活动。</w:t>
      </w:r>
    </w:p>
    <w:p>
      <w:pPr>
        <w:ind w:left="15" w:leftChars="7" w:firstLine="480" w:firstLineChars="200"/>
        <w:rPr>
          <w:bCs/>
          <w:color w:val="auto"/>
          <w:sz w:val="24"/>
          <w:szCs w:val="24"/>
          <w:highlight w:val="none"/>
        </w:rPr>
      </w:pPr>
      <w:r>
        <w:rPr>
          <w:bCs/>
          <w:color w:val="auto"/>
          <w:sz w:val="24"/>
          <w:szCs w:val="24"/>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ind w:left="15" w:leftChars="7" w:firstLine="480" w:firstLineChars="200"/>
        <w:rPr>
          <w:bCs/>
          <w:color w:val="auto"/>
          <w:sz w:val="24"/>
          <w:szCs w:val="24"/>
          <w:highlight w:val="none"/>
        </w:rPr>
      </w:pPr>
      <w:r>
        <w:rPr>
          <w:bCs/>
          <w:color w:val="auto"/>
          <w:sz w:val="24"/>
          <w:szCs w:val="24"/>
          <w:highlight w:val="none"/>
        </w:rPr>
        <w:t>（六）甲方工作人员不得利用职务之便收受乙方以回扣、手续费、加班费、咨询费、劳务费、协调费、辛苦费等各种名义给予或赠送的钱物。</w:t>
      </w:r>
    </w:p>
    <w:p>
      <w:pPr>
        <w:ind w:left="15" w:leftChars="7" w:firstLine="480" w:firstLineChars="200"/>
        <w:rPr>
          <w:bCs/>
          <w:color w:val="auto"/>
          <w:sz w:val="24"/>
          <w:szCs w:val="24"/>
          <w:highlight w:val="none"/>
        </w:rPr>
      </w:pPr>
      <w:r>
        <w:rPr>
          <w:bCs/>
          <w:color w:val="auto"/>
          <w:sz w:val="24"/>
          <w:szCs w:val="24"/>
          <w:highlight w:val="none"/>
        </w:rPr>
        <w:t>（七）甲方工作人员不得接受乙方给予或赠送的干股或红利。</w:t>
      </w:r>
    </w:p>
    <w:p>
      <w:pPr>
        <w:ind w:left="15" w:leftChars="7" w:firstLine="480" w:firstLineChars="200"/>
        <w:rPr>
          <w:bCs/>
          <w:color w:val="auto"/>
          <w:sz w:val="24"/>
          <w:szCs w:val="24"/>
          <w:highlight w:val="none"/>
        </w:rPr>
      </w:pPr>
      <w:r>
        <w:rPr>
          <w:bCs/>
          <w:color w:val="auto"/>
          <w:sz w:val="24"/>
          <w:szCs w:val="24"/>
          <w:highlight w:val="none"/>
        </w:rPr>
        <w:t>(八）不得存在其他违反廉洁规定的行为。</w:t>
      </w:r>
    </w:p>
    <w:p>
      <w:pPr>
        <w:ind w:firstLine="480" w:firstLineChars="200"/>
        <w:rPr>
          <w:bCs/>
          <w:color w:val="auto"/>
          <w:sz w:val="24"/>
          <w:szCs w:val="24"/>
          <w:highlight w:val="none"/>
        </w:rPr>
      </w:pPr>
      <w:r>
        <w:rPr>
          <w:bCs/>
          <w:color w:val="auto"/>
          <w:sz w:val="24"/>
          <w:szCs w:val="24"/>
          <w:highlight w:val="none"/>
        </w:rPr>
        <w:t>第三条乙方的义务</w:t>
      </w:r>
    </w:p>
    <w:p>
      <w:pPr>
        <w:ind w:firstLine="480" w:firstLineChars="200"/>
        <w:rPr>
          <w:bCs/>
          <w:color w:val="auto"/>
          <w:sz w:val="24"/>
          <w:szCs w:val="24"/>
          <w:highlight w:val="none"/>
        </w:rPr>
      </w:pPr>
      <w:r>
        <w:rPr>
          <w:bCs/>
          <w:color w:val="auto"/>
          <w:sz w:val="24"/>
          <w:szCs w:val="24"/>
          <w:highlight w:val="none"/>
        </w:rPr>
        <w:t>（一）乙方不得以任何理由向甲方及其工作人员行贿或馈赠礼金、有价证券、贵重礼品。</w:t>
      </w:r>
    </w:p>
    <w:p>
      <w:pPr>
        <w:ind w:firstLine="480" w:firstLineChars="200"/>
        <w:rPr>
          <w:bCs/>
          <w:color w:val="auto"/>
          <w:sz w:val="24"/>
          <w:szCs w:val="24"/>
          <w:highlight w:val="none"/>
        </w:rPr>
      </w:pPr>
      <w:r>
        <w:rPr>
          <w:bCs/>
          <w:color w:val="auto"/>
          <w:sz w:val="24"/>
          <w:szCs w:val="24"/>
          <w:highlight w:val="none"/>
        </w:rPr>
        <w:t>（二)乙方不得以任何名义为甲方及其工作人员报销应由甲方单位或个人支付的任何费用。</w:t>
      </w:r>
    </w:p>
    <w:p>
      <w:pPr>
        <w:ind w:left="25" w:leftChars="12" w:firstLine="480" w:firstLineChars="200"/>
        <w:rPr>
          <w:bCs/>
          <w:color w:val="auto"/>
          <w:sz w:val="24"/>
          <w:szCs w:val="24"/>
          <w:highlight w:val="none"/>
        </w:rPr>
      </w:pPr>
      <w:r>
        <w:rPr>
          <w:bCs/>
          <w:color w:val="auto"/>
          <w:sz w:val="24"/>
          <w:szCs w:val="24"/>
          <w:highlight w:val="none"/>
        </w:rPr>
        <w:t>（三）乙方不得以任何理由安排甲方工作人员参加可能影响相关业务公开、公正、公平性的宴请及娱乐活动。</w:t>
      </w:r>
    </w:p>
    <w:p>
      <w:pPr>
        <w:pStyle w:val="2"/>
        <w:spacing w:line="240" w:lineRule="auto"/>
        <w:ind w:firstLine="480" w:firstLineChars="200"/>
        <w:rPr>
          <w:bCs/>
          <w:color w:val="auto"/>
          <w:sz w:val="24"/>
          <w:szCs w:val="24"/>
          <w:highlight w:val="none"/>
        </w:rPr>
      </w:pPr>
      <w:r>
        <w:rPr>
          <w:bCs/>
          <w:color w:val="auto"/>
          <w:sz w:val="24"/>
          <w:szCs w:val="24"/>
          <w:highlight w:val="none"/>
        </w:rPr>
        <w:t>（四）乙方不得为甲方单位和个人购置或提供通讯工具和高档办公用品等物品，也不得为甲方提供与工作无关的房屋、汽车等。</w:t>
      </w:r>
    </w:p>
    <w:p>
      <w:pPr>
        <w:ind w:firstLine="480" w:firstLineChars="200"/>
        <w:rPr>
          <w:bCs/>
          <w:color w:val="auto"/>
          <w:sz w:val="24"/>
          <w:szCs w:val="24"/>
          <w:highlight w:val="none"/>
        </w:rPr>
      </w:pPr>
      <w:r>
        <w:rPr>
          <w:bCs/>
          <w:color w:val="auto"/>
          <w:sz w:val="24"/>
          <w:szCs w:val="24"/>
          <w:highlight w:val="none"/>
        </w:rPr>
        <w:t>（五）乙方不得擅自与甲方工作人员就主合同中的质量、数量、价格、工程量、验收等条款进行私下商谈或者达成默契。</w:t>
      </w:r>
    </w:p>
    <w:p>
      <w:pPr>
        <w:ind w:firstLine="480" w:firstLineChars="200"/>
        <w:rPr>
          <w:bCs/>
          <w:color w:val="auto"/>
          <w:sz w:val="24"/>
          <w:szCs w:val="24"/>
          <w:highlight w:val="none"/>
        </w:rPr>
      </w:pPr>
      <w:r>
        <w:rPr>
          <w:bCs/>
          <w:color w:val="auto"/>
          <w:sz w:val="24"/>
          <w:szCs w:val="24"/>
          <w:highlight w:val="none"/>
        </w:rPr>
        <w:t>（六）乙方不得以回扣、手续费、加班费、咨询费、劳务费、协调费、辛苦费等各种名义向甲方工作人员给予或赠送钱物。</w:t>
      </w:r>
    </w:p>
    <w:p>
      <w:pPr>
        <w:ind w:firstLine="480" w:firstLineChars="200"/>
        <w:rPr>
          <w:bCs/>
          <w:color w:val="auto"/>
          <w:sz w:val="24"/>
          <w:szCs w:val="24"/>
          <w:highlight w:val="none"/>
        </w:rPr>
      </w:pPr>
      <w:r>
        <w:rPr>
          <w:bCs/>
          <w:color w:val="auto"/>
          <w:sz w:val="24"/>
          <w:szCs w:val="24"/>
          <w:highlight w:val="none"/>
        </w:rPr>
        <w:t>（七）乙方不得向甲方工作人员提供干股或红利。</w:t>
      </w:r>
    </w:p>
    <w:p>
      <w:pPr>
        <w:ind w:left="15" w:leftChars="7" w:firstLine="480" w:firstLineChars="200"/>
        <w:rPr>
          <w:bCs/>
          <w:color w:val="auto"/>
          <w:sz w:val="24"/>
          <w:szCs w:val="24"/>
          <w:highlight w:val="none"/>
        </w:rPr>
      </w:pPr>
      <w:r>
        <w:rPr>
          <w:bCs/>
          <w:color w:val="auto"/>
          <w:sz w:val="24"/>
          <w:szCs w:val="24"/>
          <w:highlight w:val="none"/>
        </w:rPr>
        <w:t>(八）不得存在其他违反廉洁规定的行为。</w:t>
      </w:r>
    </w:p>
    <w:p>
      <w:pPr>
        <w:ind w:firstLine="480" w:firstLineChars="200"/>
        <w:rPr>
          <w:bCs/>
          <w:color w:val="auto"/>
          <w:sz w:val="24"/>
          <w:szCs w:val="24"/>
          <w:highlight w:val="none"/>
        </w:rPr>
      </w:pPr>
      <w:r>
        <w:rPr>
          <w:bCs/>
          <w:color w:val="auto"/>
          <w:sz w:val="24"/>
          <w:szCs w:val="24"/>
          <w:highlight w:val="none"/>
        </w:rPr>
        <w:t>第四条违约责任</w:t>
      </w:r>
    </w:p>
    <w:p>
      <w:pPr>
        <w:ind w:firstLine="480" w:firstLineChars="200"/>
        <w:rPr>
          <w:bCs/>
          <w:color w:val="auto"/>
          <w:sz w:val="24"/>
          <w:szCs w:val="24"/>
          <w:highlight w:val="none"/>
        </w:rPr>
      </w:pPr>
      <w:r>
        <w:rPr>
          <w:bCs/>
          <w:color w:val="auto"/>
          <w:sz w:val="24"/>
          <w:szCs w:val="24"/>
          <w:highlight w:val="none"/>
        </w:rPr>
        <w:t>（一）甲方及其工作人员违反本协议第一、二条。甲方按管理权限，对相关责任人依据有关规定给予处理；涉嫌犯罪的，移交司法机关追究刑事责任；给乙方单位造成经济损失的，应予以赔偿。</w:t>
      </w:r>
    </w:p>
    <w:p>
      <w:pPr>
        <w:ind w:firstLine="480" w:firstLineChars="200"/>
        <w:rPr>
          <w:bCs/>
          <w:color w:val="auto"/>
          <w:sz w:val="24"/>
          <w:szCs w:val="24"/>
          <w:highlight w:val="none"/>
        </w:rPr>
      </w:pPr>
      <w:r>
        <w:rPr>
          <w:bCs/>
          <w:color w:val="auto"/>
          <w:sz w:val="24"/>
          <w:szCs w:val="24"/>
          <w:highlight w:val="none"/>
        </w:rPr>
        <w:t>甲方举报投诉联系部门：广州市净水有限公司</w:t>
      </w:r>
      <w:r>
        <w:rPr>
          <w:bCs/>
          <w:color w:val="auto"/>
          <w:sz w:val="24"/>
          <w:szCs w:val="24"/>
          <w:highlight w:val="none"/>
          <w:u w:val="single"/>
        </w:rPr>
        <w:t>纪检室</w:t>
      </w:r>
      <w:r>
        <w:rPr>
          <w:bCs/>
          <w:color w:val="auto"/>
          <w:sz w:val="24"/>
          <w:szCs w:val="24"/>
          <w:highlight w:val="none"/>
        </w:rPr>
        <w:t>，联系电话：</w:t>
      </w:r>
      <w:r>
        <w:rPr>
          <w:bCs/>
          <w:color w:val="auto"/>
          <w:sz w:val="24"/>
          <w:szCs w:val="24"/>
          <w:highlight w:val="none"/>
          <w:u w:val="single"/>
        </w:rPr>
        <w:t xml:space="preserve"> 020-38890265 </w:t>
      </w:r>
      <w:r>
        <w:rPr>
          <w:bCs/>
          <w:color w:val="auto"/>
          <w:sz w:val="24"/>
          <w:szCs w:val="24"/>
          <w:highlight w:val="none"/>
        </w:rPr>
        <w:t>。</w:t>
      </w:r>
    </w:p>
    <w:p>
      <w:pPr>
        <w:pStyle w:val="21"/>
        <w:ind w:firstLine="480" w:firstLineChars="200"/>
        <w:rPr>
          <w:rFonts w:ascii="Times New Roman" w:hAnsi="Times New Roman" w:cs="Times New Roman"/>
          <w:bCs/>
          <w:color w:val="auto"/>
          <w:highlight w:val="none"/>
        </w:rPr>
      </w:pPr>
      <w:r>
        <w:rPr>
          <w:rFonts w:ascii="Times New Roman" w:hAnsi="Times New Roman" w:cs="Times New Roman"/>
          <w:bCs/>
          <w:color w:val="auto"/>
          <w:highlight w:val="none"/>
        </w:rPr>
        <w:t>（二）乙方及其工作人员存在违反本协议第一、三条规定、或在甲方招标、询价等过程中违反法律法规中的廉洁规定的行为，无论该行为是否与主合同有关，甲方均有权根据具体情节和造成的后果，对乙方采取以下处理方式：</w:t>
      </w:r>
    </w:p>
    <w:p>
      <w:pPr>
        <w:pStyle w:val="21"/>
        <w:ind w:firstLine="480" w:firstLineChars="200"/>
        <w:rPr>
          <w:rFonts w:ascii="Times New Roman" w:hAnsi="Times New Roman" w:cs="Times New Roman"/>
          <w:bCs/>
          <w:color w:val="auto"/>
          <w:highlight w:val="none"/>
        </w:rPr>
      </w:pPr>
      <w:r>
        <w:rPr>
          <w:rFonts w:ascii="Times New Roman" w:hAnsi="Times New Roman" w:cs="Times New Roman"/>
          <w:bCs/>
          <w:color w:val="auto"/>
          <w:highlight w:val="none"/>
        </w:rPr>
        <w:t>1、扣除主合同的全部履约保证金；</w:t>
      </w:r>
    </w:p>
    <w:p>
      <w:pPr>
        <w:pStyle w:val="21"/>
        <w:ind w:firstLine="480" w:firstLineChars="200"/>
        <w:rPr>
          <w:rFonts w:ascii="Times New Roman" w:hAnsi="Times New Roman" w:cs="Times New Roman"/>
          <w:bCs/>
          <w:color w:val="auto"/>
          <w:highlight w:val="none"/>
        </w:rPr>
      </w:pPr>
      <w:r>
        <w:rPr>
          <w:rFonts w:ascii="Times New Roman" w:hAnsi="Times New Roman" w:cs="Times New Roman"/>
          <w:bCs/>
          <w:color w:val="auto"/>
          <w:highlight w:val="none"/>
        </w:rPr>
        <w:t>2、解除主合同；</w:t>
      </w:r>
    </w:p>
    <w:p>
      <w:pPr>
        <w:pStyle w:val="21"/>
        <w:ind w:firstLine="480" w:firstLineChars="200"/>
        <w:rPr>
          <w:rFonts w:ascii="Times New Roman" w:hAnsi="Times New Roman" w:cs="Times New Roman"/>
          <w:bCs/>
          <w:color w:val="auto"/>
          <w:highlight w:val="none"/>
        </w:rPr>
      </w:pPr>
      <w:r>
        <w:rPr>
          <w:rFonts w:ascii="Times New Roman" w:hAnsi="Times New Roman" w:cs="Times New Roman"/>
          <w:bCs/>
          <w:color w:val="auto"/>
          <w:highlight w:val="none"/>
        </w:rPr>
        <w:t>3、追究乙方其他违约责任；</w:t>
      </w:r>
    </w:p>
    <w:p>
      <w:pPr>
        <w:pStyle w:val="21"/>
        <w:ind w:firstLine="480" w:firstLineChars="200"/>
        <w:rPr>
          <w:rFonts w:ascii="Times New Roman" w:hAnsi="Times New Roman" w:cs="Times New Roman"/>
          <w:bCs/>
          <w:color w:val="auto"/>
          <w:highlight w:val="none"/>
        </w:rPr>
      </w:pPr>
      <w:r>
        <w:rPr>
          <w:rFonts w:ascii="Times New Roman" w:hAnsi="Times New Roman" w:cs="Times New Roman"/>
          <w:bCs/>
          <w:color w:val="auto"/>
          <w:highlight w:val="none"/>
        </w:rPr>
        <w:t>4、根据甲方的有关规章制度，在一定时间内暂停乙方参与甲方及下属单位所有项目的交易资格；</w:t>
      </w:r>
    </w:p>
    <w:p>
      <w:pPr>
        <w:pStyle w:val="21"/>
        <w:ind w:firstLine="480" w:firstLineChars="200"/>
        <w:rPr>
          <w:rFonts w:ascii="Times New Roman" w:hAnsi="Times New Roman" w:cs="Times New Roman"/>
          <w:bCs/>
          <w:color w:val="auto"/>
          <w:highlight w:val="none"/>
        </w:rPr>
      </w:pPr>
      <w:r>
        <w:rPr>
          <w:rFonts w:ascii="Times New Roman" w:hAnsi="Times New Roman" w:cs="Times New Roman"/>
          <w:bCs/>
          <w:color w:val="auto"/>
          <w:highlight w:val="none"/>
        </w:rPr>
        <w:t>5、根据甲方的有关规章制度，将乙方清退出甲方相关企业库；</w:t>
      </w:r>
    </w:p>
    <w:p>
      <w:pPr>
        <w:pStyle w:val="21"/>
        <w:ind w:firstLine="480" w:firstLineChars="200"/>
        <w:rPr>
          <w:rFonts w:ascii="Times New Roman" w:hAnsi="Times New Roman" w:cs="Times New Roman"/>
          <w:bCs/>
          <w:color w:val="auto"/>
          <w:highlight w:val="none"/>
        </w:rPr>
      </w:pPr>
      <w:r>
        <w:rPr>
          <w:rFonts w:ascii="Times New Roman" w:hAnsi="Times New Roman" w:cs="Times New Roman"/>
          <w:bCs/>
          <w:color w:val="auto"/>
          <w:highlight w:val="none"/>
        </w:rPr>
        <w:t>6、根据甲方上级单位、行政主管部门的意见、决定执行；</w:t>
      </w:r>
    </w:p>
    <w:p>
      <w:pPr>
        <w:pStyle w:val="21"/>
        <w:ind w:firstLine="480" w:firstLineChars="200"/>
        <w:rPr>
          <w:rFonts w:ascii="Times New Roman" w:hAnsi="Times New Roman" w:cs="Times New Roman"/>
          <w:bCs/>
          <w:color w:val="auto"/>
          <w:highlight w:val="none"/>
        </w:rPr>
      </w:pPr>
      <w:r>
        <w:rPr>
          <w:rFonts w:ascii="Times New Roman" w:hAnsi="Times New Roman" w:cs="Times New Roman"/>
          <w:bCs/>
          <w:color w:val="auto"/>
          <w:highlight w:val="none"/>
        </w:rPr>
        <w:t>7、按规定向有关行政监督部门、乙方业务管理部门进行投诉、报告。</w:t>
      </w:r>
    </w:p>
    <w:p>
      <w:pPr>
        <w:ind w:firstLine="480" w:firstLineChars="200"/>
        <w:rPr>
          <w:bCs/>
          <w:color w:val="auto"/>
          <w:sz w:val="24"/>
          <w:szCs w:val="24"/>
          <w:highlight w:val="none"/>
        </w:rPr>
      </w:pPr>
      <w:r>
        <w:rPr>
          <w:bCs/>
          <w:color w:val="auto"/>
          <w:sz w:val="24"/>
          <w:szCs w:val="24"/>
          <w:highlight w:val="none"/>
        </w:rPr>
        <w:t>乙方无条件接受甲方的处理决定并承担给甲方造成的损失，全额返还通过不正当手段获取的非法所得，并承担相应的法律责任。</w:t>
      </w:r>
    </w:p>
    <w:p>
      <w:pPr>
        <w:ind w:firstLine="480" w:firstLineChars="200"/>
        <w:rPr>
          <w:bCs/>
          <w:color w:val="auto"/>
          <w:sz w:val="24"/>
          <w:szCs w:val="24"/>
          <w:highlight w:val="none"/>
        </w:rPr>
      </w:pPr>
      <w:r>
        <w:rPr>
          <w:bCs/>
          <w:color w:val="auto"/>
          <w:sz w:val="24"/>
          <w:szCs w:val="24"/>
          <w:highlight w:val="none"/>
        </w:rPr>
        <w:t xml:space="preserve">第五条 本协议执行情况，接受有管辖权的纪检、监察部门的监督，双方应予以配合检查调查。 </w:t>
      </w:r>
    </w:p>
    <w:p>
      <w:pPr>
        <w:ind w:firstLine="480" w:firstLineChars="200"/>
        <w:rPr>
          <w:bCs/>
          <w:color w:val="auto"/>
          <w:sz w:val="24"/>
          <w:szCs w:val="24"/>
          <w:highlight w:val="none"/>
        </w:rPr>
      </w:pPr>
      <w:r>
        <w:rPr>
          <w:bCs/>
          <w:color w:val="auto"/>
          <w:sz w:val="24"/>
          <w:szCs w:val="24"/>
          <w:highlight w:val="none"/>
        </w:rPr>
        <w:t>第六条本协议作为</w:t>
      </w:r>
      <w:r>
        <w:rPr>
          <w:rFonts w:hint="eastAsia"/>
          <w:bCs/>
          <w:color w:val="auto"/>
          <w:sz w:val="24"/>
          <w:szCs w:val="24"/>
          <w:highlight w:val="none"/>
          <w:u w:val="single"/>
          <w:lang w:val="en-US" w:eastAsia="zh-CN"/>
        </w:rPr>
        <w:t xml:space="preserve"> （合同名称+合同编号）</w:t>
      </w:r>
      <w:r>
        <w:rPr>
          <w:bCs/>
          <w:color w:val="auto"/>
          <w:sz w:val="24"/>
          <w:szCs w:val="24"/>
          <w:highlight w:val="none"/>
          <w:u w:val="single"/>
        </w:rPr>
        <w:t xml:space="preserve"> </w:t>
      </w:r>
      <w:r>
        <w:rPr>
          <w:bCs/>
          <w:color w:val="auto"/>
          <w:sz w:val="24"/>
          <w:szCs w:val="24"/>
          <w:highlight w:val="none"/>
        </w:rPr>
        <w:t>合同的附件，并具有同等的法律效力，本协议自双方签字盖章之日起生效，与主合同同时终止。</w:t>
      </w:r>
    </w:p>
    <w:p>
      <w:pPr>
        <w:ind w:firstLine="480" w:firstLineChars="200"/>
        <w:rPr>
          <w:bCs/>
          <w:color w:val="auto"/>
          <w:sz w:val="24"/>
          <w:szCs w:val="24"/>
          <w:highlight w:val="none"/>
        </w:rPr>
      </w:pPr>
      <w:r>
        <w:rPr>
          <w:bCs/>
          <w:color w:val="auto"/>
          <w:sz w:val="24"/>
          <w:szCs w:val="24"/>
          <w:highlight w:val="none"/>
        </w:rPr>
        <w:t>第七条本协议一式</w:t>
      </w:r>
      <w:r>
        <w:rPr>
          <w:rFonts w:hint="eastAsia"/>
          <w:bCs/>
          <w:color w:val="auto"/>
          <w:sz w:val="24"/>
          <w:szCs w:val="24"/>
          <w:highlight w:val="none"/>
          <w:u w:val="single"/>
          <w:lang w:val="en-US" w:eastAsia="zh-CN"/>
        </w:rPr>
        <w:t xml:space="preserve">  </w:t>
      </w:r>
      <w:r>
        <w:rPr>
          <w:bCs/>
          <w:color w:val="auto"/>
          <w:sz w:val="24"/>
          <w:szCs w:val="24"/>
          <w:highlight w:val="none"/>
        </w:rPr>
        <w:t>份，甲方</w:t>
      </w:r>
      <w:r>
        <w:rPr>
          <w:rFonts w:hint="eastAsia"/>
          <w:bCs/>
          <w:color w:val="auto"/>
          <w:sz w:val="24"/>
          <w:szCs w:val="24"/>
          <w:highlight w:val="none"/>
          <w:u w:val="single"/>
          <w:lang w:val="en-US" w:eastAsia="zh-CN"/>
        </w:rPr>
        <w:t xml:space="preserve">  </w:t>
      </w:r>
      <w:r>
        <w:rPr>
          <w:bCs/>
          <w:color w:val="auto"/>
          <w:sz w:val="24"/>
          <w:szCs w:val="24"/>
          <w:highlight w:val="none"/>
        </w:rPr>
        <w:t>份，乙方</w:t>
      </w:r>
      <w:r>
        <w:rPr>
          <w:rFonts w:hint="eastAsia"/>
          <w:bCs/>
          <w:color w:val="auto"/>
          <w:sz w:val="24"/>
          <w:szCs w:val="24"/>
          <w:highlight w:val="none"/>
          <w:u w:val="single"/>
          <w:lang w:val="en-US" w:eastAsia="zh-CN"/>
        </w:rPr>
        <w:t xml:space="preserve">  </w:t>
      </w:r>
      <w:r>
        <w:rPr>
          <w:bCs/>
          <w:color w:val="auto"/>
          <w:sz w:val="24"/>
          <w:szCs w:val="24"/>
          <w:highlight w:val="none"/>
        </w:rPr>
        <w:t>份。</w:t>
      </w:r>
    </w:p>
    <w:p>
      <w:pPr>
        <w:ind w:firstLine="480" w:firstLineChars="200"/>
        <w:rPr>
          <w:bCs/>
          <w:color w:val="auto"/>
          <w:sz w:val="24"/>
          <w:szCs w:val="24"/>
          <w:highlight w:val="none"/>
        </w:rPr>
      </w:pPr>
    </w:p>
    <w:p>
      <w:pPr>
        <w:ind w:firstLine="480" w:firstLineChars="200"/>
        <w:rPr>
          <w:bCs/>
          <w:color w:val="auto"/>
          <w:sz w:val="24"/>
          <w:szCs w:val="24"/>
          <w:highlight w:val="none"/>
        </w:rPr>
      </w:pPr>
      <w:r>
        <w:rPr>
          <w:bCs/>
          <w:color w:val="auto"/>
          <w:sz w:val="24"/>
          <w:szCs w:val="24"/>
          <w:highlight w:val="none"/>
        </w:rPr>
        <w:t xml:space="preserve">甲方（盖章）：                     乙方（盖章）： </w:t>
      </w:r>
    </w:p>
    <w:p>
      <w:pPr>
        <w:tabs>
          <w:tab w:val="left" w:pos="5100"/>
        </w:tabs>
        <w:ind w:firstLine="480" w:firstLineChars="200"/>
        <w:rPr>
          <w:bCs/>
          <w:color w:val="auto"/>
          <w:sz w:val="24"/>
          <w:szCs w:val="24"/>
          <w:highlight w:val="none"/>
        </w:rPr>
      </w:pPr>
      <w:r>
        <w:rPr>
          <w:bCs/>
          <w:color w:val="auto"/>
          <w:sz w:val="24"/>
          <w:szCs w:val="24"/>
          <w:highlight w:val="none"/>
        </w:rPr>
        <w:t>签约代表：                         签约代表：</w:t>
      </w:r>
    </w:p>
    <w:p>
      <w:pPr>
        <w:tabs>
          <w:tab w:val="left" w:pos="4170"/>
        </w:tabs>
        <w:ind w:firstLine="480" w:firstLineChars="200"/>
        <w:rPr>
          <w:bCs/>
          <w:color w:val="auto"/>
          <w:sz w:val="24"/>
          <w:szCs w:val="24"/>
          <w:highlight w:val="none"/>
        </w:rPr>
      </w:pPr>
      <w:r>
        <w:rPr>
          <w:bCs/>
          <w:color w:val="auto"/>
          <w:sz w:val="24"/>
          <w:szCs w:val="24"/>
          <w:highlight w:val="none"/>
        </w:rPr>
        <w:t>日期:    年  月  日</w:t>
      </w:r>
      <w:r>
        <w:rPr>
          <w:bCs/>
          <w:color w:val="auto"/>
          <w:sz w:val="24"/>
          <w:szCs w:val="24"/>
          <w:highlight w:val="none"/>
        </w:rPr>
        <w:tab/>
      </w:r>
      <w:r>
        <w:rPr>
          <w:bCs/>
          <w:color w:val="auto"/>
          <w:sz w:val="24"/>
          <w:szCs w:val="24"/>
          <w:highlight w:val="none"/>
        </w:rPr>
        <w:t xml:space="preserve">    日期：  年  月  日</w:t>
      </w:r>
    </w:p>
    <w:p>
      <w:pPr>
        <w:rPr>
          <w:b/>
          <w:bCs/>
          <w:color w:val="auto"/>
          <w:sz w:val="28"/>
          <w:szCs w:val="28"/>
          <w:highlight w:val="none"/>
        </w:rPr>
      </w:pPr>
      <w:r>
        <w:rPr>
          <w:b/>
          <w:bCs/>
          <w:color w:val="auto"/>
          <w:sz w:val="28"/>
          <w:szCs w:val="28"/>
          <w:highlight w:val="none"/>
        </w:rPr>
        <w:br w:type="page"/>
      </w:r>
      <w:r>
        <w:rPr>
          <w:b/>
          <w:bCs/>
          <w:color w:val="auto"/>
          <w:sz w:val="28"/>
          <w:szCs w:val="28"/>
          <w:highlight w:val="none"/>
        </w:rPr>
        <w:t>附件3：</w:t>
      </w:r>
      <w:r>
        <w:rPr>
          <w:rFonts w:hint="eastAsia"/>
          <w:b/>
          <w:bCs/>
          <w:color w:val="auto"/>
          <w:sz w:val="28"/>
          <w:szCs w:val="28"/>
          <w:highlight w:val="none"/>
        </w:rPr>
        <w:t>物品采购安全协议书</w:t>
      </w:r>
    </w:p>
    <w:p>
      <w:pPr>
        <w:jc w:val="center"/>
        <w:rPr>
          <w:color w:val="auto"/>
          <w:sz w:val="24"/>
          <w:szCs w:val="24"/>
          <w:highlight w:val="none"/>
        </w:rPr>
      </w:pPr>
      <w:r>
        <w:rPr>
          <w:rFonts w:eastAsia="黑体"/>
          <w:bCs/>
          <w:color w:val="auto"/>
          <w:sz w:val="24"/>
          <w:szCs w:val="24"/>
          <w:highlight w:val="none"/>
        </w:rPr>
        <w:t>物品采购安全协议书</w:t>
      </w:r>
    </w:p>
    <w:p>
      <w:pPr>
        <w:rPr>
          <w:color w:val="auto"/>
          <w:sz w:val="24"/>
          <w:highlight w:val="none"/>
        </w:rPr>
      </w:pPr>
      <w:r>
        <w:rPr>
          <w:color w:val="auto"/>
          <w:sz w:val="24"/>
          <w:highlight w:val="none"/>
        </w:rPr>
        <w:t>甲方：广州市净水有限公司</w:t>
      </w:r>
    </w:p>
    <w:p>
      <w:pPr>
        <w:rPr>
          <w:color w:val="auto"/>
          <w:sz w:val="24"/>
          <w:highlight w:val="none"/>
        </w:rPr>
      </w:pPr>
      <w:r>
        <w:rPr>
          <w:color w:val="auto"/>
          <w:sz w:val="24"/>
          <w:highlight w:val="none"/>
        </w:rPr>
        <w:t>乙方：</w:t>
      </w:r>
    </w:p>
    <w:p>
      <w:pPr>
        <w:ind w:firstLine="480" w:firstLineChars="200"/>
        <w:rPr>
          <w:color w:val="auto"/>
          <w:sz w:val="24"/>
          <w:highlight w:val="none"/>
        </w:rPr>
      </w:pPr>
      <w:r>
        <w:rPr>
          <w:color w:val="auto"/>
          <w:sz w:val="24"/>
          <w:highlight w:val="none"/>
        </w:rPr>
        <w:t>为加强物品采购过程安全管理，根据《中华人民共和国安全生产法》、《生产安全事故报告和调查处理条例》等国家及地方有关安全生产法律法规，甲乙双方就物品采购的安全事宜，经双方友好协商，达成如下协议。</w:t>
      </w:r>
    </w:p>
    <w:p>
      <w:pPr>
        <w:adjustRightInd w:val="0"/>
        <w:snapToGrid w:val="0"/>
        <w:ind w:firstLine="482" w:firstLineChars="200"/>
        <w:rPr>
          <w:b/>
          <w:color w:val="auto"/>
          <w:sz w:val="24"/>
          <w:highlight w:val="none"/>
        </w:rPr>
      </w:pPr>
      <w:r>
        <w:rPr>
          <w:b/>
          <w:color w:val="auto"/>
          <w:sz w:val="24"/>
          <w:highlight w:val="none"/>
        </w:rPr>
        <w:t>一、本协议与主合同的关系</w:t>
      </w:r>
    </w:p>
    <w:p>
      <w:pPr>
        <w:adjustRightInd w:val="0"/>
        <w:snapToGrid w:val="0"/>
        <w:ind w:firstLine="480" w:firstLineChars="200"/>
        <w:rPr>
          <w:color w:val="auto"/>
          <w:sz w:val="24"/>
          <w:highlight w:val="none"/>
        </w:rPr>
      </w:pPr>
      <w:r>
        <w:rPr>
          <w:color w:val="auto"/>
          <w:sz w:val="24"/>
          <w:highlight w:val="none"/>
        </w:rPr>
        <w:t>本协议作为</w:t>
      </w:r>
      <w:r>
        <w:rPr>
          <w:rFonts w:hint="eastAsia"/>
          <w:color w:val="auto"/>
          <w:sz w:val="24"/>
          <w:highlight w:val="none"/>
        </w:rPr>
        <w:t>广州净水公司2024年紫外线消毒设备购置</w:t>
      </w:r>
      <w:r>
        <w:rPr>
          <w:color w:val="auto"/>
          <w:sz w:val="24"/>
          <w:highlight w:val="none"/>
        </w:rPr>
        <w:t>合同的组成部分，与主合同具有同等法律效力。</w:t>
      </w:r>
    </w:p>
    <w:p>
      <w:pPr>
        <w:ind w:firstLine="482" w:firstLineChars="200"/>
        <w:rPr>
          <w:b/>
          <w:color w:val="auto"/>
          <w:sz w:val="24"/>
          <w:highlight w:val="none"/>
        </w:rPr>
      </w:pPr>
      <w:r>
        <w:rPr>
          <w:b/>
          <w:color w:val="auto"/>
          <w:sz w:val="24"/>
          <w:highlight w:val="none"/>
        </w:rPr>
        <w:t>二、甲方权责</w:t>
      </w:r>
    </w:p>
    <w:p>
      <w:pPr>
        <w:ind w:firstLine="480" w:firstLineChars="200"/>
        <w:rPr>
          <w:color w:val="auto"/>
          <w:sz w:val="24"/>
          <w:highlight w:val="none"/>
        </w:rPr>
      </w:pPr>
      <w:r>
        <w:rPr>
          <w:color w:val="auto"/>
          <w:sz w:val="24"/>
          <w:highlight w:val="none"/>
        </w:rPr>
        <w:t>（一）甲方进行物品采购时，应贯彻落实国家、地方有关安全管理的法律法规和规章制度。</w:t>
      </w:r>
    </w:p>
    <w:p>
      <w:pPr>
        <w:ind w:firstLine="480" w:firstLineChars="200"/>
        <w:rPr>
          <w:color w:val="auto"/>
          <w:sz w:val="24"/>
          <w:highlight w:val="none"/>
        </w:rPr>
      </w:pPr>
      <w:r>
        <w:rPr>
          <w:color w:val="auto"/>
          <w:sz w:val="24"/>
          <w:highlight w:val="none"/>
        </w:rPr>
        <w:t>（二）甲方应审查乙方物品有关的经营、运输的合法证照和资质条件，及相关运输车辆和人员的证件资料；有权对承运车辆驾驶员的健康状况，持有的相关证件是否与其所驾车型相匹配、是否达到所驾车型的驾驶年限进行检查。</w:t>
      </w:r>
    </w:p>
    <w:p>
      <w:pPr>
        <w:ind w:firstLine="480" w:firstLineChars="200"/>
        <w:rPr>
          <w:color w:val="auto"/>
          <w:sz w:val="24"/>
          <w:highlight w:val="none"/>
        </w:rPr>
      </w:pPr>
      <w:r>
        <w:rPr>
          <w:color w:val="auto"/>
          <w:sz w:val="24"/>
          <w:highlight w:val="none"/>
        </w:rPr>
        <w:t>（三）甲方应在其管辖区域对乙方的物品运输、装卸、安装和调试等过程的安全生产实行监督，及时纠正乙方人员违章指挥、违章驾驶、违反禁令等行为，并按照甲方的安全管理制度规定对乙方进行处理；发现安全隐患，甲方应开具隐患整改通知单，责令乙方限期整改，及时督促乙方消除事故隐患。</w:t>
      </w:r>
    </w:p>
    <w:p>
      <w:pPr>
        <w:ind w:firstLine="480" w:firstLineChars="200"/>
        <w:rPr>
          <w:color w:val="auto"/>
          <w:sz w:val="24"/>
          <w:highlight w:val="none"/>
        </w:rPr>
      </w:pPr>
      <w:r>
        <w:rPr>
          <w:color w:val="auto"/>
          <w:sz w:val="24"/>
          <w:highlight w:val="none"/>
        </w:rPr>
        <w:t>（四）乙方对存在问题拒不整改的，视为违约，甲方有权对乙方按主合同相关条款进行违约金扣罚。如乙方拒不缴纳违约金的，甲方有权在履约保证金中扣除。</w:t>
      </w:r>
    </w:p>
    <w:p>
      <w:pPr>
        <w:ind w:firstLine="480" w:firstLineChars="200"/>
        <w:rPr>
          <w:color w:val="auto"/>
          <w:sz w:val="24"/>
          <w:highlight w:val="none"/>
        </w:rPr>
      </w:pPr>
      <w:r>
        <w:rPr>
          <w:color w:val="auto"/>
          <w:sz w:val="24"/>
          <w:highlight w:val="none"/>
        </w:rPr>
        <w:t>（五）告知乙方在甲方应当遵守的安全管理要求。</w:t>
      </w:r>
    </w:p>
    <w:p>
      <w:pPr>
        <w:ind w:firstLine="482" w:firstLineChars="200"/>
        <w:rPr>
          <w:b/>
          <w:color w:val="auto"/>
          <w:sz w:val="24"/>
          <w:highlight w:val="none"/>
        </w:rPr>
      </w:pPr>
      <w:r>
        <w:rPr>
          <w:b/>
          <w:color w:val="auto"/>
          <w:sz w:val="24"/>
          <w:highlight w:val="none"/>
        </w:rPr>
        <w:t>三、乙方权责</w:t>
      </w:r>
    </w:p>
    <w:p>
      <w:pPr>
        <w:ind w:firstLine="480" w:firstLineChars="200"/>
        <w:rPr>
          <w:color w:val="auto"/>
          <w:sz w:val="24"/>
          <w:highlight w:val="none"/>
        </w:rPr>
      </w:pPr>
      <w:r>
        <w:rPr>
          <w:color w:val="auto"/>
          <w:sz w:val="24"/>
          <w:highlight w:val="none"/>
        </w:rPr>
        <w:t>（一）乙方应承诺具备所售物品的许可资质，并提供相关证明材料。若乙方非所售物品的直销厂家，应提供物品的完整供应链，物品的销售、运输、装卸全过程须严格遵守国家及地方的法律的有关规定。</w:t>
      </w:r>
    </w:p>
    <w:p>
      <w:pPr>
        <w:ind w:firstLine="480" w:firstLineChars="200"/>
        <w:rPr>
          <w:color w:val="auto"/>
          <w:sz w:val="24"/>
          <w:highlight w:val="none"/>
        </w:rPr>
      </w:pPr>
      <w:r>
        <w:rPr>
          <w:color w:val="auto"/>
          <w:sz w:val="24"/>
          <w:highlight w:val="none"/>
        </w:rPr>
        <w:t>（二）乙方负责明确自身岗位安全职责，将安全责任落实到人；加强教育工作，督促员工遵守安全生产规章制度；鼓励员工积极参与安全生产工作，及时发现和消除隐患。运输物品时，应指定物品安全运输责任人，负责安全运输和装卸及安全教育工作，同时督促检查，确保物品的安全送运。</w:t>
      </w:r>
    </w:p>
    <w:p>
      <w:pPr>
        <w:ind w:firstLine="480" w:firstLineChars="200"/>
        <w:rPr>
          <w:color w:val="auto"/>
          <w:sz w:val="24"/>
          <w:highlight w:val="none"/>
        </w:rPr>
      </w:pPr>
      <w:r>
        <w:rPr>
          <w:color w:val="auto"/>
          <w:sz w:val="24"/>
          <w:highlight w:val="none"/>
        </w:rPr>
        <w:t>（三）乙方应承诺所售物品质量符合现行国家规范要求，保证所售物品为正品。货物类物品应提供与货物型号一致的使用说明书（进口货物应有中文说明书），如物品有保质期要求的应在保质期范围内，特殊货物应在运输前做好定检工作，包装要完整完好。</w:t>
      </w:r>
    </w:p>
    <w:p>
      <w:pPr>
        <w:ind w:firstLine="480" w:firstLineChars="200"/>
        <w:rPr>
          <w:color w:val="auto"/>
          <w:sz w:val="24"/>
          <w:highlight w:val="none"/>
        </w:rPr>
      </w:pPr>
      <w:r>
        <w:rPr>
          <w:color w:val="auto"/>
          <w:sz w:val="24"/>
          <w:highlight w:val="none"/>
        </w:rPr>
        <w:t>（四）乙方对物品的运输、装卸、货物的安装和调试过程的安全工作负责。对乙方内部的运输车队，乙方用于运输物品的车辆应取得合法证照资质。对乙方聘请的运输车队，乙方应严格审核其运输车队、驾驶员资质证照及车队运输相关的管理制度。</w:t>
      </w:r>
    </w:p>
    <w:p>
      <w:pPr>
        <w:ind w:firstLine="480" w:firstLineChars="200"/>
        <w:rPr>
          <w:color w:val="auto"/>
          <w:sz w:val="24"/>
          <w:highlight w:val="none"/>
        </w:rPr>
      </w:pPr>
      <w:r>
        <w:rPr>
          <w:color w:val="auto"/>
          <w:sz w:val="24"/>
          <w:highlight w:val="none"/>
        </w:rPr>
        <w:t>（五）乙方须加强物品运输车辆的安全管理，用于运输物品的车辆必须车况良好、外观整洁、证照齐全，严格执行车辆安全检验制度，确保车辆性能符合安全技术标准。</w:t>
      </w:r>
    </w:p>
    <w:p>
      <w:pPr>
        <w:ind w:firstLine="480" w:firstLineChars="200"/>
        <w:rPr>
          <w:color w:val="auto"/>
          <w:sz w:val="24"/>
          <w:highlight w:val="none"/>
        </w:rPr>
      </w:pPr>
      <w:r>
        <w:rPr>
          <w:color w:val="auto"/>
          <w:sz w:val="24"/>
          <w:highlight w:val="none"/>
        </w:rPr>
        <w:t>（六）人员管理</w:t>
      </w:r>
    </w:p>
    <w:p>
      <w:pPr>
        <w:ind w:firstLine="480" w:firstLineChars="200"/>
        <w:rPr>
          <w:color w:val="auto"/>
          <w:sz w:val="24"/>
          <w:highlight w:val="none"/>
        </w:rPr>
      </w:pPr>
      <w:r>
        <w:rPr>
          <w:color w:val="auto"/>
          <w:sz w:val="24"/>
          <w:highlight w:val="none"/>
        </w:rPr>
        <w:t>1.乙方必须严格按照国家相关规定雇佣人员，加强承运车辆驾驶员的道路安全交通法、相关安全管理制度、操作技能等的培训教育，确保安全运输。禁止病车上路、超速行驶、超限超载行驶，严禁酒后驾车和疲劳驾车等。乙方聘请其他单位运输的，乙方应对运输单位的安全管理负责。</w:t>
      </w:r>
    </w:p>
    <w:p>
      <w:pPr>
        <w:numPr>
          <w:ilvl w:val="0"/>
          <w:numId w:val="7"/>
        </w:numPr>
        <w:ind w:firstLine="480" w:firstLineChars="200"/>
        <w:rPr>
          <w:color w:val="auto"/>
          <w:sz w:val="24"/>
          <w:highlight w:val="none"/>
        </w:rPr>
      </w:pPr>
      <w:r>
        <w:rPr>
          <w:color w:val="auto"/>
          <w:sz w:val="24"/>
          <w:highlight w:val="none"/>
        </w:rPr>
        <w:t>乙方应采取措施，加强人员管理，对需进入甲方管辖区域的人员要做好三级安全教育工作、安全技术交底和培训，严防驾驶人员在运输过程中超速、超载、疲劳驾驶、违章操作等违法违章行为。一经发现应严格按制度规定落实教育处理并向甲方支付违约金</w:t>
      </w:r>
      <w:r>
        <w:rPr>
          <w:color w:val="auto"/>
          <w:sz w:val="24"/>
          <w:highlight w:val="none"/>
          <w:u w:val="single"/>
        </w:rPr>
        <w:t xml:space="preserve"> 3000 </w:t>
      </w:r>
      <w:r>
        <w:rPr>
          <w:color w:val="auto"/>
          <w:sz w:val="24"/>
          <w:highlight w:val="none"/>
        </w:rPr>
        <w:t>元/次。</w:t>
      </w:r>
    </w:p>
    <w:p>
      <w:pPr>
        <w:ind w:firstLine="480" w:firstLineChars="200"/>
        <w:rPr>
          <w:color w:val="auto"/>
          <w:sz w:val="24"/>
          <w:highlight w:val="none"/>
        </w:rPr>
      </w:pPr>
      <w:r>
        <w:rPr>
          <w:color w:val="auto"/>
          <w:sz w:val="24"/>
          <w:highlight w:val="none"/>
        </w:rPr>
        <w:t>3.乙方人员及车辆进入甲方管辖区内应自觉遵守甲方的规章制度和有关安全规定，按照现场人员指定线路行车，指定的区域停车、装卸。乙方人员不得擅自进入甲方其他生产作业区域。如有违反，将按甲方规定进行处理。</w:t>
      </w:r>
    </w:p>
    <w:p>
      <w:pPr>
        <w:ind w:firstLine="480" w:firstLineChars="200"/>
        <w:rPr>
          <w:color w:val="auto"/>
          <w:sz w:val="24"/>
          <w:highlight w:val="none"/>
        </w:rPr>
      </w:pPr>
      <w:r>
        <w:rPr>
          <w:color w:val="auto"/>
          <w:sz w:val="24"/>
          <w:highlight w:val="none"/>
        </w:rPr>
        <w:t>4.如货物类物品需进行安装、调试，乙方应安排熟悉货物或有货物操作相关资质的专业人员与甲方进行货物验收及培训等工作，确保操作货物过程安全。</w:t>
      </w:r>
    </w:p>
    <w:p>
      <w:pPr>
        <w:ind w:firstLine="480" w:firstLineChars="200"/>
        <w:rPr>
          <w:color w:val="auto"/>
          <w:sz w:val="24"/>
          <w:highlight w:val="none"/>
        </w:rPr>
      </w:pPr>
      <w:r>
        <w:rPr>
          <w:color w:val="auto"/>
          <w:sz w:val="24"/>
          <w:highlight w:val="none"/>
        </w:rPr>
        <w:t>（七）发生事故时，乙方须立即报警处理，乙方在力所能及范围内采取补救措施，并在30分钟内将情况报告甲方。</w:t>
      </w:r>
    </w:p>
    <w:p>
      <w:pPr>
        <w:ind w:firstLine="480" w:firstLineChars="200"/>
        <w:rPr>
          <w:color w:val="auto"/>
          <w:sz w:val="24"/>
          <w:highlight w:val="none"/>
        </w:rPr>
      </w:pPr>
      <w:r>
        <w:rPr>
          <w:color w:val="auto"/>
          <w:sz w:val="24"/>
          <w:highlight w:val="none"/>
        </w:rPr>
        <w:t>（八）乙方必须严格履行本协议，遵守甲方各项安全管理规定，服从管理。乙方对存在问题拒不整改的，视为违约，甲方有权对乙方按主合同相关条款进行违约金扣罚。如乙方拒不缴纳违约金的，甲方有权在履约保证金中扣除。</w:t>
      </w:r>
    </w:p>
    <w:p>
      <w:pPr>
        <w:ind w:firstLine="480" w:firstLineChars="200"/>
        <w:rPr>
          <w:color w:val="auto"/>
          <w:sz w:val="24"/>
          <w:highlight w:val="none"/>
        </w:rPr>
      </w:pPr>
      <w:r>
        <w:rPr>
          <w:color w:val="auto"/>
          <w:sz w:val="24"/>
          <w:highlight w:val="none"/>
        </w:rPr>
        <w:t>（九）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ind w:firstLine="480" w:firstLineChars="200"/>
        <w:rPr>
          <w:color w:val="auto"/>
          <w:sz w:val="24"/>
          <w:highlight w:val="none"/>
        </w:rPr>
      </w:pPr>
      <w:r>
        <w:rPr>
          <w:color w:val="auto"/>
          <w:sz w:val="24"/>
          <w:highlight w:val="none"/>
        </w:rPr>
        <w:t>（十）乙方委托的第三方运输单位或个人，违反本协议的，全部责任均由乙方承担。</w:t>
      </w:r>
    </w:p>
    <w:p>
      <w:pPr>
        <w:pStyle w:val="35"/>
        <w:ind w:firstLine="482" w:firstLineChars="200"/>
        <w:rPr>
          <w:rFonts w:ascii="Times New Roman" w:hAnsi="Times New Roman"/>
          <w:color w:val="auto"/>
          <w:sz w:val="24"/>
          <w:highlight w:val="none"/>
        </w:rPr>
      </w:pPr>
      <w:r>
        <w:rPr>
          <w:rFonts w:ascii="Times New Roman" w:hAnsi="Times New Roman"/>
          <w:b/>
          <w:color w:val="auto"/>
          <w:sz w:val="24"/>
          <w:highlight w:val="none"/>
        </w:rPr>
        <w:t>四、补充条款：</w:t>
      </w:r>
      <w:r>
        <w:rPr>
          <w:rFonts w:ascii="Times New Roman" w:hAnsi="Times New Roman"/>
          <w:color w:val="auto"/>
          <w:sz w:val="24"/>
          <w:highlight w:val="none"/>
          <w:u w:val="single"/>
        </w:rPr>
        <w:t xml:space="preserve">       /        </w:t>
      </w:r>
      <w:r>
        <w:rPr>
          <w:rFonts w:ascii="Times New Roman" w:hAnsi="Times New Roman"/>
          <w:color w:val="auto"/>
          <w:sz w:val="24"/>
          <w:highlight w:val="none"/>
        </w:rPr>
        <w:t>。</w:t>
      </w:r>
    </w:p>
    <w:p>
      <w:pPr>
        <w:adjustRightInd w:val="0"/>
        <w:snapToGrid w:val="0"/>
        <w:ind w:firstLine="482" w:firstLineChars="200"/>
        <w:rPr>
          <w:b/>
          <w:color w:val="auto"/>
          <w:sz w:val="24"/>
          <w:highlight w:val="none"/>
        </w:rPr>
      </w:pPr>
      <w:r>
        <w:rPr>
          <w:b/>
          <w:color w:val="auto"/>
          <w:sz w:val="24"/>
          <w:highlight w:val="none"/>
        </w:rPr>
        <w:t>五、附则</w:t>
      </w:r>
    </w:p>
    <w:p>
      <w:pPr>
        <w:adjustRightInd w:val="0"/>
        <w:snapToGrid w:val="0"/>
        <w:ind w:firstLine="480" w:firstLineChars="200"/>
        <w:rPr>
          <w:color w:val="auto"/>
          <w:sz w:val="24"/>
          <w:highlight w:val="none"/>
        </w:rPr>
      </w:pPr>
      <w:r>
        <w:rPr>
          <w:color w:val="auto"/>
          <w:sz w:val="24"/>
          <w:highlight w:val="none"/>
        </w:rPr>
        <w:t>（一）本协议未尽事宜，依据有关法律、法规、规章处理。法律、法规、规章没有明确规定的，经双方协商处理解决。</w:t>
      </w:r>
    </w:p>
    <w:p>
      <w:pPr>
        <w:adjustRightInd w:val="0"/>
        <w:snapToGrid w:val="0"/>
        <w:ind w:firstLine="480" w:firstLineChars="200"/>
        <w:rPr>
          <w:color w:val="auto"/>
          <w:sz w:val="24"/>
          <w:highlight w:val="none"/>
        </w:rPr>
      </w:pPr>
      <w:r>
        <w:rPr>
          <w:color w:val="auto"/>
          <w:sz w:val="24"/>
          <w:highlight w:val="none"/>
        </w:rPr>
        <w:t>（二）本协议与主合同同时签订、同时终止、同时生效，具有相同的法律效力，自甲方、乙方双方签字、盖章生效，甲方、乙方双方执持数量与主合同一致。</w:t>
      </w:r>
    </w:p>
    <w:tbl>
      <w:tblPr>
        <w:tblStyle w:val="23"/>
        <w:tblpPr w:leftFromText="180" w:rightFromText="180" w:vertAnchor="text" w:horzAnchor="page" w:tblpX="1300" w:tblpY="221"/>
        <w:tblOverlap w:val="never"/>
        <w:tblW w:w="9800" w:type="dxa"/>
        <w:tblInd w:w="0" w:type="dxa"/>
        <w:tblLayout w:type="autofit"/>
        <w:tblCellMar>
          <w:top w:w="0" w:type="dxa"/>
          <w:left w:w="108" w:type="dxa"/>
          <w:bottom w:w="0" w:type="dxa"/>
          <w:right w:w="108" w:type="dxa"/>
        </w:tblCellMar>
      </w:tblPr>
      <w:tblGrid>
        <w:gridCol w:w="4900"/>
        <w:gridCol w:w="4900"/>
      </w:tblGrid>
      <w:tr>
        <w:tblPrEx>
          <w:tblCellMar>
            <w:top w:w="0" w:type="dxa"/>
            <w:left w:w="108" w:type="dxa"/>
            <w:bottom w:w="0" w:type="dxa"/>
            <w:right w:w="108" w:type="dxa"/>
          </w:tblCellMar>
        </w:tblPrEx>
        <w:trPr>
          <w:trHeight w:val="3213" w:hRule="atLeast"/>
        </w:trPr>
        <w:tc>
          <w:tcPr>
            <w:tcW w:w="4900" w:type="dxa"/>
          </w:tcPr>
          <w:p>
            <w:pPr>
              <w:adjustRightInd w:val="0"/>
              <w:snapToGrid w:val="0"/>
              <w:textAlignment w:val="baseline"/>
              <w:rPr>
                <w:color w:val="auto"/>
                <w:sz w:val="24"/>
                <w:highlight w:val="none"/>
              </w:rPr>
            </w:pPr>
            <w:r>
              <w:rPr>
                <w:color w:val="auto"/>
                <w:sz w:val="24"/>
                <w:highlight w:val="none"/>
              </w:rPr>
              <w:t xml:space="preserve">甲方： </w:t>
            </w:r>
          </w:p>
          <w:p>
            <w:pPr>
              <w:adjustRightInd w:val="0"/>
              <w:snapToGrid w:val="0"/>
              <w:textAlignment w:val="baseline"/>
              <w:rPr>
                <w:color w:val="auto"/>
                <w:sz w:val="24"/>
                <w:highlight w:val="none"/>
              </w:rPr>
            </w:pPr>
            <w:r>
              <w:rPr>
                <w:color w:val="auto"/>
                <w:sz w:val="24"/>
                <w:highlight w:val="none"/>
              </w:rPr>
              <w:t xml:space="preserve">签约代表： </w:t>
            </w:r>
          </w:p>
          <w:p>
            <w:pPr>
              <w:adjustRightInd w:val="0"/>
              <w:snapToGrid w:val="0"/>
              <w:textAlignment w:val="baseline"/>
              <w:rPr>
                <w:color w:val="auto"/>
                <w:sz w:val="24"/>
                <w:highlight w:val="none"/>
              </w:rPr>
            </w:pPr>
            <w:r>
              <w:rPr>
                <w:color w:val="auto"/>
                <w:sz w:val="24"/>
                <w:highlight w:val="none"/>
              </w:rPr>
              <w:t>联系电话：</w:t>
            </w:r>
          </w:p>
          <w:p>
            <w:pPr>
              <w:adjustRightInd w:val="0"/>
              <w:snapToGrid w:val="0"/>
              <w:ind w:right="480" w:firstLine="1320" w:firstLineChars="550"/>
              <w:textAlignment w:val="baseline"/>
              <w:rPr>
                <w:color w:val="auto"/>
                <w:sz w:val="24"/>
                <w:highlight w:val="none"/>
              </w:rPr>
            </w:pPr>
            <w:r>
              <w:rPr>
                <w:color w:val="auto"/>
                <w:sz w:val="24"/>
                <w:highlight w:val="none"/>
              </w:rPr>
              <w:t>年    月    日</w:t>
            </w:r>
          </w:p>
        </w:tc>
        <w:tc>
          <w:tcPr>
            <w:tcW w:w="4900" w:type="dxa"/>
          </w:tcPr>
          <w:p>
            <w:pPr>
              <w:adjustRightInd w:val="0"/>
              <w:snapToGrid w:val="0"/>
              <w:textAlignment w:val="baseline"/>
              <w:rPr>
                <w:color w:val="auto"/>
                <w:sz w:val="24"/>
                <w:highlight w:val="none"/>
              </w:rPr>
            </w:pPr>
            <w:r>
              <w:rPr>
                <w:color w:val="auto"/>
                <w:sz w:val="24"/>
                <w:highlight w:val="none"/>
              </w:rPr>
              <w:t>乙方：</w:t>
            </w:r>
          </w:p>
          <w:p>
            <w:pPr>
              <w:adjustRightInd w:val="0"/>
              <w:snapToGrid w:val="0"/>
              <w:textAlignment w:val="baseline"/>
              <w:rPr>
                <w:color w:val="auto"/>
                <w:sz w:val="24"/>
                <w:highlight w:val="none"/>
              </w:rPr>
            </w:pPr>
            <w:r>
              <w:rPr>
                <w:color w:val="auto"/>
                <w:sz w:val="24"/>
                <w:highlight w:val="none"/>
              </w:rPr>
              <w:t>签约代表：</w:t>
            </w:r>
          </w:p>
          <w:p>
            <w:pPr>
              <w:adjustRightInd w:val="0"/>
              <w:snapToGrid w:val="0"/>
              <w:textAlignment w:val="baseline"/>
              <w:rPr>
                <w:color w:val="auto"/>
                <w:sz w:val="24"/>
                <w:highlight w:val="none"/>
              </w:rPr>
            </w:pPr>
            <w:r>
              <w:rPr>
                <w:color w:val="auto"/>
                <w:sz w:val="24"/>
                <w:highlight w:val="none"/>
              </w:rPr>
              <w:t>联系电话：</w:t>
            </w:r>
          </w:p>
          <w:p>
            <w:pPr>
              <w:adjustRightInd w:val="0"/>
              <w:snapToGrid w:val="0"/>
              <w:ind w:right="480" w:firstLine="1560" w:firstLineChars="650"/>
              <w:textAlignment w:val="baseline"/>
              <w:rPr>
                <w:color w:val="auto"/>
                <w:sz w:val="24"/>
                <w:highlight w:val="none"/>
              </w:rPr>
            </w:pPr>
            <w:r>
              <w:rPr>
                <w:color w:val="auto"/>
                <w:sz w:val="24"/>
                <w:highlight w:val="none"/>
              </w:rPr>
              <w:t>年    月    日</w:t>
            </w:r>
          </w:p>
        </w:tc>
      </w:tr>
    </w:tbl>
    <w:p>
      <w:pPr>
        <w:pStyle w:val="10"/>
        <w:rPr>
          <w:b/>
          <w:bCs/>
          <w:color w:val="auto"/>
          <w:szCs w:val="21"/>
          <w:highlight w:val="none"/>
        </w:rPr>
      </w:pPr>
    </w:p>
    <w:p>
      <w:pPr>
        <w:spacing w:line="360" w:lineRule="auto"/>
        <w:ind w:firstLine="281" w:firstLineChars="100"/>
        <w:rPr>
          <w:b/>
          <w:bCs/>
          <w:color w:val="auto"/>
          <w:sz w:val="28"/>
          <w:szCs w:val="28"/>
          <w:highlight w:val="none"/>
        </w:rPr>
        <w:sectPr>
          <w:pgSz w:w="11906" w:h="16838"/>
          <w:pgMar w:top="1440" w:right="1800" w:bottom="1440" w:left="1800" w:header="851" w:footer="992" w:gutter="0"/>
          <w:pgNumType w:fmt="decimal"/>
          <w:cols w:space="425" w:num="1"/>
          <w:docGrid w:type="lines" w:linePitch="312" w:charSpace="0"/>
        </w:sectPr>
      </w:pPr>
    </w:p>
    <w:p>
      <w:pPr>
        <w:spacing w:line="360" w:lineRule="auto"/>
        <w:rPr>
          <w:rFonts w:hint="eastAsia"/>
          <w:b/>
          <w:bCs/>
          <w:color w:val="auto"/>
          <w:sz w:val="28"/>
          <w:szCs w:val="28"/>
          <w:highlight w:val="none"/>
          <w:lang w:val="en-US" w:eastAsia="zh-CN"/>
        </w:rPr>
      </w:pPr>
      <w:r>
        <w:rPr>
          <w:rFonts w:hint="eastAsia"/>
          <w:b/>
          <w:bCs/>
          <w:color w:val="auto"/>
          <w:sz w:val="28"/>
          <w:szCs w:val="28"/>
          <w:highlight w:val="none"/>
          <w:lang w:val="en-US" w:eastAsia="zh-CN"/>
        </w:rPr>
        <w:t>附件4营运场所施工安全及消防安全协议书</w:t>
      </w:r>
    </w:p>
    <w:p>
      <w:pPr>
        <w:keepNext w:val="0"/>
        <w:keepLines w:val="0"/>
        <w:pageBreakBefore w:val="0"/>
        <w:kinsoku/>
        <w:wordWrap/>
        <w:overflowPunct/>
        <w:topLinePunct w:val="0"/>
        <w:autoSpaceDE/>
        <w:autoSpaceDN/>
        <w:bidi w:val="0"/>
        <w:spacing w:line="440" w:lineRule="exact"/>
        <w:jc w:val="center"/>
        <w:textAlignment w:val="auto"/>
        <w:rPr>
          <w:rFonts w:hint="eastAsia" w:ascii="方正小标宋简体" w:hAnsi="方正小标宋简体" w:eastAsia="方正小标宋简体" w:cs="方正小标宋简体"/>
          <w:color w:val="auto"/>
          <w:sz w:val="40"/>
          <w:szCs w:val="36"/>
          <w:highlight w:val="none"/>
          <w:lang w:val="en-US" w:eastAsia="zh-CN"/>
        </w:rPr>
      </w:pPr>
      <w:r>
        <w:rPr>
          <w:rFonts w:hint="eastAsia" w:ascii="方正小标宋简体" w:hAnsi="方正小标宋简体" w:eastAsia="方正小标宋简体" w:cs="方正小标宋简体"/>
          <w:color w:val="auto"/>
          <w:sz w:val="40"/>
          <w:szCs w:val="36"/>
          <w:highlight w:val="none"/>
          <w:lang w:val="en-US" w:eastAsia="zh-CN"/>
        </w:rPr>
        <w:t>营运场所施工安全及消防安全协议书</w:t>
      </w:r>
    </w:p>
    <w:p>
      <w:pPr>
        <w:keepNext w:val="0"/>
        <w:keepLines w:val="0"/>
        <w:pageBreakBefore w:val="0"/>
        <w:kinsoku/>
        <w:wordWrap/>
        <w:overflowPunct/>
        <w:topLinePunct w:val="0"/>
        <w:autoSpaceDE/>
        <w:autoSpaceDN/>
        <w:bidi w:val="0"/>
        <w:spacing w:line="440" w:lineRule="exact"/>
        <w:textAlignment w:val="auto"/>
        <w:rPr>
          <w:rFonts w:hint="eastAsia" w:ascii="仿宋_GB2312" w:hAnsi="仿宋_GB2312" w:eastAsia="仿宋_GB2312" w:cs="仿宋_GB2312"/>
          <w:color w:val="auto"/>
          <w:kern w:val="0"/>
          <w:sz w:val="24"/>
          <w:highlight w:val="none"/>
        </w:rPr>
      </w:pPr>
    </w:p>
    <w:p>
      <w:pPr>
        <w:keepNext w:val="0"/>
        <w:keepLines w:val="0"/>
        <w:pageBreakBefore w:val="0"/>
        <w:kinsoku/>
        <w:wordWrap/>
        <w:overflowPunct/>
        <w:topLinePunct w:val="0"/>
        <w:autoSpaceDE/>
        <w:autoSpaceDN/>
        <w:bidi w:val="0"/>
        <w:spacing w:line="440" w:lineRule="exac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甲方：</w:t>
      </w:r>
      <w:r>
        <w:rPr>
          <w:rFonts w:hint="eastAsia" w:ascii="仿宋_GB2312" w:hAnsi="仿宋_GB2312" w:eastAsia="仿宋_GB2312" w:cs="仿宋_GB2312"/>
          <w:color w:val="auto"/>
          <w:sz w:val="24"/>
          <w:szCs w:val="24"/>
          <w:highlight w:val="none"/>
        </w:rPr>
        <w:t>广州市净水有限公司</w:t>
      </w:r>
    </w:p>
    <w:p>
      <w:pPr>
        <w:keepNext w:val="0"/>
        <w:keepLines w:val="0"/>
        <w:pageBreakBefore w:val="0"/>
        <w:kinsoku/>
        <w:wordWrap/>
        <w:overflowPunct/>
        <w:topLinePunct w:val="0"/>
        <w:autoSpaceDE/>
        <w:autoSpaceDN/>
        <w:bidi w:val="0"/>
        <w:spacing w:line="440" w:lineRule="exac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 xml:space="preserve">乙方： </w:t>
      </w:r>
    </w:p>
    <w:p>
      <w:pPr>
        <w:keepNext w:val="0"/>
        <w:keepLines w:val="0"/>
        <w:pageBreakBefore w:val="0"/>
        <w:kinsoku/>
        <w:wordWrap/>
        <w:overflowPunct/>
        <w:topLinePunct w:val="0"/>
        <w:autoSpaceDE/>
        <w:autoSpaceDN/>
        <w:bidi w:val="0"/>
        <w:spacing w:line="440" w:lineRule="exact"/>
        <w:textAlignment w:val="auto"/>
        <w:rPr>
          <w:rFonts w:hint="eastAsia" w:ascii="仿宋_GB2312" w:hAnsi="仿宋_GB2312" w:eastAsia="仿宋_GB2312" w:cs="仿宋_GB2312"/>
          <w:color w:val="auto"/>
          <w:kern w:val="0"/>
          <w:sz w:val="24"/>
          <w:szCs w:val="24"/>
          <w:highlight w:val="none"/>
        </w:rPr>
      </w:pPr>
    </w:p>
    <w:p>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根据《中华人民共和国安全生产法》、</w:t>
      </w:r>
      <w:r>
        <w:rPr>
          <w:rFonts w:hint="eastAsia" w:ascii="仿宋_GB2312" w:hAnsi="仿宋_GB2312" w:eastAsia="仿宋_GB2312" w:cs="仿宋_GB2312"/>
          <w:color w:val="auto"/>
          <w:kern w:val="0"/>
          <w:sz w:val="24"/>
          <w:szCs w:val="24"/>
          <w:highlight w:val="none"/>
          <w:lang w:eastAsia="zh-CN"/>
        </w:rPr>
        <w:t>《中华人民共和国消防法》、</w:t>
      </w:r>
      <w:r>
        <w:rPr>
          <w:rFonts w:hint="eastAsia" w:ascii="仿宋_GB2312" w:hAnsi="仿宋_GB2312" w:eastAsia="仿宋_GB2312" w:cs="仿宋_GB2312"/>
          <w:color w:val="auto"/>
          <w:kern w:val="0"/>
          <w:sz w:val="24"/>
          <w:szCs w:val="24"/>
          <w:highlight w:val="none"/>
        </w:rPr>
        <w:t>《生产安全事故报告和调查处理条例》</w:t>
      </w:r>
      <w:r>
        <w:rPr>
          <w:rFonts w:hint="eastAsia" w:ascii="仿宋_GB2312" w:hAnsi="仿宋_GB2312" w:eastAsia="仿宋_GB2312" w:cs="仿宋_GB2312"/>
          <w:color w:val="auto"/>
          <w:kern w:val="0"/>
          <w:sz w:val="24"/>
          <w:szCs w:val="24"/>
          <w:highlight w:val="none"/>
          <w:lang w:eastAsia="zh-CN"/>
        </w:rPr>
        <w:t>、《建设工程安全生产管理条例》</w:t>
      </w:r>
      <w:r>
        <w:rPr>
          <w:rFonts w:hint="eastAsia" w:ascii="仿宋_GB2312" w:hAnsi="仿宋_GB2312" w:eastAsia="仿宋_GB2312" w:cs="仿宋_GB2312"/>
          <w:color w:val="auto"/>
          <w:kern w:val="0"/>
          <w:sz w:val="24"/>
          <w:szCs w:val="24"/>
          <w:highlight w:val="none"/>
        </w:rPr>
        <w:t>等国家及地方有关安全生产</w:t>
      </w: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lang w:val="en-US" w:eastAsia="zh-CN"/>
        </w:rPr>
        <w:t>消防安全</w:t>
      </w:r>
      <w:r>
        <w:rPr>
          <w:rFonts w:hint="eastAsia" w:ascii="仿宋_GB2312" w:hAnsi="仿宋_GB2312" w:eastAsia="仿宋_GB2312" w:cs="仿宋_GB2312"/>
          <w:color w:val="auto"/>
          <w:kern w:val="0"/>
          <w:sz w:val="24"/>
          <w:szCs w:val="24"/>
          <w:highlight w:val="none"/>
        </w:rPr>
        <w:t>法律法规，甲乙双方就安全</w:t>
      </w:r>
      <w:r>
        <w:rPr>
          <w:rFonts w:hint="eastAsia" w:ascii="仿宋_GB2312" w:hAnsi="仿宋_GB2312" w:eastAsia="仿宋_GB2312" w:cs="仿宋_GB2312"/>
          <w:color w:val="auto"/>
          <w:kern w:val="0"/>
          <w:sz w:val="24"/>
          <w:szCs w:val="24"/>
          <w:highlight w:val="none"/>
          <w:lang w:val="en-US" w:eastAsia="zh-CN"/>
        </w:rPr>
        <w:t>及消防安全</w:t>
      </w:r>
      <w:r>
        <w:rPr>
          <w:rFonts w:hint="eastAsia" w:ascii="仿宋_GB2312" w:hAnsi="仿宋_GB2312" w:eastAsia="仿宋_GB2312" w:cs="仿宋_GB2312"/>
          <w:color w:val="auto"/>
          <w:kern w:val="0"/>
          <w:sz w:val="24"/>
          <w:szCs w:val="24"/>
          <w:highlight w:val="none"/>
        </w:rPr>
        <w:t>事宜，</w:t>
      </w:r>
      <w:r>
        <w:rPr>
          <w:rFonts w:hint="eastAsia" w:ascii="仿宋_GB2312" w:hAnsi="仿宋_GB2312" w:eastAsia="仿宋_GB2312" w:cs="仿宋_GB2312"/>
          <w:color w:val="auto"/>
          <w:sz w:val="24"/>
          <w:szCs w:val="24"/>
          <w:highlight w:val="none"/>
        </w:rPr>
        <w:t>经双方友好协商，达成如下协议</w:t>
      </w:r>
      <w:r>
        <w:rPr>
          <w:rFonts w:hint="eastAsia" w:ascii="仿宋_GB2312" w:hAnsi="仿宋_GB2312" w:eastAsia="仿宋_GB2312" w:cs="仿宋_GB2312"/>
          <w:color w:val="auto"/>
          <w:kern w:val="0"/>
          <w:sz w:val="24"/>
          <w:szCs w:val="24"/>
          <w:highlight w:val="none"/>
        </w:rPr>
        <w:t>。</w:t>
      </w:r>
    </w:p>
    <w:p>
      <w:pPr>
        <w:keepNext w:val="0"/>
        <w:keepLines w:val="0"/>
        <w:pageBreakBefore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黑体" w:hAnsi="黑体" w:eastAsia="黑体" w:cs="黑体"/>
          <w:b w:val="0"/>
          <w:bCs w:val="0"/>
          <w:color w:val="auto"/>
          <w:sz w:val="24"/>
          <w:szCs w:val="24"/>
          <w:highlight w:val="none"/>
          <w:lang w:val="en-US" w:eastAsia="zh-CN"/>
        </w:rPr>
      </w:pPr>
      <w:r>
        <w:rPr>
          <w:rFonts w:hint="eastAsia" w:ascii="黑体" w:hAnsi="黑体" w:eastAsia="黑体" w:cs="黑体"/>
          <w:b w:val="0"/>
          <w:bCs w:val="0"/>
          <w:color w:val="auto"/>
          <w:sz w:val="24"/>
          <w:szCs w:val="24"/>
          <w:highlight w:val="none"/>
          <w:lang w:val="en-US" w:eastAsia="zh-CN"/>
        </w:rPr>
        <w:t>一、总则</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lang w:val="en-US" w:eastAsia="zh-CN"/>
        </w:rPr>
        <w:t>一</w:t>
      </w: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lang w:val="en-US" w:eastAsia="zh-CN"/>
        </w:rPr>
        <w:t>本协议是合同</w:t>
      </w:r>
      <w:r>
        <w:rPr>
          <w:rFonts w:hint="eastAsia" w:ascii="仿宋_GB2312" w:hAnsi="仿宋_GB2312" w:eastAsia="仿宋_GB2312" w:cs="仿宋_GB2312"/>
          <w:color w:val="auto"/>
          <w:sz w:val="24"/>
          <w:szCs w:val="24"/>
          <w:highlight w:val="none"/>
          <w:u w:val="single"/>
        </w:rPr>
        <w:t xml:space="preserve">                      （穗净水合〔     〕    号） </w:t>
      </w:r>
      <w:r>
        <w:rPr>
          <w:rFonts w:hint="eastAsia" w:ascii="仿宋_GB2312" w:hAnsi="仿宋_GB2312" w:eastAsia="仿宋_GB2312" w:cs="仿宋_GB2312"/>
          <w:color w:val="auto"/>
          <w:sz w:val="24"/>
          <w:szCs w:val="24"/>
          <w:highlight w:val="none"/>
        </w:rPr>
        <w:t>的组成部分。</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lang w:val="en-US" w:eastAsia="zh-CN"/>
        </w:rPr>
        <w:t>二</w:t>
      </w: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rPr>
        <w:t>甲</w:t>
      </w: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rPr>
        <w:t>乙双方应遵守国家、省、市有关安全生产</w:t>
      </w: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rPr>
        <w:t>消防安全的法律、法规、规章，履行</w:t>
      </w:r>
      <w:r>
        <w:rPr>
          <w:rFonts w:hint="eastAsia" w:ascii="仿宋_GB2312" w:hAnsi="仿宋_GB2312" w:eastAsia="仿宋_GB2312" w:cs="仿宋_GB2312"/>
          <w:color w:val="auto"/>
          <w:kern w:val="0"/>
          <w:sz w:val="24"/>
          <w:szCs w:val="24"/>
          <w:highlight w:val="none"/>
          <w:lang w:val="en-US" w:eastAsia="zh-CN"/>
        </w:rPr>
        <w:t>安全生产、</w:t>
      </w:r>
      <w:r>
        <w:rPr>
          <w:rFonts w:hint="eastAsia" w:ascii="仿宋_GB2312" w:hAnsi="仿宋_GB2312" w:eastAsia="仿宋_GB2312" w:cs="仿宋_GB2312"/>
          <w:color w:val="auto"/>
          <w:kern w:val="0"/>
          <w:sz w:val="24"/>
          <w:szCs w:val="24"/>
          <w:highlight w:val="none"/>
        </w:rPr>
        <w:t>消防安全职责，保障人员生命、财产安全。</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lang w:val="en-US" w:eastAsia="zh-CN"/>
        </w:rPr>
        <w:t>三</w:t>
      </w: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rPr>
        <w:t>甲</w:t>
      </w: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rPr>
        <w:t>乙双方应当逐级落实</w:t>
      </w:r>
      <w:r>
        <w:rPr>
          <w:rFonts w:hint="eastAsia" w:ascii="仿宋_GB2312" w:hAnsi="仿宋_GB2312" w:eastAsia="仿宋_GB2312" w:cs="仿宋_GB2312"/>
          <w:color w:val="auto"/>
          <w:kern w:val="0"/>
          <w:sz w:val="24"/>
          <w:szCs w:val="24"/>
          <w:highlight w:val="none"/>
          <w:lang w:val="en-US" w:eastAsia="zh-CN"/>
        </w:rPr>
        <w:t>安全生产、</w:t>
      </w:r>
      <w:r>
        <w:rPr>
          <w:rFonts w:hint="eastAsia" w:ascii="仿宋_GB2312" w:hAnsi="仿宋_GB2312" w:eastAsia="仿宋_GB2312" w:cs="仿宋_GB2312"/>
          <w:color w:val="auto"/>
          <w:kern w:val="0"/>
          <w:sz w:val="24"/>
          <w:szCs w:val="24"/>
          <w:highlight w:val="none"/>
        </w:rPr>
        <w:t>消防安全责任制，明确逐级岗位人员的安全</w:t>
      </w:r>
      <w:r>
        <w:rPr>
          <w:rFonts w:hint="eastAsia" w:ascii="仿宋_GB2312" w:hAnsi="仿宋_GB2312" w:eastAsia="仿宋_GB2312" w:cs="仿宋_GB2312"/>
          <w:color w:val="auto"/>
          <w:kern w:val="0"/>
          <w:sz w:val="24"/>
          <w:szCs w:val="24"/>
          <w:highlight w:val="none"/>
          <w:lang w:val="en-US" w:eastAsia="zh-CN"/>
        </w:rPr>
        <w:t>生产、消防安全</w:t>
      </w:r>
      <w:r>
        <w:rPr>
          <w:rFonts w:hint="eastAsia" w:ascii="仿宋_GB2312" w:hAnsi="仿宋_GB2312" w:eastAsia="仿宋_GB2312" w:cs="仿宋_GB2312"/>
          <w:color w:val="auto"/>
          <w:kern w:val="0"/>
          <w:sz w:val="24"/>
          <w:szCs w:val="24"/>
          <w:highlight w:val="none"/>
        </w:rPr>
        <w:t>职责。</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lang w:val="en-US" w:eastAsia="zh-CN"/>
        </w:rPr>
        <w:t>四</w:t>
      </w: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lang w:val="en-US" w:eastAsia="zh-CN"/>
        </w:rPr>
        <w:t>本协议是对在满足法律法规规定的双方安全及消防安全责任的基础上的补充事项。</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（五）当同一个场所、池体内，甲方安排两个或以上的承包单位同时施工的，由甲方组织各承包单位签订《营运场所交叉作业安全及消防安全协议书》。</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lang w:val="en-US" w:eastAsia="zh-CN"/>
        </w:rPr>
        <w:t>六</w:t>
      </w: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lang w:val="en-US" w:eastAsia="zh-CN"/>
        </w:rPr>
        <w:t>乙方的单位及人员资质（</w:t>
      </w:r>
      <w:r>
        <w:rPr>
          <w:rFonts w:hint="eastAsia" w:ascii="仿宋_GB2312" w:hAnsi="仿宋_GB2312" w:eastAsia="仿宋_GB2312" w:cs="仿宋_GB2312"/>
          <w:b/>
          <w:bCs w:val="0"/>
          <w:color w:val="auto"/>
          <w:kern w:val="0"/>
          <w:sz w:val="24"/>
          <w:szCs w:val="24"/>
          <w:highlight w:val="none"/>
          <w:lang w:val="en-US" w:eastAsia="zh-CN"/>
        </w:rPr>
        <w:t>单项选择并填写</w:t>
      </w:r>
      <w:r>
        <w:rPr>
          <w:rFonts w:hint="eastAsia" w:ascii="仿宋_GB2312" w:hAnsi="仿宋_GB2312" w:eastAsia="仿宋_GB2312" w:cs="仿宋_GB2312"/>
          <w:color w:val="auto"/>
          <w:kern w:val="0"/>
          <w:sz w:val="24"/>
          <w:szCs w:val="24"/>
          <w:highlight w:val="none"/>
          <w:lang w:val="en-US" w:eastAsia="zh-CN"/>
        </w:rPr>
        <w:t>）</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color w:val="auto"/>
          <w:kern w:val="0"/>
          <w:sz w:val="24"/>
          <w:szCs w:val="24"/>
          <w:highlight w:val="none"/>
          <w:lang w:val="en-US" w:eastAsia="zh-CN"/>
        </w:rPr>
        <w:sym w:font="Wingdings 2" w:char="0052"/>
      </w:r>
      <w:r>
        <w:rPr>
          <w:rFonts w:hint="eastAsia" w:ascii="仿宋_GB2312" w:hAnsi="仿宋_GB2312" w:eastAsia="仿宋_GB2312" w:cs="仿宋_GB2312"/>
          <w:color w:val="auto"/>
          <w:kern w:val="0"/>
          <w:sz w:val="24"/>
          <w:szCs w:val="24"/>
          <w:highlight w:val="none"/>
          <w:lang w:val="en-US" w:eastAsia="zh-CN"/>
        </w:rPr>
        <w:t>1.详见合同第</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none"/>
          <w:lang w:val="en-US" w:eastAsia="zh-CN"/>
        </w:rPr>
        <w:t>条。</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sym w:font="Wingdings 2" w:char="00A3"/>
      </w:r>
      <w:r>
        <w:rPr>
          <w:rFonts w:hint="eastAsia" w:ascii="仿宋_GB2312" w:hAnsi="仿宋_GB2312" w:eastAsia="仿宋_GB2312" w:cs="仿宋_GB2312"/>
          <w:color w:val="auto"/>
          <w:kern w:val="0"/>
          <w:sz w:val="24"/>
          <w:szCs w:val="24"/>
          <w:highlight w:val="none"/>
          <w:lang w:val="en-US" w:eastAsia="zh-CN"/>
        </w:rPr>
        <w:t>2.详见文件《</w:t>
      </w:r>
      <w:r>
        <w:rPr>
          <w:rFonts w:hint="eastAsia" w:ascii="仿宋_GB2312" w:hAnsi="仿宋_GB2312" w:eastAsia="仿宋_GB2312" w:cs="仿宋_GB2312"/>
          <w:color w:val="auto"/>
          <w:kern w:val="0"/>
          <w:sz w:val="24"/>
          <w:szCs w:val="24"/>
          <w:highlight w:val="none"/>
          <w:u w:val="single"/>
          <w:lang w:val="en-US" w:eastAsia="zh-CN"/>
        </w:rPr>
        <w:t xml:space="preserve">           </w:t>
      </w:r>
      <w:r>
        <w:rPr>
          <w:rFonts w:hint="eastAsia" w:ascii="仿宋_GB2312" w:hAnsi="仿宋_GB2312" w:eastAsia="仿宋_GB2312" w:cs="仿宋_GB2312"/>
          <w:color w:val="auto"/>
          <w:kern w:val="0"/>
          <w:sz w:val="24"/>
          <w:szCs w:val="24"/>
          <w:highlight w:val="none"/>
          <w:lang w:val="en-US" w:eastAsia="zh-CN"/>
        </w:rPr>
        <w:t>》。</w:t>
      </w:r>
    </w:p>
    <w:p>
      <w:pPr>
        <w:keepNext w:val="0"/>
        <w:keepLines w:val="0"/>
        <w:pageBreakBefore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黑体" w:hAnsi="黑体" w:eastAsia="黑体" w:cs="黑体"/>
          <w:b w:val="0"/>
          <w:bCs w:val="0"/>
          <w:color w:val="auto"/>
          <w:sz w:val="24"/>
          <w:szCs w:val="24"/>
          <w:highlight w:val="none"/>
          <w:lang w:val="en-US" w:eastAsia="zh-CN"/>
        </w:rPr>
      </w:pPr>
      <w:r>
        <w:rPr>
          <w:rFonts w:hint="eastAsia" w:ascii="黑体" w:hAnsi="黑体" w:eastAsia="黑体" w:cs="黑体"/>
          <w:b w:val="0"/>
          <w:bCs w:val="0"/>
          <w:color w:val="auto"/>
          <w:sz w:val="24"/>
          <w:szCs w:val="24"/>
          <w:highlight w:val="none"/>
          <w:lang w:val="en-US" w:eastAsia="zh-CN"/>
        </w:rPr>
        <w:t>二、甲方的安全及消防安全责任</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lang w:val="en-US" w:eastAsia="zh-CN"/>
        </w:rPr>
        <w:t>一</w:t>
      </w: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lang w:val="en-US" w:eastAsia="zh-CN"/>
        </w:rPr>
        <w:t>交底告知</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1.项目实施前，应告知乙方地面、周边、地下已知存在的设施，特别是涉及影响生产、应急的各类地下管线及保护要求，要求乙方在施工方案明确落实相应的具体措施；甲方规定的安全生产及消防安全管理要求，</w:t>
      </w:r>
      <w:r>
        <w:rPr>
          <w:rFonts w:hint="eastAsia" w:ascii="仿宋_GB2312" w:hAnsi="仿宋_GB2312" w:eastAsia="仿宋_GB2312" w:cs="仿宋_GB2312"/>
          <w:color w:val="auto"/>
          <w:sz w:val="24"/>
          <w:szCs w:val="24"/>
          <w:highlight w:val="none"/>
        </w:rPr>
        <w:t>允许进出及行走的路线、禁止触动甲方设备设施等</w:t>
      </w:r>
      <w:r>
        <w:rPr>
          <w:rFonts w:hint="eastAsia" w:ascii="仿宋_GB2312" w:hAnsi="仿宋_GB2312" w:eastAsia="仿宋_GB2312" w:cs="仿宋_GB2312"/>
          <w:color w:val="auto"/>
          <w:sz w:val="24"/>
          <w:szCs w:val="24"/>
          <w:highlight w:val="none"/>
          <w:lang w:val="en-US" w:eastAsia="zh-CN"/>
        </w:rPr>
        <w:t>；项目备案的要求。</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2.乙方进场作业前，</w:t>
      </w:r>
      <w:r>
        <w:rPr>
          <w:rFonts w:hint="eastAsia" w:ascii="仿宋_GB2312" w:hAnsi="仿宋_GB2312" w:eastAsia="仿宋_GB2312" w:cs="仿宋_GB2312"/>
          <w:color w:val="auto"/>
          <w:sz w:val="24"/>
          <w:szCs w:val="24"/>
          <w:highlight w:val="none"/>
        </w:rPr>
        <w:t>应对乙方进行交底</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再次向乙方强调</w:t>
      </w:r>
      <w:r>
        <w:rPr>
          <w:rFonts w:hint="eastAsia" w:ascii="仿宋_GB2312" w:hAnsi="仿宋_GB2312" w:eastAsia="仿宋_GB2312" w:cs="仿宋_GB2312"/>
          <w:color w:val="auto"/>
          <w:sz w:val="24"/>
          <w:szCs w:val="24"/>
          <w:highlight w:val="none"/>
        </w:rPr>
        <w:t>的</w:t>
      </w:r>
      <w:r>
        <w:rPr>
          <w:rFonts w:hint="eastAsia" w:ascii="仿宋_GB2312" w:hAnsi="仿宋_GB2312" w:eastAsia="仿宋_GB2312" w:cs="仿宋_GB2312"/>
          <w:color w:val="auto"/>
          <w:sz w:val="24"/>
          <w:szCs w:val="24"/>
          <w:highlight w:val="none"/>
          <w:lang w:val="en-US" w:eastAsia="zh-CN"/>
        </w:rPr>
        <w:t>上述内容，以及施工期间的其他特殊注意事项，如生产方面的调度协调配合等</w:t>
      </w:r>
      <w:r>
        <w:rPr>
          <w:rFonts w:hint="eastAsia" w:ascii="仿宋_GB2312" w:hAnsi="仿宋_GB2312" w:eastAsia="仿宋_GB2312" w:cs="仿宋_GB2312"/>
          <w:color w:val="auto"/>
          <w:sz w:val="24"/>
          <w:szCs w:val="24"/>
          <w:highlight w:val="none"/>
        </w:rPr>
        <w:t>。</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3.当乙方提出相关规范或乙方内部管理制度，比甲方规定的</w:t>
      </w:r>
      <w:r>
        <w:rPr>
          <w:rFonts w:hint="eastAsia" w:ascii="仿宋_GB2312" w:hAnsi="仿宋_GB2312" w:eastAsia="仿宋_GB2312" w:cs="仿宋_GB2312"/>
          <w:color w:val="auto"/>
          <w:sz w:val="24"/>
          <w:szCs w:val="24"/>
          <w:highlight w:val="none"/>
        </w:rPr>
        <w:t>安全生产及消防安全管理要求</w:t>
      </w:r>
      <w:r>
        <w:rPr>
          <w:rFonts w:hint="eastAsia" w:ascii="仿宋_GB2312" w:hAnsi="仿宋_GB2312" w:eastAsia="仿宋_GB2312" w:cs="仿宋_GB2312"/>
          <w:color w:val="auto"/>
          <w:sz w:val="24"/>
          <w:szCs w:val="24"/>
          <w:highlight w:val="none"/>
          <w:lang w:val="en-US" w:eastAsia="zh-CN"/>
        </w:rPr>
        <w:t>更严格的，应当接纳乙方的建议。</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（二）落实配合措施</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1.落实生产营运等相关配合措施，提供必要的施工条件。</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三</w:t>
      </w:r>
      <w:r>
        <w:rPr>
          <w:rFonts w:hint="eastAsia" w:ascii="仿宋_GB2312" w:hAnsi="仿宋_GB2312" w:eastAsia="仿宋_GB2312" w:cs="仿宋_GB2312"/>
          <w:color w:val="auto"/>
          <w:sz w:val="24"/>
          <w:szCs w:val="24"/>
          <w:highlight w:val="none"/>
          <w:lang w:eastAsia="zh-CN"/>
        </w:rPr>
        <w:t>）安全及消防安全隐患</w:t>
      </w:r>
      <w:r>
        <w:rPr>
          <w:rFonts w:hint="eastAsia" w:ascii="仿宋_GB2312" w:hAnsi="仿宋_GB2312" w:eastAsia="仿宋_GB2312" w:cs="仿宋_GB2312"/>
          <w:color w:val="auto"/>
          <w:sz w:val="24"/>
          <w:szCs w:val="24"/>
          <w:highlight w:val="none"/>
          <w:lang w:val="en-US" w:eastAsia="zh-CN"/>
        </w:rPr>
        <w:t>检查与督促整改</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color w:val="auto"/>
          <w:sz w:val="24"/>
          <w:szCs w:val="24"/>
          <w:highlight w:val="none"/>
          <w:lang w:eastAsia="zh-CN"/>
        </w:rPr>
        <w:t>在项目施工期，应每天不少于一次对乙方安全措施、消防安全措施投入、现场安全施工情况等进行安全、消防安全监督检查，并提出整改</w:t>
      </w:r>
      <w:r>
        <w:rPr>
          <w:rFonts w:hint="eastAsia" w:ascii="仿宋_GB2312" w:hAnsi="仿宋_GB2312" w:eastAsia="仿宋_GB2312" w:cs="仿宋_GB2312"/>
          <w:color w:val="auto"/>
          <w:sz w:val="24"/>
          <w:szCs w:val="24"/>
          <w:highlight w:val="none"/>
          <w:lang w:val="en-US" w:eastAsia="zh-CN"/>
        </w:rPr>
        <w:t>。</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四</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重大安全风险、生产安全重大事故隐患（重大火灾隐患）等情况报告及举报</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1.对乙方上报的重大安全风险、生产安全重大事故隐患（重大火灾隐患），应当如实向水投集团报告。</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2.如发现乙方瞒报重大安全风险、生产安全重大事故隐患（重大火灾隐患），甲方除向水投集团报告外，有权向属地安全应急管理部门、属地行业主管部门举报。</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3.甲方发现乙方在项目范围内（含工地范围内的住宿、办公等区域）开展违法、犯罪活动，向公安部门举报。</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（五）事故报告及举报</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1.对乙方上报的安全事故及消防安全事故，应当按水投集团有关程序，如实向集团报告。</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2.如发现乙方瞒报安全事故及消防安全事故，甲方除向水投集团报告外，有权向属地安全应急管理部门、属地行业主管部门举报。</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（六）补充条款</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eastAsia="zh-CN"/>
        </w:rPr>
        <w:t>。</w:t>
      </w:r>
    </w:p>
    <w:p>
      <w:pPr>
        <w:keepNext w:val="0"/>
        <w:keepLines w:val="0"/>
        <w:pageBreakBefore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黑体" w:hAnsi="黑体" w:eastAsia="黑体" w:cs="黑体"/>
          <w:b w:val="0"/>
          <w:bCs w:val="0"/>
          <w:color w:val="auto"/>
          <w:sz w:val="24"/>
          <w:szCs w:val="24"/>
          <w:highlight w:val="none"/>
          <w:lang w:val="en-US" w:eastAsia="zh-CN"/>
        </w:rPr>
      </w:pPr>
      <w:r>
        <w:rPr>
          <w:rFonts w:hint="eastAsia" w:ascii="黑体" w:hAnsi="黑体" w:eastAsia="黑体" w:cs="黑体"/>
          <w:b w:val="0"/>
          <w:bCs w:val="0"/>
          <w:color w:val="auto"/>
          <w:sz w:val="24"/>
          <w:szCs w:val="24"/>
          <w:highlight w:val="none"/>
          <w:lang w:val="en-US" w:eastAsia="zh-CN"/>
        </w:rPr>
        <w:t>三、乙方的安全及消防安全责任</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lang w:val="en-US" w:eastAsia="zh-CN"/>
        </w:rPr>
        <w:t>一</w:t>
      </w: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lang w:val="en-US" w:eastAsia="zh-CN"/>
        </w:rPr>
        <w:t>接受交底告知并复核确认安全风险，落实管控措施</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1.乙方接受甲方交底。</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2.编制的方案应响应甲方告知，明确相应的措施。</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3.根据甲方项目备案的要求，提交项目备案材料</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4.当甲方规定的安全生产及消防安全管理要求，比相关规范或乙方内部管理制度严格的，按甲方的执行。</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5.当相关规范或乙方内部管理制度，比甲方规定的安全生产及消防安全管理要求严格的，应明确告知甲方确认，并按相关规范或乙方内部管理制度执行。</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二</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告知甲方需要配合的事项</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1.向甲方告知在施工作业期间，需要甲方配合落实的措施</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三</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落实安全及消防安全隐患排查与整改，并接受检查</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color w:val="auto"/>
          <w:sz w:val="24"/>
          <w:szCs w:val="24"/>
          <w:highlight w:val="none"/>
          <w:lang w:eastAsia="zh-CN"/>
        </w:rPr>
        <w:t>乙方应做好的每日安全生产、消防安全巡查及开展人员安全生产、消防安全教育，确保场所、场地、区域、施工、</w:t>
      </w:r>
      <w:r>
        <w:rPr>
          <w:rFonts w:hint="eastAsia" w:ascii="仿宋_GB2312" w:hAnsi="仿宋_GB2312" w:eastAsia="仿宋_GB2312" w:cs="仿宋_GB2312"/>
          <w:color w:val="auto"/>
          <w:sz w:val="24"/>
          <w:szCs w:val="24"/>
          <w:highlight w:val="none"/>
          <w:lang w:val="en-US" w:eastAsia="zh-CN"/>
        </w:rPr>
        <w:t>仓储、住宿、办公</w:t>
      </w:r>
      <w:r>
        <w:rPr>
          <w:rFonts w:hint="eastAsia" w:ascii="仿宋_GB2312" w:hAnsi="仿宋_GB2312" w:eastAsia="仿宋_GB2312" w:cs="仿宋_GB2312"/>
          <w:color w:val="auto"/>
          <w:sz w:val="24"/>
          <w:szCs w:val="24"/>
          <w:highlight w:val="none"/>
          <w:lang w:eastAsia="zh-CN"/>
        </w:rPr>
        <w:t>等，符合国家、行业安全生产、消防安全相关要求，无对甲方、</w:t>
      </w:r>
      <w:r>
        <w:rPr>
          <w:rFonts w:hint="eastAsia" w:ascii="仿宋_GB2312" w:hAnsi="仿宋_GB2312" w:eastAsia="仿宋_GB2312" w:cs="仿宋_GB2312"/>
          <w:color w:val="auto"/>
          <w:sz w:val="24"/>
          <w:szCs w:val="24"/>
          <w:highlight w:val="none"/>
          <w:lang w:val="en-US" w:eastAsia="zh-CN"/>
        </w:rPr>
        <w:t>乙方以及周边第三方</w:t>
      </w:r>
      <w:r>
        <w:rPr>
          <w:rFonts w:hint="eastAsia" w:ascii="仿宋_GB2312" w:hAnsi="仿宋_GB2312" w:eastAsia="仿宋_GB2312" w:cs="仿宋_GB2312"/>
          <w:color w:val="auto"/>
          <w:sz w:val="24"/>
          <w:szCs w:val="24"/>
          <w:highlight w:val="none"/>
          <w:lang w:eastAsia="zh-CN"/>
        </w:rPr>
        <w:t>生产安全、消防安全、</w:t>
      </w:r>
      <w:r>
        <w:rPr>
          <w:rFonts w:hint="eastAsia" w:ascii="仿宋_GB2312" w:hAnsi="仿宋_GB2312" w:eastAsia="仿宋_GB2312" w:cs="仿宋_GB2312"/>
          <w:color w:val="auto"/>
          <w:sz w:val="24"/>
          <w:szCs w:val="24"/>
          <w:highlight w:val="none"/>
          <w:lang w:val="en-US" w:eastAsia="zh-CN"/>
        </w:rPr>
        <w:t>人身安全等</w:t>
      </w:r>
      <w:r>
        <w:rPr>
          <w:rFonts w:hint="eastAsia" w:ascii="仿宋_GB2312" w:hAnsi="仿宋_GB2312" w:eastAsia="仿宋_GB2312" w:cs="仿宋_GB2312"/>
          <w:color w:val="auto"/>
          <w:sz w:val="24"/>
          <w:szCs w:val="24"/>
          <w:highlight w:val="none"/>
          <w:lang w:eastAsia="zh-CN"/>
        </w:rPr>
        <w:t>构成威胁，无开展违法、犯罪活动，无存放易燃易爆危险化学品，无乙方人员擅自进入借用地块范围以外的甲方场所，有按方案落实各项措施以及及时发现并整改安全隐患、消防安全隐患，杜绝安全事故、消防安全事故。</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2.接受甲方“四不两直”的不定期检查。</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三</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重大安全风险、生产安全重大事故隐患（重大火灾隐患）报告</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1.乙方识别存在重大安全风险的，应研究并落实管控措施，降低风险等级，并向甲方、属地安全应急管理部门、属地行业主管部门上报。</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2.乙方自查或被外单位检查发现生产安全重大事故隐患（重大火灾隐患）的，应当立即向甲方、属地安全应急管理部门、属地行业主管部门上报。</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3.如甲方未收到乙方关于重大安全风险、生产安全重大事故隐患（重大火灾隐患）的报告，但由其他途径获知信息的，视为瞒报。</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4.不得谎报信息。</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（四）事故报告</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1.项目发生安全事故及消防安全事故的，乙方应当在预案规定时间内立即向甲方上报。否则视为迟报。</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2.如甲方未收到乙方关于安全事故及消防安全事故的报告，但由其他途径获知信息的，视为瞒报。</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3.不得谎报信息。</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（五）补充条款</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eastAsia="zh-CN"/>
        </w:rPr>
        <w:t>。</w:t>
      </w:r>
    </w:p>
    <w:p>
      <w:pPr>
        <w:keepNext w:val="0"/>
        <w:keepLines w:val="0"/>
        <w:pageBreakBefore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黑体" w:hAnsi="黑体" w:eastAsia="黑体" w:cs="黑体"/>
          <w:b w:val="0"/>
          <w:bCs w:val="0"/>
          <w:color w:val="auto"/>
          <w:sz w:val="24"/>
          <w:szCs w:val="24"/>
          <w:highlight w:val="none"/>
          <w:lang w:val="en-US" w:eastAsia="zh-CN"/>
        </w:rPr>
      </w:pPr>
      <w:r>
        <w:rPr>
          <w:rFonts w:hint="eastAsia" w:ascii="黑体" w:hAnsi="黑体" w:eastAsia="黑体" w:cs="黑体"/>
          <w:b w:val="0"/>
          <w:bCs w:val="0"/>
          <w:color w:val="auto"/>
          <w:sz w:val="24"/>
          <w:szCs w:val="24"/>
          <w:highlight w:val="none"/>
          <w:lang w:val="en-US" w:eastAsia="zh-CN"/>
        </w:rPr>
        <w:t>四、违约责任</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lang w:val="en-US" w:eastAsia="zh-CN"/>
        </w:rPr>
        <w:t>一</w:t>
      </w: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lang w:val="en-US" w:eastAsia="zh-CN"/>
        </w:rPr>
        <w:t>未发生安全事故或消防安全事故的违约责任</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1.乙方未履行安全及消防安全责任的，甲方有权按合同相关条款处理。</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2.因甲方未履行安全及消防安全责任，乙方有权按合同相关条款处理。</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（二）发生安全事故或消防安全事故的违约责任</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1.项目发生安全事故或消防安全事故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2.如甲方未能提供甲方履职证明的，根据责任调查报告（意见）承担责任。</w:t>
      </w:r>
    </w:p>
    <w:p>
      <w:pPr>
        <w:keepNext w:val="0"/>
        <w:keepLines w:val="0"/>
        <w:pageBreakBefore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黑体" w:hAnsi="黑体" w:eastAsia="黑体" w:cs="黑体"/>
          <w:b w:val="0"/>
          <w:bCs w:val="0"/>
          <w:color w:val="auto"/>
          <w:sz w:val="24"/>
          <w:szCs w:val="24"/>
          <w:highlight w:val="none"/>
          <w:lang w:val="en-US" w:eastAsia="zh-CN"/>
        </w:rPr>
      </w:pPr>
      <w:r>
        <w:rPr>
          <w:rFonts w:hint="eastAsia" w:ascii="黑体" w:hAnsi="黑体" w:eastAsia="黑体" w:cs="黑体"/>
          <w:b w:val="0"/>
          <w:bCs w:val="0"/>
          <w:color w:val="auto"/>
          <w:sz w:val="24"/>
          <w:szCs w:val="24"/>
          <w:highlight w:val="none"/>
          <w:lang w:val="en-US" w:eastAsia="zh-CN"/>
        </w:rPr>
        <w:t>五、附则</w:t>
      </w:r>
    </w:p>
    <w:p>
      <w:pPr>
        <w:keepNext w:val="0"/>
        <w:keepLines w:val="0"/>
        <w:pageBreakBefore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（一）本协议未尽事宜，依据有关法律、法规、规章处理。法律、法规、规章没有明确规定的，经双方协商处理解决。</w:t>
      </w:r>
    </w:p>
    <w:p>
      <w:pPr>
        <w:keepNext w:val="0"/>
        <w:keepLines w:val="0"/>
        <w:pageBreakBefore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（二）在合同（协议）执行期间，因国家、地方、以及广州市净水有限公司印发有关文件，加强安全管理要求的，乙方应按最新要求无条件执行。如不执行，甲方有权根据合同或有关文件进行处理。</w:t>
      </w:r>
    </w:p>
    <w:p>
      <w:pPr>
        <w:keepNext w:val="0"/>
        <w:keepLines w:val="0"/>
        <w:pageBreakBefore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val="en-US" w:eastAsia="zh-CN"/>
        </w:rPr>
        <w:t>三</w:t>
      </w:r>
      <w:r>
        <w:rPr>
          <w:rFonts w:hint="eastAsia" w:ascii="仿宋_GB2312" w:hAnsi="仿宋_GB2312" w:eastAsia="仿宋_GB2312" w:cs="仿宋_GB2312"/>
          <w:color w:val="auto"/>
          <w:sz w:val="24"/>
          <w:szCs w:val="24"/>
          <w:highlight w:val="none"/>
        </w:rPr>
        <w:t>）本协议</w:t>
      </w:r>
      <w:r>
        <w:rPr>
          <w:rFonts w:hint="eastAsia" w:ascii="仿宋_GB2312" w:hAnsi="仿宋_GB2312" w:eastAsia="仿宋_GB2312" w:cs="仿宋_GB2312"/>
          <w:color w:val="auto"/>
          <w:sz w:val="24"/>
          <w:szCs w:val="24"/>
          <w:highlight w:val="none"/>
          <w:lang w:val="en-US" w:eastAsia="zh-CN"/>
        </w:rPr>
        <w:t>作为合同的附件</w:t>
      </w:r>
      <w:r>
        <w:rPr>
          <w:rFonts w:hint="eastAsia" w:ascii="仿宋_GB2312" w:hAnsi="仿宋_GB2312" w:eastAsia="仿宋_GB2312" w:cs="仿宋_GB2312"/>
          <w:color w:val="auto"/>
          <w:sz w:val="24"/>
          <w:szCs w:val="24"/>
          <w:highlight w:val="none"/>
        </w:rPr>
        <w:t>同时</w:t>
      </w:r>
      <w:r>
        <w:rPr>
          <w:rFonts w:hint="eastAsia" w:ascii="仿宋_GB2312" w:hAnsi="仿宋_GB2312" w:eastAsia="仿宋_GB2312" w:cs="仿宋_GB2312"/>
          <w:color w:val="auto"/>
          <w:sz w:val="24"/>
          <w:szCs w:val="24"/>
          <w:highlight w:val="none"/>
          <w:lang w:val="en-US" w:eastAsia="zh-CN"/>
        </w:rPr>
        <w:t>签字、同事盖章</w:t>
      </w:r>
      <w:r>
        <w:rPr>
          <w:rFonts w:hint="eastAsia" w:ascii="仿宋_GB2312" w:hAnsi="仿宋_GB2312" w:eastAsia="仿宋_GB2312" w:cs="仿宋_GB2312"/>
          <w:color w:val="auto"/>
          <w:sz w:val="24"/>
          <w:szCs w:val="24"/>
          <w:highlight w:val="none"/>
        </w:rPr>
        <w:t>、同时生效、同时终止，具有</w:t>
      </w:r>
      <w:r>
        <w:rPr>
          <w:rFonts w:hint="eastAsia" w:ascii="仿宋_GB2312" w:hAnsi="仿宋_GB2312" w:eastAsia="仿宋_GB2312" w:cs="仿宋_GB2312"/>
          <w:color w:val="auto"/>
          <w:sz w:val="24"/>
          <w:szCs w:val="24"/>
          <w:highlight w:val="none"/>
          <w:lang w:val="en-US" w:eastAsia="zh-CN"/>
        </w:rPr>
        <w:t>同等</w:t>
      </w:r>
      <w:r>
        <w:rPr>
          <w:rFonts w:hint="eastAsia" w:ascii="仿宋_GB2312" w:hAnsi="仿宋_GB2312" w:eastAsia="仿宋_GB2312" w:cs="仿宋_GB2312"/>
          <w:color w:val="auto"/>
          <w:sz w:val="24"/>
          <w:szCs w:val="24"/>
          <w:highlight w:val="none"/>
        </w:rPr>
        <w:t>的法律效力</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甲方、乙方双方执持数量与合同一致。</w:t>
      </w:r>
    </w:p>
    <w:p>
      <w:pPr>
        <w:rPr>
          <w:rFonts w:hint="eastAsia" w:ascii="仿宋_GB2312" w:hAnsi="仿宋_GB2312" w:eastAsia="仿宋_GB2312" w:cs="仿宋_GB2312"/>
          <w:color w:val="auto"/>
          <w:sz w:val="24"/>
          <w:szCs w:val="24"/>
          <w:highlight w:val="none"/>
        </w:rPr>
      </w:pP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adjustRightInd w:val="0"/>
              <w:snapToGrid w:val="0"/>
              <w:spacing w:line="56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甲方</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盖章</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w:t>
            </w:r>
          </w:p>
          <w:p>
            <w:pPr>
              <w:adjustRightInd w:val="0"/>
              <w:snapToGrid w:val="0"/>
              <w:spacing w:line="56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签约代表：</w:t>
            </w:r>
          </w:p>
          <w:p>
            <w:pPr>
              <w:adjustRightInd w:val="0"/>
              <w:snapToGrid w:val="0"/>
              <w:spacing w:line="56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联系电话：</w:t>
            </w:r>
          </w:p>
          <w:p>
            <w:pPr>
              <w:adjustRightInd w:val="0"/>
              <w:snapToGrid w:val="0"/>
              <w:spacing w:line="560" w:lineRule="exact"/>
              <w:ind w:firstLine="240" w:firstLineChars="100"/>
              <w:jc w:val="righ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年    月    日</w:t>
            </w:r>
          </w:p>
        </w:tc>
        <w:tc>
          <w:tcPr>
            <w:tcW w:w="4474" w:type="dxa"/>
          </w:tcPr>
          <w:p>
            <w:pPr>
              <w:adjustRightInd w:val="0"/>
              <w:snapToGrid w:val="0"/>
              <w:spacing w:line="56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乙方</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盖章</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w:t>
            </w:r>
          </w:p>
          <w:p>
            <w:pPr>
              <w:adjustRightInd w:val="0"/>
              <w:snapToGrid w:val="0"/>
              <w:spacing w:line="56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签约代表：</w:t>
            </w:r>
          </w:p>
          <w:p>
            <w:pPr>
              <w:adjustRightInd w:val="0"/>
              <w:snapToGrid w:val="0"/>
              <w:spacing w:line="56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联系电话：</w:t>
            </w:r>
          </w:p>
          <w:p>
            <w:pPr>
              <w:adjustRightInd w:val="0"/>
              <w:snapToGrid w:val="0"/>
              <w:spacing w:line="560" w:lineRule="exact"/>
              <w:jc w:val="righ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年    月    日</w:t>
            </w:r>
          </w:p>
        </w:tc>
      </w:tr>
    </w:tbl>
    <w:p>
      <w:pPr>
        <w:pStyle w:val="22"/>
        <w:rPr>
          <w:rFonts w:hint="default"/>
          <w:color w:val="auto"/>
          <w:highlight w:val="none"/>
          <w:lang w:val="en-US" w:eastAsia="zh-CN"/>
        </w:rPr>
      </w:pPr>
    </w:p>
    <w:p>
      <w:pPr>
        <w:spacing w:line="360" w:lineRule="auto"/>
        <w:rPr>
          <w:b/>
          <w:bCs/>
          <w:color w:val="auto"/>
          <w:sz w:val="28"/>
          <w:szCs w:val="28"/>
          <w:highlight w:val="none"/>
        </w:rPr>
      </w:pPr>
      <w:r>
        <w:rPr>
          <w:b/>
          <w:bCs/>
          <w:color w:val="auto"/>
          <w:sz w:val="28"/>
          <w:szCs w:val="28"/>
          <w:highlight w:val="none"/>
        </w:rPr>
        <w:t>附件</w:t>
      </w:r>
      <w:r>
        <w:rPr>
          <w:rFonts w:hint="eastAsia"/>
          <w:b/>
          <w:bCs/>
          <w:color w:val="auto"/>
          <w:sz w:val="28"/>
          <w:szCs w:val="28"/>
          <w:highlight w:val="none"/>
          <w:lang w:val="en-US" w:eastAsia="zh-CN"/>
        </w:rPr>
        <w:t>5</w:t>
      </w:r>
      <w:r>
        <w:rPr>
          <w:b/>
          <w:bCs/>
          <w:color w:val="auto"/>
          <w:sz w:val="28"/>
          <w:szCs w:val="28"/>
          <w:highlight w:val="none"/>
        </w:rPr>
        <w:t xml:space="preserve"> 报价清单</w:t>
      </w:r>
    </w:p>
    <w:p>
      <w:pPr>
        <w:pStyle w:val="9"/>
        <w:rPr>
          <w:b/>
          <w:color w:val="auto"/>
          <w:sz w:val="24"/>
          <w:szCs w:val="24"/>
          <w:highlight w:val="none"/>
        </w:rPr>
      </w:pPr>
    </w:p>
    <w:p>
      <w:pPr>
        <w:pStyle w:val="9"/>
        <w:rPr>
          <w:b/>
          <w:color w:val="auto"/>
          <w:sz w:val="24"/>
          <w:szCs w:val="24"/>
          <w:highlight w:val="none"/>
        </w:rPr>
      </w:pPr>
    </w:p>
    <w:p>
      <w:pPr>
        <w:pStyle w:val="9"/>
        <w:rPr>
          <w:b/>
          <w:color w:val="auto"/>
          <w:highlight w:val="none"/>
        </w:rPr>
      </w:pPr>
      <w:r>
        <w:rPr>
          <w:b/>
          <w:color w:val="auto"/>
          <w:sz w:val="24"/>
          <w:szCs w:val="24"/>
          <w:highlight w:val="none"/>
        </w:rPr>
        <w:t>附件</w:t>
      </w:r>
      <w:r>
        <w:rPr>
          <w:rFonts w:hint="eastAsia"/>
          <w:b/>
          <w:color w:val="auto"/>
          <w:sz w:val="24"/>
          <w:szCs w:val="24"/>
          <w:highlight w:val="none"/>
          <w:lang w:val="en-US" w:eastAsia="zh-CN"/>
        </w:rPr>
        <w:t>6</w:t>
      </w:r>
      <w:r>
        <w:rPr>
          <w:b/>
          <w:color w:val="auto"/>
          <w:sz w:val="24"/>
          <w:szCs w:val="24"/>
          <w:highlight w:val="none"/>
        </w:rPr>
        <w:t>.履约保函（模板）</w:t>
      </w:r>
    </w:p>
    <w:p>
      <w:pPr>
        <w:rPr>
          <w:color w:val="auto"/>
          <w:highlight w:val="none"/>
        </w:rPr>
      </w:pPr>
    </w:p>
    <w:p>
      <w:pPr>
        <w:jc w:val="center"/>
        <w:rPr>
          <w:b/>
          <w:color w:val="auto"/>
          <w:szCs w:val="21"/>
          <w:highlight w:val="none"/>
        </w:rPr>
      </w:pPr>
      <w:r>
        <w:rPr>
          <w:b/>
          <w:color w:val="auto"/>
          <w:szCs w:val="21"/>
          <w:highlight w:val="none"/>
        </w:rPr>
        <w:t>履约保函（模板）</w:t>
      </w:r>
    </w:p>
    <w:p>
      <w:pPr>
        <w:rPr>
          <w:color w:val="auto"/>
          <w:szCs w:val="21"/>
          <w:highlight w:val="none"/>
        </w:rPr>
      </w:pPr>
    </w:p>
    <w:p>
      <w:pPr>
        <w:rPr>
          <w:color w:val="auto"/>
          <w:szCs w:val="21"/>
          <w:highlight w:val="none"/>
        </w:rPr>
      </w:pPr>
      <w:r>
        <w:rPr>
          <w:color w:val="auto"/>
          <w:szCs w:val="21"/>
          <w:highlight w:val="none"/>
        </w:rPr>
        <w:t>致：</w:t>
      </w:r>
      <w:r>
        <w:rPr>
          <w:color w:val="auto"/>
          <w:szCs w:val="21"/>
          <w:highlight w:val="none"/>
          <w:u w:val="single"/>
        </w:rPr>
        <w:t xml:space="preserve">               （受益人）</w:t>
      </w:r>
    </w:p>
    <w:p>
      <w:pPr>
        <w:pStyle w:val="45"/>
        <w:rPr>
          <w:rFonts w:ascii="Times New Roman" w:cs="Times New Roman"/>
          <w:color w:val="auto"/>
          <w:highlight w:val="none"/>
        </w:rPr>
      </w:pPr>
    </w:p>
    <w:p>
      <w:pPr>
        <w:ind w:firstLine="420"/>
        <w:rPr>
          <w:color w:val="auto"/>
          <w:szCs w:val="21"/>
          <w:highlight w:val="none"/>
        </w:rPr>
      </w:pPr>
      <w:r>
        <w:rPr>
          <w:color w:val="auto"/>
          <w:szCs w:val="21"/>
          <w:highlight w:val="none"/>
        </w:rPr>
        <w:t>鉴于</w:t>
      </w:r>
      <w:r>
        <w:rPr>
          <w:color w:val="auto"/>
          <w:szCs w:val="21"/>
          <w:highlight w:val="none"/>
          <w:u w:val="single"/>
        </w:rPr>
        <w:t xml:space="preserve">           </w:t>
      </w:r>
      <w:r>
        <w:rPr>
          <w:color w:val="auto"/>
          <w:szCs w:val="21"/>
          <w:highlight w:val="none"/>
        </w:rPr>
        <w:t>（以下简称“委托人”）与贵方于</w:t>
      </w:r>
      <w:r>
        <w:rPr>
          <w:color w:val="auto"/>
          <w:szCs w:val="21"/>
          <w:highlight w:val="none"/>
          <w:u w:val="single"/>
        </w:rPr>
        <w:t xml:space="preserve">   年  月  日</w:t>
      </w:r>
      <w:r>
        <w:rPr>
          <w:color w:val="auto"/>
          <w:szCs w:val="21"/>
          <w:highlight w:val="none"/>
        </w:rPr>
        <w:t>签订了</w:t>
      </w:r>
      <w:r>
        <w:rPr>
          <w:color w:val="auto"/>
          <w:szCs w:val="21"/>
          <w:highlight w:val="none"/>
          <w:u w:val="single"/>
        </w:rPr>
        <w:t xml:space="preserve">                     </w:t>
      </w:r>
      <w:r>
        <w:rPr>
          <w:color w:val="auto"/>
          <w:szCs w:val="21"/>
          <w:highlight w:val="none"/>
        </w:rPr>
        <w:t>（以下简称“合同”），我行同意为委托人出具履约保函，作为委托人履行合同义务的担保，以使你方得到履约保函的保障。本保函为不可撤销，见索即付的独立保函。</w:t>
      </w:r>
    </w:p>
    <w:p>
      <w:pPr>
        <w:ind w:firstLine="420"/>
        <w:rPr>
          <w:color w:val="auto"/>
          <w:szCs w:val="21"/>
          <w:highlight w:val="none"/>
        </w:rPr>
      </w:pPr>
      <w:r>
        <w:rPr>
          <w:color w:val="auto"/>
          <w:szCs w:val="21"/>
          <w:highlight w:val="none"/>
        </w:rPr>
        <w:t>一、我行保证在收到贵单位于保函有效期内送达的依本保函约定的索赔申请后，在个</w:t>
      </w:r>
      <w:r>
        <w:rPr>
          <w:color w:val="auto"/>
          <w:szCs w:val="21"/>
          <w:highlight w:val="none"/>
          <w:u w:val="single"/>
        </w:rPr>
        <w:t xml:space="preserve">  </w:t>
      </w:r>
      <w:r>
        <w:rPr>
          <w:color w:val="auto"/>
          <w:szCs w:val="21"/>
          <w:highlight w:val="none"/>
        </w:rPr>
        <w:t>工作日内无条件和不可改变地向贵单位支付最高金额不超过人民币元</w:t>
      </w:r>
      <w:r>
        <w:rPr>
          <w:color w:val="auto"/>
          <w:szCs w:val="21"/>
          <w:highlight w:val="none"/>
          <w:u w:val="single"/>
        </w:rPr>
        <w:t xml:space="preserve">         </w:t>
      </w:r>
      <w:r>
        <w:rPr>
          <w:color w:val="auto"/>
          <w:szCs w:val="21"/>
          <w:highlight w:val="none"/>
        </w:rPr>
        <w:t>（大写：</w:t>
      </w:r>
      <w:r>
        <w:rPr>
          <w:color w:val="auto"/>
          <w:szCs w:val="21"/>
          <w:highlight w:val="none"/>
          <w:u w:val="single"/>
        </w:rPr>
        <w:t xml:space="preserve">            </w:t>
      </w:r>
      <w:r>
        <w:rPr>
          <w:color w:val="auto"/>
          <w:szCs w:val="21"/>
          <w:highlight w:val="none"/>
        </w:rPr>
        <w:t xml:space="preserve"> ）的履约保证金，并放弃向你方提出任何异议和追索的权利。</w:t>
      </w:r>
    </w:p>
    <w:p>
      <w:pPr>
        <w:ind w:firstLine="420"/>
        <w:outlineLvl w:val="1"/>
        <w:rPr>
          <w:color w:val="auto"/>
          <w:szCs w:val="21"/>
          <w:highlight w:val="none"/>
        </w:rPr>
      </w:pPr>
      <w:r>
        <w:rPr>
          <w:color w:val="auto"/>
          <w:szCs w:val="21"/>
          <w:highlight w:val="none"/>
        </w:rPr>
        <w:t>二、贵单位的索赔申请应符合下述条件：</w:t>
      </w:r>
    </w:p>
    <w:p>
      <w:pPr>
        <w:ind w:firstLine="420"/>
        <w:rPr>
          <w:color w:val="auto"/>
          <w:szCs w:val="21"/>
          <w:highlight w:val="none"/>
        </w:rPr>
      </w:pPr>
      <w:r>
        <w:rPr>
          <w:color w:val="auto"/>
          <w:szCs w:val="21"/>
          <w:highlight w:val="none"/>
        </w:rPr>
        <w:t>（一）贵单位法定代表人或其授权代表签字并加盖单位公章；</w:t>
      </w:r>
    </w:p>
    <w:p>
      <w:pPr>
        <w:ind w:firstLine="420"/>
        <w:rPr>
          <w:color w:val="auto"/>
          <w:szCs w:val="21"/>
          <w:highlight w:val="none"/>
        </w:rPr>
      </w:pPr>
      <w:r>
        <w:rPr>
          <w:color w:val="auto"/>
          <w:szCs w:val="21"/>
          <w:highlight w:val="none"/>
        </w:rPr>
        <w:t>（二）在保函有效期内送达我行；</w:t>
      </w:r>
    </w:p>
    <w:p>
      <w:pPr>
        <w:ind w:firstLine="420"/>
        <w:rPr>
          <w:color w:val="auto"/>
          <w:szCs w:val="21"/>
          <w:highlight w:val="none"/>
        </w:rPr>
      </w:pPr>
      <w:r>
        <w:rPr>
          <w:color w:val="auto"/>
          <w:szCs w:val="21"/>
          <w:highlight w:val="none"/>
        </w:rPr>
        <w:t>（三）明确的索赔金额（不得超过本保函第一条所列之限额）。</w:t>
      </w:r>
    </w:p>
    <w:p>
      <w:pPr>
        <w:ind w:firstLine="420"/>
        <w:rPr>
          <w:color w:val="auto"/>
          <w:szCs w:val="21"/>
          <w:highlight w:val="none"/>
        </w:rPr>
      </w:pPr>
      <w:r>
        <w:rPr>
          <w:color w:val="auto"/>
          <w:szCs w:val="21"/>
          <w:highlight w:val="none"/>
        </w:rPr>
        <w:t>三、本保函自签发之日起生效，有效期至</w:t>
      </w:r>
      <w:r>
        <w:rPr>
          <w:color w:val="auto"/>
          <w:szCs w:val="21"/>
          <w:highlight w:val="none"/>
          <w:u w:val="single"/>
        </w:rPr>
        <w:t xml:space="preserve">  年  月  日</w:t>
      </w:r>
      <w:r>
        <w:rPr>
          <w:color w:val="auto"/>
          <w:szCs w:val="21"/>
          <w:highlight w:val="none"/>
        </w:rPr>
        <w:t>。本保函于下述任一事项发生之时立即失效，我行在本保函项下的保证义务即刻解除：</w:t>
      </w:r>
    </w:p>
    <w:p>
      <w:pPr>
        <w:ind w:firstLine="420"/>
        <w:rPr>
          <w:color w:val="auto"/>
          <w:szCs w:val="21"/>
          <w:highlight w:val="none"/>
        </w:rPr>
      </w:pPr>
      <w:r>
        <w:rPr>
          <w:color w:val="auto"/>
          <w:szCs w:val="21"/>
          <w:highlight w:val="none"/>
        </w:rPr>
        <w:t>（一）本保函有效期限届满；</w:t>
      </w:r>
    </w:p>
    <w:p>
      <w:pPr>
        <w:ind w:firstLine="420"/>
        <w:rPr>
          <w:color w:val="auto"/>
          <w:szCs w:val="21"/>
          <w:highlight w:val="none"/>
        </w:rPr>
      </w:pPr>
      <w:r>
        <w:rPr>
          <w:color w:val="auto"/>
          <w:szCs w:val="21"/>
          <w:highlight w:val="none"/>
        </w:rPr>
        <w:t>（二）我行保证的义务履行完毕。</w:t>
      </w:r>
    </w:p>
    <w:p>
      <w:pPr>
        <w:ind w:firstLine="420"/>
        <w:rPr>
          <w:color w:val="auto"/>
          <w:szCs w:val="21"/>
          <w:highlight w:val="none"/>
        </w:rPr>
      </w:pPr>
      <w:r>
        <w:rPr>
          <w:color w:val="auto"/>
          <w:szCs w:val="21"/>
          <w:highlight w:val="none"/>
        </w:rPr>
        <w:t>四、我方受本保函制约的责任是延续的、独立的和无条件的，上述合同的任何修改、变更、解释、不可执行或委托人在合同项下对你方的任何抗辩都不能削弱或影响我行按本保函应承担的责任。</w:t>
      </w:r>
    </w:p>
    <w:p>
      <w:pPr>
        <w:ind w:firstLine="420"/>
        <w:rPr>
          <w:color w:val="auto"/>
          <w:szCs w:val="21"/>
          <w:highlight w:val="none"/>
        </w:rPr>
      </w:pPr>
      <w:r>
        <w:rPr>
          <w:color w:val="auto"/>
          <w:szCs w:val="21"/>
          <w:highlight w:val="none"/>
        </w:rPr>
        <w:t>五、我行向你方支付索赔金额后，本保函担保金额即按贵方通知的索赔金额予以递减。</w:t>
      </w:r>
    </w:p>
    <w:p>
      <w:pPr>
        <w:ind w:firstLine="420"/>
        <w:rPr>
          <w:color w:val="auto"/>
          <w:szCs w:val="21"/>
          <w:highlight w:val="none"/>
        </w:rPr>
      </w:pPr>
      <w:r>
        <w:rPr>
          <w:color w:val="auto"/>
          <w:szCs w:val="21"/>
          <w:highlight w:val="none"/>
        </w:rPr>
        <w:t>六、保函失效后请将保函退回我行注销，无论正本最终退回与否，不影响本保函依上述约定自动失效。</w:t>
      </w:r>
    </w:p>
    <w:p>
      <w:pPr>
        <w:ind w:firstLine="420"/>
        <w:rPr>
          <w:color w:val="auto"/>
          <w:szCs w:val="21"/>
          <w:highlight w:val="none"/>
        </w:rPr>
      </w:pPr>
      <w:r>
        <w:rPr>
          <w:color w:val="auto"/>
          <w:szCs w:val="21"/>
          <w:highlight w:val="none"/>
        </w:rPr>
        <w:t xml:space="preserve">  </w:t>
      </w:r>
    </w:p>
    <w:p>
      <w:pPr>
        <w:ind w:firstLine="420"/>
        <w:rPr>
          <w:color w:val="auto"/>
          <w:szCs w:val="21"/>
          <w:highlight w:val="none"/>
        </w:rPr>
      </w:pPr>
    </w:p>
    <w:p>
      <w:pPr>
        <w:ind w:firstLine="420"/>
        <w:rPr>
          <w:color w:val="auto"/>
          <w:szCs w:val="21"/>
          <w:highlight w:val="none"/>
        </w:rPr>
      </w:pPr>
      <w:r>
        <w:rPr>
          <w:color w:val="auto"/>
          <w:szCs w:val="21"/>
          <w:highlight w:val="none"/>
        </w:rPr>
        <w:t xml:space="preserve">                                                   落款</w:t>
      </w:r>
    </w:p>
    <w:p>
      <w:pPr>
        <w:adjustRightInd w:val="0"/>
        <w:snapToGrid w:val="0"/>
        <w:spacing w:before="156" w:beforeLines="50" w:after="156" w:afterLines="50" w:line="600" w:lineRule="exact"/>
        <w:jc w:val="center"/>
        <w:rPr>
          <w:rFonts w:eastAsia="方正小标宋简体"/>
          <w:color w:val="auto"/>
          <w:sz w:val="44"/>
          <w:szCs w:val="44"/>
          <w:highlight w:val="none"/>
        </w:rPr>
      </w:pPr>
    </w:p>
    <w:p>
      <w:pPr>
        <w:rPr>
          <w:color w:val="auto"/>
          <w:highlight w:val="none"/>
        </w:rPr>
      </w:pPr>
    </w:p>
    <w:p>
      <w:pPr>
        <w:jc w:val="center"/>
        <w:rPr>
          <w:b/>
          <w:bCs/>
          <w:color w:val="auto"/>
          <w:sz w:val="30"/>
          <w:highlight w:val="none"/>
        </w:rPr>
      </w:pPr>
    </w:p>
    <w:p>
      <w:pPr>
        <w:rPr>
          <w:rFonts w:ascii="宋体" w:hAnsi="宋体" w:cs="宋体"/>
          <w:b/>
          <w:bCs/>
          <w:color w:val="auto"/>
          <w:szCs w:val="21"/>
          <w:highlight w:val="none"/>
        </w:rPr>
      </w:pPr>
      <w:r>
        <w:rPr>
          <w:rFonts w:ascii="宋体" w:hAnsi="宋体" w:cs="宋体"/>
          <w:b/>
          <w:bCs/>
          <w:color w:val="auto"/>
          <w:szCs w:val="21"/>
          <w:highlight w:val="none"/>
        </w:rPr>
        <w:br w:type="page"/>
      </w:r>
    </w:p>
    <w:p>
      <w:pPr>
        <w:spacing w:line="360" w:lineRule="auto"/>
        <w:outlineLvl w:val="2"/>
        <w:rPr>
          <w:rFonts w:ascii="宋体" w:hAnsi="宋体" w:cs="宋体"/>
          <w:b/>
          <w:bCs/>
          <w:color w:val="auto"/>
          <w:szCs w:val="21"/>
          <w:highlight w:val="none"/>
        </w:rPr>
      </w:pPr>
      <w:r>
        <w:rPr>
          <w:rFonts w:hint="eastAsia" w:ascii="宋体" w:hAnsi="宋体" w:cs="宋体"/>
          <w:b/>
          <w:bCs/>
          <w:color w:val="auto"/>
          <w:szCs w:val="21"/>
          <w:highlight w:val="none"/>
        </w:rPr>
        <w:t>附件</w:t>
      </w:r>
      <w:r>
        <w:rPr>
          <w:rFonts w:hint="eastAsia" w:ascii="宋体" w:hAnsi="宋体" w:cs="宋体"/>
          <w:b/>
          <w:bCs/>
          <w:color w:val="auto"/>
          <w:szCs w:val="21"/>
          <w:highlight w:val="none"/>
          <w:lang w:val="en-US" w:eastAsia="zh-CN"/>
        </w:rPr>
        <w:t>7</w:t>
      </w:r>
      <w:r>
        <w:rPr>
          <w:rFonts w:hint="eastAsia" w:ascii="宋体" w:hAnsi="宋体" w:cs="宋体"/>
          <w:b/>
          <w:bCs/>
          <w:color w:val="auto"/>
          <w:szCs w:val="21"/>
          <w:highlight w:val="none"/>
        </w:rPr>
        <w:t>：预付款保函（模板）</w:t>
      </w:r>
    </w:p>
    <w:p>
      <w:pPr>
        <w:rPr>
          <w:rFonts w:ascii="黑体" w:hAnsi="黑体" w:eastAsia="黑体"/>
          <w:color w:val="auto"/>
          <w:sz w:val="36"/>
          <w:szCs w:val="36"/>
          <w:highlight w:val="none"/>
        </w:rPr>
      </w:pPr>
    </w:p>
    <w:p>
      <w:pPr>
        <w:jc w:val="center"/>
        <w:rPr>
          <w:b/>
          <w:color w:val="auto"/>
          <w:szCs w:val="21"/>
          <w:highlight w:val="none"/>
        </w:rPr>
      </w:pPr>
      <w:r>
        <w:rPr>
          <w:rFonts w:hint="eastAsia"/>
          <w:b/>
          <w:color w:val="auto"/>
          <w:sz w:val="24"/>
          <w:szCs w:val="21"/>
          <w:highlight w:val="none"/>
        </w:rPr>
        <w:t>预付款保函模板</w:t>
      </w:r>
    </w:p>
    <w:p>
      <w:pPr>
        <w:rPr>
          <w:color w:val="auto"/>
          <w:highlight w:val="none"/>
        </w:rPr>
      </w:pPr>
    </w:p>
    <w:p>
      <w:pPr>
        <w:rPr>
          <w:rFonts w:hint="eastAsia"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致：</w:t>
      </w:r>
      <w:r>
        <w:rPr>
          <w:rFonts w:hint="eastAsia" w:ascii="仿宋_GB2312" w:hAnsi="仿宋" w:eastAsia="仿宋_GB2312"/>
          <w:color w:val="auto"/>
          <w:sz w:val="24"/>
          <w:szCs w:val="24"/>
          <w:highlight w:val="none"/>
          <w:u w:val="single"/>
        </w:rPr>
        <w:t xml:space="preserve">                          </w:t>
      </w:r>
      <w:r>
        <w:rPr>
          <w:rFonts w:hint="eastAsia" w:ascii="仿宋_GB2312" w:hAnsi="仿宋" w:eastAsia="仿宋_GB2312"/>
          <w:color w:val="auto"/>
          <w:sz w:val="24"/>
          <w:szCs w:val="24"/>
          <w:highlight w:val="none"/>
        </w:rPr>
        <w:t xml:space="preserve"> （受益人）</w:t>
      </w:r>
    </w:p>
    <w:p>
      <w:pPr>
        <w:rPr>
          <w:rFonts w:hint="eastAsia" w:ascii="仿宋_GB2312" w:hAnsi="仿宋" w:eastAsia="仿宋_GB2312"/>
          <w:color w:val="auto"/>
          <w:sz w:val="28"/>
          <w:szCs w:val="28"/>
          <w:highlight w:val="none"/>
        </w:rPr>
      </w:pPr>
    </w:p>
    <w:p>
      <w:pPr>
        <w:spacing w:line="360" w:lineRule="auto"/>
        <w:ind w:firstLine="480" w:firstLineChars="200"/>
        <w:rPr>
          <w:rFonts w:hint="eastAsia"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鉴于</w:t>
      </w:r>
      <w:r>
        <w:rPr>
          <w:rFonts w:hint="eastAsia" w:ascii="仿宋_GB2312" w:hAnsi="仿宋" w:eastAsia="仿宋_GB2312"/>
          <w:color w:val="auto"/>
          <w:sz w:val="24"/>
          <w:szCs w:val="24"/>
          <w:highlight w:val="none"/>
          <w:u w:val="single"/>
        </w:rPr>
        <w:t xml:space="preserve">           </w:t>
      </w:r>
      <w:r>
        <w:rPr>
          <w:rFonts w:hint="eastAsia" w:ascii="仿宋_GB2312" w:hAnsi="仿宋" w:eastAsia="仿宋_GB2312"/>
          <w:color w:val="auto"/>
          <w:sz w:val="24"/>
          <w:szCs w:val="24"/>
          <w:highlight w:val="none"/>
        </w:rPr>
        <w:t>（以下简称“委托人”）与你方于</w:t>
      </w:r>
      <w:r>
        <w:rPr>
          <w:rFonts w:hint="eastAsia" w:ascii="仿宋_GB2312" w:hAnsi="仿宋" w:eastAsia="仿宋_GB2312"/>
          <w:color w:val="auto"/>
          <w:sz w:val="24"/>
          <w:szCs w:val="24"/>
          <w:highlight w:val="none"/>
          <w:u w:val="single"/>
        </w:rPr>
        <w:t xml:space="preserve">   年  月  日</w:t>
      </w:r>
      <w:r>
        <w:rPr>
          <w:rFonts w:hint="eastAsia" w:ascii="仿宋_GB2312" w:hAnsi="仿宋" w:eastAsia="仿宋_GB2312"/>
          <w:color w:val="auto"/>
          <w:sz w:val="24"/>
          <w:szCs w:val="24"/>
          <w:highlight w:val="none"/>
        </w:rPr>
        <w:t>签订了（以下简称“合同”），你方将按上述基础交易合同约定向委托人支付预付款人民币</w:t>
      </w:r>
      <w:r>
        <w:rPr>
          <w:rFonts w:hint="eastAsia" w:ascii="仿宋_GB2312" w:hAnsi="仿宋" w:eastAsia="仿宋_GB2312"/>
          <w:color w:val="auto"/>
          <w:sz w:val="24"/>
          <w:szCs w:val="24"/>
          <w:highlight w:val="none"/>
          <w:u w:val="single"/>
        </w:rPr>
        <w:t xml:space="preserve">       </w:t>
      </w:r>
      <w:r>
        <w:rPr>
          <w:rFonts w:hint="eastAsia" w:ascii="仿宋_GB2312" w:hAnsi="仿宋" w:eastAsia="仿宋_GB2312"/>
          <w:color w:val="auto"/>
          <w:sz w:val="24"/>
          <w:szCs w:val="24"/>
          <w:highlight w:val="none"/>
        </w:rPr>
        <w:t>元（大写：</w:t>
      </w:r>
      <w:r>
        <w:rPr>
          <w:rFonts w:hint="eastAsia" w:ascii="仿宋_GB2312" w:hAnsi="仿宋" w:eastAsia="仿宋_GB2312"/>
          <w:color w:val="auto"/>
          <w:sz w:val="24"/>
          <w:szCs w:val="24"/>
          <w:highlight w:val="none"/>
          <w:u w:val="single"/>
        </w:rPr>
        <w:t xml:space="preserve">         </w:t>
      </w:r>
      <w:r>
        <w:rPr>
          <w:rFonts w:hint="eastAsia" w:ascii="仿宋_GB2312" w:hAnsi="仿宋" w:eastAsia="仿宋_GB2312"/>
          <w:color w:val="auto"/>
          <w:sz w:val="24"/>
          <w:szCs w:val="24"/>
          <w:highlight w:val="none"/>
        </w:rPr>
        <w:t>）。我行接受委托人的申请，特此开立以你方为受益人的最高金额为人民币</w:t>
      </w:r>
      <w:r>
        <w:rPr>
          <w:rFonts w:hint="eastAsia" w:ascii="仿宋_GB2312" w:hAnsi="仿宋" w:eastAsia="仿宋_GB2312"/>
          <w:color w:val="auto"/>
          <w:sz w:val="24"/>
          <w:szCs w:val="24"/>
          <w:highlight w:val="none"/>
          <w:u w:val="single"/>
        </w:rPr>
        <w:t xml:space="preserve">        </w:t>
      </w:r>
      <w:r>
        <w:rPr>
          <w:rFonts w:hint="eastAsia" w:ascii="仿宋_GB2312" w:hAnsi="仿宋" w:eastAsia="仿宋_GB2312"/>
          <w:color w:val="auto"/>
          <w:sz w:val="24"/>
          <w:szCs w:val="24"/>
          <w:highlight w:val="none"/>
        </w:rPr>
        <w:t>（大写：</w:t>
      </w:r>
      <w:r>
        <w:rPr>
          <w:rFonts w:hint="eastAsia" w:ascii="仿宋_GB2312" w:hAnsi="仿宋" w:eastAsia="仿宋_GB2312"/>
          <w:color w:val="auto"/>
          <w:sz w:val="24"/>
          <w:szCs w:val="24"/>
          <w:highlight w:val="none"/>
          <w:u w:val="single"/>
        </w:rPr>
        <w:t xml:space="preserve">          </w:t>
      </w:r>
      <w:r>
        <w:rPr>
          <w:rFonts w:hint="eastAsia" w:ascii="仿宋_GB2312" w:hAnsi="仿宋" w:eastAsia="仿宋_GB2312"/>
          <w:color w:val="auto"/>
          <w:sz w:val="24"/>
          <w:szCs w:val="24"/>
          <w:highlight w:val="none"/>
        </w:rPr>
        <w:t>）（以下称“保函金额”）的保函。</w:t>
      </w:r>
    </w:p>
    <w:p>
      <w:pPr>
        <w:spacing w:line="360" w:lineRule="auto"/>
        <w:ind w:firstLine="480" w:firstLineChars="200"/>
        <w:outlineLvl w:val="1"/>
        <w:rPr>
          <w:rFonts w:hint="eastAsia"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一、本保函为不可撤销、见索即付的独立保函。</w:t>
      </w:r>
    </w:p>
    <w:p>
      <w:pPr>
        <w:spacing w:line="360" w:lineRule="auto"/>
        <w:ind w:firstLine="480" w:firstLineChars="200"/>
        <w:rPr>
          <w:rFonts w:hint="eastAsia"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二、在本保函的有效期内，如委托人违反上述基础交易合同约定的义务而未向你方退还预付款，我行将在收到你方提交的符合下述要求的索赔通知书后</w:t>
      </w:r>
      <w:r>
        <w:rPr>
          <w:rFonts w:hint="eastAsia" w:ascii="仿宋_GB2312" w:hAnsi="仿宋" w:eastAsia="仿宋_GB2312"/>
          <w:color w:val="auto"/>
          <w:sz w:val="24"/>
          <w:szCs w:val="24"/>
          <w:highlight w:val="none"/>
          <w:u w:val="single"/>
        </w:rPr>
        <w:t xml:space="preserve">  </w:t>
      </w:r>
      <w:r>
        <w:rPr>
          <w:rFonts w:hint="eastAsia" w:ascii="仿宋_GB2312" w:hAnsi="仿宋" w:eastAsia="仿宋_GB2312"/>
          <w:color w:val="auto"/>
          <w:sz w:val="24"/>
          <w:szCs w:val="24"/>
          <w:highlight w:val="none"/>
        </w:rPr>
        <w:t>日内，以上述保函金额为限向你方支付相应款项。</w:t>
      </w:r>
    </w:p>
    <w:p>
      <w:pPr>
        <w:spacing w:line="360" w:lineRule="auto"/>
        <w:ind w:firstLine="480" w:firstLineChars="200"/>
        <w:rPr>
          <w:rFonts w:hint="eastAsia"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（一）索赔通知书须写明请求付款的金额，并声明该款项并未由委托人或其代理人直接或间接地支付给你方；</w:t>
      </w:r>
    </w:p>
    <w:p>
      <w:pPr>
        <w:spacing w:line="360" w:lineRule="auto"/>
        <w:ind w:firstLine="480" w:firstLineChars="200"/>
        <w:rPr>
          <w:rFonts w:hint="eastAsia"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（二）索赔通知书应由你方法定代表人签字并加盖公章；</w:t>
      </w:r>
    </w:p>
    <w:p>
      <w:pPr>
        <w:spacing w:line="360" w:lineRule="auto"/>
        <w:ind w:firstLine="480" w:firstLineChars="200"/>
        <w:rPr>
          <w:rFonts w:hint="eastAsia"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（三）索赔通知书必须于本保函有效期截止日前送达我行。</w:t>
      </w:r>
    </w:p>
    <w:p>
      <w:pPr>
        <w:spacing w:line="360" w:lineRule="auto"/>
        <w:ind w:firstLine="480" w:firstLineChars="200"/>
        <w:rPr>
          <w:rFonts w:hint="eastAsia"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三、合同的任何修改、变更、解释或不可执行都不能削弱或免除我行按本保函应承担的义务。</w:t>
      </w:r>
    </w:p>
    <w:p>
      <w:pPr>
        <w:spacing w:line="360" w:lineRule="auto"/>
        <w:ind w:firstLine="480" w:firstLineChars="200"/>
        <w:rPr>
          <w:rFonts w:hint="eastAsia"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本保函金额将随我行已向你方支付的金额而自动作相应递减。</w:t>
      </w:r>
    </w:p>
    <w:p>
      <w:pPr>
        <w:spacing w:line="360" w:lineRule="auto"/>
        <w:ind w:firstLine="480" w:firstLineChars="200"/>
        <w:outlineLvl w:val="1"/>
        <w:rPr>
          <w:rFonts w:hint="eastAsia"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四、本保函未经我行书面同意不得转让。</w:t>
      </w:r>
    </w:p>
    <w:p>
      <w:pPr>
        <w:spacing w:line="360" w:lineRule="auto"/>
        <w:ind w:firstLine="480" w:firstLineChars="200"/>
        <w:rPr>
          <w:rFonts w:hint="eastAsia"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五、本保函自签发之日起生效，有效期至           止。在上述期限内若累计赔偿额达到前述保函金额，本保函提前失效。本保函到期后，无论保函原件是否退回我行，皆告失效。</w:t>
      </w:r>
    </w:p>
    <w:p>
      <w:pPr>
        <w:pStyle w:val="6"/>
        <w:ind w:firstLine="480"/>
        <w:rPr>
          <w:color w:val="auto"/>
          <w:highlight w:val="none"/>
        </w:rPr>
      </w:pPr>
      <w:r>
        <w:rPr>
          <w:rFonts w:hint="eastAsia" w:ascii="仿宋_GB2312" w:eastAsia="仿宋_GB2312"/>
          <w:color w:val="auto"/>
          <w:sz w:val="24"/>
          <w:szCs w:val="24"/>
          <w:highlight w:val="none"/>
        </w:rPr>
        <w:t>备注:本预付款担保格式可采用经甲方认可的其他格式，但相关内容不得违背合同文件约定的实质性内容。</w:t>
      </w:r>
    </w:p>
    <w:p>
      <w:pPr>
        <w:pStyle w:val="22"/>
        <w:ind w:firstLine="0"/>
        <w:rPr>
          <w:rFonts w:ascii="仿宋_GB2312" w:eastAsia="仿宋_GB2312"/>
          <w:color w:val="auto"/>
          <w:sz w:val="28"/>
          <w:szCs w:val="28"/>
          <w:highlight w:val="none"/>
        </w:rPr>
      </w:pPr>
    </w:p>
    <w:p>
      <w:pPr>
        <w:pStyle w:val="3"/>
        <w:rPr>
          <w:rFonts w:hint="eastAsia"/>
          <w:color w:val="auto"/>
          <w:highlight w:val="none"/>
        </w:rPr>
      </w:pPr>
      <w:bookmarkStart w:id="85" w:name="_Toc8147"/>
      <w:bookmarkStart w:id="86" w:name="_Toc5129"/>
      <w:bookmarkStart w:id="87" w:name="_Toc30824"/>
      <w:bookmarkStart w:id="88" w:name="_Toc6230"/>
      <w:bookmarkStart w:id="89" w:name="_Toc1563"/>
      <w:bookmarkStart w:id="90" w:name="_Toc21847"/>
      <w:bookmarkStart w:id="91" w:name="_Toc12169"/>
      <w:bookmarkStart w:id="92" w:name="_Toc16552"/>
      <w:bookmarkStart w:id="93" w:name="_Toc23515"/>
      <w:bookmarkStart w:id="94" w:name="_Toc28358"/>
      <w:bookmarkStart w:id="95" w:name="_Toc3723"/>
    </w:p>
    <w:p>
      <w:pPr>
        <w:pStyle w:val="3"/>
        <w:rPr>
          <w:rFonts w:hint="eastAsia"/>
          <w:color w:val="auto"/>
          <w:highlight w:val="none"/>
        </w:rPr>
      </w:pPr>
    </w:p>
    <w:p>
      <w:pPr>
        <w:pStyle w:val="3"/>
        <w:rPr>
          <w:color w:val="auto"/>
          <w:highlight w:val="none"/>
        </w:rPr>
      </w:pPr>
      <w:r>
        <w:rPr>
          <w:color w:val="auto"/>
          <w:highlight w:val="none"/>
        </w:rPr>
        <mc:AlternateContent>
          <mc:Choice Requires="wps">
            <w:drawing>
              <wp:anchor distT="0" distB="0" distL="114300" distR="114300" simplePos="0" relativeHeight="251668480" behindDoc="0" locked="0" layoutInCell="1" allowOverlap="1">
                <wp:simplePos x="0" y="0"/>
                <wp:positionH relativeFrom="column">
                  <wp:posOffset>2376170</wp:posOffset>
                </wp:positionH>
                <wp:positionV relativeFrom="paragraph">
                  <wp:posOffset>22860</wp:posOffset>
                </wp:positionV>
                <wp:extent cx="958850" cy="0"/>
                <wp:effectExtent l="0" t="0" r="0" b="0"/>
                <wp:wrapNone/>
                <wp:docPr id="7"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87.1pt;margin-top:1.8pt;height:0pt;width:75.5pt;z-index:251668480;mso-width-relative:page;mso-height-relative:page;" filled="f" stroked="t" coordsize="21600,21600" o:gfxdata="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FKR2kXUAAAABwEAAA8AAAAAAAAAAQAgAAAAIgAAAGRycy9kb3ducmV2LnhtbFBLAQIUABQAAAAI&#10;AIdO4kBCwcCZ8QEAAOMDAAAOAAAAAAAAAAEAIAAAACMBAABkcnMvZTJvRG9jLnhtbFBLBQYAAAAA&#10;BgAGAFkBAACGBQ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9504" behindDoc="0" locked="0" layoutInCell="1" allowOverlap="1">
                <wp:simplePos x="0" y="0"/>
                <wp:positionH relativeFrom="column">
                  <wp:posOffset>2376170</wp:posOffset>
                </wp:positionH>
                <wp:positionV relativeFrom="paragraph">
                  <wp:posOffset>599440</wp:posOffset>
                </wp:positionV>
                <wp:extent cx="958850" cy="0"/>
                <wp:effectExtent l="0" t="0" r="0" b="0"/>
                <wp:wrapNone/>
                <wp:docPr id="8"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7.1pt;margin-top:47.2pt;height:0pt;width:75.5pt;z-index:251669504;mso-width-relative:page;mso-height-relative:page;" filled="f" stroked="t" coordsize="21600,21600" o:gfxdata="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gbAIp1wAAAAkBAAAPAAAAAAAAAAEAIAAAACIAAABkcnMvZG93bnJldi54bWxQSwECFAAU&#10;AAAACACHTuJASgL+zPIBAADjAwAADgAAAAAAAAABACAAAAAm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第七章</w:t>
      </w:r>
      <w:bookmarkEnd w:id="85"/>
      <w:bookmarkEnd w:id="86"/>
      <w:bookmarkEnd w:id="87"/>
      <w:bookmarkEnd w:id="88"/>
      <w:bookmarkEnd w:id="89"/>
      <w:bookmarkEnd w:id="90"/>
      <w:bookmarkEnd w:id="91"/>
      <w:bookmarkEnd w:id="92"/>
      <w:bookmarkEnd w:id="93"/>
      <w:bookmarkEnd w:id="94"/>
      <w:bookmarkEnd w:id="95"/>
    </w:p>
    <w:p>
      <w:pPr>
        <w:pStyle w:val="35"/>
        <w:rPr>
          <w:color w:val="auto"/>
          <w:highlight w:val="none"/>
        </w:rPr>
      </w:pPr>
    </w:p>
    <w:p>
      <w:pPr>
        <w:pStyle w:val="3"/>
        <w:rPr>
          <w:color w:val="auto"/>
          <w:highlight w:val="none"/>
        </w:rPr>
      </w:pPr>
      <w:bookmarkStart w:id="96" w:name="_Toc24815"/>
      <w:bookmarkStart w:id="97" w:name="_Toc12769"/>
      <w:bookmarkStart w:id="98" w:name="_Toc24490"/>
      <w:bookmarkStart w:id="99" w:name="_Toc21675"/>
      <w:bookmarkStart w:id="100" w:name="_Toc22764"/>
      <w:bookmarkStart w:id="101" w:name="_Toc30157"/>
      <w:bookmarkStart w:id="102" w:name="_Toc88209951"/>
      <w:bookmarkStart w:id="103" w:name="_Toc31564"/>
      <w:bookmarkStart w:id="104" w:name="_Toc87616388"/>
      <w:bookmarkStart w:id="105" w:name="_Toc5342"/>
      <w:bookmarkStart w:id="106" w:name="_Toc12610"/>
      <w:bookmarkStart w:id="107" w:name="_Toc17119"/>
      <w:bookmarkStart w:id="108" w:name="_Toc10840"/>
      <w:r>
        <w:rPr>
          <w:rFonts w:hint="eastAsia"/>
          <w:color w:val="auto"/>
          <w:highlight w:val="none"/>
        </w:rPr>
        <w:t>响应文件</w:t>
      </w:r>
      <w:r>
        <w:rPr>
          <w:rFonts w:hint="eastAsia"/>
          <w:color w:val="auto"/>
          <w:highlight w:val="none"/>
          <w:lang w:val="en-US" w:eastAsia="zh-CN"/>
        </w:rPr>
        <w:t>格式要求</w:t>
      </w:r>
      <w:bookmarkEnd w:id="96"/>
      <w:bookmarkEnd w:id="97"/>
      <w:bookmarkEnd w:id="98"/>
      <w:bookmarkEnd w:id="99"/>
      <w:bookmarkEnd w:id="100"/>
      <w:bookmarkEnd w:id="101"/>
      <w:bookmarkEnd w:id="102"/>
      <w:bookmarkEnd w:id="103"/>
      <w:bookmarkEnd w:id="104"/>
      <w:bookmarkEnd w:id="105"/>
      <w:bookmarkEnd w:id="106"/>
      <w:bookmarkEnd w:id="107"/>
      <w:bookmarkEnd w:id="108"/>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u w:val="single"/>
        </w:rPr>
      </w:pPr>
      <w:r>
        <w:rPr>
          <w:rFonts w:hint="eastAsia" w:ascii="方正小标宋简体" w:eastAsia="方正小标宋简体"/>
          <w:color w:val="auto"/>
          <w:sz w:val="44"/>
          <w:szCs w:val="44"/>
          <w:highlight w:val="none"/>
          <w:u w:val="single"/>
        </w:rPr>
        <w:t>（项目名称</w:t>
      </w:r>
      <w:r>
        <w:rPr>
          <w:rFonts w:hint="eastAsia" w:ascii="方正小标宋简体" w:eastAsia="方正小标宋简体"/>
          <w:color w:val="auto"/>
          <w:sz w:val="44"/>
          <w:szCs w:val="44"/>
          <w:highlight w:val="none"/>
          <w:u w:val="single"/>
          <w:lang w:eastAsia="zh-CN"/>
        </w:rPr>
        <w:t>（</w:t>
      </w:r>
      <w:r>
        <w:rPr>
          <w:rFonts w:hint="eastAsia" w:ascii="方正小标宋简体" w:eastAsia="方正小标宋简体"/>
          <w:color w:val="auto"/>
          <w:sz w:val="44"/>
          <w:szCs w:val="44"/>
          <w:highlight w:val="none"/>
          <w:u w:val="single"/>
          <w:lang w:val="en-US" w:eastAsia="zh-CN"/>
        </w:rPr>
        <w:t>第三次</w:t>
      </w:r>
      <w:r>
        <w:rPr>
          <w:rFonts w:hint="eastAsia" w:ascii="方正小标宋简体" w:eastAsia="方正小标宋简体"/>
          <w:color w:val="auto"/>
          <w:sz w:val="44"/>
          <w:szCs w:val="44"/>
          <w:highlight w:val="none"/>
          <w:u w:val="single"/>
          <w:lang w:eastAsia="zh-CN"/>
        </w:rPr>
        <w:t>）</w:t>
      </w:r>
      <w:r>
        <w:rPr>
          <w:rFonts w:hint="eastAsia" w:ascii="方正小标宋简体" w:eastAsia="方正小标宋简体"/>
          <w:color w:val="auto"/>
          <w:sz w:val="44"/>
          <w:szCs w:val="44"/>
          <w:highlight w:val="none"/>
          <w:u w:val="single"/>
        </w:rPr>
        <w:t>、标段/标包号）</w:t>
      </w:r>
    </w:p>
    <w:p>
      <w:pPr>
        <w:adjustRightInd w:val="0"/>
        <w:snapToGrid w:val="0"/>
        <w:spacing w:beforeLines="50" w:afterLines="50" w:line="600" w:lineRule="exact"/>
        <w:jc w:val="center"/>
        <w:rPr>
          <w:rFonts w:ascii="仿宋_GB2312" w:eastAsia="仿宋_GB2312"/>
          <w:color w:val="auto"/>
          <w:sz w:val="30"/>
          <w:szCs w:val="30"/>
          <w:highlight w:val="none"/>
        </w:rPr>
      </w:pPr>
    </w:p>
    <w:p>
      <w:pPr>
        <w:adjustRightInd w:val="0"/>
        <w:snapToGrid w:val="0"/>
        <w:spacing w:beforeLines="50"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   ）</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jc w:val="center"/>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30"/>
          <w:szCs w:val="30"/>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jc w:val="center"/>
        <w:rPr>
          <w:rFonts w:ascii="方正小标宋简体" w:eastAsia="方正小标宋简体"/>
          <w:color w:val="auto"/>
          <w:sz w:val="44"/>
          <w:szCs w:val="44"/>
          <w:highlight w:val="none"/>
        </w:rPr>
      </w:pPr>
    </w:p>
    <w:p>
      <w:pPr>
        <w:spacing w:line="600" w:lineRule="exact"/>
        <w:rPr>
          <w:rFonts w:ascii="仿宋_GB2312" w:eastAsia="仿宋_GB2312"/>
          <w:color w:val="auto"/>
          <w:sz w:val="28"/>
          <w:szCs w:val="28"/>
          <w:highlight w:val="none"/>
        </w:rPr>
      </w:pPr>
      <w:bookmarkStart w:id="109" w:name="_Toc88209952"/>
      <w:bookmarkStart w:id="110" w:name="_Toc87616389"/>
      <w:r>
        <w:rPr>
          <w:rFonts w:hint="eastAsia" w:ascii="仿宋_GB2312" w:eastAsia="仿宋_GB2312"/>
          <w:color w:val="auto"/>
          <w:sz w:val="28"/>
          <w:szCs w:val="28"/>
          <w:highlight w:val="none"/>
        </w:rPr>
        <w:t>1.响应函</w:t>
      </w:r>
      <w:bookmarkEnd w:id="109"/>
      <w:bookmarkEnd w:id="110"/>
    </w:p>
    <w:p>
      <w:pPr>
        <w:spacing w:line="600" w:lineRule="exact"/>
        <w:rPr>
          <w:rFonts w:hint="eastAsia" w:ascii="仿宋_GB2312" w:eastAsia="仿宋_GB2312"/>
          <w:color w:val="auto"/>
          <w:sz w:val="28"/>
          <w:szCs w:val="28"/>
          <w:highlight w:val="none"/>
        </w:rPr>
      </w:pPr>
      <w:bookmarkStart w:id="111" w:name="_Toc87616390"/>
      <w:bookmarkStart w:id="112" w:name="_Toc88209953"/>
      <w:r>
        <w:rPr>
          <w:rFonts w:hint="eastAsia" w:ascii="仿宋_GB2312" w:eastAsia="仿宋_GB2312"/>
          <w:color w:val="auto"/>
          <w:sz w:val="28"/>
          <w:szCs w:val="28"/>
          <w:highlight w:val="none"/>
        </w:rPr>
        <w:t>2.法定代表人证明或授权委托书</w:t>
      </w:r>
      <w:bookmarkEnd w:id="111"/>
      <w:bookmarkEnd w:id="112"/>
      <w:bookmarkStart w:id="113" w:name="_Toc87616393"/>
      <w:bookmarkStart w:id="114" w:name="_Toc88209956"/>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.拟投入本项目的项目负责人情况表</w:t>
      </w: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承诺函</w:t>
      </w:r>
      <w:r>
        <w:rPr>
          <w:rFonts w:hint="eastAsia" w:ascii="仿宋_GB2312" w:eastAsia="仿宋_GB2312"/>
          <w:color w:val="auto"/>
          <w:sz w:val="28"/>
          <w:szCs w:val="28"/>
          <w:highlight w:val="none"/>
          <w:lang w:val="en-US" w:eastAsia="zh-CN"/>
        </w:rPr>
        <w:br w:type="textWrapping"/>
      </w:r>
      <w:r>
        <w:rPr>
          <w:rFonts w:hint="eastAsia" w:ascii="仿宋_GB2312" w:eastAsia="仿宋_GB2312"/>
          <w:color w:val="auto"/>
          <w:sz w:val="28"/>
          <w:szCs w:val="28"/>
          <w:highlight w:val="none"/>
          <w:lang w:val="en-US" w:eastAsia="zh-CN"/>
        </w:rPr>
        <w:t>7.认证报告</w:t>
      </w:r>
      <w:r>
        <w:rPr>
          <w:rFonts w:hint="eastAsia" w:ascii="仿宋_GB2312" w:eastAsia="仿宋_GB2312"/>
          <w:color w:val="auto"/>
          <w:sz w:val="28"/>
          <w:szCs w:val="28"/>
          <w:highlight w:val="none"/>
          <w:lang w:val="en-US" w:eastAsia="zh-CN"/>
        </w:rPr>
        <w:br w:type="textWrapping"/>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其他资料</w:t>
      </w:r>
      <w:bookmarkEnd w:id="113"/>
      <w:bookmarkEnd w:id="114"/>
      <w:r>
        <w:rPr>
          <w:rFonts w:hint="eastAsia" w:ascii="仿宋_GB2312" w:eastAsia="仿宋_GB2312"/>
          <w:color w:val="auto"/>
          <w:sz w:val="28"/>
          <w:szCs w:val="28"/>
          <w:highlight w:val="none"/>
        </w:rPr>
        <w:cr/>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2"/>
        <w:rPr>
          <w:color w:val="auto"/>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5"/>
        <w:rPr>
          <w:rFonts w:asciiTheme="minorEastAsia" w:hAnsiTheme="minorEastAsia" w:eastAsiaTheme="minorEastAsia"/>
          <w:color w:val="auto"/>
          <w:sz w:val="28"/>
          <w:szCs w:val="28"/>
          <w:highlight w:val="none"/>
        </w:rPr>
      </w:pPr>
      <w:bookmarkStart w:id="115" w:name="_Toc12665"/>
      <w:bookmarkStart w:id="116" w:name="_Toc28619645"/>
      <w:bookmarkStart w:id="117" w:name="_Toc6313"/>
      <w:bookmarkStart w:id="118" w:name="_Toc87616394"/>
      <w:bookmarkStart w:id="119" w:name="_Toc88209957"/>
      <w:r>
        <w:rPr>
          <w:rFonts w:hint="eastAsia" w:asciiTheme="minorEastAsia" w:hAnsiTheme="minorEastAsia" w:eastAsiaTheme="minorEastAsia"/>
          <w:color w:val="auto"/>
          <w:sz w:val="28"/>
          <w:szCs w:val="28"/>
          <w:highlight w:val="none"/>
        </w:rPr>
        <w:t>1.响应函</w:t>
      </w:r>
      <w:bookmarkEnd w:id="115"/>
      <w:bookmarkEnd w:id="116"/>
      <w:bookmarkEnd w:id="117"/>
      <w:bookmarkEnd w:id="118"/>
      <w:bookmarkEnd w:id="119"/>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1.我方已仔细研究了（项目名称</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第三次</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、项目编号、标段/标包号）   采购文件的全部内容，愿意以含税价人民币（大写）     (¥      ）的报价</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不含税价：  税率： %</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完成/提供本项目□工程 □货物□服务并按合同约定履行义务。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1</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响应函</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2</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法定代表人证明或授权委托书</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资格审查资料</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4</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拟投入本项目的项目负责人情况表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报价表</w:t>
      </w:r>
    </w:p>
    <w:p>
      <w:pPr>
        <w:spacing w:line="360" w:lineRule="auto"/>
        <w:ind w:left="559" w:leftChars="266" w:firstLine="0" w:firstLineChars="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6</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承诺函</w:t>
      </w:r>
      <w:r>
        <w:rPr>
          <w:rFonts w:hint="eastAsia" w:ascii="仿宋_GB2312" w:hAnsi="黑体" w:eastAsia="仿宋_GB2312"/>
          <w:color w:val="auto"/>
          <w:sz w:val="28"/>
          <w:szCs w:val="28"/>
          <w:highlight w:val="none"/>
          <w:lang w:val="en-US" w:eastAsia="zh-CN"/>
        </w:rPr>
        <w:br w:type="textWrapping"/>
      </w:r>
      <w:r>
        <w:rPr>
          <w:rFonts w:hint="eastAsia" w:ascii="仿宋_GB2312" w:hAnsi="黑体" w:eastAsia="仿宋_GB2312"/>
          <w:color w:val="auto"/>
          <w:sz w:val="28"/>
          <w:szCs w:val="28"/>
          <w:highlight w:val="none"/>
          <w:lang w:val="en-US" w:eastAsia="zh-CN"/>
        </w:rPr>
        <w:t>（7）认证报告</w:t>
      </w:r>
      <w:r>
        <w:rPr>
          <w:rFonts w:hint="eastAsia" w:ascii="仿宋_GB2312" w:hAnsi="黑体" w:eastAsia="仿宋_GB2312"/>
          <w:color w:val="auto"/>
          <w:sz w:val="28"/>
          <w:szCs w:val="28"/>
          <w:highlight w:val="none"/>
          <w:lang w:val="en-US" w:eastAsia="zh-CN"/>
        </w:rPr>
        <w:br w:type="textWrapping"/>
      </w:r>
      <w:r>
        <w:rPr>
          <w:rFonts w:hint="eastAsia" w:ascii="仿宋_GB2312" w:hAnsi="黑体" w:eastAsia="仿宋_GB2312"/>
          <w:color w:val="auto"/>
          <w:sz w:val="28"/>
          <w:szCs w:val="28"/>
          <w:highlight w:val="none"/>
          <w:lang w:val="en-US" w:eastAsia="zh-CN"/>
        </w:rPr>
        <w:t>（8）</w:t>
      </w:r>
      <w:r>
        <w:rPr>
          <w:rFonts w:hint="eastAsia" w:ascii="仿宋_GB2312" w:hAnsi="黑体" w:eastAsia="仿宋_GB2312"/>
          <w:color w:val="auto"/>
          <w:sz w:val="28"/>
          <w:szCs w:val="28"/>
          <w:highlight w:val="none"/>
        </w:rPr>
        <w:t>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w:t>
      </w:r>
      <w:r>
        <w:rPr>
          <w:rFonts w:hint="eastAsia" w:ascii="仿宋_GB2312" w:hAnsi="黑体" w:eastAsia="仿宋_GB2312"/>
          <w:color w:val="auto"/>
          <w:sz w:val="28"/>
          <w:szCs w:val="28"/>
          <w:highlight w:val="none"/>
          <w:lang w:val="en-US" w:eastAsia="zh-CN"/>
        </w:rPr>
        <w:t>采购</w:t>
      </w:r>
      <w:r>
        <w:rPr>
          <w:rFonts w:hint="eastAsia" w:ascii="仿宋_GB2312" w:hAnsi="黑体" w:eastAsia="仿宋_GB2312"/>
          <w:color w:val="auto"/>
          <w:sz w:val="28"/>
          <w:szCs w:val="28"/>
          <w:highlight w:val="none"/>
        </w:rPr>
        <w:t>文件中所有要求均为实质性响应条款，如有任何一条负偏离或者不满足将导致</w:t>
      </w:r>
      <w:r>
        <w:rPr>
          <w:rFonts w:hint="eastAsia" w:ascii="仿宋_GB2312" w:hAnsi="黑体" w:eastAsia="仿宋_GB2312"/>
          <w:color w:val="auto"/>
          <w:sz w:val="28"/>
          <w:szCs w:val="28"/>
          <w:highlight w:val="none"/>
          <w:lang w:val="en-US" w:eastAsia="zh-CN"/>
        </w:rPr>
        <w:t>响应文件</w:t>
      </w:r>
      <w:r>
        <w:rPr>
          <w:rFonts w:hint="eastAsia" w:ascii="仿宋_GB2312" w:hAnsi="黑体" w:eastAsia="仿宋_GB2312"/>
          <w:color w:val="auto"/>
          <w:sz w:val="28"/>
          <w:szCs w:val="28"/>
          <w:highlight w:val="none"/>
        </w:rPr>
        <w:t>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pStyle w:val="22"/>
        <w:ind w:firstLine="560" w:firstLineChars="200"/>
        <w:rPr>
          <w:rFonts w:hint="eastAsia" w:eastAsia="仿宋_GB2312"/>
          <w:color w:val="auto"/>
          <w:highlight w:val="none"/>
          <w:lang w:eastAsia="zh-CN"/>
        </w:rPr>
      </w:pPr>
      <w:r>
        <w:rPr>
          <w:rFonts w:hint="default" w:ascii="仿宋_GB2312" w:hAnsi="黑体" w:eastAsia="仿宋_GB2312" w:cstheme="minorBidi"/>
          <w:color w:val="auto"/>
          <w:kern w:val="2"/>
          <w:sz w:val="28"/>
          <w:szCs w:val="28"/>
          <w:highlight w:val="none"/>
          <w:lang w:eastAsia="zh-CN"/>
        </w:rPr>
        <w:t>（</w:t>
      </w:r>
      <w:r>
        <w:rPr>
          <w:rFonts w:hint="default" w:ascii="仿宋_GB2312" w:hAnsi="黑体" w:eastAsia="仿宋_GB2312" w:cstheme="minorBidi"/>
          <w:color w:val="auto"/>
          <w:kern w:val="2"/>
          <w:sz w:val="28"/>
          <w:szCs w:val="28"/>
          <w:highlight w:val="none"/>
          <w:lang w:val="en-US" w:eastAsia="zh-CN"/>
        </w:rPr>
        <w:t>5</w:t>
      </w:r>
      <w:r>
        <w:rPr>
          <w:rFonts w:hint="default" w:ascii="仿宋_GB2312" w:hAnsi="黑体" w:eastAsia="仿宋_GB2312" w:cstheme="minorBidi"/>
          <w:color w:val="auto"/>
          <w:kern w:val="2"/>
          <w:sz w:val="28"/>
          <w:szCs w:val="28"/>
          <w:highlight w:val="none"/>
          <w:lang w:eastAsia="zh-CN"/>
        </w:rPr>
        <w:t>）如放弃成交，我方依法</w:t>
      </w:r>
      <w:r>
        <w:rPr>
          <w:rFonts w:hint="eastAsia" w:ascii="仿宋_GB2312" w:hAnsi="黑体" w:eastAsia="仿宋_GB2312"/>
          <w:color w:val="auto"/>
          <w:sz w:val="28"/>
          <w:szCs w:val="28"/>
          <w:highlight w:val="none"/>
          <w:lang w:eastAsia="zh-CN"/>
        </w:rPr>
        <w:t>承担相应的法律责任。</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w:t>
      </w:r>
      <w:r>
        <w:rPr>
          <w:rFonts w:hint="eastAsia" w:ascii="仿宋_GB2312" w:hAnsi="黑体" w:eastAsia="仿宋_GB2312"/>
          <w:color w:val="auto"/>
          <w:sz w:val="28"/>
          <w:szCs w:val="28"/>
          <w:highlight w:val="none"/>
          <w:lang w:eastAsia="zh-CN"/>
        </w:rPr>
        <w:t>采购公告（采购邀请书）</w:t>
      </w:r>
      <w:r>
        <w:rPr>
          <w:rFonts w:hint="eastAsia" w:ascii="仿宋_GB2312" w:hAnsi="黑体" w:eastAsia="仿宋_GB2312"/>
          <w:color w:val="auto"/>
          <w:sz w:val="28"/>
          <w:szCs w:val="28"/>
          <w:highlight w:val="none"/>
        </w:rPr>
        <w:t>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ind w:left="0" w:firstLine="0" w:firstLineChars="0"/>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w:t>
      </w:r>
      <w:r>
        <w:rPr>
          <w:rFonts w:hint="eastAsia" w:ascii="仿宋_GB2312" w:eastAsia="仿宋_GB2312" w:hAnsiTheme="minorEastAsia"/>
          <w:color w:val="auto"/>
          <w:sz w:val="28"/>
          <w:szCs w:val="28"/>
          <w:highlight w:val="none"/>
          <w:lang w:val="en-US" w:eastAsia="zh-CN"/>
        </w:rPr>
        <w:t>私</w:t>
      </w:r>
      <w:r>
        <w:rPr>
          <w:rFonts w:hint="eastAsia" w:ascii="仿宋_GB2312" w:eastAsia="仿宋_GB2312" w:hAnsiTheme="minorEastAsia"/>
          <w:color w:val="auto"/>
          <w:sz w:val="28"/>
          <w:szCs w:val="28"/>
          <w:highlight w:val="none"/>
        </w:rPr>
        <w:t>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adjustRightInd/>
        <w:snapToGrid/>
        <w:spacing w:line="600" w:lineRule="exact"/>
        <w:ind w:left="1" w:firstLine="551" w:firstLineChars="197"/>
        <w:jc w:val="right"/>
        <w:rPr>
          <w:rFonts w:hint="eastAsia" w:asciiTheme="minorEastAsia" w:hAnsiTheme="minorEastAsia" w:eastAsia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bookmarkStart w:id="120" w:name="_Toc87616395"/>
      <w:bookmarkStart w:id="121" w:name="_Toc22527"/>
      <w:bookmarkStart w:id="122" w:name="_Toc88209958"/>
      <w:bookmarkStart w:id="123" w:name="_Toc29833"/>
    </w:p>
    <w:p>
      <w:pPr>
        <w:pStyle w:val="5"/>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2.法定代表人证明或授权委托书</w:t>
      </w:r>
      <w:bookmarkEnd w:id="120"/>
      <w:bookmarkEnd w:id="121"/>
      <w:bookmarkEnd w:id="122"/>
      <w:bookmarkEnd w:id="123"/>
    </w:p>
    <w:p>
      <w:pPr>
        <w:spacing w:line="360" w:lineRule="auto"/>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37"/>
        <w:snapToGrid w:val="0"/>
        <w:spacing w:after="0" w:line="600" w:lineRule="exact"/>
        <w:jc w:val="both"/>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2"/>
          <w:szCs w:val="32"/>
          <w:highlight w:val="none"/>
        </w:rPr>
        <w:t xml:space="preserve">     </w:t>
      </w: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pPr>
        <w:pStyle w:val="14"/>
        <w:snapToGrid w:val="0"/>
        <w:spacing w:line="60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36"/>
        <w:snapToGrid w:val="0"/>
        <w:spacing w:after="0" w:line="600" w:lineRule="exact"/>
        <w:ind w:firstLine="750" w:firstLineChars="250"/>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pPr>
        <w:pStyle w:val="14"/>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14"/>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14"/>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14"/>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14"/>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adjustRightInd w:val="0"/>
        <w:snapToGrid w:val="0"/>
        <w:spacing w:line="600" w:lineRule="exact"/>
        <w:ind w:firstLine="702" w:firstLineChars="234"/>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pPr>
        <w:pStyle w:val="14"/>
        <w:snapToGrid w:val="0"/>
        <w:spacing w:line="600" w:lineRule="exact"/>
        <w:ind w:firstLine="3907" w:firstLineChars="1221"/>
        <w:rPr>
          <w:rFonts w:ascii="仿宋_GB2312" w:hAnsi="宋体" w:eastAsia="仿宋_GB2312" w:cs="Times New Roman"/>
          <w:color w:val="auto"/>
          <w:sz w:val="32"/>
          <w:szCs w:val="32"/>
          <w:highlight w:val="none"/>
        </w:rPr>
      </w:pPr>
    </w:p>
    <w:p>
      <w:pPr>
        <w:pStyle w:val="14"/>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mc:AlternateContent>
          <mc:Choice Requires="wps">
            <w:drawing>
              <wp:anchor distT="0" distB="0" distL="114300" distR="114300" simplePos="0" relativeHeight="251670528"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70528;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2qfxf2AAAAAkBAAAPAAAAAAAAAAEA&#10;IAAAACIAAABkcnMvZG93bnJldi54bWxQSwECFAAUAAAACACHTuJArjLyqUgCAACWBAAADgAAAAAA&#10;AAABACAAAAAnAQAAZHJzL2Uyb0RvYy54bWxQSwUGAAAAAAYABgBZAQAA4QU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pStyle w:val="35"/>
        <w:numPr>
          <w:ilvl w:val="0"/>
          <w:numId w:val="0"/>
        </w:numPr>
        <w:adjustRightInd w:val="0"/>
        <w:snapToGrid w:val="0"/>
        <w:spacing w:line="600" w:lineRule="exact"/>
        <w:ind w:firstLine="600" w:firstLineChars="200"/>
        <w:rPr>
          <w:rFonts w:hint="eastAsia" w:ascii="仿宋_GB2312" w:hAnsi="宋体" w:eastAsia="仿宋_GB2312"/>
          <w:color w:val="auto"/>
          <w:sz w:val="30"/>
          <w:szCs w:val="30"/>
          <w:highlight w:val="none"/>
          <w:lang w:eastAsia="zh-CN"/>
        </w:rPr>
      </w:pPr>
      <w:r>
        <w:rPr>
          <w:rFonts w:hint="eastAsia" w:ascii="仿宋_GB2312" w:hAnsi="宋体" w:eastAsia="仿宋_GB2312"/>
          <w:color w:val="auto"/>
          <w:sz w:val="30"/>
          <w:szCs w:val="30"/>
          <w:highlight w:val="none"/>
        </w:rPr>
        <w:t>附：</w:t>
      </w:r>
      <w:r>
        <w:rPr>
          <w:rFonts w:hint="eastAsia" w:ascii="仿宋_GB2312" w:hAnsi="宋体" w:eastAsia="仿宋_GB2312"/>
          <w:color w:val="auto"/>
          <w:sz w:val="30"/>
          <w:szCs w:val="30"/>
          <w:highlight w:val="none"/>
          <w:lang w:val="en-US" w:eastAsia="zh-CN"/>
        </w:rPr>
        <w:t>1.</w:t>
      </w:r>
      <w:r>
        <w:rPr>
          <w:rFonts w:hint="eastAsia" w:ascii="仿宋_GB2312" w:hAnsi="宋体" w:eastAsia="仿宋_GB2312"/>
          <w:color w:val="auto"/>
          <w:sz w:val="30"/>
          <w:szCs w:val="30"/>
          <w:highlight w:val="none"/>
        </w:rPr>
        <w:t>委托代理人身份证(正反两面)复印件</w:t>
      </w:r>
      <w:r>
        <w:rPr>
          <w:rFonts w:hint="eastAsia" w:ascii="仿宋_GB2312" w:hAnsi="宋体" w:eastAsia="仿宋_GB2312"/>
          <w:color w:val="auto"/>
          <w:sz w:val="30"/>
          <w:szCs w:val="30"/>
          <w:highlight w:val="none"/>
          <w:lang w:eastAsia="zh-CN"/>
        </w:rPr>
        <w:t>，</w:t>
      </w:r>
      <w:r>
        <w:rPr>
          <w:rFonts w:hint="eastAsia" w:ascii="仿宋_GB2312" w:hAnsi="宋体" w:eastAsia="仿宋_GB2312"/>
          <w:color w:val="auto"/>
          <w:sz w:val="30"/>
          <w:szCs w:val="30"/>
          <w:highlight w:val="none"/>
          <w:lang w:val="en-US" w:eastAsia="zh-CN"/>
        </w:rPr>
        <w:t>提供授权委托代理人身份证原件备查。</w:t>
      </w:r>
    </w:p>
    <w:p>
      <w:pPr>
        <w:pStyle w:val="35"/>
        <w:numPr>
          <w:ilvl w:val="-1"/>
          <w:numId w:val="0"/>
        </w:numPr>
        <w:ind w:left="0" w:leftChars="0" w:firstLine="600" w:firstLineChars="200"/>
        <w:rPr>
          <w:rFonts w:hint="eastAsia"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lang w:val="en-US" w:eastAsia="zh-CN"/>
        </w:rPr>
        <w:t>2.提供授权委托人自公告发布当月起在本单位近三个月社保记录（以加盖社会保险基金管理中心印章的《缴费历史明细表》或《社会保险参保人员证明》为准），否则为无效代理人，响应文件无效。</w:t>
      </w:r>
    </w:p>
    <w:p>
      <w:pPr>
        <w:pStyle w:val="35"/>
        <w:numPr>
          <w:ilvl w:val="-1"/>
          <w:numId w:val="0"/>
        </w:numPr>
        <w:ind w:left="0" w:leftChars="0" w:firstLine="0" w:firstLineChars="0"/>
        <w:rPr>
          <w:rFonts w:hint="eastAsia" w:ascii="仿宋_GB2312" w:hAnsi="宋体" w:eastAsia="仿宋_GB2312"/>
          <w:color w:val="auto"/>
          <w:sz w:val="30"/>
          <w:szCs w:val="30"/>
          <w:highlight w:val="none"/>
          <w:lang w:val="en-US" w:eastAsia="zh-CN"/>
        </w:rPr>
      </w:pPr>
    </w:p>
    <w:p>
      <w:pPr>
        <w:pStyle w:val="14"/>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14"/>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w:t>
      </w:r>
      <w:r>
        <w:rPr>
          <w:rFonts w:hint="eastAsia" w:ascii="仿宋_GB2312" w:hAnsi="宋体" w:eastAsia="仿宋_GB2312" w:cs="Times New Roman"/>
          <w:color w:val="auto"/>
          <w:sz w:val="30"/>
          <w:szCs w:val="30"/>
          <w:highlight w:val="none"/>
          <w:u w:val="single"/>
          <w:lang w:val="en-US" w:eastAsia="zh-CN"/>
        </w:rPr>
        <w:t>或盖私章</w:t>
      </w:r>
      <w:r>
        <w:rPr>
          <w:rFonts w:hint="eastAsia" w:ascii="仿宋_GB2312" w:hAnsi="宋体" w:eastAsia="仿宋_GB2312" w:cs="Times New Roman"/>
          <w:color w:val="auto"/>
          <w:sz w:val="30"/>
          <w:szCs w:val="30"/>
          <w:highlight w:val="none"/>
          <w:u w:val="single"/>
        </w:rPr>
        <w:t xml:space="preserve">)            </w:t>
      </w:r>
    </w:p>
    <w:p>
      <w:pPr>
        <w:pStyle w:val="14"/>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w:t>
      </w:r>
      <w:r>
        <w:rPr>
          <w:rFonts w:hint="eastAsia" w:ascii="仿宋_GB2312" w:hAnsi="宋体" w:eastAsia="仿宋_GB2312" w:cs="Times New Roman"/>
          <w:color w:val="auto"/>
          <w:sz w:val="30"/>
          <w:szCs w:val="30"/>
          <w:highlight w:val="none"/>
          <w:u w:val="single"/>
          <w:lang w:val="en-US" w:eastAsia="zh-CN"/>
        </w:rPr>
        <w:t>或盖私章</w:t>
      </w:r>
      <w:r>
        <w:rPr>
          <w:rFonts w:hint="eastAsia" w:ascii="仿宋_GB2312" w:hAnsi="宋体" w:eastAsia="仿宋_GB2312" w:cs="Times New Roman"/>
          <w:color w:val="auto"/>
          <w:sz w:val="30"/>
          <w:szCs w:val="30"/>
          <w:highlight w:val="none"/>
          <w:u w:val="single"/>
        </w:rPr>
        <w:t xml:space="preserve">)            </w:t>
      </w:r>
    </w:p>
    <w:p>
      <w:pPr>
        <w:widowControl/>
        <w:adjustRightInd w:val="0"/>
        <w:snapToGrid w:val="0"/>
        <w:spacing w:line="600" w:lineRule="exac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2"/>
        <w:rPr>
          <w:rFonts w:hint="eastAsia" w:ascii="仿宋_GB2312" w:hAnsi="宋体" w:eastAsia="仿宋_GB2312"/>
          <w:color w:val="auto"/>
          <w:sz w:val="30"/>
          <w:szCs w:val="30"/>
          <w:highlight w:val="none"/>
        </w:rPr>
      </w:pPr>
    </w:p>
    <w:p>
      <w:pPr>
        <w:pStyle w:val="22"/>
        <w:rPr>
          <w:rFonts w:hint="eastAsia" w:ascii="仿宋_GB2312" w:hAnsi="宋体" w:eastAsia="仿宋_GB2312"/>
          <w:color w:val="auto"/>
          <w:sz w:val="30"/>
          <w:szCs w:val="30"/>
          <w:highlight w:val="none"/>
        </w:rPr>
      </w:pPr>
    </w:p>
    <w:p>
      <w:pPr>
        <w:pStyle w:val="22"/>
        <w:rPr>
          <w:rFonts w:hint="eastAsia" w:ascii="仿宋_GB2312" w:hAnsi="宋体" w:eastAsia="仿宋_GB2312"/>
          <w:color w:val="auto"/>
          <w:sz w:val="30"/>
          <w:szCs w:val="30"/>
          <w:highlight w:val="none"/>
        </w:rPr>
      </w:pPr>
    </w:p>
    <w:p>
      <w:pPr>
        <w:pStyle w:val="22"/>
        <w:rPr>
          <w:rFonts w:hint="eastAsia" w:ascii="仿宋_GB2312" w:hAnsi="宋体" w:eastAsia="仿宋_GB2312"/>
          <w:color w:val="auto"/>
          <w:sz w:val="30"/>
          <w:szCs w:val="30"/>
          <w:highlight w:val="none"/>
        </w:rPr>
      </w:pPr>
    </w:p>
    <w:p>
      <w:pPr>
        <w:pStyle w:val="6"/>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mc:AlternateContent>
          <mc:Choice Requires="wps">
            <w:drawing>
              <wp:anchor distT="0" distB="0" distL="114300" distR="114300" simplePos="0" relativeHeight="251671552"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71552;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UyKI7ZAAAACQEAAA8AAAAAAAAA&#10;AQAgAAAAIgAAAGRycy9kb3ducmV2LnhtbFBLAQIUABQAAAAIAIdO4kCLD53XSQIAAJcEAAAOAAAA&#10;AAAAAAEAIAAAACgBAABkcnMvZTJvRG9jLnhtbFBLBQYAAAAABgAGAFkBAADj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6"/>
        <w:spacing w:after="0" w:line="600" w:lineRule="exact"/>
        <w:rPr>
          <w:rFonts w:ascii="仿宋_GB2312" w:eastAsia="仿宋_GB2312"/>
          <w:color w:val="auto"/>
          <w:highlight w:val="none"/>
        </w:rPr>
      </w:pPr>
    </w:p>
    <w:p>
      <w:pPr>
        <w:pStyle w:val="6"/>
        <w:spacing w:after="0" w:line="600" w:lineRule="exact"/>
        <w:rPr>
          <w:rFonts w:ascii="仿宋_GB2312" w:eastAsia="仿宋_GB2312"/>
          <w:color w:val="auto"/>
          <w:highlight w:val="none"/>
        </w:rPr>
      </w:pPr>
    </w:p>
    <w:p>
      <w:pPr>
        <w:pStyle w:val="6"/>
        <w:spacing w:after="0" w:line="600" w:lineRule="exact"/>
        <w:ind w:firstLine="0"/>
        <w:rPr>
          <w:rFonts w:ascii="仿宋_GB2312" w:eastAsia="仿宋_GB2312"/>
          <w:color w:val="auto"/>
          <w:highlight w:val="none"/>
        </w:rPr>
      </w:pPr>
    </w:p>
    <w:p>
      <w:pPr>
        <w:pStyle w:val="6"/>
        <w:spacing w:after="0" w:line="600" w:lineRule="exact"/>
        <w:rPr>
          <w:rFonts w:ascii="仿宋_GB2312" w:eastAsia="仿宋_GB2312"/>
          <w:color w:val="auto"/>
          <w:highlight w:val="none"/>
        </w:rPr>
      </w:pPr>
    </w:p>
    <w:p>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w:t>
            </w:r>
            <w:r>
              <w:rPr>
                <w:rFonts w:hint="eastAsia" w:ascii="宋体" w:hAnsi="宋体" w:cs="Times New Roman"/>
                <w:color w:val="auto"/>
                <w:sz w:val="24"/>
                <w:szCs w:val="24"/>
                <w:highlight w:val="none"/>
                <w:lang w:val="en-US" w:eastAsia="zh-CN"/>
              </w:rPr>
              <w:t>自公告发布当月起</w:t>
            </w:r>
            <w:r>
              <w:rPr>
                <w:rFonts w:hint="eastAsia" w:ascii="宋体" w:hAnsi="宋体" w:cs="Times New Roman"/>
                <w:color w:val="auto"/>
                <w:sz w:val="24"/>
                <w:szCs w:val="24"/>
                <w:highlight w:val="none"/>
                <w:lang w:eastAsia="zh-CN"/>
              </w:rPr>
              <w:t>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spacing w:line="360" w:lineRule="auto"/>
              <w:jc w:val="center"/>
              <w:rPr>
                <w:rFonts w:hint="eastAsia" w:ascii="宋体" w:hAnsi="宋体"/>
                <w:color w:val="auto"/>
                <w:sz w:val="24"/>
                <w:szCs w:val="24"/>
                <w:highlight w:val="none"/>
                <w:lang w:val="en-US" w:eastAsia="zh-CN"/>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color w:val="auto"/>
          <w:sz w:val="28"/>
          <w:szCs w:val="28"/>
          <w:highlight w:val="none"/>
        </w:rPr>
      </w:pPr>
    </w:p>
    <w:p>
      <w:pPr>
        <w:spacing w:line="480" w:lineRule="exact"/>
        <w:ind w:firstLine="843" w:firstLineChars="300"/>
        <w:rPr>
          <w:rFonts w:ascii="仿宋" w:hAnsi="仿宋" w:eastAsia="仿宋" w:cs="仿宋_GB2312"/>
          <w:b/>
          <w:color w:val="auto"/>
          <w:sz w:val="28"/>
          <w:szCs w:val="28"/>
          <w:highlight w:val="none"/>
        </w:rPr>
      </w:pPr>
    </w:p>
    <w:p>
      <w:pPr>
        <w:pStyle w:val="22"/>
        <w:ind w:firstLine="0"/>
        <w:rPr>
          <w:color w:val="auto"/>
          <w:highlight w:val="none"/>
        </w:rPr>
      </w:pPr>
    </w:p>
    <w:p>
      <w:pPr>
        <w:pStyle w:val="5"/>
        <w:rPr>
          <w:rFonts w:asciiTheme="minorEastAsia" w:hAnsiTheme="minorEastAsia" w:eastAsiaTheme="minorEastAsia"/>
          <w:color w:val="auto"/>
          <w:sz w:val="28"/>
          <w:szCs w:val="28"/>
          <w:highlight w:val="none"/>
        </w:rPr>
      </w:pPr>
      <w:bookmarkStart w:id="124" w:name="_Toc87616400"/>
      <w:bookmarkStart w:id="125" w:name="_Toc8086"/>
      <w:bookmarkStart w:id="126" w:name="_Toc88209963"/>
      <w:bookmarkStart w:id="127" w:name="_Toc19830"/>
      <w:r>
        <w:rPr>
          <w:rFonts w:hint="eastAsia" w:ascii="仿宋_GB2312" w:eastAsia="仿宋_GB2312" w:hAnsiTheme="minorEastAsia"/>
          <w:color w:val="auto"/>
          <w:sz w:val="28"/>
          <w:szCs w:val="28"/>
          <w:highlight w:val="none"/>
          <w:lang w:val="en-US" w:eastAsia="zh-CN"/>
        </w:rPr>
        <w:t>3</w:t>
      </w:r>
      <w:r>
        <w:rPr>
          <w:rFonts w:hint="eastAsia" w:asciiTheme="minorEastAsia" w:hAnsiTheme="minorEastAsia" w:eastAsiaTheme="minorEastAsia"/>
          <w:color w:val="auto"/>
          <w:sz w:val="28"/>
          <w:szCs w:val="28"/>
          <w:highlight w:val="none"/>
        </w:rPr>
        <w:t>.资格审查资料</w:t>
      </w:r>
      <w:bookmarkEnd w:id="124"/>
      <w:bookmarkEnd w:id="125"/>
      <w:bookmarkEnd w:id="126"/>
      <w:bookmarkEnd w:id="127"/>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rPr>
        <w:t>.1供应商基本情况表</w:t>
      </w:r>
    </w:p>
    <w:tbl>
      <w:tblPr>
        <w:tblStyle w:val="24"/>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7"/>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71"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bl>
    <w:p>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pPr>
        <w:adjustRightInd w:val="0"/>
        <w:snapToGrid w:val="0"/>
        <w:spacing w:line="360" w:lineRule="auto"/>
        <w:jc w:val="right"/>
        <w:outlineLvl w:val="9"/>
        <w:rPr>
          <w:rFonts w:hint="eastAsia" w:cs="Times New Roman" w:asciiTheme="minorEastAsia" w:hAnsiTheme="minorEastAsia" w:eastAsiaTheme="minorEastAsia"/>
          <w:b/>
          <w:bCs/>
          <w:color w:val="auto"/>
          <w:sz w:val="28"/>
          <w:szCs w:val="28"/>
          <w:highlight w:val="none"/>
          <w:lang w:val="en-US" w:eastAsia="zh-CN"/>
        </w:rPr>
      </w:pPr>
      <w:bookmarkStart w:id="128" w:name="_Hlk59025866"/>
      <w:r>
        <w:rPr>
          <w:rFonts w:hint="eastAsia" w:ascii="宋体" w:hAnsi="宋体" w:eastAsia="宋体" w:cs="宋体"/>
          <w:color w:val="auto"/>
          <w:kern w:val="2"/>
          <w:sz w:val="24"/>
          <w:szCs w:val="24"/>
          <w:highlight w:val="none"/>
          <w:lang w:val="en-GB"/>
        </w:rPr>
        <w:t>供应商名称（加盖公章）：</w:t>
      </w:r>
    </w:p>
    <w:p>
      <w:pPr>
        <w:ind w:firstLine="6720" w:firstLineChars="2800"/>
        <w:rPr>
          <w:color w:val="auto"/>
          <w:highlight w:val="none"/>
        </w:rPr>
      </w:pPr>
      <w:r>
        <w:rPr>
          <w:rFonts w:hint="eastAsia" w:ascii="宋体" w:hAnsi="宋体" w:eastAsia="宋体" w:cs="宋体"/>
          <w:color w:val="auto"/>
          <w:kern w:val="2"/>
          <w:sz w:val="24"/>
          <w:szCs w:val="24"/>
          <w:highlight w:val="none"/>
          <w:lang w:val="en-GB"/>
        </w:rPr>
        <w:t>年  月  日</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lang w:val="en-US" w:eastAsia="zh-CN"/>
        </w:rPr>
      </w:pP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128"/>
    <w:p>
      <w:pPr>
        <w:adjustRightInd w:val="0"/>
        <w:snapToGrid w:val="0"/>
        <w:spacing w:line="360" w:lineRule="auto"/>
        <w:rPr>
          <w:rFonts w:hint="eastAsia" w:ascii="宋体" w:hAnsi="宋体" w:eastAsia="宋体" w:cs="宋体"/>
          <w:color w:val="auto"/>
          <w:kern w:val="2"/>
          <w:sz w:val="24"/>
          <w:szCs w:val="24"/>
          <w:highlight w:val="none"/>
          <w:lang w:val="en-GB"/>
        </w:rPr>
      </w:pPr>
    </w:p>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jc w:val="both"/>
        <w:rPr>
          <w:rFonts w:hint="eastAsia" w:ascii="仿宋_GB2312" w:eastAsia="仿宋_GB2312"/>
          <w:color w:val="auto"/>
          <w:sz w:val="28"/>
          <w:szCs w:val="28"/>
          <w:highlight w:val="none"/>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eastAsia="宋体" w:cs="宋体"/>
          <w:color w:val="auto"/>
          <w:kern w:val="2"/>
          <w:sz w:val="24"/>
          <w:szCs w:val="24"/>
          <w:highlight w:val="none"/>
          <w:u w:val="single"/>
          <w:lang w:val="en-GB" w:eastAsia="zh-CN"/>
        </w:rPr>
        <w:t>广州净水公司2024年紫外线消毒设备购置（第三次）</w:t>
      </w:r>
      <w:r>
        <w:rPr>
          <w:rFonts w:hint="eastAsia" w:ascii="宋体" w:hAnsi="宋体" w:eastAsia="宋体" w:cs="宋体"/>
          <w:color w:val="auto"/>
          <w:kern w:val="2"/>
          <w:sz w:val="24"/>
          <w:szCs w:val="24"/>
          <w:highlight w:val="none"/>
          <w:u w:val="single"/>
          <w:lang w:val="en-GB"/>
        </w:rPr>
        <w:t xml:space="preserve">（项目编号： </w:t>
      </w:r>
      <w:r>
        <w:rPr>
          <w:rFonts w:hint="eastAsia" w:ascii="宋体" w:hAnsi="宋体" w:eastAsia="宋体" w:cs="宋体"/>
          <w:color w:val="auto"/>
          <w:kern w:val="2"/>
          <w:sz w:val="24"/>
          <w:szCs w:val="24"/>
          <w:highlight w:val="none"/>
          <w:u w:val="single"/>
          <w:lang w:val="en-GB" w:eastAsia="zh-CN"/>
        </w:rPr>
        <w:t>******</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color w:val="auto"/>
          <w:sz w:val="28"/>
          <w:szCs w:val="28"/>
          <w:highlight w:val="none"/>
          <w:lang w:val="en-US" w:eastAsia="zh-CN"/>
        </w:rPr>
        <w:t>列入</w:t>
      </w:r>
      <w:r>
        <w:rPr>
          <w:rFonts w:hint="eastAsia" w:ascii="仿宋_GB2312" w:eastAsia="仿宋_GB2312"/>
          <w:color w:val="auto"/>
          <w:sz w:val="28"/>
          <w:szCs w:val="28"/>
          <w:highlight w:val="none"/>
        </w:rPr>
        <w:t>下列情形之一</w:t>
      </w:r>
      <w:r>
        <w:rPr>
          <w:rFonts w:hint="eastAsia" w:ascii="仿宋_GB2312" w:eastAsia="仿宋_GB2312"/>
          <w:color w:val="auto"/>
          <w:sz w:val="28"/>
          <w:szCs w:val="28"/>
          <w:highlight w:val="none"/>
          <w:lang w:eastAsia="zh-CN"/>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（3）与本项目其他供应商存在管理关系。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（4）被本项目所在地省级以上行业主管部门依法暂停、取消投标或禁止参加采购活动且处于有效期内的。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（5）处于被责令停产停业、暂扣或者吊销执照、暂扣或者吊销许可证、吊销资质证书状态。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（6）进入清算程序，或被宣告破产，或其他丧失履约能力情形的。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eastAsia="zh-CN"/>
        </w:rPr>
      </w:pPr>
      <w:r>
        <w:rPr>
          <w:rFonts w:hint="eastAsia" w:ascii="宋体" w:hAnsi="宋体" w:cs="宋体" w:eastAsiaTheme="minorEastAsia"/>
          <w:color w:val="auto"/>
          <w:sz w:val="24"/>
          <w:szCs w:val="24"/>
          <w:highlight w:val="none"/>
          <w:lang w:val="en-GB"/>
        </w:rPr>
        <w:t>（7）在“信用中国”网站（www.creditchina.gov.cn）</w:t>
      </w:r>
      <w:r>
        <w:rPr>
          <w:rFonts w:hint="eastAsia" w:ascii="宋体" w:hAnsi="宋体" w:cs="宋体" w:eastAsiaTheme="minorEastAsia"/>
          <w:color w:val="auto"/>
          <w:sz w:val="24"/>
          <w:szCs w:val="24"/>
          <w:highlight w:val="none"/>
          <w:lang w:val="en-GB" w:eastAsia="zh-CN"/>
        </w:rPr>
        <w:t>中被列入失信被执行人、安全生产领域严重失信惩戒名单、拖欠农民工工资失信联合惩戒对象名单。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（8）</w:t>
      </w:r>
      <w:r>
        <w:rPr>
          <w:rFonts w:hint="eastAsia" w:ascii="宋体" w:hAnsi="宋体" w:cs="宋体" w:eastAsiaTheme="minorEastAsia"/>
          <w:color w:val="auto"/>
          <w:sz w:val="24"/>
          <w:szCs w:val="24"/>
          <w:highlight w:val="none"/>
          <w:lang w:val="en-GB" w:eastAsia="zh-CN"/>
        </w:rPr>
        <w:t>在</w:t>
      </w:r>
      <w:r>
        <w:rPr>
          <w:rFonts w:hint="eastAsia" w:ascii="宋体" w:hAnsi="宋体" w:cs="宋体" w:eastAsiaTheme="minorEastAsia"/>
          <w:color w:val="auto"/>
          <w:sz w:val="24"/>
          <w:szCs w:val="24"/>
          <w:highlight w:val="none"/>
          <w:lang w:val="en-GB"/>
        </w:rPr>
        <w:t>“信用中国”网站（www.creditchina.gov.cn）</w:t>
      </w:r>
      <w:r>
        <w:rPr>
          <w:rFonts w:hint="eastAsia" w:ascii="宋体" w:hAnsi="宋体" w:cs="宋体" w:eastAsiaTheme="minorEastAsia"/>
          <w:color w:val="auto"/>
          <w:sz w:val="24"/>
          <w:szCs w:val="24"/>
          <w:highlight w:val="none"/>
          <w:lang w:val="en-GB" w:eastAsia="zh-CN"/>
        </w:rPr>
        <w:t>中被列入严重失信主体名单</w:t>
      </w:r>
      <w:r>
        <w:rPr>
          <w:rFonts w:hint="eastAsia" w:ascii="宋体" w:hAnsi="宋体" w:cs="宋体" w:eastAsiaTheme="minorEastAsia"/>
          <w:color w:val="auto"/>
          <w:sz w:val="24"/>
          <w:szCs w:val="24"/>
          <w:highlight w:val="none"/>
          <w:lang w:val="en-GB"/>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eastAsiaTheme="minorEastAsia"/>
          <w:color w:val="auto"/>
          <w:sz w:val="24"/>
          <w:szCs w:val="24"/>
          <w:highlight w:val="none"/>
          <w:lang w:val="en-GB" w:eastAsia="zh-CN"/>
        </w:rPr>
        <w:t>9</w:t>
      </w:r>
      <w:r>
        <w:rPr>
          <w:rFonts w:hint="eastAsia" w:ascii="宋体" w:hAnsi="宋体" w:cs="宋体" w:eastAsiaTheme="minorEastAsia"/>
          <w:color w:val="auto"/>
          <w:sz w:val="24"/>
          <w:szCs w:val="24"/>
          <w:highlight w:val="none"/>
          <w:lang w:val="en-GB"/>
        </w:rPr>
        <w:t>）其他违法违纪行为，经审查认为不宜被邀请参加采购活动的。</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w:t>
      </w:r>
      <w:r>
        <w:rPr>
          <w:rFonts w:hint="eastAsia" w:ascii="宋体" w:hAnsi="宋体" w:cs="宋体" w:eastAsiaTheme="minorEastAsia"/>
          <w:color w:val="auto"/>
          <w:sz w:val="24"/>
          <w:szCs w:val="24"/>
          <w:highlight w:val="none"/>
          <w:lang w:val="en-GB" w:eastAsia="zh-CN"/>
        </w:rPr>
        <w:t>0</w:t>
      </w:r>
      <w:r>
        <w:rPr>
          <w:rFonts w:hint="eastAsia" w:ascii="宋体" w:hAnsi="宋体" w:cs="宋体" w:eastAsiaTheme="minorEastAsia"/>
          <w:color w:val="auto"/>
          <w:sz w:val="24"/>
          <w:szCs w:val="24"/>
          <w:highlight w:val="none"/>
          <w:lang w:val="en-GB"/>
        </w:rPr>
        <w:t>）其他禁止情形：</w:t>
      </w:r>
    </w:p>
    <w:p>
      <w:pPr>
        <w:adjustRightInd w:val="0"/>
        <w:snapToGrid w:val="0"/>
        <w:spacing w:line="360" w:lineRule="auto"/>
        <w:rPr>
          <w:rFonts w:hint="eastAsia" w:ascii="宋体" w:hAnsi="宋体" w:eastAsia="宋体" w:cs="宋体"/>
          <w:b/>
          <w:color w:val="auto"/>
          <w:sz w:val="21"/>
          <w:szCs w:val="21"/>
          <w:highlight w:val="none"/>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ind w:firstLine="0"/>
        <w:jc w:val="right"/>
        <w:rPr>
          <w:rFonts w:hint="eastAsia"/>
          <w:color w:val="auto"/>
          <w:highlight w:val="none"/>
          <w:lang w:eastAsia="zh-CN"/>
        </w:rPr>
      </w:pPr>
      <w:r>
        <w:rPr>
          <w:rFonts w:hint="eastAsia" w:ascii="宋体" w:hAnsi="宋体" w:eastAsia="宋体" w:cs="宋体"/>
          <w:color w:val="auto"/>
          <w:kern w:val="2"/>
          <w:sz w:val="24"/>
          <w:szCs w:val="24"/>
          <w:highlight w:val="none"/>
          <w:lang w:val="en-GB"/>
        </w:rPr>
        <w:t>年  月  日</w:t>
      </w:r>
    </w:p>
    <w:p>
      <w:pPr>
        <w:jc w:val="left"/>
        <w:rPr>
          <w:rFonts w:hint="eastAsia" w:cs="Times New Roman" w:asciiTheme="minorEastAsia" w:hAnsiTheme="minorEastAsia"/>
          <w:b/>
          <w:bCs/>
          <w:color w:val="auto"/>
          <w:sz w:val="28"/>
          <w:szCs w:val="28"/>
          <w:highlight w:val="none"/>
          <w:lang w:val="en-US" w:eastAsia="zh-CN"/>
        </w:rPr>
      </w:pPr>
    </w:p>
    <w:p>
      <w:pPr>
        <w:pStyle w:val="6"/>
        <w:rPr>
          <w:rFonts w:hint="eastAsia" w:cs="Times New Roman" w:asciiTheme="minorEastAsia" w:hAnsiTheme="minorEastAsia"/>
          <w:b/>
          <w:bCs/>
          <w:color w:val="auto"/>
          <w:sz w:val="28"/>
          <w:szCs w:val="28"/>
          <w:highlight w:val="none"/>
          <w:lang w:val="en-US" w:eastAsia="zh-CN"/>
        </w:rPr>
      </w:pPr>
    </w:p>
    <w:p>
      <w:pPr>
        <w:pStyle w:val="6"/>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b/>
          <w:bCs/>
          <w:color w:val="auto"/>
          <w:sz w:val="28"/>
          <w:szCs w:val="28"/>
          <w:highlight w:val="none"/>
          <w:lang w:val="en-US" w:eastAsia="zh-CN"/>
        </w:rPr>
        <w:t>4</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拟投入本项目的项目负责人情况表</w:t>
      </w:r>
    </w:p>
    <w:p>
      <w:pPr>
        <w:pStyle w:val="22"/>
        <w:rPr>
          <w:rFonts w:hint="eastAsia" w:ascii="仿宋_GB2312" w:eastAsia="仿宋_GB2312" w:hAnsiTheme="minorEastAsia"/>
          <w:color w:val="auto"/>
          <w:sz w:val="28"/>
          <w:szCs w:val="28"/>
          <w:highlight w:val="none"/>
          <w:lang w:val="en-US" w:eastAsia="zh-CN"/>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23"/>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top"/>
          </w:tcPr>
          <w:p>
            <w:pPr>
              <w:jc w:val="center"/>
              <w:rPr>
                <w:rFonts w:ascii="仿宋" w:hAnsi="仿宋" w:eastAsia="仿宋" w:cs="仿宋_GB2312"/>
                <w:b/>
                <w:color w:val="auto"/>
                <w:sz w:val="28"/>
                <w:szCs w:val="28"/>
                <w:highlight w:val="none"/>
              </w:rPr>
            </w:pPr>
          </w:p>
        </w:tc>
        <w:tc>
          <w:tcPr>
            <w:tcW w:w="161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bl>
    <w:p>
      <w:pPr>
        <w:pStyle w:val="22"/>
        <w:rPr>
          <w:rFonts w:hint="default" w:ascii="仿宋_GB2312" w:eastAsia="仿宋_GB2312" w:hAnsiTheme="minorEastAsia"/>
          <w:color w:val="auto"/>
          <w:sz w:val="28"/>
          <w:szCs w:val="28"/>
          <w:highlight w:val="none"/>
          <w:lang w:val="en-US" w:eastAsia="zh-CN"/>
        </w:rPr>
      </w:pPr>
    </w:p>
    <w:p>
      <w:pPr>
        <w:pStyle w:val="22"/>
        <w:rPr>
          <w:rFonts w:hint="default" w:ascii="仿宋_GB2312" w:eastAsia="仿宋_GB2312" w:hAnsiTheme="minorEastAsia"/>
          <w:color w:val="auto"/>
          <w:sz w:val="28"/>
          <w:szCs w:val="28"/>
          <w:highlight w:val="none"/>
          <w:lang w:val="en-US" w:eastAsia="zh-CN"/>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22"/>
        <w:rPr>
          <w:rFonts w:hint="default" w:ascii="仿宋_GB2312" w:eastAsia="仿宋_GB2312" w:hAnsiTheme="minorEastAsia"/>
          <w:color w:val="auto"/>
          <w:sz w:val="28"/>
          <w:szCs w:val="28"/>
          <w:highlight w:val="none"/>
          <w:lang w:val="en-US" w:eastAsia="zh-CN"/>
        </w:rPr>
      </w:pPr>
    </w:p>
    <w:p>
      <w:pPr>
        <w:pStyle w:val="22"/>
        <w:rPr>
          <w:rFonts w:hint="eastAsia" w:ascii="仿宋_GB2312" w:eastAsia="仿宋_GB2312" w:hAnsiTheme="minorEastAsia"/>
          <w:color w:val="auto"/>
          <w:sz w:val="28"/>
          <w:szCs w:val="28"/>
          <w:highlight w:val="none"/>
          <w:lang w:val="en-US" w:eastAsia="zh-CN"/>
        </w:rPr>
      </w:pPr>
    </w:p>
    <w:p>
      <w:pPr>
        <w:pStyle w:val="22"/>
        <w:rPr>
          <w:rFonts w:hint="eastAsia" w:ascii="仿宋_GB2312" w:eastAsia="仿宋_GB2312" w:hAnsiTheme="minorEastAsia"/>
          <w:color w:val="auto"/>
          <w:sz w:val="28"/>
          <w:szCs w:val="28"/>
          <w:highlight w:val="none"/>
          <w:lang w:val="en-US" w:eastAsia="zh-CN"/>
        </w:rPr>
      </w:pPr>
    </w:p>
    <w:p>
      <w:pPr>
        <w:pStyle w:val="22"/>
        <w:rPr>
          <w:rFonts w:hint="default" w:ascii="仿宋_GB2312" w:eastAsia="仿宋_GB2312" w:hAnsiTheme="minorEastAsia"/>
          <w:color w:val="auto"/>
          <w:sz w:val="28"/>
          <w:szCs w:val="28"/>
          <w:highlight w:val="none"/>
          <w:lang w:val="en-US" w:eastAsia="zh-CN"/>
        </w:rPr>
      </w:pPr>
      <w:r>
        <w:rPr>
          <w:rFonts w:hint="eastAsia" w:ascii="仿宋_GB2312" w:eastAsia="仿宋_GB2312" w:hAnsiTheme="minorEastAsia"/>
          <w:color w:val="auto"/>
          <w:sz w:val="28"/>
          <w:szCs w:val="28"/>
          <w:highlight w:val="none"/>
          <w:lang w:val="en-US" w:eastAsia="zh-CN"/>
        </w:rPr>
        <w:t>如有：</w:t>
      </w:r>
    </w:p>
    <w:tbl>
      <w:tblPr>
        <w:tblStyle w:val="23"/>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1005"/>
        <w:gridCol w:w="855"/>
        <w:gridCol w:w="2370"/>
        <w:gridCol w:w="2573"/>
        <w:gridCol w:w="1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bookmarkStart w:id="129" w:name="_Toc32430"/>
            <w:bookmarkStart w:id="130" w:name="_Toc19423"/>
            <w:r>
              <w:rPr>
                <w:rFonts w:hint="eastAsia" w:ascii="宋体" w:hAnsi="宋体" w:cs="宋体"/>
                <w:color w:val="auto"/>
                <w:sz w:val="24"/>
                <w:szCs w:val="24"/>
                <w:highlight w:val="none"/>
              </w:rPr>
              <w:t>岗位</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姓名</w:t>
            </w: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性别</w:t>
            </w: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身份证号</w:t>
            </w: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执业或职业资格证明</w:t>
            </w: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项目负责人</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安全员</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技术负责人</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电工</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焊工</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普工</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bl>
    <w:p>
      <w:pPr>
        <w:pStyle w:val="5"/>
        <w:rPr>
          <w:rFonts w:hint="eastAsia" w:ascii="仿宋_GB2312" w:eastAsia="仿宋_GB2312" w:hAnsiTheme="minorEastAsia"/>
          <w:color w:val="auto"/>
          <w:sz w:val="28"/>
          <w:szCs w:val="28"/>
          <w:highlight w:val="none"/>
          <w:lang w:val="en-US" w:eastAsia="zh-CN"/>
        </w:rPr>
      </w:pPr>
    </w:p>
    <w:p>
      <w:pPr>
        <w:pStyle w:val="5"/>
        <w:rPr>
          <w:rFonts w:hint="eastAsia" w:asciiTheme="minorEastAsia" w:hAnsiTheme="minorEastAsia" w:eastAsiaTheme="minorEastAsia"/>
          <w:color w:val="auto"/>
          <w:sz w:val="28"/>
          <w:szCs w:val="28"/>
          <w:highlight w:val="none"/>
          <w:lang w:eastAsia="zh-CN"/>
        </w:rPr>
      </w:pPr>
      <w:r>
        <w:rPr>
          <w:rFonts w:hint="eastAsia" w:ascii="仿宋_GB2312" w:eastAsia="仿宋_GB2312" w:hAnsiTheme="minorEastAsia"/>
          <w:color w:val="auto"/>
          <w:sz w:val="28"/>
          <w:szCs w:val="28"/>
          <w:highlight w:val="none"/>
          <w:lang w:val="en-US" w:eastAsia="zh-CN"/>
        </w:rPr>
        <w:t>5</w:t>
      </w:r>
      <w:r>
        <w:rPr>
          <w:rFonts w:hint="eastAsia" w:asciiTheme="minorEastAsia" w:hAnsiTheme="minorEastAsia" w:eastAsiaTheme="minorEastAsia"/>
          <w:color w:val="auto"/>
          <w:sz w:val="28"/>
          <w:szCs w:val="28"/>
          <w:highlight w:val="none"/>
        </w:rPr>
        <w:t>.报价表</w:t>
      </w:r>
      <w:bookmarkEnd w:id="129"/>
      <w:bookmarkEnd w:id="130"/>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0"/>
        <w:gridCol w:w="4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0" w:type="dxa"/>
          </w:tcPr>
          <w:p>
            <w:pPr>
              <w:jc w:val="center"/>
              <w:rPr>
                <w:rFonts w:hint="default"/>
                <w:color w:val="auto"/>
                <w:sz w:val="28"/>
                <w:szCs w:val="28"/>
                <w:highlight w:val="none"/>
                <w:vertAlign w:val="baseline"/>
                <w:lang w:val="en-US" w:eastAsia="zh-CN"/>
              </w:rPr>
            </w:pPr>
            <w:r>
              <w:rPr>
                <w:rFonts w:hint="eastAsia"/>
                <w:color w:val="auto"/>
                <w:sz w:val="28"/>
                <w:szCs w:val="28"/>
                <w:highlight w:val="none"/>
                <w:vertAlign w:val="baseline"/>
                <w:lang w:val="en-US" w:eastAsia="zh-CN"/>
              </w:rPr>
              <w:t>分公司</w:t>
            </w:r>
          </w:p>
        </w:tc>
        <w:tc>
          <w:tcPr>
            <w:tcW w:w="4530" w:type="dxa"/>
          </w:tcPr>
          <w:p>
            <w:pPr>
              <w:jc w:val="center"/>
              <w:rPr>
                <w:rFonts w:hint="default"/>
                <w:color w:val="auto"/>
                <w:sz w:val="28"/>
                <w:szCs w:val="28"/>
                <w:highlight w:val="none"/>
                <w:vertAlign w:val="baseline"/>
                <w:lang w:val="en-US" w:eastAsia="zh-CN"/>
              </w:rPr>
            </w:pPr>
            <w:r>
              <w:rPr>
                <w:rFonts w:hint="eastAsia"/>
                <w:color w:val="auto"/>
                <w:sz w:val="28"/>
                <w:szCs w:val="28"/>
                <w:highlight w:val="none"/>
                <w:vertAlign w:val="baseline"/>
                <w:lang w:val="en-US" w:eastAsia="zh-CN"/>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0" w:type="dxa"/>
          </w:tcPr>
          <w:p>
            <w:pPr>
              <w:jc w:val="center"/>
              <w:rPr>
                <w:rFonts w:hint="default"/>
                <w:color w:val="auto"/>
                <w:sz w:val="28"/>
                <w:szCs w:val="28"/>
                <w:highlight w:val="none"/>
                <w:vertAlign w:val="baseline"/>
                <w:lang w:val="en-US" w:eastAsia="zh-CN"/>
              </w:rPr>
            </w:pPr>
            <w:r>
              <w:rPr>
                <w:rFonts w:hint="eastAsia"/>
                <w:color w:val="auto"/>
                <w:sz w:val="28"/>
                <w:szCs w:val="28"/>
                <w:highlight w:val="none"/>
                <w:vertAlign w:val="baseline"/>
                <w:lang w:val="en-US" w:eastAsia="zh-CN"/>
              </w:rPr>
              <w:t>石井净分公司</w:t>
            </w:r>
          </w:p>
        </w:tc>
        <w:tc>
          <w:tcPr>
            <w:tcW w:w="4530" w:type="dxa"/>
          </w:tcPr>
          <w:p>
            <w:pPr>
              <w:rPr>
                <w:rFonts w:hint="eastAsia"/>
                <w:color w:val="auto"/>
                <w:sz w:val="28"/>
                <w:szCs w:val="28"/>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0" w:type="dxa"/>
          </w:tcPr>
          <w:p>
            <w:pPr>
              <w:jc w:val="center"/>
              <w:rPr>
                <w:rFonts w:hint="default"/>
                <w:color w:val="auto"/>
                <w:sz w:val="28"/>
                <w:szCs w:val="28"/>
                <w:highlight w:val="none"/>
                <w:vertAlign w:val="baseline"/>
                <w:lang w:val="en-US" w:eastAsia="zh-CN"/>
              </w:rPr>
            </w:pPr>
            <w:r>
              <w:rPr>
                <w:rFonts w:hint="eastAsia"/>
                <w:color w:val="auto"/>
                <w:sz w:val="28"/>
                <w:szCs w:val="28"/>
                <w:highlight w:val="none"/>
                <w:vertAlign w:val="baseline"/>
                <w:lang w:val="en-US" w:eastAsia="zh-CN"/>
              </w:rPr>
              <w:t>龙归分公司</w:t>
            </w:r>
          </w:p>
        </w:tc>
        <w:tc>
          <w:tcPr>
            <w:tcW w:w="4530" w:type="dxa"/>
          </w:tcPr>
          <w:p>
            <w:pPr>
              <w:rPr>
                <w:rFonts w:hint="eastAsia"/>
                <w:color w:val="auto"/>
                <w:sz w:val="28"/>
                <w:szCs w:val="28"/>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0" w:type="dxa"/>
          </w:tcPr>
          <w:p>
            <w:pPr>
              <w:jc w:val="center"/>
              <w:rPr>
                <w:rFonts w:hint="default"/>
                <w:color w:val="auto"/>
                <w:sz w:val="28"/>
                <w:szCs w:val="28"/>
                <w:highlight w:val="none"/>
                <w:vertAlign w:val="baseline"/>
                <w:lang w:val="en-US" w:eastAsia="zh-CN"/>
              </w:rPr>
            </w:pPr>
            <w:r>
              <w:rPr>
                <w:rFonts w:hint="eastAsia"/>
                <w:color w:val="auto"/>
                <w:sz w:val="28"/>
                <w:szCs w:val="28"/>
                <w:highlight w:val="none"/>
                <w:vertAlign w:val="baseline"/>
                <w:lang w:val="en-US" w:eastAsia="zh-CN"/>
              </w:rPr>
              <w:t>竹料分公司</w:t>
            </w:r>
          </w:p>
        </w:tc>
        <w:tc>
          <w:tcPr>
            <w:tcW w:w="4530" w:type="dxa"/>
          </w:tcPr>
          <w:p>
            <w:pPr>
              <w:rPr>
                <w:rFonts w:hint="eastAsia"/>
                <w:color w:val="auto"/>
                <w:sz w:val="28"/>
                <w:szCs w:val="28"/>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gridSpan w:val="2"/>
          </w:tcPr>
          <w:p>
            <w:pPr>
              <w:jc w:val="center"/>
              <w:rPr>
                <w:rFonts w:hint="eastAsia"/>
                <w:color w:val="auto"/>
                <w:sz w:val="28"/>
                <w:szCs w:val="28"/>
                <w:highlight w:val="none"/>
                <w:vertAlign w:val="baseline"/>
                <w:lang w:eastAsia="zh-CN"/>
              </w:rPr>
            </w:pPr>
            <w:r>
              <w:rPr>
                <w:rFonts w:hint="eastAsia"/>
                <w:color w:val="auto"/>
                <w:sz w:val="28"/>
                <w:szCs w:val="28"/>
                <w:highlight w:val="none"/>
                <w:vertAlign w:val="baseline"/>
                <w:lang w:val="en-US" w:eastAsia="zh-CN"/>
              </w:rPr>
              <w:t>合计：  元（含税： %）</w:t>
            </w:r>
          </w:p>
        </w:tc>
      </w:tr>
    </w:tbl>
    <w:p>
      <w:pPr>
        <w:rPr>
          <w:rFonts w:hint="eastAsia"/>
          <w:color w:val="auto"/>
          <w:highlight w:val="none"/>
          <w:lang w:eastAsia="zh-CN"/>
        </w:rPr>
      </w:pPr>
    </w:p>
    <w:p>
      <w:pPr>
        <w:adjustRightInd w:val="0"/>
        <w:snapToGrid w:val="0"/>
        <w:spacing w:line="600" w:lineRule="exact"/>
        <w:ind w:firstLine="570"/>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石井净：</w:t>
      </w:r>
    </w:p>
    <w:tbl>
      <w:tblPr>
        <w:tblStyle w:val="23"/>
        <w:tblW w:w="8807" w:type="dxa"/>
        <w:tblInd w:w="0" w:type="dxa"/>
        <w:tblLayout w:type="fixed"/>
        <w:tblCellMar>
          <w:top w:w="0" w:type="dxa"/>
          <w:left w:w="108" w:type="dxa"/>
          <w:bottom w:w="0" w:type="dxa"/>
          <w:right w:w="108" w:type="dxa"/>
        </w:tblCellMar>
      </w:tblPr>
      <w:tblGrid>
        <w:gridCol w:w="917"/>
        <w:gridCol w:w="2925"/>
        <w:gridCol w:w="824"/>
        <w:gridCol w:w="686"/>
        <w:gridCol w:w="1283"/>
        <w:gridCol w:w="1086"/>
        <w:gridCol w:w="1086"/>
      </w:tblGrid>
      <w:tr>
        <w:tblPrEx>
          <w:tblCellMar>
            <w:top w:w="0" w:type="dxa"/>
            <w:left w:w="108" w:type="dxa"/>
            <w:bottom w:w="0" w:type="dxa"/>
            <w:right w:w="108" w:type="dxa"/>
          </w:tblCellMar>
        </w:tblPrEx>
        <w:trPr>
          <w:trHeight w:val="452" w:hRule="atLeast"/>
        </w:trPr>
        <w:tc>
          <w:tcPr>
            <w:tcW w:w="917" w:type="dxa"/>
            <w:tcBorders>
              <w:top w:val="single" w:color="auto" w:sz="4" w:space="0"/>
              <w:left w:val="single" w:color="auto" w:sz="4" w:space="0"/>
              <w:bottom w:val="single" w:color="auto" w:sz="8" w:space="0"/>
              <w:right w:val="single" w:color="auto" w:sz="4" w:space="0"/>
            </w:tcBorders>
            <w:shd w:val="clear" w:color="auto" w:fill="auto"/>
            <w:vAlign w:val="center"/>
          </w:tcPr>
          <w:p>
            <w:pPr>
              <w:widowControl w:val="0"/>
              <w:jc w:val="center"/>
              <w:rPr>
                <w:rFonts w:ascii="宋体" w:hAnsi="宋体" w:cs="宋体"/>
                <w:color w:val="auto"/>
                <w:kern w:val="2"/>
                <w:szCs w:val="21"/>
                <w:highlight w:val="none"/>
              </w:rPr>
            </w:pPr>
            <w:r>
              <w:rPr>
                <w:rFonts w:hint="eastAsia" w:ascii="宋体" w:hAnsi="宋体" w:cs="宋体"/>
                <w:color w:val="auto"/>
                <w:kern w:val="2"/>
                <w:szCs w:val="21"/>
                <w:highlight w:val="none"/>
              </w:rPr>
              <w:t>序号</w:t>
            </w:r>
          </w:p>
        </w:tc>
        <w:tc>
          <w:tcPr>
            <w:tcW w:w="2925" w:type="dxa"/>
            <w:tcBorders>
              <w:top w:val="single" w:color="auto" w:sz="8" w:space="0"/>
              <w:left w:val="single" w:color="auto" w:sz="4" w:space="0"/>
              <w:bottom w:val="single" w:color="auto" w:sz="8" w:space="0"/>
              <w:right w:val="single" w:color="auto" w:sz="8" w:space="0"/>
            </w:tcBorders>
            <w:shd w:val="clear" w:color="auto" w:fill="auto"/>
            <w:vAlign w:val="center"/>
          </w:tcPr>
          <w:p>
            <w:pPr>
              <w:widowControl w:val="0"/>
              <w:jc w:val="center"/>
              <w:rPr>
                <w:rFonts w:ascii="宋体" w:hAnsi="宋体" w:cs="宋体"/>
                <w:color w:val="auto"/>
                <w:kern w:val="2"/>
                <w:szCs w:val="21"/>
                <w:highlight w:val="none"/>
              </w:rPr>
            </w:pPr>
            <w:r>
              <w:rPr>
                <w:rFonts w:hint="eastAsia" w:ascii="宋体" w:hAnsi="宋体" w:cs="宋体"/>
                <w:color w:val="auto"/>
                <w:kern w:val="2"/>
                <w:szCs w:val="21"/>
                <w:highlight w:val="none"/>
              </w:rPr>
              <w:t>名称</w:t>
            </w:r>
          </w:p>
        </w:tc>
        <w:tc>
          <w:tcPr>
            <w:tcW w:w="824" w:type="dxa"/>
            <w:tcBorders>
              <w:top w:val="single" w:color="auto" w:sz="8" w:space="0"/>
              <w:left w:val="nil"/>
              <w:bottom w:val="single" w:color="auto" w:sz="8" w:space="0"/>
              <w:right w:val="single" w:color="auto" w:sz="8" w:space="0"/>
            </w:tcBorders>
            <w:shd w:val="clear" w:color="auto" w:fill="auto"/>
            <w:vAlign w:val="center"/>
          </w:tcPr>
          <w:p>
            <w:pPr>
              <w:widowControl w:val="0"/>
              <w:jc w:val="center"/>
              <w:rPr>
                <w:rFonts w:ascii="宋体" w:hAnsi="宋体" w:cs="宋体"/>
                <w:color w:val="auto"/>
                <w:kern w:val="2"/>
                <w:szCs w:val="21"/>
                <w:highlight w:val="none"/>
              </w:rPr>
            </w:pPr>
            <w:r>
              <w:rPr>
                <w:rFonts w:hint="eastAsia" w:ascii="宋体" w:hAnsi="宋体" w:cs="宋体"/>
                <w:color w:val="auto"/>
                <w:kern w:val="2"/>
                <w:szCs w:val="21"/>
                <w:highlight w:val="none"/>
              </w:rPr>
              <w:t>单位</w:t>
            </w:r>
          </w:p>
        </w:tc>
        <w:tc>
          <w:tcPr>
            <w:tcW w:w="686" w:type="dxa"/>
            <w:tcBorders>
              <w:top w:val="single" w:color="auto" w:sz="8" w:space="0"/>
              <w:left w:val="nil"/>
              <w:bottom w:val="single" w:color="auto" w:sz="8" w:space="0"/>
              <w:right w:val="single" w:color="auto" w:sz="8" w:space="0"/>
            </w:tcBorders>
            <w:shd w:val="clear" w:color="auto" w:fill="auto"/>
            <w:vAlign w:val="center"/>
          </w:tcPr>
          <w:p>
            <w:pPr>
              <w:widowControl w:val="0"/>
              <w:jc w:val="center"/>
              <w:rPr>
                <w:rFonts w:ascii="宋体" w:hAnsi="宋体" w:cs="宋体"/>
                <w:color w:val="auto"/>
                <w:kern w:val="2"/>
                <w:szCs w:val="21"/>
                <w:highlight w:val="none"/>
              </w:rPr>
            </w:pPr>
            <w:r>
              <w:rPr>
                <w:rFonts w:hint="eastAsia" w:ascii="宋体" w:hAnsi="宋体" w:cs="宋体"/>
                <w:color w:val="auto"/>
                <w:kern w:val="2"/>
                <w:szCs w:val="21"/>
                <w:highlight w:val="none"/>
              </w:rPr>
              <w:t>数量</w:t>
            </w:r>
          </w:p>
        </w:tc>
        <w:tc>
          <w:tcPr>
            <w:tcW w:w="1283" w:type="dxa"/>
            <w:tcBorders>
              <w:top w:val="single" w:color="auto" w:sz="8" w:space="0"/>
              <w:left w:val="nil"/>
              <w:bottom w:val="single" w:color="auto" w:sz="8" w:space="0"/>
              <w:right w:val="single" w:color="auto" w:sz="8" w:space="0"/>
            </w:tcBorders>
            <w:shd w:val="clear" w:color="auto" w:fill="auto"/>
            <w:vAlign w:val="center"/>
          </w:tcPr>
          <w:p>
            <w:pPr>
              <w:widowControl w:val="0"/>
              <w:jc w:val="center"/>
              <w:rPr>
                <w:rFonts w:hint="default" w:ascii="宋体" w:hAnsi="宋体" w:cs="宋体" w:eastAsiaTheme="minorEastAsia"/>
                <w:color w:val="auto"/>
                <w:kern w:val="2"/>
                <w:szCs w:val="21"/>
                <w:highlight w:val="none"/>
                <w:lang w:val="en-US" w:eastAsia="zh-CN"/>
              </w:rPr>
            </w:pPr>
            <w:r>
              <w:rPr>
                <w:rFonts w:hint="eastAsia" w:ascii="宋体" w:hAnsi="宋体" w:cs="宋体"/>
                <w:color w:val="auto"/>
                <w:kern w:val="2"/>
                <w:szCs w:val="21"/>
                <w:highlight w:val="none"/>
                <w:lang w:val="en-US" w:eastAsia="zh-CN"/>
              </w:rPr>
              <w:t>品牌型号</w:t>
            </w:r>
          </w:p>
        </w:tc>
        <w:tc>
          <w:tcPr>
            <w:tcW w:w="1086" w:type="dxa"/>
            <w:tcBorders>
              <w:top w:val="single" w:color="auto" w:sz="8" w:space="0"/>
              <w:left w:val="nil"/>
              <w:bottom w:val="single" w:color="auto" w:sz="8" w:space="0"/>
              <w:right w:val="single" w:color="auto" w:sz="8" w:space="0"/>
            </w:tcBorders>
            <w:shd w:val="clear" w:color="auto" w:fill="auto"/>
            <w:vAlign w:val="center"/>
          </w:tcPr>
          <w:p>
            <w:pPr>
              <w:widowControl w:val="0"/>
              <w:jc w:val="center"/>
              <w:rPr>
                <w:rFonts w:hint="eastAsia" w:ascii="宋体" w:hAnsi="宋体" w:cs="宋体" w:eastAsiaTheme="minorEastAsia"/>
                <w:color w:val="auto"/>
                <w:kern w:val="2"/>
                <w:szCs w:val="21"/>
                <w:highlight w:val="none"/>
                <w:lang w:val="en-US" w:eastAsia="zh-CN"/>
              </w:rPr>
            </w:pPr>
            <w:r>
              <w:rPr>
                <w:rFonts w:hint="eastAsia" w:ascii="宋体" w:hAnsi="宋体" w:cs="宋体"/>
                <w:color w:val="auto"/>
                <w:kern w:val="2"/>
                <w:szCs w:val="21"/>
                <w:highlight w:val="none"/>
                <w:lang w:val="en-US" w:eastAsia="zh-CN"/>
              </w:rPr>
              <w:t>单价（含税）</w:t>
            </w:r>
          </w:p>
        </w:tc>
        <w:tc>
          <w:tcPr>
            <w:tcW w:w="1086" w:type="dxa"/>
            <w:tcBorders>
              <w:top w:val="single" w:color="auto" w:sz="8" w:space="0"/>
              <w:left w:val="nil"/>
              <w:bottom w:val="single" w:color="auto" w:sz="8" w:space="0"/>
              <w:right w:val="single" w:color="auto" w:sz="8" w:space="0"/>
            </w:tcBorders>
            <w:shd w:val="clear" w:color="auto" w:fill="auto"/>
            <w:vAlign w:val="center"/>
          </w:tcPr>
          <w:p>
            <w:pPr>
              <w:widowControl w:val="0"/>
              <w:jc w:val="center"/>
              <w:rPr>
                <w:rFonts w:hint="default" w:ascii="宋体" w:hAnsi="宋体" w:cs="宋体"/>
                <w:color w:val="auto"/>
                <w:kern w:val="2"/>
                <w:szCs w:val="21"/>
                <w:highlight w:val="none"/>
                <w:lang w:val="en-US" w:eastAsia="zh-CN"/>
              </w:rPr>
            </w:pPr>
            <w:r>
              <w:rPr>
                <w:rFonts w:hint="eastAsia" w:ascii="宋体" w:hAnsi="宋体" w:cs="宋体"/>
                <w:color w:val="auto"/>
                <w:kern w:val="2"/>
                <w:szCs w:val="21"/>
                <w:highlight w:val="none"/>
                <w:lang w:val="en-US" w:eastAsia="zh-CN"/>
              </w:rPr>
              <w:t>总价（含税）</w:t>
            </w:r>
          </w:p>
        </w:tc>
      </w:tr>
      <w:tr>
        <w:tblPrEx>
          <w:tblCellMar>
            <w:top w:w="0" w:type="dxa"/>
            <w:left w:w="108" w:type="dxa"/>
            <w:bottom w:w="0" w:type="dxa"/>
            <w:right w:w="108" w:type="dxa"/>
          </w:tblCellMar>
        </w:tblPrEx>
        <w:trPr>
          <w:trHeight w:val="462" w:hRule="atLeast"/>
        </w:trPr>
        <w:tc>
          <w:tcPr>
            <w:tcW w:w="917" w:type="dxa"/>
            <w:tcBorders>
              <w:top w:val="nil"/>
              <w:left w:val="single" w:color="auto" w:sz="4" w:space="0"/>
              <w:bottom w:val="single" w:color="auto" w:sz="8" w:space="0"/>
              <w:right w:val="single" w:color="auto" w:sz="4" w:space="0"/>
            </w:tcBorders>
            <w:shd w:val="clear" w:color="auto" w:fill="auto"/>
            <w:vAlign w:val="center"/>
          </w:tcPr>
          <w:p>
            <w:pPr>
              <w:widowControl w:val="0"/>
              <w:jc w:val="center"/>
              <w:rPr>
                <w:rFonts w:ascii="宋体" w:hAnsi="宋体" w:cs="宋体"/>
                <w:color w:val="auto"/>
                <w:kern w:val="2"/>
                <w:szCs w:val="21"/>
                <w:highlight w:val="none"/>
              </w:rPr>
            </w:pPr>
            <w:r>
              <w:rPr>
                <w:rFonts w:hint="eastAsia" w:ascii="宋体" w:hAnsi="宋体" w:cs="宋体"/>
                <w:color w:val="auto"/>
                <w:kern w:val="2"/>
                <w:szCs w:val="21"/>
                <w:highlight w:val="none"/>
              </w:rPr>
              <w:t>1</w:t>
            </w:r>
          </w:p>
        </w:tc>
        <w:tc>
          <w:tcPr>
            <w:tcW w:w="2925" w:type="dxa"/>
            <w:tcBorders>
              <w:top w:val="nil"/>
              <w:left w:val="single" w:color="auto" w:sz="4"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color w:val="auto"/>
                <w:kern w:val="2"/>
                <w:szCs w:val="21"/>
                <w:highlight w:val="none"/>
              </w:rPr>
            </w:pPr>
            <w:r>
              <w:rPr>
                <w:rFonts w:hint="eastAsia" w:ascii="宋体" w:hAnsi="宋体" w:eastAsia="宋体" w:cs="宋体"/>
                <w:color w:val="auto"/>
                <w:kern w:val="0"/>
                <w:sz w:val="20"/>
                <w:szCs w:val="20"/>
                <w:highlight w:val="none"/>
                <w:lang w:val="en-US" w:eastAsia="zh-CN" w:bidi="ar"/>
              </w:rPr>
              <w:t>紫外灯管</w:t>
            </w:r>
          </w:p>
        </w:tc>
        <w:tc>
          <w:tcPr>
            <w:tcW w:w="824"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color w:val="auto"/>
                <w:kern w:val="2"/>
                <w:szCs w:val="21"/>
                <w:highlight w:val="none"/>
              </w:rPr>
            </w:pPr>
            <w:r>
              <w:rPr>
                <w:rFonts w:hint="eastAsia" w:ascii="宋体" w:hAnsi="宋体" w:eastAsia="宋体" w:cs="宋体"/>
                <w:color w:val="auto"/>
                <w:kern w:val="0"/>
                <w:sz w:val="20"/>
                <w:szCs w:val="20"/>
                <w:highlight w:val="none"/>
                <w:lang w:val="en-US" w:eastAsia="zh-CN" w:bidi="ar"/>
              </w:rPr>
              <w:t>根</w:t>
            </w:r>
          </w:p>
        </w:tc>
        <w:tc>
          <w:tcPr>
            <w:tcW w:w="68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color w:val="auto"/>
                <w:kern w:val="2"/>
                <w:szCs w:val="21"/>
                <w:highlight w:val="none"/>
              </w:rPr>
            </w:pPr>
            <w:r>
              <w:rPr>
                <w:rFonts w:hint="eastAsia" w:ascii="宋体" w:hAnsi="宋体" w:eastAsia="宋体" w:cs="宋体"/>
                <w:color w:val="auto"/>
                <w:kern w:val="0"/>
                <w:sz w:val="20"/>
                <w:szCs w:val="20"/>
                <w:highlight w:val="none"/>
                <w:lang w:val="en-US" w:eastAsia="zh-CN" w:bidi="ar"/>
              </w:rPr>
              <w:t>308</w:t>
            </w:r>
          </w:p>
        </w:tc>
        <w:tc>
          <w:tcPr>
            <w:tcW w:w="1283"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0"/>
                <w:sz w:val="20"/>
                <w:szCs w:val="20"/>
                <w:highlight w:val="none"/>
                <w:lang w:val="en-US" w:eastAsia="zh-CN" w:bidi="ar"/>
              </w:rPr>
            </w:pPr>
          </w:p>
        </w:tc>
        <w:tc>
          <w:tcPr>
            <w:tcW w:w="108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0"/>
                <w:sz w:val="20"/>
                <w:szCs w:val="20"/>
                <w:highlight w:val="none"/>
                <w:lang w:val="en-US" w:eastAsia="zh-CN" w:bidi="ar"/>
              </w:rPr>
            </w:pPr>
          </w:p>
        </w:tc>
        <w:tc>
          <w:tcPr>
            <w:tcW w:w="108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0"/>
                <w:sz w:val="20"/>
                <w:szCs w:val="20"/>
                <w:highlight w:val="none"/>
                <w:lang w:val="en-US" w:eastAsia="zh-CN" w:bidi="ar"/>
              </w:rPr>
            </w:pPr>
          </w:p>
        </w:tc>
      </w:tr>
      <w:tr>
        <w:tblPrEx>
          <w:tblCellMar>
            <w:top w:w="0" w:type="dxa"/>
            <w:left w:w="108" w:type="dxa"/>
            <w:bottom w:w="0" w:type="dxa"/>
            <w:right w:w="108" w:type="dxa"/>
          </w:tblCellMar>
        </w:tblPrEx>
        <w:trPr>
          <w:trHeight w:val="537" w:hRule="atLeast"/>
        </w:trPr>
        <w:tc>
          <w:tcPr>
            <w:tcW w:w="917" w:type="dxa"/>
            <w:tcBorders>
              <w:top w:val="nil"/>
              <w:left w:val="single" w:color="auto" w:sz="4" w:space="0"/>
              <w:bottom w:val="single" w:color="auto" w:sz="8" w:space="0"/>
              <w:right w:val="single" w:color="auto" w:sz="4" w:space="0"/>
            </w:tcBorders>
            <w:shd w:val="clear" w:color="auto" w:fill="auto"/>
            <w:vAlign w:val="center"/>
          </w:tcPr>
          <w:p>
            <w:pPr>
              <w:widowControl w:val="0"/>
              <w:jc w:val="center"/>
              <w:rPr>
                <w:rFonts w:ascii="宋体" w:hAnsi="宋体" w:cs="宋体"/>
                <w:color w:val="auto"/>
                <w:kern w:val="2"/>
                <w:szCs w:val="21"/>
                <w:highlight w:val="none"/>
              </w:rPr>
            </w:pPr>
            <w:r>
              <w:rPr>
                <w:rFonts w:hint="eastAsia" w:ascii="宋体" w:hAnsi="宋体" w:cs="宋体"/>
                <w:color w:val="auto"/>
                <w:kern w:val="2"/>
                <w:szCs w:val="21"/>
                <w:highlight w:val="none"/>
              </w:rPr>
              <w:t>2</w:t>
            </w:r>
          </w:p>
        </w:tc>
        <w:tc>
          <w:tcPr>
            <w:tcW w:w="2925" w:type="dxa"/>
            <w:tcBorders>
              <w:top w:val="nil"/>
              <w:left w:val="single" w:color="auto" w:sz="4"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color w:val="auto"/>
                <w:kern w:val="2"/>
                <w:szCs w:val="21"/>
                <w:highlight w:val="none"/>
              </w:rPr>
            </w:pPr>
            <w:r>
              <w:rPr>
                <w:rFonts w:hint="eastAsia" w:ascii="宋体" w:hAnsi="宋体" w:eastAsia="宋体" w:cs="宋体"/>
                <w:color w:val="auto"/>
                <w:kern w:val="0"/>
                <w:sz w:val="20"/>
                <w:szCs w:val="20"/>
                <w:highlight w:val="none"/>
                <w:lang w:val="en-US" w:eastAsia="zh-CN" w:bidi="ar"/>
              </w:rPr>
              <w:t>套管O型圈</w:t>
            </w:r>
          </w:p>
        </w:tc>
        <w:tc>
          <w:tcPr>
            <w:tcW w:w="824"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color w:val="auto"/>
                <w:kern w:val="2"/>
                <w:szCs w:val="21"/>
                <w:highlight w:val="none"/>
              </w:rPr>
            </w:pPr>
            <w:r>
              <w:rPr>
                <w:rFonts w:hint="eastAsia" w:ascii="宋体" w:hAnsi="宋体" w:eastAsia="宋体" w:cs="宋体"/>
                <w:color w:val="auto"/>
                <w:kern w:val="2"/>
                <w:sz w:val="20"/>
                <w:szCs w:val="20"/>
                <w:highlight w:val="none"/>
                <w:lang w:val="en-US" w:eastAsia="zh-CN" w:bidi="ar"/>
              </w:rPr>
              <w:t>个</w:t>
            </w:r>
          </w:p>
        </w:tc>
        <w:tc>
          <w:tcPr>
            <w:tcW w:w="68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color w:val="auto"/>
                <w:kern w:val="2"/>
                <w:szCs w:val="21"/>
                <w:highlight w:val="none"/>
              </w:rPr>
            </w:pPr>
            <w:r>
              <w:rPr>
                <w:rFonts w:hint="eastAsia" w:ascii="宋体" w:hAnsi="宋体" w:eastAsia="宋体" w:cs="宋体"/>
                <w:color w:val="auto"/>
                <w:kern w:val="2"/>
                <w:sz w:val="20"/>
                <w:szCs w:val="20"/>
                <w:highlight w:val="none"/>
                <w:lang w:val="en-US" w:eastAsia="zh-CN" w:bidi="ar"/>
              </w:rPr>
              <w:t>308</w:t>
            </w:r>
          </w:p>
        </w:tc>
        <w:tc>
          <w:tcPr>
            <w:tcW w:w="1283"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2"/>
                <w:sz w:val="20"/>
                <w:szCs w:val="20"/>
                <w:highlight w:val="none"/>
                <w:lang w:val="en-US" w:eastAsia="zh-CN" w:bidi="ar"/>
              </w:rPr>
            </w:pPr>
          </w:p>
        </w:tc>
        <w:tc>
          <w:tcPr>
            <w:tcW w:w="108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2"/>
                <w:sz w:val="20"/>
                <w:szCs w:val="20"/>
                <w:highlight w:val="none"/>
                <w:lang w:val="en-US" w:eastAsia="zh-CN" w:bidi="ar"/>
              </w:rPr>
            </w:pPr>
          </w:p>
        </w:tc>
        <w:tc>
          <w:tcPr>
            <w:tcW w:w="108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2"/>
                <w:sz w:val="20"/>
                <w:szCs w:val="20"/>
                <w:highlight w:val="none"/>
                <w:lang w:val="en-US" w:eastAsia="zh-CN" w:bidi="ar"/>
              </w:rPr>
            </w:pPr>
          </w:p>
        </w:tc>
      </w:tr>
      <w:tr>
        <w:tblPrEx>
          <w:tblCellMar>
            <w:top w:w="0" w:type="dxa"/>
            <w:left w:w="108" w:type="dxa"/>
            <w:bottom w:w="0" w:type="dxa"/>
            <w:right w:w="108" w:type="dxa"/>
          </w:tblCellMar>
        </w:tblPrEx>
        <w:trPr>
          <w:trHeight w:val="507" w:hRule="atLeast"/>
        </w:trPr>
        <w:tc>
          <w:tcPr>
            <w:tcW w:w="917" w:type="dxa"/>
            <w:tcBorders>
              <w:top w:val="nil"/>
              <w:left w:val="single" w:color="auto" w:sz="4" w:space="0"/>
              <w:bottom w:val="single" w:color="auto" w:sz="8" w:space="0"/>
              <w:right w:val="single" w:color="auto" w:sz="4" w:space="0"/>
            </w:tcBorders>
            <w:shd w:val="clear" w:color="auto" w:fill="auto"/>
            <w:vAlign w:val="center"/>
          </w:tcPr>
          <w:p>
            <w:pPr>
              <w:widowControl w:val="0"/>
              <w:jc w:val="center"/>
              <w:rPr>
                <w:rFonts w:ascii="宋体" w:hAnsi="宋体" w:cs="宋体"/>
                <w:color w:val="auto"/>
                <w:kern w:val="2"/>
                <w:szCs w:val="21"/>
                <w:highlight w:val="none"/>
              </w:rPr>
            </w:pPr>
            <w:r>
              <w:rPr>
                <w:rFonts w:hint="eastAsia" w:ascii="宋体" w:hAnsi="宋体" w:cs="宋体"/>
                <w:color w:val="auto"/>
                <w:kern w:val="2"/>
                <w:szCs w:val="21"/>
                <w:highlight w:val="none"/>
              </w:rPr>
              <w:t>3</w:t>
            </w:r>
          </w:p>
        </w:tc>
        <w:tc>
          <w:tcPr>
            <w:tcW w:w="2925" w:type="dxa"/>
            <w:tcBorders>
              <w:top w:val="nil"/>
              <w:left w:val="single" w:color="auto" w:sz="4"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color w:val="auto"/>
                <w:kern w:val="2"/>
                <w:szCs w:val="21"/>
                <w:highlight w:val="none"/>
              </w:rPr>
            </w:pPr>
            <w:r>
              <w:rPr>
                <w:rFonts w:hint="eastAsia" w:ascii="宋体" w:hAnsi="宋体" w:eastAsia="宋体" w:cs="宋体"/>
                <w:color w:val="auto"/>
                <w:kern w:val="0"/>
                <w:sz w:val="20"/>
                <w:szCs w:val="20"/>
                <w:highlight w:val="none"/>
                <w:lang w:val="en-US" w:eastAsia="zh-CN" w:bidi="ar"/>
              </w:rPr>
              <w:t>石英套管</w:t>
            </w:r>
          </w:p>
        </w:tc>
        <w:tc>
          <w:tcPr>
            <w:tcW w:w="824"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color w:val="auto"/>
                <w:kern w:val="2"/>
                <w:szCs w:val="21"/>
                <w:highlight w:val="none"/>
              </w:rPr>
            </w:pPr>
            <w:r>
              <w:rPr>
                <w:rFonts w:hint="eastAsia" w:ascii="宋体" w:hAnsi="宋体" w:eastAsia="宋体" w:cs="宋体"/>
                <w:color w:val="auto"/>
                <w:kern w:val="0"/>
                <w:sz w:val="20"/>
                <w:szCs w:val="20"/>
                <w:highlight w:val="none"/>
                <w:lang w:val="en-US" w:eastAsia="zh-CN" w:bidi="ar"/>
              </w:rPr>
              <w:t>支</w:t>
            </w:r>
          </w:p>
        </w:tc>
        <w:tc>
          <w:tcPr>
            <w:tcW w:w="68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color w:val="auto"/>
                <w:kern w:val="2"/>
                <w:szCs w:val="21"/>
                <w:highlight w:val="none"/>
              </w:rPr>
            </w:pPr>
            <w:r>
              <w:rPr>
                <w:rFonts w:hint="eastAsia" w:ascii="宋体" w:hAnsi="宋体" w:eastAsia="宋体" w:cs="宋体"/>
                <w:color w:val="auto"/>
                <w:kern w:val="2"/>
                <w:sz w:val="20"/>
                <w:szCs w:val="20"/>
                <w:highlight w:val="none"/>
                <w:lang w:val="en-US" w:eastAsia="zh-CN" w:bidi="ar"/>
              </w:rPr>
              <w:t>308</w:t>
            </w:r>
          </w:p>
        </w:tc>
        <w:tc>
          <w:tcPr>
            <w:tcW w:w="1283"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2"/>
                <w:sz w:val="20"/>
                <w:szCs w:val="20"/>
                <w:highlight w:val="none"/>
                <w:lang w:val="en-US" w:eastAsia="zh-CN" w:bidi="ar"/>
              </w:rPr>
            </w:pPr>
          </w:p>
        </w:tc>
        <w:tc>
          <w:tcPr>
            <w:tcW w:w="108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2"/>
                <w:sz w:val="20"/>
                <w:szCs w:val="20"/>
                <w:highlight w:val="none"/>
                <w:lang w:val="en-US" w:eastAsia="zh-CN" w:bidi="ar"/>
              </w:rPr>
            </w:pPr>
          </w:p>
        </w:tc>
        <w:tc>
          <w:tcPr>
            <w:tcW w:w="108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2"/>
                <w:sz w:val="20"/>
                <w:szCs w:val="20"/>
                <w:highlight w:val="none"/>
                <w:lang w:val="en-US" w:eastAsia="zh-CN" w:bidi="ar"/>
              </w:rPr>
            </w:pPr>
          </w:p>
        </w:tc>
      </w:tr>
      <w:tr>
        <w:tblPrEx>
          <w:tblCellMar>
            <w:top w:w="0" w:type="dxa"/>
            <w:left w:w="108" w:type="dxa"/>
            <w:bottom w:w="0" w:type="dxa"/>
            <w:right w:w="108" w:type="dxa"/>
          </w:tblCellMar>
        </w:tblPrEx>
        <w:trPr>
          <w:trHeight w:val="552" w:hRule="atLeast"/>
        </w:trPr>
        <w:tc>
          <w:tcPr>
            <w:tcW w:w="917" w:type="dxa"/>
            <w:tcBorders>
              <w:top w:val="nil"/>
              <w:left w:val="single" w:color="auto" w:sz="4" w:space="0"/>
              <w:bottom w:val="single" w:color="auto" w:sz="8" w:space="0"/>
              <w:right w:val="single" w:color="auto" w:sz="4" w:space="0"/>
            </w:tcBorders>
            <w:shd w:val="clear" w:color="auto" w:fill="auto"/>
            <w:vAlign w:val="center"/>
          </w:tcPr>
          <w:p>
            <w:pPr>
              <w:widowControl w:val="0"/>
              <w:jc w:val="center"/>
              <w:rPr>
                <w:rFonts w:ascii="宋体" w:hAnsi="宋体" w:cs="宋体"/>
                <w:color w:val="auto"/>
                <w:kern w:val="2"/>
                <w:szCs w:val="21"/>
                <w:highlight w:val="none"/>
              </w:rPr>
            </w:pPr>
            <w:r>
              <w:rPr>
                <w:rFonts w:hint="eastAsia" w:ascii="宋体" w:hAnsi="宋体" w:cs="宋体"/>
                <w:color w:val="auto"/>
                <w:kern w:val="2"/>
                <w:szCs w:val="21"/>
                <w:highlight w:val="none"/>
              </w:rPr>
              <w:t>4</w:t>
            </w:r>
          </w:p>
        </w:tc>
        <w:tc>
          <w:tcPr>
            <w:tcW w:w="2925" w:type="dxa"/>
            <w:tcBorders>
              <w:top w:val="nil"/>
              <w:left w:val="single" w:color="auto" w:sz="4"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color w:val="auto"/>
                <w:kern w:val="2"/>
                <w:szCs w:val="21"/>
                <w:highlight w:val="none"/>
              </w:rPr>
            </w:pPr>
            <w:r>
              <w:rPr>
                <w:rFonts w:hint="eastAsia" w:ascii="宋体" w:hAnsi="宋体" w:eastAsia="宋体" w:cs="宋体"/>
                <w:color w:val="auto"/>
                <w:kern w:val="0"/>
                <w:sz w:val="20"/>
                <w:szCs w:val="20"/>
                <w:highlight w:val="none"/>
                <w:lang w:val="en-US" w:eastAsia="zh-CN" w:bidi="ar"/>
              </w:rPr>
              <w:t>套管弹簧</w:t>
            </w:r>
          </w:p>
        </w:tc>
        <w:tc>
          <w:tcPr>
            <w:tcW w:w="824"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color w:val="auto"/>
                <w:kern w:val="2"/>
                <w:szCs w:val="21"/>
                <w:highlight w:val="none"/>
              </w:rPr>
            </w:pPr>
            <w:r>
              <w:rPr>
                <w:rFonts w:hint="eastAsia" w:ascii="宋体" w:hAnsi="宋体" w:eastAsia="宋体" w:cs="宋体"/>
                <w:color w:val="auto"/>
                <w:kern w:val="0"/>
                <w:sz w:val="20"/>
                <w:szCs w:val="20"/>
                <w:highlight w:val="none"/>
                <w:lang w:val="en-US" w:eastAsia="zh-CN" w:bidi="ar"/>
              </w:rPr>
              <w:t>包</w:t>
            </w:r>
          </w:p>
        </w:tc>
        <w:tc>
          <w:tcPr>
            <w:tcW w:w="68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color w:val="auto"/>
                <w:kern w:val="2"/>
                <w:szCs w:val="21"/>
                <w:highlight w:val="none"/>
              </w:rPr>
            </w:pPr>
            <w:r>
              <w:rPr>
                <w:rFonts w:hint="eastAsia" w:ascii="宋体" w:hAnsi="宋体" w:eastAsia="宋体" w:cs="宋体"/>
                <w:color w:val="auto"/>
                <w:kern w:val="0"/>
                <w:sz w:val="20"/>
                <w:szCs w:val="20"/>
                <w:highlight w:val="none"/>
                <w:lang w:val="en-US" w:eastAsia="zh-CN" w:bidi="ar"/>
              </w:rPr>
              <w:t>1</w:t>
            </w:r>
          </w:p>
        </w:tc>
        <w:tc>
          <w:tcPr>
            <w:tcW w:w="1283"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0"/>
                <w:sz w:val="20"/>
                <w:szCs w:val="20"/>
                <w:highlight w:val="none"/>
                <w:lang w:val="en-US" w:eastAsia="zh-CN" w:bidi="ar"/>
              </w:rPr>
            </w:pPr>
          </w:p>
        </w:tc>
        <w:tc>
          <w:tcPr>
            <w:tcW w:w="108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0"/>
                <w:sz w:val="20"/>
                <w:szCs w:val="20"/>
                <w:highlight w:val="none"/>
                <w:lang w:val="en-US" w:eastAsia="zh-CN" w:bidi="ar"/>
              </w:rPr>
            </w:pPr>
          </w:p>
        </w:tc>
        <w:tc>
          <w:tcPr>
            <w:tcW w:w="108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0"/>
                <w:sz w:val="20"/>
                <w:szCs w:val="20"/>
                <w:highlight w:val="none"/>
                <w:lang w:val="en-US" w:eastAsia="zh-CN" w:bidi="ar"/>
              </w:rPr>
            </w:pPr>
          </w:p>
        </w:tc>
      </w:tr>
      <w:tr>
        <w:tblPrEx>
          <w:tblCellMar>
            <w:top w:w="0" w:type="dxa"/>
            <w:left w:w="108" w:type="dxa"/>
            <w:bottom w:w="0" w:type="dxa"/>
            <w:right w:w="108" w:type="dxa"/>
          </w:tblCellMar>
        </w:tblPrEx>
        <w:trPr>
          <w:trHeight w:val="522" w:hRule="atLeast"/>
        </w:trPr>
        <w:tc>
          <w:tcPr>
            <w:tcW w:w="917" w:type="dxa"/>
            <w:tcBorders>
              <w:top w:val="nil"/>
              <w:left w:val="single" w:color="auto" w:sz="4" w:space="0"/>
              <w:bottom w:val="single" w:color="auto" w:sz="8" w:space="0"/>
              <w:right w:val="single" w:color="auto" w:sz="4" w:space="0"/>
            </w:tcBorders>
            <w:shd w:val="clear" w:color="auto" w:fill="auto"/>
            <w:vAlign w:val="center"/>
          </w:tcPr>
          <w:p>
            <w:pPr>
              <w:widowControl w:val="0"/>
              <w:jc w:val="center"/>
              <w:rPr>
                <w:rFonts w:ascii="宋体" w:hAnsi="宋体" w:cs="宋体"/>
                <w:color w:val="auto"/>
                <w:kern w:val="2"/>
                <w:szCs w:val="21"/>
                <w:highlight w:val="none"/>
              </w:rPr>
            </w:pPr>
            <w:r>
              <w:rPr>
                <w:rFonts w:hint="eastAsia" w:ascii="宋体" w:hAnsi="宋体" w:cs="宋体"/>
                <w:color w:val="auto"/>
                <w:kern w:val="2"/>
                <w:szCs w:val="21"/>
                <w:highlight w:val="none"/>
              </w:rPr>
              <w:t>5</w:t>
            </w:r>
          </w:p>
        </w:tc>
        <w:tc>
          <w:tcPr>
            <w:tcW w:w="2925" w:type="dxa"/>
            <w:tcBorders>
              <w:top w:val="nil"/>
              <w:left w:val="single" w:color="auto" w:sz="4"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color w:val="auto"/>
                <w:kern w:val="2"/>
                <w:szCs w:val="21"/>
                <w:highlight w:val="none"/>
              </w:rPr>
            </w:pPr>
            <w:r>
              <w:rPr>
                <w:rFonts w:hint="eastAsia" w:ascii="宋体" w:hAnsi="宋体" w:eastAsia="宋体" w:cs="宋体"/>
                <w:color w:val="auto"/>
                <w:kern w:val="0"/>
                <w:sz w:val="20"/>
                <w:szCs w:val="20"/>
                <w:highlight w:val="none"/>
                <w:lang w:val="en-US" w:eastAsia="zh-CN" w:bidi="ar"/>
              </w:rPr>
              <w:t>石英套管螺帽</w:t>
            </w:r>
          </w:p>
        </w:tc>
        <w:tc>
          <w:tcPr>
            <w:tcW w:w="824"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color w:val="auto"/>
                <w:kern w:val="2"/>
                <w:szCs w:val="21"/>
                <w:highlight w:val="none"/>
              </w:rPr>
            </w:pPr>
            <w:r>
              <w:rPr>
                <w:rFonts w:hint="eastAsia" w:ascii="宋体" w:hAnsi="宋体" w:eastAsia="宋体" w:cs="宋体"/>
                <w:color w:val="auto"/>
                <w:kern w:val="0"/>
                <w:sz w:val="20"/>
                <w:szCs w:val="20"/>
                <w:highlight w:val="none"/>
                <w:lang w:val="en-US" w:eastAsia="zh-CN" w:bidi="ar"/>
              </w:rPr>
              <w:t>包</w:t>
            </w:r>
          </w:p>
        </w:tc>
        <w:tc>
          <w:tcPr>
            <w:tcW w:w="68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color w:val="auto"/>
                <w:kern w:val="2"/>
                <w:szCs w:val="21"/>
                <w:highlight w:val="none"/>
              </w:rPr>
            </w:pPr>
            <w:r>
              <w:rPr>
                <w:rFonts w:hint="eastAsia" w:ascii="宋体" w:hAnsi="宋体" w:eastAsia="宋体" w:cs="宋体"/>
                <w:color w:val="auto"/>
                <w:kern w:val="0"/>
                <w:sz w:val="20"/>
                <w:szCs w:val="20"/>
                <w:highlight w:val="none"/>
                <w:lang w:val="en-US" w:eastAsia="zh-CN" w:bidi="ar"/>
              </w:rPr>
              <w:t>2</w:t>
            </w:r>
          </w:p>
        </w:tc>
        <w:tc>
          <w:tcPr>
            <w:tcW w:w="1283"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0"/>
                <w:sz w:val="20"/>
                <w:szCs w:val="20"/>
                <w:highlight w:val="none"/>
                <w:lang w:val="en-US" w:eastAsia="zh-CN" w:bidi="ar"/>
              </w:rPr>
            </w:pPr>
          </w:p>
        </w:tc>
        <w:tc>
          <w:tcPr>
            <w:tcW w:w="108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0"/>
                <w:sz w:val="20"/>
                <w:szCs w:val="20"/>
                <w:highlight w:val="none"/>
                <w:lang w:val="en-US" w:eastAsia="zh-CN" w:bidi="ar"/>
              </w:rPr>
            </w:pPr>
          </w:p>
        </w:tc>
        <w:tc>
          <w:tcPr>
            <w:tcW w:w="108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0"/>
                <w:sz w:val="20"/>
                <w:szCs w:val="20"/>
                <w:highlight w:val="none"/>
                <w:lang w:val="en-US" w:eastAsia="zh-CN" w:bidi="ar"/>
              </w:rPr>
            </w:pPr>
          </w:p>
        </w:tc>
      </w:tr>
      <w:tr>
        <w:tblPrEx>
          <w:tblCellMar>
            <w:top w:w="0" w:type="dxa"/>
            <w:left w:w="108" w:type="dxa"/>
            <w:bottom w:w="0" w:type="dxa"/>
            <w:right w:w="108" w:type="dxa"/>
          </w:tblCellMar>
        </w:tblPrEx>
        <w:trPr>
          <w:trHeight w:val="522" w:hRule="atLeast"/>
        </w:trPr>
        <w:tc>
          <w:tcPr>
            <w:tcW w:w="917" w:type="dxa"/>
            <w:tcBorders>
              <w:top w:val="nil"/>
              <w:left w:val="single" w:color="auto" w:sz="4" w:space="0"/>
              <w:bottom w:val="single" w:color="auto" w:sz="8" w:space="0"/>
              <w:right w:val="single" w:color="auto" w:sz="4" w:space="0"/>
            </w:tcBorders>
            <w:shd w:val="clear" w:color="auto" w:fill="auto"/>
            <w:vAlign w:val="center"/>
          </w:tcPr>
          <w:p>
            <w:pPr>
              <w:widowControl w:val="0"/>
              <w:jc w:val="center"/>
              <w:rPr>
                <w:rFonts w:ascii="宋体" w:hAnsi="宋体" w:cs="宋体"/>
                <w:color w:val="auto"/>
                <w:kern w:val="2"/>
                <w:szCs w:val="21"/>
                <w:highlight w:val="none"/>
              </w:rPr>
            </w:pPr>
            <w:r>
              <w:rPr>
                <w:rFonts w:hint="eastAsia" w:ascii="宋体" w:hAnsi="宋体" w:cs="宋体"/>
                <w:color w:val="auto"/>
                <w:kern w:val="2"/>
                <w:szCs w:val="21"/>
                <w:highlight w:val="none"/>
              </w:rPr>
              <w:t>6</w:t>
            </w:r>
          </w:p>
        </w:tc>
        <w:tc>
          <w:tcPr>
            <w:tcW w:w="2925" w:type="dxa"/>
            <w:tcBorders>
              <w:top w:val="nil"/>
              <w:left w:val="single" w:color="auto" w:sz="4"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color w:val="auto"/>
                <w:kern w:val="2"/>
                <w:szCs w:val="21"/>
                <w:highlight w:val="none"/>
              </w:rPr>
            </w:pPr>
            <w:r>
              <w:rPr>
                <w:rFonts w:hint="eastAsia" w:ascii="宋体" w:hAnsi="宋体" w:eastAsia="宋体" w:cs="宋体"/>
                <w:color w:val="auto"/>
                <w:kern w:val="0"/>
                <w:sz w:val="20"/>
                <w:szCs w:val="20"/>
                <w:highlight w:val="none"/>
                <w:lang w:val="en-US" w:eastAsia="zh-CN" w:bidi="ar"/>
              </w:rPr>
              <w:t>清洗凝胶（每箱4瓶）</w:t>
            </w:r>
          </w:p>
        </w:tc>
        <w:tc>
          <w:tcPr>
            <w:tcW w:w="824"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color w:val="auto"/>
                <w:kern w:val="2"/>
                <w:szCs w:val="21"/>
                <w:highlight w:val="none"/>
              </w:rPr>
            </w:pPr>
            <w:r>
              <w:rPr>
                <w:rFonts w:hint="eastAsia" w:ascii="宋体" w:hAnsi="宋体" w:eastAsia="宋体" w:cs="宋体"/>
                <w:color w:val="auto"/>
                <w:kern w:val="0"/>
                <w:sz w:val="20"/>
                <w:szCs w:val="20"/>
                <w:highlight w:val="none"/>
                <w:lang w:val="en-US" w:eastAsia="zh-CN" w:bidi="ar"/>
              </w:rPr>
              <w:t>箱</w:t>
            </w:r>
          </w:p>
        </w:tc>
        <w:tc>
          <w:tcPr>
            <w:tcW w:w="68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color w:val="auto"/>
                <w:kern w:val="2"/>
                <w:szCs w:val="21"/>
                <w:highlight w:val="none"/>
              </w:rPr>
            </w:pPr>
            <w:r>
              <w:rPr>
                <w:rFonts w:hint="eastAsia" w:ascii="宋体" w:hAnsi="宋体" w:eastAsia="宋体" w:cs="宋体"/>
                <w:color w:val="auto"/>
                <w:kern w:val="0"/>
                <w:sz w:val="20"/>
                <w:szCs w:val="20"/>
                <w:highlight w:val="none"/>
                <w:lang w:val="en-US" w:eastAsia="zh-CN" w:bidi="ar"/>
              </w:rPr>
              <w:t>5</w:t>
            </w:r>
          </w:p>
        </w:tc>
        <w:tc>
          <w:tcPr>
            <w:tcW w:w="1283"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0"/>
                <w:sz w:val="20"/>
                <w:szCs w:val="20"/>
                <w:highlight w:val="none"/>
                <w:lang w:val="en-US" w:eastAsia="zh-CN" w:bidi="ar"/>
              </w:rPr>
            </w:pPr>
          </w:p>
        </w:tc>
        <w:tc>
          <w:tcPr>
            <w:tcW w:w="108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0"/>
                <w:sz w:val="20"/>
                <w:szCs w:val="20"/>
                <w:highlight w:val="none"/>
                <w:lang w:val="en-US" w:eastAsia="zh-CN" w:bidi="ar"/>
              </w:rPr>
            </w:pPr>
          </w:p>
        </w:tc>
        <w:tc>
          <w:tcPr>
            <w:tcW w:w="108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0"/>
                <w:sz w:val="20"/>
                <w:szCs w:val="20"/>
                <w:highlight w:val="none"/>
                <w:lang w:val="en-US" w:eastAsia="zh-CN" w:bidi="ar"/>
              </w:rPr>
            </w:pPr>
          </w:p>
        </w:tc>
      </w:tr>
      <w:tr>
        <w:tblPrEx>
          <w:tblCellMar>
            <w:top w:w="0" w:type="dxa"/>
            <w:left w:w="108" w:type="dxa"/>
            <w:bottom w:w="0" w:type="dxa"/>
            <w:right w:w="108" w:type="dxa"/>
          </w:tblCellMar>
        </w:tblPrEx>
        <w:trPr>
          <w:trHeight w:val="477" w:hRule="atLeast"/>
        </w:trPr>
        <w:tc>
          <w:tcPr>
            <w:tcW w:w="917" w:type="dxa"/>
            <w:tcBorders>
              <w:top w:val="nil"/>
              <w:left w:val="single" w:color="auto" w:sz="4" w:space="0"/>
              <w:bottom w:val="single" w:color="auto" w:sz="8" w:space="0"/>
              <w:right w:val="single" w:color="auto" w:sz="4" w:space="0"/>
            </w:tcBorders>
            <w:shd w:val="clear" w:color="auto" w:fill="auto"/>
            <w:vAlign w:val="center"/>
          </w:tcPr>
          <w:p>
            <w:pPr>
              <w:widowControl w:val="0"/>
              <w:jc w:val="center"/>
              <w:rPr>
                <w:rFonts w:ascii="宋体" w:hAnsi="宋体" w:cs="宋体"/>
                <w:color w:val="auto"/>
                <w:kern w:val="2"/>
                <w:szCs w:val="21"/>
                <w:highlight w:val="none"/>
              </w:rPr>
            </w:pPr>
            <w:r>
              <w:rPr>
                <w:rFonts w:hint="eastAsia" w:ascii="宋体" w:hAnsi="宋体" w:cs="宋体"/>
                <w:color w:val="auto"/>
                <w:kern w:val="2"/>
                <w:szCs w:val="21"/>
                <w:highlight w:val="none"/>
              </w:rPr>
              <w:t>7</w:t>
            </w:r>
          </w:p>
        </w:tc>
        <w:tc>
          <w:tcPr>
            <w:tcW w:w="2925" w:type="dxa"/>
            <w:tcBorders>
              <w:top w:val="nil"/>
              <w:left w:val="single" w:color="auto" w:sz="4"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color w:val="auto"/>
                <w:kern w:val="2"/>
                <w:szCs w:val="21"/>
                <w:highlight w:val="none"/>
              </w:rPr>
            </w:pPr>
            <w:r>
              <w:rPr>
                <w:rFonts w:hint="eastAsia" w:ascii="宋体" w:hAnsi="宋体" w:eastAsia="宋体" w:cs="宋体"/>
                <w:color w:val="auto"/>
                <w:kern w:val="0"/>
                <w:sz w:val="20"/>
                <w:szCs w:val="20"/>
                <w:highlight w:val="none"/>
                <w:lang w:val="en-US" w:eastAsia="zh-CN" w:bidi="ar"/>
              </w:rPr>
              <w:t>清洗罐连接头（白色直接头）</w:t>
            </w:r>
          </w:p>
        </w:tc>
        <w:tc>
          <w:tcPr>
            <w:tcW w:w="824"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color w:val="auto"/>
                <w:kern w:val="2"/>
                <w:szCs w:val="21"/>
                <w:highlight w:val="none"/>
              </w:rPr>
            </w:pPr>
            <w:r>
              <w:rPr>
                <w:rFonts w:hint="eastAsia" w:ascii="宋体" w:hAnsi="宋体" w:eastAsia="宋体" w:cs="宋体"/>
                <w:color w:val="auto"/>
                <w:kern w:val="0"/>
                <w:sz w:val="20"/>
                <w:szCs w:val="20"/>
                <w:highlight w:val="none"/>
                <w:lang w:val="en-US" w:eastAsia="zh-CN" w:bidi="ar"/>
              </w:rPr>
              <w:t>包</w:t>
            </w:r>
          </w:p>
        </w:tc>
        <w:tc>
          <w:tcPr>
            <w:tcW w:w="68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color w:val="auto"/>
                <w:kern w:val="2"/>
                <w:szCs w:val="21"/>
                <w:highlight w:val="none"/>
              </w:rPr>
            </w:pPr>
            <w:r>
              <w:rPr>
                <w:rFonts w:hint="eastAsia" w:ascii="宋体" w:hAnsi="宋体" w:eastAsia="宋体" w:cs="宋体"/>
                <w:color w:val="auto"/>
                <w:kern w:val="0"/>
                <w:sz w:val="20"/>
                <w:szCs w:val="20"/>
                <w:highlight w:val="none"/>
                <w:lang w:val="en-US" w:eastAsia="zh-CN" w:bidi="ar"/>
              </w:rPr>
              <w:t>2</w:t>
            </w:r>
          </w:p>
        </w:tc>
        <w:tc>
          <w:tcPr>
            <w:tcW w:w="1283"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0"/>
                <w:sz w:val="20"/>
                <w:szCs w:val="20"/>
                <w:highlight w:val="none"/>
                <w:lang w:val="en-US" w:eastAsia="zh-CN" w:bidi="ar"/>
              </w:rPr>
            </w:pPr>
          </w:p>
        </w:tc>
        <w:tc>
          <w:tcPr>
            <w:tcW w:w="108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0"/>
                <w:sz w:val="20"/>
                <w:szCs w:val="20"/>
                <w:highlight w:val="none"/>
                <w:lang w:val="en-US" w:eastAsia="zh-CN" w:bidi="ar"/>
              </w:rPr>
            </w:pPr>
          </w:p>
        </w:tc>
        <w:tc>
          <w:tcPr>
            <w:tcW w:w="108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0"/>
                <w:sz w:val="20"/>
                <w:szCs w:val="20"/>
                <w:highlight w:val="none"/>
                <w:lang w:val="en-US" w:eastAsia="zh-CN" w:bidi="ar"/>
              </w:rPr>
            </w:pPr>
          </w:p>
        </w:tc>
      </w:tr>
      <w:tr>
        <w:tblPrEx>
          <w:tblCellMar>
            <w:top w:w="0" w:type="dxa"/>
            <w:left w:w="108" w:type="dxa"/>
            <w:bottom w:w="0" w:type="dxa"/>
            <w:right w:w="108" w:type="dxa"/>
          </w:tblCellMar>
        </w:tblPrEx>
        <w:trPr>
          <w:trHeight w:val="285" w:hRule="atLeast"/>
        </w:trPr>
        <w:tc>
          <w:tcPr>
            <w:tcW w:w="917" w:type="dxa"/>
            <w:tcBorders>
              <w:top w:val="nil"/>
              <w:left w:val="single" w:color="auto" w:sz="4" w:space="0"/>
              <w:bottom w:val="single" w:color="auto" w:sz="8" w:space="0"/>
              <w:right w:val="single" w:color="auto" w:sz="4" w:space="0"/>
            </w:tcBorders>
            <w:shd w:val="clear" w:color="auto" w:fill="auto"/>
            <w:vAlign w:val="center"/>
          </w:tcPr>
          <w:p>
            <w:pPr>
              <w:widowControl w:val="0"/>
              <w:jc w:val="center"/>
              <w:rPr>
                <w:rFonts w:ascii="宋体" w:hAnsi="宋体" w:cs="宋体"/>
                <w:color w:val="auto"/>
                <w:kern w:val="2"/>
                <w:szCs w:val="21"/>
                <w:highlight w:val="none"/>
              </w:rPr>
            </w:pPr>
            <w:r>
              <w:rPr>
                <w:rFonts w:hint="eastAsia" w:ascii="宋体" w:hAnsi="宋体" w:cs="宋体"/>
                <w:color w:val="auto"/>
                <w:kern w:val="2"/>
                <w:szCs w:val="21"/>
                <w:highlight w:val="none"/>
              </w:rPr>
              <w:t>8</w:t>
            </w:r>
          </w:p>
        </w:tc>
        <w:tc>
          <w:tcPr>
            <w:tcW w:w="2925" w:type="dxa"/>
            <w:tcBorders>
              <w:top w:val="nil"/>
              <w:left w:val="single" w:color="auto" w:sz="4"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color w:val="auto"/>
                <w:kern w:val="2"/>
                <w:szCs w:val="21"/>
                <w:highlight w:val="none"/>
              </w:rPr>
            </w:pPr>
            <w:r>
              <w:rPr>
                <w:rFonts w:hint="eastAsia" w:ascii="宋体" w:hAnsi="宋体" w:eastAsia="宋体" w:cs="宋体"/>
                <w:color w:val="auto"/>
                <w:kern w:val="0"/>
                <w:sz w:val="20"/>
                <w:szCs w:val="20"/>
                <w:highlight w:val="none"/>
                <w:lang w:val="en-US" w:eastAsia="zh-CN" w:bidi="ar"/>
              </w:rPr>
              <w:t>清洗罐连接头(白色90°弯接头)</w:t>
            </w:r>
          </w:p>
        </w:tc>
        <w:tc>
          <w:tcPr>
            <w:tcW w:w="824"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color w:val="auto"/>
                <w:kern w:val="2"/>
                <w:szCs w:val="21"/>
                <w:highlight w:val="none"/>
              </w:rPr>
            </w:pPr>
            <w:r>
              <w:rPr>
                <w:rFonts w:hint="eastAsia" w:ascii="宋体" w:hAnsi="宋体" w:eastAsia="宋体" w:cs="宋体"/>
                <w:color w:val="auto"/>
                <w:kern w:val="0"/>
                <w:sz w:val="20"/>
                <w:szCs w:val="20"/>
                <w:highlight w:val="none"/>
                <w:lang w:val="en-US" w:eastAsia="zh-CN" w:bidi="ar"/>
              </w:rPr>
              <w:t>包</w:t>
            </w:r>
          </w:p>
        </w:tc>
        <w:tc>
          <w:tcPr>
            <w:tcW w:w="68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color w:val="auto"/>
                <w:kern w:val="2"/>
                <w:szCs w:val="21"/>
                <w:highlight w:val="none"/>
              </w:rPr>
            </w:pPr>
            <w:r>
              <w:rPr>
                <w:rFonts w:hint="eastAsia" w:ascii="宋体" w:hAnsi="宋体" w:eastAsia="宋体" w:cs="宋体"/>
                <w:color w:val="auto"/>
                <w:kern w:val="0"/>
                <w:sz w:val="20"/>
                <w:szCs w:val="20"/>
                <w:highlight w:val="none"/>
                <w:lang w:val="en-US" w:eastAsia="zh-CN" w:bidi="ar"/>
              </w:rPr>
              <w:t>5</w:t>
            </w:r>
          </w:p>
        </w:tc>
        <w:tc>
          <w:tcPr>
            <w:tcW w:w="1283"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0"/>
                <w:sz w:val="20"/>
                <w:szCs w:val="20"/>
                <w:highlight w:val="none"/>
                <w:lang w:val="en-US" w:eastAsia="zh-CN" w:bidi="ar"/>
              </w:rPr>
            </w:pPr>
          </w:p>
        </w:tc>
        <w:tc>
          <w:tcPr>
            <w:tcW w:w="108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0"/>
                <w:sz w:val="20"/>
                <w:szCs w:val="20"/>
                <w:highlight w:val="none"/>
                <w:lang w:val="en-US" w:eastAsia="zh-CN" w:bidi="ar"/>
              </w:rPr>
            </w:pPr>
          </w:p>
        </w:tc>
        <w:tc>
          <w:tcPr>
            <w:tcW w:w="108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0"/>
                <w:sz w:val="20"/>
                <w:szCs w:val="20"/>
                <w:highlight w:val="none"/>
                <w:lang w:val="en-US" w:eastAsia="zh-CN" w:bidi="ar"/>
              </w:rPr>
            </w:pPr>
          </w:p>
        </w:tc>
      </w:tr>
      <w:tr>
        <w:tblPrEx>
          <w:tblCellMar>
            <w:top w:w="0" w:type="dxa"/>
            <w:left w:w="108" w:type="dxa"/>
            <w:bottom w:w="0" w:type="dxa"/>
            <w:right w:w="108" w:type="dxa"/>
          </w:tblCellMar>
        </w:tblPrEx>
        <w:trPr>
          <w:trHeight w:val="492" w:hRule="atLeast"/>
        </w:trPr>
        <w:tc>
          <w:tcPr>
            <w:tcW w:w="917" w:type="dxa"/>
            <w:tcBorders>
              <w:top w:val="nil"/>
              <w:left w:val="single" w:color="auto" w:sz="4" w:space="0"/>
              <w:bottom w:val="single" w:color="auto" w:sz="8" w:space="0"/>
              <w:right w:val="single" w:color="auto" w:sz="4" w:space="0"/>
            </w:tcBorders>
            <w:shd w:val="clear" w:color="auto" w:fill="auto"/>
            <w:vAlign w:val="center"/>
          </w:tcPr>
          <w:p>
            <w:pPr>
              <w:widowControl w:val="0"/>
              <w:jc w:val="center"/>
              <w:rPr>
                <w:rFonts w:ascii="宋体" w:hAnsi="宋体" w:cs="宋体"/>
                <w:color w:val="auto"/>
                <w:kern w:val="2"/>
                <w:szCs w:val="21"/>
                <w:highlight w:val="none"/>
              </w:rPr>
            </w:pPr>
            <w:r>
              <w:rPr>
                <w:rFonts w:hint="eastAsia" w:ascii="宋体" w:hAnsi="宋体" w:cs="宋体"/>
                <w:color w:val="auto"/>
                <w:kern w:val="2"/>
                <w:szCs w:val="21"/>
                <w:highlight w:val="none"/>
              </w:rPr>
              <w:t>9</w:t>
            </w:r>
          </w:p>
        </w:tc>
        <w:tc>
          <w:tcPr>
            <w:tcW w:w="2925" w:type="dxa"/>
            <w:tcBorders>
              <w:top w:val="nil"/>
              <w:left w:val="single" w:color="auto" w:sz="4"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color w:val="auto"/>
                <w:kern w:val="2"/>
                <w:szCs w:val="21"/>
                <w:highlight w:val="none"/>
              </w:rPr>
            </w:pPr>
            <w:r>
              <w:rPr>
                <w:rFonts w:hint="eastAsia" w:ascii="宋体" w:hAnsi="宋体" w:eastAsia="宋体" w:cs="宋体"/>
                <w:color w:val="auto"/>
                <w:kern w:val="0"/>
                <w:sz w:val="20"/>
                <w:szCs w:val="20"/>
                <w:highlight w:val="none"/>
                <w:lang w:val="en-US" w:eastAsia="zh-CN" w:bidi="ar"/>
              </w:rPr>
              <w:t>弗橡胶管（连接清洗罐的胶管）</w:t>
            </w:r>
          </w:p>
        </w:tc>
        <w:tc>
          <w:tcPr>
            <w:tcW w:w="824"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color w:val="auto"/>
                <w:kern w:val="2"/>
                <w:szCs w:val="21"/>
                <w:highlight w:val="none"/>
              </w:rPr>
            </w:pPr>
            <w:r>
              <w:rPr>
                <w:rFonts w:hint="eastAsia" w:ascii="宋体" w:hAnsi="宋体" w:eastAsia="宋体" w:cs="宋体"/>
                <w:color w:val="auto"/>
                <w:kern w:val="0"/>
                <w:sz w:val="20"/>
                <w:szCs w:val="20"/>
                <w:highlight w:val="none"/>
                <w:lang w:val="en-US" w:eastAsia="zh-CN" w:bidi="ar"/>
              </w:rPr>
              <w:t>米</w:t>
            </w:r>
          </w:p>
        </w:tc>
        <w:tc>
          <w:tcPr>
            <w:tcW w:w="68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color w:val="auto"/>
                <w:kern w:val="2"/>
                <w:szCs w:val="21"/>
                <w:highlight w:val="none"/>
              </w:rPr>
            </w:pPr>
            <w:r>
              <w:rPr>
                <w:rFonts w:hint="eastAsia" w:ascii="宋体" w:hAnsi="宋体" w:eastAsia="宋体" w:cs="宋体"/>
                <w:color w:val="auto"/>
                <w:kern w:val="0"/>
                <w:sz w:val="20"/>
                <w:szCs w:val="20"/>
                <w:highlight w:val="none"/>
                <w:lang w:val="en-US" w:eastAsia="zh-CN" w:bidi="ar"/>
              </w:rPr>
              <w:t>1</w:t>
            </w:r>
          </w:p>
        </w:tc>
        <w:tc>
          <w:tcPr>
            <w:tcW w:w="1283"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0"/>
                <w:sz w:val="20"/>
                <w:szCs w:val="20"/>
                <w:highlight w:val="none"/>
                <w:lang w:val="en-US" w:eastAsia="zh-CN" w:bidi="ar"/>
              </w:rPr>
            </w:pPr>
          </w:p>
        </w:tc>
        <w:tc>
          <w:tcPr>
            <w:tcW w:w="108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0"/>
                <w:sz w:val="20"/>
                <w:szCs w:val="20"/>
                <w:highlight w:val="none"/>
                <w:lang w:val="en-US" w:eastAsia="zh-CN" w:bidi="ar"/>
              </w:rPr>
            </w:pPr>
          </w:p>
        </w:tc>
        <w:tc>
          <w:tcPr>
            <w:tcW w:w="108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0"/>
                <w:sz w:val="20"/>
                <w:szCs w:val="20"/>
                <w:highlight w:val="none"/>
                <w:lang w:val="en-US" w:eastAsia="zh-CN" w:bidi="ar"/>
              </w:rPr>
            </w:pPr>
          </w:p>
        </w:tc>
      </w:tr>
      <w:tr>
        <w:tblPrEx>
          <w:tblCellMar>
            <w:top w:w="0" w:type="dxa"/>
            <w:left w:w="108" w:type="dxa"/>
            <w:bottom w:w="0" w:type="dxa"/>
            <w:right w:w="108" w:type="dxa"/>
          </w:tblCellMar>
        </w:tblPrEx>
        <w:trPr>
          <w:trHeight w:val="285" w:hRule="atLeast"/>
        </w:trPr>
        <w:tc>
          <w:tcPr>
            <w:tcW w:w="917" w:type="dxa"/>
            <w:tcBorders>
              <w:top w:val="nil"/>
              <w:left w:val="single" w:color="auto" w:sz="4" w:space="0"/>
              <w:bottom w:val="single" w:color="auto" w:sz="8" w:space="0"/>
              <w:right w:val="single" w:color="auto" w:sz="4" w:space="0"/>
            </w:tcBorders>
            <w:shd w:val="clear" w:color="auto" w:fill="auto"/>
            <w:vAlign w:val="center"/>
          </w:tcPr>
          <w:p>
            <w:pPr>
              <w:widowControl w:val="0"/>
              <w:jc w:val="center"/>
              <w:rPr>
                <w:rFonts w:ascii="宋体" w:hAnsi="宋体" w:cs="宋体"/>
                <w:color w:val="auto"/>
                <w:kern w:val="2"/>
                <w:szCs w:val="21"/>
                <w:highlight w:val="none"/>
              </w:rPr>
            </w:pPr>
            <w:r>
              <w:rPr>
                <w:rFonts w:hint="eastAsia" w:ascii="宋体" w:hAnsi="宋体" w:cs="宋体"/>
                <w:color w:val="auto"/>
                <w:kern w:val="2"/>
                <w:szCs w:val="21"/>
                <w:highlight w:val="none"/>
              </w:rPr>
              <w:t>10</w:t>
            </w:r>
          </w:p>
        </w:tc>
        <w:tc>
          <w:tcPr>
            <w:tcW w:w="2925" w:type="dxa"/>
            <w:tcBorders>
              <w:top w:val="nil"/>
              <w:left w:val="single" w:color="auto" w:sz="4"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color w:val="auto"/>
                <w:kern w:val="2"/>
                <w:szCs w:val="21"/>
                <w:highlight w:val="none"/>
              </w:rPr>
            </w:pPr>
            <w:r>
              <w:rPr>
                <w:rFonts w:hint="eastAsia" w:ascii="宋体" w:hAnsi="宋体" w:eastAsia="宋体" w:cs="宋体"/>
                <w:color w:val="auto"/>
                <w:kern w:val="0"/>
                <w:sz w:val="20"/>
                <w:szCs w:val="20"/>
                <w:highlight w:val="none"/>
                <w:lang w:val="en-US" w:eastAsia="zh-CN" w:bidi="ar"/>
              </w:rPr>
              <w:t>擦拭器密封件（包含一根短弗橡胶管）</w:t>
            </w:r>
          </w:p>
        </w:tc>
        <w:tc>
          <w:tcPr>
            <w:tcW w:w="824"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color w:val="auto"/>
                <w:kern w:val="2"/>
                <w:szCs w:val="21"/>
                <w:highlight w:val="none"/>
              </w:rPr>
            </w:pPr>
            <w:r>
              <w:rPr>
                <w:rFonts w:hint="eastAsia" w:ascii="宋体" w:hAnsi="宋体" w:eastAsia="宋体" w:cs="宋体"/>
                <w:color w:val="auto"/>
                <w:kern w:val="0"/>
                <w:sz w:val="20"/>
                <w:szCs w:val="20"/>
                <w:highlight w:val="none"/>
                <w:lang w:val="en-US" w:eastAsia="zh-CN" w:bidi="ar"/>
              </w:rPr>
              <w:t>个</w:t>
            </w:r>
          </w:p>
        </w:tc>
        <w:tc>
          <w:tcPr>
            <w:tcW w:w="68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color w:val="auto"/>
                <w:kern w:val="2"/>
                <w:szCs w:val="21"/>
                <w:highlight w:val="none"/>
              </w:rPr>
            </w:pPr>
            <w:r>
              <w:rPr>
                <w:rFonts w:hint="eastAsia" w:ascii="宋体" w:hAnsi="宋体" w:eastAsia="宋体" w:cs="宋体"/>
                <w:color w:val="auto"/>
                <w:kern w:val="2"/>
                <w:sz w:val="20"/>
                <w:szCs w:val="20"/>
                <w:highlight w:val="none"/>
                <w:lang w:val="en-US" w:eastAsia="zh-CN" w:bidi="ar"/>
              </w:rPr>
              <w:t>120</w:t>
            </w:r>
          </w:p>
        </w:tc>
        <w:tc>
          <w:tcPr>
            <w:tcW w:w="1283"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2"/>
                <w:sz w:val="20"/>
                <w:szCs w:val="20"/>
                <w:highlight w:val="none"/>
                <w:lang w:val="en-US" w:eastAsia="zh-CN" w:bidi="ar"/>
              </w:rPr>
            </w:pPr>
          </w:p>
        </w:tc>
        <w:tc>
          <w:tcPr>
            <w:tcW w:w="108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2"/>
                <w:sz w:val="20"/>
                <w:szCs w:val="20"/>
                <w:highlight w:val="none"/>
                <w:lang w:val="en-US" w:eastAsia="zh-CN" w:bidi="ar"/>
              </w:rPr>
            </w:pPr>
          </w:p>
        </w:tc>
        <w:tc>
          <w:tcPr>
            <w:tcW w:w="108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2"/>
                <w:sz w:val="20"/>
                <w:szCs w:val="20"/>
                <w:highlight w:val="none"/>
                <w:lang w:val="en-US" w:eastAsia="zh-CN" w:bidi="ar"/>
              </w:rPr>
            </w:pPr>
          </w:p>
        </w:tc>
      </w:tr>
      <w:tr>
        <w:tblPrEx>
          <w:tblCellMar>
            <w:top w:w="0" w:type="dxa"/>
            <w:left w:w="108" w:type="dxa"/>
            <w:bottom w:w="0" w:type="dxa"/>
            <w:right w:w="108" w:type="dxa"/>
          </w:tblCellMar>
        </w:tblPrEx>
        <w:trPr>
          <w:trHeight w:val="522" w:hRule="atLeast"/>
        </w:trPr>
        <w:tc>
          <w:tcPr>
            <w:tcW w:w="917" w:type="dxa"/>
            <w:tcBorders>
              <w:top w:val="nil"/>
              <w:left w:val="single" w:color="auto" w:sz="4" w:space="0"/>
              <w:bottom w:val="single" w:color="auto" w:sz="8" w:space="0"/>
              <w:right w:val="single" w:color="auto" w:sz="4" w:space="0"/>
            </w:tcBorders>
            <w:shd w:val="clear" w:color="auto" w:fill="auto"/>
            <w:vAlign w:val="center"/>
          </w:tcPr>
          <w:p>
            <w:pPr>
              <w:widowControl w:val="0"/>
              <w:jc w:val="center"/>
              <w:rPr>
                <w:rFonts w:ascii="宋体" w:hAnsi="宋体" w:cs="宋体"/>
                <w:color w:val="auto"/>
                <w:kern w:val="2"/>
                <w:szCs w:val="21"/>
                <w:highlight w:val="none"/>
              </w:rPr>
            </w:pPr>
            <w:r>
              <w:rPr>
                <w:rFonts w:hint="eastAsia" w:ascii="宋体" w:hAnsi="宋体" w:cs="宋体"/>
                <w:color w:val="auto"/>
                <w:kern w:val="2"/>
                <w:szCs w:val="21"/>
                <w:highlight w:val="none"/>
              </w:rPr>
              <w:t>11</w:t>
            </w:r>
          </w:p>
        </w:tc>
        <w:tc>
          <w:tcPr>
            <w:tcW w:w="2925" w:type="dxa"/>
            <w:tcBorders>
              <w:top w:val="nil"/>
              <w:left w:val="single" w:color="auto" w:sz="4"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color w:val="auto"/>
                <w:kern w:val="2"/>
                <w:szCs w:val="21"/>
                <w:highlight w:val="none"/>
              </w:rPr>
            </w:pPr>
            <w:r>
              <w:rPr>
                <w:rFonts w:hint="eastAsia" w:ascii="宋体" w:hAnsi="宋体" w:eastAsia="宋体" w:cs="宋体"/>
                <w:color w:val="auto"/>
                <w:kern w:val="0"/>
                <w:sz w:val="20"/>
                <w:szCs w:val="20"/>
                <w:highlight w:val="none"/>
                <w:lang w:val="en-US" w:eastAsia="zh-CN" w:bidi="ar"/>
              </w:rPr>
              <w:t>灯管灯头插座</w:t>
            </w:r>
          </w:p>
        </w:tc>
        <w:tc>
          <w:tcPr>
            <w:tcW w:w="824"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color w:val="auto"/>
                <w:kern w:val="2"/>
                <w:szCs w:val="21"/>
                <w:highlight w:val="none"/>
              </w:rPr>
            </w:pPr>
            <w:r>
              <w:rPr>
                <w:rFonts w:hint="eastAsia" w:ascii="宋体" w:hAnsi="宋体" w:eastAsia="宋体" w:cs="宋体"/>
                <w:color w:val="auto"/>
                <w:kern w:val="2"/>
                <w:sz w:val="20"/>
                <w:szCs w:val="20"/>
                <w:highlight w:val="none"/>
                <w:lang w:val="en-US" w:eastAsia="zh-CN" w:bidi="ar"/>
              </w:rPr>
              <w:t>个</w:t>
            </w:r>
          </w:p>
        </w:tc>
        <w:tc>
          <w:tcPr>
            <w:tcW w:w="68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color w:val="auto"/>
                <w:kern w:val="2"/>
                <w:szCs w:val="21"/>
                <w:highlight w:val="none"/>
              </w:rPr>
            </w:pPr>
            <w:r>
              <w:rPr>
                <w:rFonts w:hint="eastAsia" w:ascii="宋体" w:hAnsi="宋体" w:eastAsia="宋体" w:cs="宋体"/>
                <w:color w:val="auto"/>
                <w:kern w:val="0"/>
                <w:sz w:val="20"/>
                <w:szCs w:val="20"/>
                <w:highlight w:val="none"/>
                <w:lang w:val="en-US" w:eastAsia="zh-CN" w:bidi="ar"/>
              </w:rPr>
              <w:t>20</w:t>
            </w:r>
          </w:p>
        </w:tc>
        <w:tc>
          <w:tcPr>
            <w:tcW w:w="1283"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0"/>
                <w:sz w:val="20"/>
                <w:szCs w:val="20"/>
                <w:highlight w:val="none"/>
                <w:lang w:val="en-US" w:eastAsia="zh-CN" w:bidi="ar"/>
              </w:rPr>
            </w:pPr>
          </w:p>
        </w:tc>
        <w:tc>
          <w:tcPr>
            <w:tcW w:w="108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0"/>
                <w:sz w:val="20"/>
                <w:szCs w:val="20"/>
                <w:highlight w:val="none"/>
                <w:lang w:val="en-US" w:eastAsia="zh-CN" w:bidi="ar"/>
              </w:rPr>
            </w:pPr>
          </w:p>
        </w:tc>
        <w:tc>
          <w:tcPr>
            <w:tcW w:w="108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0"/>
                <w:sz w:val="20"/>
                <w:szCs w:val="20"/>
                <w:highlight w:val="none"/>
                <w:lang w:val="en-US" w:eastAsia="zh-CN" w:bidi="ar"/>
              </w:rPr>
            </w:pPr>
          </w:p>
        </w:tc>
      </w:tr>
      <w:tr>
        <w:tblPrEx>
          <w:tblCellMar>
            <w:top w:w="0" w:type="dxa"/>
            <w:left w:w="108" w:type="dxa"/>
            <w:bottom w:w="0" w:type="dxa"/>
            <w:right w:w="108" w:type="dxa"/>
          </w:tblCellMar>
        </w:tblPrEx>
        <w:trPr>
          <w:trHeight w:val="495" w:hRule="atLeast"/>
        </w:trPr>
        <w:tc>
          <w:tcPr>
            <w:tcW w:w="917" w:type="dxa"/>
            <w:tcBorders>
              <w:top w:val="nil"/>
              <w:left w:val="single" w:color="auto" w:sz="4" w:space="0"/>
              <w:bottom w:val="single" w:color="auto" w:sz="8" w:space="0"/>
              <w:right w:val="single" w:color="auto" w:sz="4" w:space="0"/>
            </w:tcBorders>
            <w:shd w:val="clear" w:color="auto" w:fill="auto"/>
            <w:vAlign w:val="center"/>
          </w:tcPr>
          <w:p>
            <w:pPr>
              <w:widowControl w:val="0"/>
              <w:jc w:val="center"/>
              <w:rPr>
                <w:rFonts w:ascii="宋体" w:hAnsi="宋体" w:cs="宋体"/>
                <w:color w:val="auto"/>
                <w:kern w:val="2"/>
                <w:sz w:val="22"/>
                <w:szCs w:val="22"/>
                <w:highlight w:val="none"/>
              </w:rPr>
            </w:pPr>
            <w:r>
              <w:rPr>
                <w:rFonts w:hint="eastAsia" w:ascii="宋体" w:hAnsi="宋体" w:cs="宋体"/>
                <w:color w:val="auto"/>
                <w:kern w:val="2"/>
                <w:sz w:val="22"/>
                <w:szCs w:val="22"/>
                <w:highlight w:val="none"/>
              </w:rPr>
              <w:t>12</w:t>
            </w:r>
          </w:p>
        </w:tc>
        <w:tc>
          <w:tcPr>
            <w:tcW w:w="2925" w:type="dxa"/>
            <w:tcBorders>
              <w:top w:val="nil"/>
              <w:left w:val="single" w:color="auto" w:sz="4"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color w:val="auto"/>
                <w:kern w:val="2"/>
                <w:szCs w:val="21"/>
                <w:highlight w:val="none"/>
              </w:rPr>
            </w:pPr>
            <w:r>
              <w:rPr>
                <w:rFonts w:hint="eastAsia" w:ascii="宋体" w:hAnsi="宋体" w:eastAsia="宋体" w:cs="宋体"/>
                <w:color w:val="auto"/>
                <w:kern w:val="0"/>
                <w:sz w:val="20"/>
                <w:szCs w:val="20"/>
                <w:highlight w:val="none"/>
                <w:lang w:val="en-US" w:eastAsia="zh-CN" w:bidi="ar"/>
              </w:rPr>
              <w:t>模块控制板MCB（模块通讯板）</w:t>
            </w:r>
          </w:p>
        </w:tc>
        <w:tc>
          <w:tcPr>
            <w:tcW w:w="824"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color w:val="auto"/>
                <w:kern w:val="2"/>
                <w:szCs w:val="21"/>
                <w:highlight w:val="none"/>
              </w:rPr>
            </w:pPr>
            <w:r>
              <w:rPr>
                <w:rFonts w:hint="eastAsia" w:ascii="宋体" w:hAnsi="宋体" w:eastAsia="宋体" w:cs="宋体"/>
                <w:color w:val="auto"/>
                <w:kern w:val="2"/>
                <w:sz w:val="20"/>
                <w:szCs w:val="20"/>
                <w:highlight w:val="none"/>
                <w:lang w:val="en-US" w:eastAsia="zh-CN" w:bidi="ar"/>
              </w:rPr>
              <w:t>个</w:t>
            </w:r>
          </w:p>
        </w:tc>
        <w:tc>
          <w:tcPr>
            <w:tcW w:w="68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color w:val="auto"/>
                <w:kern w:val="2"/>
                <w:sz w:val="20"/>
                <w:szCs w:val="22"/>
                <w:highlight w:val="none"/>
              </w:rPr>
            </w:pPr>
            <w:r>
              <w:rPr>
                <w:rFonts w:hint="eastAsia" w:ascii="宋体" w:hAnsi="宋体" w:eastAsia="宋体" w:cs="宋体"/>
                <w:color w:val="auto"/>
                <w:kern w:val="0"/>
                <w:sz w:val="20"/>
                <w:szCs w:val="20"/>
                <w:highlight w:val="none"/>
                <w:lang w:val="en-US" w:eastAsia="zh-CN" w:bidi="ar"/>
              </w:rPr>
              <w:t>4</w:t>
            </w:r>
          </w:p>
        </w:tc>
        <w:tc>
          <w:tcPr>
            <w:tcW w:w="1283"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0"/>
                <w:sz w:val="20"/>
                <w:szCs w:val="20"/>
                <w:highlight w:val="none"/>
                <w:lang w:val="en-US" w:eastAsia="zh-CN" w:bidi="ar"/>
              </w:rPr>
            </w:pPr>
          </w:p>
        </w:tc>
        <w:tc>
          <w:tcPr>
            <w:tcW w:w="108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0"/>
                <w:sz w:val="20"/>
                <w:szCs w:val="20"/>
                <w:highlight w:val="none"/>
                <w:lang w:val="en-US" w:eastAsia="zh-CN" w:bidi="ar"/>
              </w:rPr>
            </w:pPr>
          </w:p>
        </w:tc>
        <w:tc>
          <w:tcPr>
            <w:tcW w:w="108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0"/>
                <w:sz w:val="20"/>
                <w:szCs w:val="20"/>
                <w:highlight w:val="none"/>
                <w:lang w:val="en-US" w:eastAsia="zh-CN" w:bidi="ar"/>
              </w:rPr>
            </w:pPr>
          </w:p>
        </w:tc>
      </w:tr>
      <w:tr>
        <w:tblPrEx>
          <w:tblCellMar>
            <w:top w:w="0" w:type="dxa"/>
            <w:left w:w="108" w:type="dxa"/>
            <w:bottom w:w="0" w:type="dxa"/>
            <w:right w:w="108" w:type="dxa"/>
          </w:tblCellMar>
        </w:tblPrEx>
        <w:trPr>
          <w:trHeight w:val="477" w:hRule="atLeast"/>
        </w:trPr>
        <w:tc>
          <w:tcPr>
            <w:tcW w:w="917" w:type="dxa"/>
            <w:tcBorders>
              <w:top w:val="nil"/>
              <w:left w:val="single" w:color="auto" w:sz="4" w:space="0"/>
              <w:bottom w:val="single" w:color="auto" w:sz="8" w:space="0"/>
              <w:right w:val="single" w:color="auto" w:sz="4" w:space="0"/>
            </w:tcBorders>
            <w:shd w:val="clear" w:color="auto" w:fill="auto"/>
            <w:vAlign w:val="center"/>
          </w:tcPr>
          <w:p>
            <w:pPr>
              <w:widowControl w:val="0"/>
              <w:jc w:val="center"/>
              <w:rPr>
                <w:rFonts w:ascii="宋体" w:hAnsi="宋体" w:cs="宋体"/>
                <w:color w:val="auto"/>
                <w:kern w:val="2"/>
                <w:sz w:val="22"/>
                <w:szCs w:val="22"/>
                <w:highlight w:val="none"/>
              </w:rPr>
            </w:pPr>
            <w:r>
              <w:rPr>
                <w:rFonts w:hint="eastAsia" w:ascii="宋体" w:hAnsi="宋体" w:cs="宋体"/>
                <w:color w:val="auto"/>
                <w:kern w:val="2"/>
                <w:sz w:val="22"/>
                <w:szCs w:val="22"/>
                <w:highlight w:val="none"/>
              </w:rPr>
              <w:t>13</w:t>
            </w:r>
          </w:p>
        </w:tc>
        <w:tc>
          <w:tcPr>
            <w:tcW w:w="2925" w:type="dxa"/>
            <w:tcBorders>
              <w:top w:val="nil"/>
              <w:left w:val="single" w:color="auto" w:sz="4"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color w:val="auto"/>
                <w:kern w:val="2"/>
                <w:szCs w:val="21"/>
                <w:highlight w:val="none"/>
              </w:rPr>
            </w:pPr>
            <w:r>
              <w:rPr>
                <w:rFonts w:hint="eastAsia" w:ascii="宋体" w:hAnsi="宋体" w:eastAsia="宋体" w:cs="宋体"/>
                <w:color w:val="auto"/>
                <w:kern w:val="0"/>
                <w:sz w:val="20"/>
                <w:szCs w:val="20"/>
                <w:highlight w:val="none"/>
                <w:lang w:val="en-US" w:eastAsia="zh-CN" w:bidi="ar"/>
              </w:rPr>
              <w:t>镇流器</w:t>
            </w:r>
          </w:p>
        </w:tc>
        <w:tc>
          <w:tcPr>
            <w:tcW w:w="824"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color w:val="auto"/>
                <w:kern w:val="2"/>
                <w:szCs w:val="21"/>
                <w:highlight w:val="none"/>
              </w:rPr>
            </w:pPr>
            <w:r>
              <w:rPr>
                <w:rFonts w:hint="eastAsia" w:ascii="宋体" w:hAnsi="宋体" w:eastAsia="宋体" w:cs="宋体"/>
                <w:color w:val="auto"/>
                <w:kern w:val="2"/>
                <w:sz w:val="20"/>
                <w:szCs w:val="20"/>
                <w:highlight w:val="none"/>
                <w:lang w:val="en-US" w:eastAsia="zh-CN" w:bidi="ar"/>
              </w:rPr>
              <w:t>个</w:t>
            </w:r>
          </w:p>
        </w:tc>
        <w:tc>
          <w:tcPr>
            <w:tcW w:w="68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color w:val="auto"/>
                <w:kern w:val="2"/>
                <w:sz w:val="20"/>
                <w:szCs w:val="22"/>
                <w:highlight w:val="none"/>
              </w:rPr>
            </w:pPr>
            <w:r>
              <w:rPr>
                <w:rFonts w:hint="eastAsia" w:ascii="宋体" w:hAnsi="宋体" w:eastAsia="宋体" w:cs="宋体"/>
                <w:color w:val="auto"/>
                <w:kern w:val="0"/>
                <w:sz w:val="20"/>
                <w:szCs w:val="20"/>
                <w:highlight w:val="none"/>
                <w:lang w:val="en-US" w:eastAsia="zh-CN" w:bidi="ar"/>
              </w:rPr>
              <w:t>10</w:t>
            </w:r>
          </w:p>
        </w:tc>
        <w:tc>
          <w:tcPr>
            <w:tcW w:w="1283"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0"/>
                <w:sz w:val="20"/>
                <w:szCs w:val="20"/>
                <w:highlight w:val="none"/>
                <w:lang w:val="en-US" w:eastAsia="zh-CN" w:bidi="ar"/>
              </w:rPr>
            </w:pPr>
          </w:p>
        </w:tc>
        <w:tc>
          <w:tcPr>
            <w:tcW w:w="108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0"/>
                <w:sz w:val="20"/>
                <w:szCs w:val="20"/>
                <w:highlight w:val="none"/>
                <w:lang w:val="en-US" w:eastAsia="zh-CN" w:bidi="ar"/>
              </w:rPr>
            </w:pPr>
          </w:p>
        </w:tc>
        <w:tc>
          <w:tcPr>
            <w:tcW w:w="108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0"/>
                <w:sz w:val="20"/>
                <w:szCs w:val="20"/>
                <w:highlight w:val="none"/>
                <w:lang w:val="en-US" w:eastAsia="zh-CN" w:bidi="ar"/>
              </w:rPr>
            </w:pPr>
          </w:p>
        </w:tc>
      </w:tr>
      <w:tr>
        <w:tblPrEx>
          <w:tblCellMar>
            <w:top w:w="0" w:type="dxa"/>
            <w:left w:w="108" w:type="dxa"/>
            <w:bottom w:w="0" w:type="dxa"/>
            <w:right w:w="108" w:type="dxa"/>
          </w:tblCellMar>
        </w:tblPrEx>
        <w:trPr>
          <w:trHeight w:val="522" w:hRule="atLeast"/>
        </w:trPr>
        <w:tc>
          <w:tcPr>
            <w:tcW w:w="917" w:type="dxa"/>
            <w:tcBorders>
              <w:top w:val="nil"/>
              <w:left w:val="single" w:color="auto" w:sz="4" w:space="0"/>
              <w:bottom w:val="single" w:color="auto" w:sz="8" w:space="0"/>
              <w:right w:val="single" w:color="auto" w:sz="4" w:space="0"/>
            </w:tcBorders>
            <w:shd w:val="clear" w:color="auto" w:fill="auto"/>
            <w:vAlign w:val="center"/>
          </w:tcPr>
          <w:p>
            <w:pPr>
              <w:widowControl w:val="0"/>
              <w:jc w:val="center"/>
              <w:rPr>
                <w:rFonts w:ascii="宋体" w:hAnsi="宋体" w:cs="宋体"/>
                <w:color w:val="auto"/>
                <w:kern w:val="2"/>
                <w:sz w:val="22"/>
                <w:szCs w:val="22"/>
                <w:highlight w:val="none"/>
              </w:rPr>
            </w:pPr>
            <w:r>
              <w:rPr>
                <w:rFonts w:hint="eastAsia" w:ascii="宋体" w:hAnsi="宋体" w:cs="宋体"/>
                <w:color w:val="auto"/>
                <w:kern w:val="2"/>
                <w:sz w:val="22"/>
                <w:szCs w:val="22"/>
                <w:highlight w:val="none"/>
              </w:rPr>
              <w:t>14</w:t>
            </w:r>
          </w:p>
        </w:tc>
        <w:tc>
          <w:tcPr>
            <w:tcW w:w="2925" w:type="dxa"/>
            <w:tcBorders>
              <w:top w:val="nil"/>
              <w:left w:val="single" w:color="auto" w:sz="4"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color w:val="auto"/>
                <w:kern w:val="2"/>
                <w:szCs w:val="21"/>
                <w:highlight w:val="none"/>
              </w:rPr>
            </w:pPr>
            <w:r>
              <w:rPr>
                <w:rFonts w:hint="eastAsia" w:ascii="宋体" w:hAnsi="宋体" w:eastAsia="宋体" w:cs="宋体"/>
                <w:color w:val="auto"/>
                <w:kern w:val="0"/>
                <w:sz w:val="20"/>
                <w:szCs w:val="20"/>
                <w:highlight w:val="none"/>
                <w:lang w:val="en-US" w:eastAsia="zh-CN" w:bidi="ar"/>
              </w:rPr>
              <w:t>液压杆润滑油脂</w:t>
            </w:r>
          </w:p>
        </w:tc>
        <w:tc>
          <w:tcPr>
            <w:tcW w:w="824"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color w:val="auto"/>
                <w:kern w:val="2"/>
                <w:szCs w:val="21"/>
                <w:highlight w:val="none"/>
              </w:rPr>
            </w:pPr>
            <w:r>
              <w:rPr>
                <w:rFonts w:hint="eastAsia" w:ascii="宋体" w:hAnsi="宋体" w:eastAsia="宋体" w:cs="宋体"/>
                <w:color w:val="auto"/>
                <w:kern w:val="0"/>
                <w:sz w:val="20"/>
                <w:szCs w:val="20"/>
                <w:highlight w:val="none"/>
                <w:lang w:val="en-US" w:eastAsia="zh-CN" w:bidi="ar"/>
              </w:rPr>
              <w:t>支</w:t>
            </w:r>
          </w:p>
        </w:tc>
        <w:tc>
          <w:tcPr>
            <w:tcW w:w="68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color w:val="auto"/>
                <w:kern w:val="2"/>
                <w:sz w:val="20"/>
                <w:szCs w:val="22"/>
                <w:highlight w:val="none"/>
              </w:rPr>
            </w:pPr>
            <w:r>
              <w:rPr>
                <w:rFonts w:hint="eastAsia" w:ascii="宋体" w:hAnsi="宋体" w:eastAsia="宋体" w:cs="宋体"/>
                <w:color w:val="auto"/>
                <w:kern w:val="0"/>
                <w:sz w:val="20"/>
                <w:szCs w:val="20"/>
                <w:highlight w:val="none"/>
                <w:lang w:val="en-US" w:eastAsia="zh-CN" w:bidi="ar"/>
              </w:rPr>
              <w:t>15</w:t>
            </w:r>
          </w:p>
        </w:tc>
        <w:tc>
          <w:tcPr>
            <w:tcW w:w="1283"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0"/>
                <w:sz w:val="20"/>
                <w:szCs w:val="20"/>
                <w:highlight w:val="none"/>
                <w:lang w:val="en-US" w:eastAsia="zh-CN" w:bidi="ar"/>
              </w:rPr>
            </w:pPr>
          </w:p>
        </w:tc>
        <w:tc>
          <w:tcPr>
            <w:tcW w:w="108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0"/>
                <w:sz w:val="20"/>
                <w:szCs w:val="20"/>
                <w:highlight w:val="none"/>
                <w:lang w:val="en-US" w:eastAsia="zh-CN" w:bidi="ar"/>
              </w:rPr>
            </w:pPr>
          </w:p>
        </w:tc>
        <w:tc>
          <w:tcPr>
            <w:tcW w:w="108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0"/>
                <w:sz w:val="20"/>
                <w:szCs w:val="20"/>
                <w:highlight w:val="none"/>
                <w:lang w:val="en-US" w:eastAsia="zh-CN" w:bidi="ar"/>
              </w:rPr>
            </w:pPr>
          </w:p>
        </w:tc>
      </w:tr>
      <w:tr>
        <w:tblPrEx>
          <w:tblCellMar>
            <w:top w:w="0" w:type="dxa"/>
            <w:left w:w="108" w:type="dxa"/>
            <w:bottom w:w="0" w:type="dxa"/>
            <w:right w:w="108" w:type="dxa"/>
          </w:tblCellMar>
        </w:tblPrEx>
        <w:trPr>
          <w:trHeight w:val="522" w:hRule="atLeast"/>
        </w:trPr>
        <w:tc>
          <w:tcPr>
            <w:tcW w:w="917" w:type="dxa"/>
            <w:tcBorders>
              <w:top w:val="nil"/>
              <w:left w:val="single" w:color="auto" w:sz="4" w:space="0"/>
              <w:bottom w:val="single" w:color="auto" w:sz="8" w:space="0"/>
              <w:right w:val="single" w:color="auto" w:sz="4" w:space="0"/>
            </w:tcBorders>
            <w:shd w:val="clear" w:color="auto" w:fill="auto"/>
            <w:vAlign w:val="center"/>
          </w:tcPr>
          <w:p>
            <w:pPr>
              <w:widowControl w:val="0"/>
              <w:jc w:val="center"/>
              <w:rPr>
                <w:rFonts w:ascii="宋体" w:hAnsi="宋体" w:cs="宋体"/>
                <w:color w:val="auto"/>
                <w:kern w:val="2"/>
                <w:sz w:val="22"/>
                <w:szCs w:val="22"/>
                <w:highlight w:val="none"/>
              </w:rPr>
            </w:pPr>
            <w:r>
              <w:rPr>
                <w:rFonts w:hint="eastAsia" w:ascii="宋体" w:hAnsi="宋体" w:cs="宋体"/>
                <w:color w:val="auto"/>
                <w:kern w:val="2"/>
                <w:sz w:val="22"/>
                <w:szCs w:val="22"/>
                <w:highlight w:val="none"/>
              </w:rPr>
              <w:t>15</w:t>
            </w:r>
          </w:p>
        </w:tc>
        <w:tc>
          <w:tcPr>
            <w:tcW w:w="2925" w:type="dxa"/>
            <w:tcBorders>
              <w:top w:val="nil"/>
              <w:left w:val="single" w:color="auto" w:sz="4"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color w:val="auto"/>
                <w:kern w:val="2"/>
                <w:szCs w:val="21"/>
                <w:highlight w:val="none"/>
              </w:rPr>
            </w:pPr>
            <w:r>
              <w:rPr>
                <w:rFonts w:hint="eastAsia" w:ascii="宋体" w:hAnsi="宋体" w:eastAsia="宋体" w:cs="宋体"/>
                <w:color w:val="auto"/>
                <w:kern w:val="0"/>
                <w:sz w:val="20"/>
                <w:szCs w:val="20"/>
                <w:highlight w:val="none"/>
                <w:lang w:val="en-US" w:eastAsia="zh-CN" w:bidi="ar"/>
              </w:rPr>
              <w:t>液压油</w:t>
            </w:r>
          </w:p>
        </w:tc>
        <w:tc>
          <w:tcPr>
            <w:tcW w:w="824"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color w:val="auto"/>
                <w:kern w:val="2"/>
                <w:szCs w:val="21"/>
                <w:highlight w:val="none"/>
              </w:rPr>
            </w:pPr>
            <w:r>
              <w:rPr>
                <w:rFonts w:hint="eastAsia" w:ascii="宋体" w:hAnsi="宋体" w:eastAsia="宋体" w:cs="宋体"/>
                <w:color w:val="auto"/>
                <w:kern w:val="0"/>
                <w:sz w:val="20"/>
                <w:szCs w:val="20"/>
                <w:highlight w:val="none"/>
                <w:lang w:val="en-US" w:eastAsia="zh-CN" w:bidi="ar"/>
              </w:rPr>
              <w:t>桶</w:t>
            </w:r>
          </w:p>
        </w:tc>
        <w:tc>
          <w:tcPr>
            <w:tcW w:w="68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color w:val="auto"/>
                <w:kern w:val="2"/>
                <w:sz w:val="20"/>
                <w:szCs w:val="22"/>
                <w:highlight w:val="none"/>
              </w:rPr>
            </w:pPr>
            <w:r>
              <w:rPr>
                <w:rFonts w:hint="eastAsia" w:ascii="宋体" w:hAnsi="宋体" w:eastAsia="宋体" w:cs="宋体"/>
                <w:color w:val="auto"/>
                <w:kern w:val="0"/>
                <w:sz w:val="20"/>
                <w:szCs w:val="20"/>
                <w:highlight w:val="none"/>
                <w:lang w:val="en-US" w:eastAsia="zh-CN" w:bidi="ar"/>
              </w:rPr>
              <w:t>2</w:t>
            </w:r>
          </w:p>
        </w:tc>
        <w:tc>
          <w:tcPr>
            <w:tcW w:w="1283"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0"/>
                <w:sz w:val="20"/>
                <w:szCs w:val="20"/>
                <w:highlight w:val="none"/>
                <w:lang w:val="en-US" w:eastAsia="zh-CN" w:bidi="ar"/>
              </w:rPr>
            </w:pPr>
          </w:p>
        </w:tc>
        <w:tc>
          <w:tcPr>
            <w:tcW w:w="108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0"/>
                <w:sz w:val="20"/>
                <w:szCs w:val="20"/>
                <w:highlight w:val="none"/>
                <w:lang w:val="en-US" w:eastAsia="zh-CN" w:bidi="ar"/>
              </w:rPr>
            </w:pPr>
          </w:p>
        </w:tc>
        <w:tc>
          <w:tcPr>
            <w:tcW w:w="108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0"/>
                <w:sz w:val="20"/>
                <w:szCs w:val="20"/>
                <w:highlight w:val="none"/>
                <w:lang w:val="en-US" w:eastAsia="zh-CN" w:bidi="ar"/>
              </w:rPr>
            </w:pPr>
          </w:p>
        </w:tc>
      </w:tr>
      <w:tr>
        <w:tblPrEx>
          <w:tblCellMar>
            <w:top w:w="0" w:type="dxa"/>
            <w:left w:w="108" w:type="dxa"/>
            <w:bottom w:w="0" w:type="dxa"/>
            <w:right w:w="108" w:type="dxa"/>
          </w:tblCellMar>
        </w:tblPrEx>
        <w:trPr>
          <w:trHeight w:val="285" w:hRule="atLeast"/>
        </w:trPr>
        <w:tc>
          <w:tcPr>
            <w:tcW w:w="917" w:type="dxa"/>
            <w:tcBorders>
              <w:top w:val="nil"/>
              <w:left w:val="single" w:color="auto" w:sz="4" w:space="0"/>
              <w:bottom w:val="single" w:color="auto" w:sz="8" w:space="0"/>
              <w:right w:val="single" w:color="auto" w:sz="4" w:space="0"/>
            </w:tcBorders>
            <w:shd w:val="clear" w:color="auto" w:fill="auto"/>
            <w:vAlign w:val="center"/>
          </w:tcPr>
          <w:p>
            <w:pPr>
              <w:widowControl w:val="0"/>
              <w:jc w:val="center"/>
              <w:rPr>
                <w:rFonts w:ascii="宋体" w:hAnsi="宋体" w:cs="宋体"/>
                <w:color w:val="auto"/>
                <w:kern w:val="2"/>
                <w:sz w:val="22"/>
                <w:szCs w:val="22"/>
                <w:highlight w:val="none"/>
              </w:rPr>
            </w:pPr>
            <w:r>
              <w:rPr>
                <w:rFonts w:hint="eastAsia" w:ascii="宋体" w:hAnsi="宋体" w:cs="宋体"/>
                <w:color w:val="auto"/>
                <w:kern w:val="2"/>
                <w:sz w:val="22"/>
                <w:szCs w:val="22"/>
                <w:highlight w:val="none"/>
              </w:rPr>
              <w:t>16</w:t>
            </w:r>
          </w:p>
        </w:tc>
        <w:tc>
          <w:tcPr>
            <w:tcW w:w="2925" w:type="dxa"/>
            <w:tcBorders>
              <w:top w:val="nil"/>
              <w:left w:val="single" w:color="auto" w:sz="4"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color w:val="auto"/>
                <w:kern w:val="2"/>
                <w:szCs w:val="21"/>
                <w:highlight w:val="none"/>
              </w:rPr>
            </w:pPr>
            <w:r>
              <w:rPr>
                <w:rFonts w:hint="eastAsia" w:ascii="宋体" w:hAnsi="宋体" w:eastAsia="宋体" w:cs="宋体"/>
                <w:color w:val="auto"/>
                <w:kern w:val="0"/>
                <w:sz w:val="20"/>
                <w:szCs w:val="20"/>
                <w:highlight w:val="none"/>
                <w:lang w:val="en-US" w:eastAsia="zh-CN" w:bidi="ar"/>
              </w:rPr>
              <w:t>传感器电缆套件（含电缆和扣环）</w:t>
            </w:r>
          </w:p>
        </w:tc>
        <w:tc>
          <w:tcPr>
            <w:tcW w:w="824"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color w:val="auto"/>
                <w:kern w:val="2"/>
                <w:szCs w:val="21"/>
                <w:highlight w:val="none"/>
              </w:rPr>
            </w:pPr>
            <w:r>
              <w:rPr>
                <w:rFonts w:hint="eastAsia" w:ascii="宋体" w:hAnsi="宋体" w:eastAsia="宋体" w:cs="宋体"/>
                <w:color w:val="auto"/>
                <w:kern w:val="0"/>
                <w:sz w:val="20"/>
                <w:szCs w:val="20"/>
                <w:highlight w:val="none"/>
                <w:lang w:val="en-US" w:eastAsia="zh-CN" w:bidi="ar"/>
              </w:rPr>
              <w:t>套</w:t>
            </w:r>
          </w:p>
        </w:tc>
        <w:tc>
          <w:tcPr>
            <w:tcW w:w="68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color w:val="auto"/>
                <w:kern w:val="2"/>
                <w:sz w:val="20"/>
                <w:szCs w:val="22"/>
                <w:highlight w:val="none"/>
              </w:rPr>
            </w:pPr>
            <w:r>
              <w:rPr>
                <w:rFonts w:hint="eastAsia" w:ascii="宋体" w:hAnsi="宋体" w:cs="宋体"/>
                <w:i w:val="0"/>
                <w:color w:val="auto"/>
                <w:sz w:val="24"/>
                <w:szCs w:val="24"/>
                <w:highlight w:val="none"/>
                <w:u w:val="none"/>
                <w:lang w:val="en-US" w:eastAsia="zh-CN"/>
              </w:rPr>
              <w:t>1</w:t>
            </w:r>
          </w:p>
        </w:tc>
        <w:tc>
          <w:tcPr>
            <w:tcW w:w="1283"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cs="宋体"/>
                <w:i w:val="0"/>
                <w:color w:val="auto"/>
                <w:sz w:val="24"/>
                <w:szCs w:val="24"/>
                <w:highlight w:val="none"/>
                <w:u w:val="none"/>
                <w:lang w:val="en-US" w:eastAsia="zh-CN"/>
              </w:rPr>
            </w:pPr>
          </w:p>
        </w:tc>
        <w:tc>
          <w:tcPr>
            <w:tcW w:w="108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cs="宋体"/>
                <w:i w:val="0"/>
                <w:color w:val="auto"/>
                <w:sz w:val="24"/>
                <w:szCs w:val="24"/>
                <w:highlight w:val="none"/>
                <w:u w:val="none"/>
                <w:lang w:val="en-US" w:eastAsia="zh-CN"/>
              </w:rPr>
            </w:pPr>
          </w:p>
        </w:tc>
        <w:tc>
          <w:tcPr>
            <w:tcW w:w="108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cs="宋体"/>
                <w:i w:val="0"/>
                <w:color w:val="auto"/>
                <w:sz w:val="24"/>
                <w:szCs w:val="24"/>
                <w:highlight w:val="none"/>
                <w:u w:val="none"/>
                <w:lang w:val="en-US" w:eastAsia="zh-CN"/>
              </w:rPr>
            </w:pPr>
          </w:p>
        </w:tc>
      </w:tr>
      <w:tr>
        <w:tblPrEx>
          <w:tblCellMar>
            <w:top w:w="0" w:type="dxa"/>
            <w:left w:w="108" w:type="dxa"/>
            <w:bottom w:w="0" w:type="dxa"/>
            <w:right w:w="108" w:type="dxa"/>
          </w:tblCellMar>
        </w:tblPrEx>
        <w:trPr>
          <w:trHeight w:val="562" w:hRule="atLeast"/>
        </w:trPr>
        <w:tc>
          <w:tcPr>
            <w:tcW w:w="917" w:type="dxa"/>
            <w:tcBorders>
              <w:top w:val="nil"/>
              <w:left w:val="single" w:color="auto" w:sz="4" w:space="0"/>
              <w:bottom w:val="single" w:color="auto" w:sz="4" w:space="0"/>
              <w:right w:val="single" w:color="auto" w:sz="4" w:space="0"/>
            </w:tcBorders>
            <w:shd w:val="clear" w:color="auto" w:fill="auto"/>
            <w:vAlign w:val="center"/>
          </w:tcPr>
          <w:p>
            <w:pPr>
              <w:widowControl w:val="0"/>
              <w:jc w:val="center"/>
              <w:rPr>
                <w:rFonts w:ascii="宋体" w:hAnsi="宋体" w:cs="宋体"/>
                <w:color w:val="auto"/>
                <w:kern w:val="2"/>
                <w:sz w:val="22"/>
                <w:szCs w:val="22"/>
                <w:highlight w:val="none"/>
              </w:rPr>
            </w:pPr>
            <w:r>
              <w:rPr>
                <w:rFonts w:hint="eastAsia" w:ascii="宋体" w:hAnsi="宋体" w:cs="宋体"/>
                <w:color w:val="auto"/>
                <w:kern w:val="2"/>
                <w:sz w:val="22"/>
                <w:szCs w:val="22"/>
                <w:highlight w:val="none"/>
              </w:rPr>
              <w:t>17</w:t>
            </w:r>
          </w:p>
        </w:tc>
        <w:tc>
          <w:tcPr>
            <w:tcW w:w="2925" w:type="dxa"/>
            <w:tcBorders>
              <w:top w:val="nil"/>
              <w:left w:val="single" w:color="auto" w:sz="4" w:space="0"/>
              <w:bottom w:val="single" w:color="auto" w:sz="4"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color w:val="auto"/>
                <w:kern w:val="2"/>
                <w:szCs w:val="21"/>
                <w:highlight w:val="none"/>
              </w:rPr>
            </w:pPr>
            <w:r>
              <w:rPr>
                <w:rFonts w:hint="eastAsia" w:ascii="宋体" w:hAnsi="宋体" w:eastAsia="宋体" w:cs="宋体"/>
                <w:color w:val="auto"/>
                <w:kern w:val="0"/>
                <w:sz w:val="20"/>
                <w:szCs w:val="20"/>
                <w:highlight w:val="none"/>
                <w:lang w:val="en-US" w:eastAsia="zh-CN" w:bidi="ar"/>
              </w:rPr>
              <w:t>PDC内光强传感器</w:t>
            </w:r>
          </w:p>
        </w:tc>
        <w:tc>
          <w:tcPr>
            <w:tcW w:w="824"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color w:val="auto"/>
                <w:kern w:val="2"/>
                <w:szCs w:val="21"/>
                <w:highlight w:val="none"/>
              </w:rPr>
            </w:pPr>
            <w:r>
              <w:rPr>
                <w:rFonts w:hint="eastAsia" w:ascii="宋体" w:hAnsi="宋体" w:eastAsia="宋体" w:cs="宋体"/>
                <w:color w:val="auto"/>
                <w:kern w:val="0"/>
                <w:sz w:val="20"/>
                <w:szCs w:val="20"/>
                <w:highlight w:val="none"/>
                <w:lang w:val="en-US" w:eastAsia="zh-CN" w:bidi="ar"/>
              </w:rPr>
              <w:t>套</w:t>
            </w:r>
          </w:p>
        </w:tc>
        <w:tc>
          <w:tcPr>
            <w:tcW w:w="686"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color w:val="auto"/>
                <w:kern w:val="2"/>
                <w:sz w:val="20"/>
                <w:szCs w:val="22"/>
                <w:highlight w:val="none"/>
              </w:rPr>
            </w:pPr>
            <w:r>
              <w:rPr>
                <w:rFonts w:hint="eastAsia" w:ascii="宋体" w:hAnsi="宋体" w:cs="宋体"/>
                <w:i w:val="0"/>
                <w:color w:val="auto"/>
                <w:sz w:val="24"/>
                <w:szCs w:val="24"/>
                <w:highlight w:val="none"/>
                <w:u w:val="none"/>
                <w:lang w:val="en-US" w:eastAsia="zh-CN"/>
              </w:rPr>
              <w:t>2</w:t>
            </w:r>
          </w:p>
        </w:tc>
        <w:tc>
          <w:tcPr>
            <w:tcW w:w="1283"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cs="宋体"/>
                <w:i w:val="0"/>
                <w:color w:val="auto"/>
                <w:sz w:val="24"/>
                <w:szCs w:val="24"/>
                <w:highlight w:val="none"/>
                <w:u w:val="none"/>
                <w:lang w:val="en-US" w:eastAsia="zh-CN"/>
              </w:rPr>
            </w:pPr>
          </w:p>
        </w:tc>
        <w:tc>
          <w:tcPr>
            <w:tcW w:w="1086"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cs="宋体"/>
                <w:i w:val="0"/>
                <w:color w:val="auto"/>
                <w:sz w:val="24"/>
                <w:szCs w:val="24"/>
                <w:highlight w:val="none"/>
                <w:u w:val="none"/>
                <w:lang w:val="en-US" w:eastAsia="zh-CN"/>
              </w:rPr>
            </w:pPr>
          </w:p>
        </w:tc>
        <w:tc>
          <w:tcPr>
            <w:tcW w:w="1086"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cs="宋体"/>
                <w:i w:val="0"/>
                <w:color w:val="auto"/>
                <w:sz w:val="24"/>
                <w:szCs w:val="24"/>
                <w:highlight w:val="none"/>
                <w:u w:val="none"/>
                <w:lang w:val="en-US" w:eastAsia="zh-CN"/>
              </w:rPr>
            </w:pPr>
          </w:p>
        </w:tc>
      </w:tr>
      <w:tr>
        <w:tblPrEx>
          <w:tblCellMar>
            <w:top w:w="0" w:type="dxa"/>
            <w:left w:w="108" w:type="dxa"/>
            <w:bottom w:w="0" w:type="dxa"/>
            <w:right w:w="108" w:type="dxa"/>
          </w:tblCellMar>
        </w:tblPrEx>
        <w:trPr>
          <w:trHeight w:val="512" w:hRule="atLeast"/>
        </w:trPr>
        <w:tc>
          <w:tcPr>
            <w:tcW w:w="9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jc w:val="center"/>
              <w:rPr>
                <w:rFonts w:ascii="宋体" w:hAnsi="宋体" w:cs="宋体"/>
                <w:color w:val="auto"/>
                <w:kern w:val="2"/>
                <w:sz w:val="22"/>
                <w:szCs w:val="22"/>
                <w:highlight w:val="none"/>
              </w:rPr>
            </w:pPr>
            <w:r>
              <w:rPr>
                <w:rFonts w:hint="eastAsia" w:ascii="宋体" w:hAnsi="宋体" w:cs="宋体"/>
                <w:color w:val="auto"/>
                <w:kern w:val="2"/>
                <w:sz w:val="22"/>
                <w:szCs w:val="22"/>
                <w:highlight w:val="none"/>
              </w:rPr>
              <w:t>18</w:t>
            </w:r>
          </w:p>
        </w:tc>
        <w:tc>
          <w:tcPr>
            <w:tcW w:w="29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color w:val="auto"/>
                <w:kern w:val="2"/>
                <w:szCs w:val="21"/>
                <w:highlight w:val="none"/>
              </w:rPr>
            </w:pPr>
            <w:r>
              <w:rPr>
                <w:rFonts w:hint="eastAsia" w:ascii="宋体" w:hAnsi="宋体" w:eastAsia="宋体" w:cs="宋体"/>
                <w:color w:val="auto"/>
                <w:kern w:val="0"/>
                <w:sz w:val="20"/>
                <w:szCs w:val="20"/>
                <w:highlight w:val="none"/>
                <w:lang w:val="en-US" w:eastAsia="zh-CN" w:bidi="ar"/>
              </w:rPr>
              <w:t>液压过滤器</w:t>
            </w: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color w:val="auto"/>
                <w:kern w:val="2"/>
                <w:szCs w:val="21"/>
                <w:highlight w:val="none"/>
              </w:rPr>
            </w:pPr>
            <w:r>
              <w:rPr>
                <w:rFonts w:hint="eastAsia" w:ascii="宋体" w:hAnsi="宋体" w:eastAsia="宋体" w:cs="宋体"/>
                <w:color w:val="auto"/>
                <w:kern w:val="0"/>
                <w:sz w:val="20"/>
                <w:szCs w:val="20"/>
                <w:highlight w:val="none"/>
                <w:lang w:val="en-US" w:eastAsia="zh-CN" w:bidi="ar"/>
              </w:rPr>
              <w:t>个</w:t>
            </w:r>
          </w:p>
        </w:tc>
        <w:tc>
          <w:tcPr>
            <w:tcW w:w="6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color w:val="auto"/>
                <w:kern w:val="2"/>
                <w:sz w:val="20"/>
                <w:szCs w:val="22"/>
                <w:highlight w:val="none"/>
              </w:rPr>
            </w:pPr>
            <w:r>
              <w:rPr>
                <w:rFonts w:hint="eastAsia" w:ascii="宋体" w:hAnsi="宋体" w:cs="宋体"/>
                <w:i w:val="0"/>
                <w:color w:val="auto"/>
                <w:sz w:val="24"/>
                <w:szCs w:val="24"/>
                <w:highlight w:val="none"/>
                <w:u w:val="none"/>
                <w:lang w:val="en-US" w:eastAsia="zh-CN"/>
              </w:rPr>
              <w:t>3</w:t>
            </w:r>
          </w:p>
        </w:tc>
        <w:tc>
          <w:tcPr>
            <w:tcW w:w="12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cs="宋体"/>
                <w:i w:val="0"/>
                <w:color w:val="auto"/>
                <w:sz w:val="24"/>
                <w:szCs w:val="24"/>
                <w:highlight w:val="none"/>
                <w:u w:val="none"/>
                <w:lang w:val="en-US" w:eastAsia="zh-CN"/>
              </w:rPr>
            </w:pPr>
          </w:p>
        </w:tc>
        <w:tc>
          <w:tcPr>
            <w:tcW w:w="10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cs="宋体"/>
                <w:i w:val="0"/>
                <w:color w:val="auto"/>
                <w:sz w:val="24"/>
                <w:szCs w:val="24"/>
                <w:highlight w:val="none"/>
                <w:u w:val="none"/>
                <w:lang w:val="en-US" w:eastAsia="zh-CN"/>
              </w:rPr>
            </w:pPr>
          </w:p>
        </w:tc>
        <w:tc>
          <w:tcPr>
            <w:tcW w:w="10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cs="宋体"/>
                <w:i w:val="0"/>
                <w:color w:val="auto"/>
                <w:sz w:val="24"/>
                <w:szCs w:val="24"/>
                <w:highlight w:val="none"/>
                <w:u w:val="none"/>
                <w:lang w:val="en-US" w:eastAsia="zh-CN"/>
              </w:rPr>
            </w:pPr>
          </w:p>
        </w:tc>
      </w:tr>
      <w:tr>
        <w:tblPrEx>
          <w:tblCellMar>
            <w:top w:w="0" w:type="dxa"/>
            <w:left w:w="108" w:type="dxa"/>
            <w:bottom w:w="0" w:type="dxa"/>
            <w:right w:w="108" w:type="dxa"/>
          </w:tblCellMar>
        </w:tblPrEx>
        <w:trPr>
          <w:trHeight w:val="612" w:hRule="atLeast"/>
        </w:trPr>
        <w:tc>
          <w:tcPr>
            <w:tcW w:w="8807"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合计：  元</w:t>
            </w:r>
          </w:p>
        </w:tc>
      </w:tr>
    </w:tbl>
    <w:p>
      <w:pPr>
        <w:pStyle w:val="22"/>
        <w:ind w:firstLine="0"/>
        <w:rPr>
          <w:rFonts w:hint="eastAsia"/>
          <w:color w:val="auto"/>
          <w:highlight w:val="none"/>
          <w:lang w:val="en-US" w:eastAsia="zh-CN"/>
        </w:rPr>
      </w:pPr>
    </w:p>
    <w:p>
      <w:pPr>
        <w:adjustRightInd w:val="0"/>
        <w:snapToGrid w:val="0"/>
        <w:spacing w:line="600" w:lineRule="exact"/>
        <w:ind w:firstLine="570"/>
        <w:rPr>
          <w:rFonts w:hint="default"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龙归：</w:t>
      </w:r>
    </w:p>
    <w:tbl>
      <w:tblPr>
        <w:tblStyle w:val="23"/>
        <w:tblW w:w="940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981"/>
        <w:gridCol w:w="2605"/>
        <w:gridCol w:w="933"/>
        <w:gridCol w:w="1200"/>
        <w:gridCol w:w="1320"/>
        <w:gridCol w:w="1245"/>
        <w:gridCol w:w="11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序号</w:t>
            </w:r>
          </w:p>
        </w:tc>
        <w:tc>
          <w:tcPr>
            <w:tcW w:w="2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名称</w:t>
            </w:r>
          </w:p>
        </w:tc>
        <w:tc>
          <w:tcPr>
            <w:tcW w:w="9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单位</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数量</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jc w:val="center"/>
              <w:rPr>
                <w:rFonts w:hint="eastAsia" w:ascii="宋体" w:hAnsi="宋体" w:cs="宋体" w:eastAsiaTheme="minorEastAsia"/>
                <w:b/>
                <w:bCs/>
                <w:color w:val="auto"/>
                <w:kern w:val="2"/>
                <w:sz w:val="21"/>
                <w:szCs w:val="21"/>
                <w:highlight w:val="none"/>
                <w:lang w:val="en-US" w:eastAsia="zh-CN" w:bidi="ar-SA"/>
              </w:rPr>
            </w:pPr>
            <w:r>
              <w:rPr>
                <w:rFonts w:hint="eastAsia" w:ascii="宋体" w:hAnsi="宋体" w:cs="宋体"/>
                <w:b/>
                <w:bCs/>
                <w:color w:val="auto"/>
                <w:kern w:val="2"/>
                <w:szCs w:val="21"/>
                <w:highlight w:val="none"/>
                <w:lang w:val="en-US" w:eastAsia="zh-CN"/>
              </w:rPr>
              <w:t>品牌型号</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jc w:val="center"/>
              <w:rPr>
                <w:rFonts w:hint="eastAsia" w:ascii="宋体" w:hAnsi="宋体" w:cs="宋体" w:eastAsiaTheme="minorEastAsia"/>
                <w:b/>
                <w:bCs/>
                <w:color w:val="auto"/>
                <w:kern w:val="2"/>
                <w:sz w:val="21"/>
                <w:szCs w:val="21"/>
                <w:highlight w:val="none"/>
                <w:lang w:val="en-US" w:eastAsia="zh-CN" w:bidi="ar-SA"/>
              </w:rPr>
            </w:pPr>
            <w:r>
              <w:rPr>
                <w:rFonts w:hint="eastAsia" w:ascii="宋体" w:hAnsi="宋体" w:cs="宋体"/>
                <w:b/>
                <w:bCs/>
                <w:color w:val="auto"/>
                <w:kern w:val="2"/>
                <w:szCs w:val="21"/>
                <w:highlight w:val="none"/>
                <w:lang w:val="en-US" w:eastAsia="zh-CN"/>
              </w:rPr>
              <w:t>单价（含税）</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jc w:val="center"/>
              <w:rPr>
                <w:rFonts w:hint="eastAsia" w:ascii="宋体" w:hAnsi="宋体" w:cs="宋体" w:eastAsiaTheme="minorEastAsia"/>
                <w:b/>
                <w:bCs/>
                <w:color w:val="auto"/>
                <w:kern w:val="2"/>
                <w:sz w:val="21"/>
                <w:szCs w:val="21"/>
                <w:highlight w:val="none"/>
                <w:lang w:val="en-US" w:eastAsia="zh-CN" w:bidi="ar-SA"/>
              </w:rPr>
            </w:pPr>
            <w:r>
              <w:rPr>
                <w:rFonts w:hint="eastAsia" w:ascii="宋体" w:hAnsi="宋体" w:cs="宋体"/>
                <w:b/>
                <w:bCs/>
                <w:color w:val="auto"/>
                <w:kern w:val="2"/>
                <w:szCs w:val="21"/>
                <w:highlight w:val="none"/>
                <w:lang w:val="en-US" w:eastAsia="zh-CN"/>
              </w:rPr>
              <w:t>总价（含税）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2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紫外灯管</w:t>
            </w:r>
          </w:p>
        </w:tc>
        <w:tc>
          <w:tcPr>
            <w:tcW w:w="9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288</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7"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2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石英套管</w:t>
            </w:r>
          </w:p>
        </w:tc>
        <w:tc>
          <w:tcPr>
            <w:tcW w:w="9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144</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2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套管密封圈</w:t>
            </w:r>
          </w:p>
        </w:tc>
        <w:tc>
          <w:tcPr>
            <w:tcW w:w="9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包</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29</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2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光强传感器套管</w:t>
            </w:r>
          </w:p>
        </w:tc>
        <w:tc>
          <w:tcPr>
            <w:tcW w:w="9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2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CCB板（子板）</w:t>
            </w:r>
          </w:p>
        </w:tc>
        <w:tc>
          <w:tcPr>
            <w:tcW w:w="9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块</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2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CCB板（母板）</w:t>
            </w:r>
          </w:p>
        </w:tc>
        <w:tc>
          <w:tcPr>
            <w:tcW w:w="9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块</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2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模块电缆线</w:t>
            </w:r>
          </w:p>
        </w:tc>
        <w:tc>
          <w:tcPr>
            <w:tcW w:w="9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块</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2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PDC内光强传感器电缆线（连接CCB板和传感器电缆, 包含插头）</w:t>
            </w:r>
          </w:p>
        </w:tc>
        <w:tc>
          <w:tcPr>
            <w:tcW w:w="9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9</w:t>
            </w:r>
          </w:p>
        </w:tc>
        <w:tc>
          <w:tcPr>
            <w:tcW w:w="2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液压杆</w:t>
            </w:r>
          </w:p>
        </w:tc>
        <w:tc>
          <w:tcPr>
            <w:tcW w:w="9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2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液压油</w:t>
            </w:r>
          </w:p>
        </w:tc>
        <w:tc>
          <w:tcPr>
            <w:tcW w:w="9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桶</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11</w:t>
            </w:r>
          </w:p>
        </w:tc>
        <w:tc>
          <w:tcPr>
            <w:tcW w:w="2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清洗凝胶</w:t>
            </w:r>
          </w:p>
        </w:tc>
        <w:tc>
          <w:tcPr>
            <w:tcW w:w="9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箱</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c>
          <w:tcPr>
            <w:tcW w:w="2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擦拭器密封件（包含一根短弗橡胶管）</w:t>
            </w:r>
          </w:p>
        </w:tc>
        <w:tc>
          <w:tcPr>
            <w:tcW w:w="9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13</w:t>
            </w:r>
          </w:p>
        </w:tc>
        <w:tc>
          <w:tcPr>
            <w:tcW w:w="2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UV3+（直头）（白色连接头）</w:t>
            </w:r>
          </w:p>
        </w:tc>
        <w:tc>
          <w:tcPr>
            <w:tcW w:w="9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包</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64"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14</w:t>
            </w:r>
          </w:p>
        </w:tc>
        <w:tc>
          <w:tcPr>
            <w:tcW w:w="2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第1个清洗罐（标准模块）</w:t>
            </w:r>
          </w:p>
        </w:tc>
        <w:tc>
          <w:tcPr>
            <w:tcW w:w="9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65"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21"/>
                <w:szCs w:val="21"/>
                <w:highlight w:val="none"/>
                <w:u w:val="none"/>
                <w:lang w:val="en-US"/>
              </w:rPr>
            </w:pPr>
            <w:r>
              <w:rPr>
                <w:rFonts w:hint="eastAsia" w:ascii="宋体" w:hAnsi="宋体" w:eastAsia="宋体" w:cs="宋体"/>
                <w:i w:val="0"/>
                <w:color w:val="auto"/>
                <w:kern w:val="0"/>
                <w:sz w:val="21"/>
                <w:szCs w:val="21"/>
                <w:highlight w:val="none"/>
                <w:u w:val="none"/>
                <w:lang w:val="en-US" w:eastAsia="zh-CN" w:bidi="ar"/>
              </w:rPr>
              <w:t>15</w:t>
            </w:r>
          </w:p>
        </w:tc>
        <w:tc>
          <w:tcPr>
            <w:tcW w:w="2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防锈剂</w:t>
            </w:r>
          </w:p>
        </w:tc>
        <w:tc>
          <w:tcPr>
            <w:tcW w:w="9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瓶</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2</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80" w:hRule="atLeast"/>
        </w:trPr>
        <w:tc>
          <w:tcPr>
            <w:tcW w:w="9409"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合计：  元</w:t>
            </w:r>
          </w:p>
        </w:tc>
      </w:tr>
    </w:tbl>
    <w:p>
      <w:pPr>
        <w:adjustRightInd w:val="0"/>
        <w:snapToGrid w:val="0"/>
        <w:spacing w:line="600" w:lineRule="exact"/>
        <w:ind w:firstLine="570"/>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竹料：</w:t>
      </w:r>
    </w:p>
    <w:tbl>
      <w:tblPr>
        <w:tblStyle w:val="23"/>
        <w:tblW w:w="944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981"/>
        <w:gridCol w:w="2028"/>
        <w:gridCol w:w="1382"/>
        <w:gridCol w:w="1263"/>
        <w:gridCol w:w="1263"/>
        <w:gridCol w:w="1263"/>
        <w:gridCol w:w="12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序号</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名称</w:t>
            </w:r>
          </w:p>
        </w:tc>
        <w:tc>
          <w:tcPr>
            <w:tcW w:w="13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单位</w:t>
            </w:r>
          </w:p>
        </w:tc>
        <w:tc>
          <w:tcPr>
            <w:tcW w:w="1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数量</w:t>
            </w:r>
          </w:p>
        </w:tc>
        <w:tc>
          <w:tcPr>
            <w:tcW w:w="1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jc w:val="center"/>
              <w:rPr>
                <w:rFonts w:hint="eastAsia" w:ascii="宋体" w:hAnsi="宋体" w:eastAsia="宋体" w:cs="宋体"/>
                <w:b/>
                <w:i w:val="0"/>
                <w:color w:val="auto"/>
                <w:kern w:val="0"/>
                <w:sz w:val="21"/>
                <w:szCs w:val="21"/>
                <w:highlight w:val="none"/>
                <w:u w:val="none"/>
                <w:lang w:val="en-US" w:eastAsia="zh-CN" w:bidi="ar"/>
              </w:rPr>
            </w:pPr>
            <w:r>
              <w:rPr>
                <w:rFonts w:hint="eastAsia" w:ascii="宋体" w:hAnsi="宋体" w:cs="宋体"/>
                <w:b/>
                <w:bCs/>
                <w:color w:val="auto"/>
                <w:kern w:val="2"/>
                <w:szCs w:val="21"/>
                <w:highlight w:val="none"/>
                <w:lang w:val="en-US" w:eastAsia="zh-CN"/>
              </w:rPr>
              <w:t>品牌型号</w:t>
            </w:r>
          </w:p>
        </w:tc>
        <w:tc>
          <w:tcPr>
            <w:tcW w:w="1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jc w:val="center"/>
              <w:rPr>
                <w:rFonts w:hint="eastAsia" w:ascii="宋体" w:hAnsi="宋体" w:eastAsia="宋体" w:cs="宋体"/>
                <w:b/>
                <w:i w:val="0"/>
                <w:color w:val="auto"/>
                <w:kern w:val="0"/>
                <w:sz w:val="21"/>
                <w:szCs w:val="21"/>
                <w:highlight w:val="none"/>
                <w:u w:val="none"/>
                <w:lang w:val="en-US" w:eastAsia="zh-CN" w:bidi="ar"/>
              </w:rPr>
            </w:pPr>
            <w:r>
              <w:rPr>
                <w:rFonts w:hint="eastAsia" w:ascii="宋体" w:hAnsi="宋体" w:cs="宋体"/>
                <w:b/>
                <w:bCs/>
                <w:color w:val="auto"/>
                <w:kern w:val="2"/>
                <w:szCs w:val="21"/>
                <w:highlight w:val="none"/>
                <w:lang w:val="en-US" w:eastAsia="zh-CN"/>
              </w:rPr>
              <w:t>单价（含税）</w:t>
            </w:r>
          </w:p>
        </w:tc>
        <w:tc>
          <w:tcPr>
            <w:tcW w:w="1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jc w:val="center"/>
              <w:rPr>
                <w:rFonts w:hint="eastAsia" w:ascii="宋体" w:hAnsi="宋体" w:eastAsia="宋体" w:cs="宋体"/>
                <w:b/>
                <w:i w:val="0"/>
                <w:color w:val="auto"/>
                <w:kern w:val="0"/>
                <w:sz w:val="21"/>
                <w:szCs w:val="21"/>
                <w:highlight w:val="none"/>
                <w:u w:val="none"/>
                <w:lang w:val="en-US" w:eastAsia="zh-CN" w:bidi="ar"/>
              </w:rPr>
            </w:pPr>
            <w:r>
              <w:rPr>
                <w:rFonts w:hint="eastAsia" w:ascii="宋体" w:hAnsi="宋体" w:cs="宋体"/>
                <w:b/>
                <w:bCs/>
                <w:color w:val="auto"/>
                <w:kern w:val="2"/>
                <w:szCs w:val="21"/>
                <w:highlight w:val="none"/>
                <w:lang w:val="en-US" w:eastAsia="zh-CN"/>
              </w:rPr>
              <w:t>总价（含税）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5"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iCs w:val="0"/>
                <w:color w:val="auto"/>
                <w:kern w:val="0"/>
                <w:sz w:val="21"/>
                <w:szCs w:val="21"/>
                <w:highlight w:val="none"/>
                <w:u w:val="none"/>
                <w:lang w:val="en-US" w:eastAsia="zh-CN" w:bidi="ar"/>
              </w:rPr>
              <w:t>一期及扩建</w:t>
            </w:r>
            <w:r>
              <w:rPr>
                <w:rFonts w:hint="eastAsia" w:ascii="宋体" w:hAnsi="宋体" w:eastAsia="宋体" w:cs="宋体"/>
                <w:i w:val="0"/>
                <w:iCs w:val="0"/>
                <w:color w:val="auto"/>
                <w:kern w:val="0"/>
                <w:sz w:val="21"/>
                <w:szCs w:val="21"/>
                <w:highlight w:val="none"/>
                <w:u w:val="none"/>
                <w:lang w:val="en-US" w:eastAsia="zh-CN" w:bidi="ar"/>
              </w:rPr>
              <w:t>紫外灯管</w:t>
            </w:r>
          </w:p>
        </w:tc>
        <w:tc>
          <w:tcPr>
            <w:tcW w:w="13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w:t>
            </w:r>
          </w:p>
        </w:tc>
        <w:tc>
          <w:tcPr>
            <w:tcW w:w="1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21"/>
                <w:szCs w:val="21"/>
                <w:highlight w:val="none"/>
                <w:u w:val="none"/>
                <w:lang w:val="en-US"/>
              </w:rPr>
            </w:pPr>
            <w:r>
              <w:rPr>
                <w:rFonts w:hint="eastAsia" w:ascii="宋体" w:hAnsi="宋体" w:cs="宋体"/>
                <w:i w:val="0"/>
                <w:iCs w:val="0"/>
                <w:color w:val="auto"/>
                <w:kern w:val="0"/>
                <w:sz w:val="21"/>
                <w:szCs w:val="21"/>
                <w:highlight w:val="none"/>
                <w:u w:val="none"/>
                <w:lang w:val="en-US" w:eastAsia="zh-CN" w:bidi="ar"/>
              </w:rPr>
              <w:t>132</w:t>
            </w:r>
          </w:p>
        </w:tc>
        <w:tc>
          <w:tcPr>
            <w:tcW w:w="1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iCs w:val="0"/>
                <w:color w:val="auto"/>
                <w:kern w:val="0"/>
                <w:sz w:val="21"/>
                <w:szCs w:val="21"/>
                <w:highlight w:val="none"/>
                <w:u w:val="none"/>
                <w:lang w:val="en-US" w:eastAsia="zh-CN" w:bidi="ar"/>
              </w:rPr>
            </w:pPr>
          </w:p>
        </w:tc>
        <w:tc>
          <w:tcPr>
            <w:tcW w:w="1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iCs w:val="0"/>
                <w:color w:val="auto"/>
                <w:kern w:val="0"/>
                <w:sz w:val="21"/>
                <w:szCs w:val="21"/>
                <w:highlight w:val="none"/>
                <w:u w:val="none"/>
                <w:lang w:val="en-US" w:eastAsia="zh-CN" w:bidi="ar"/>
              </w:rPr>
            </w:pPr>
          </w:p>
        </w:tc>
        <w:tc>
          <w:tcPr>
            <w:tcW w:w="1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40"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iCs w:val="0"/>
                <w:color w:val="auto"/>
                <w:kern w:val="0"/>
                <w:sz w:val="22"/>
                <w:szCs w:val="22"/>
                <w:highlight w:val="none"/>
                <w:u w:val="none"/>
                <w:lang w:val="en-US" w:eastAsia="zh-CN" w:bidi="ar"/>
              </w:rPr>
              <w:t>2</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石英套管</w:t>
            </w:r>
          </w:p>
        </w:tc>
        <w:tc>
          <w:tcPr>
            <w:tcW w:w="13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w:t>
            </w:r>
          </w:p>
        </w:tc>
        <w:tc>
          <w:tcPr>
            <w:tcW w:w="1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iCs w:val="0"/>
                <w:color w:val="auto"/>
                <w:kern w:val="0"/>
                <w:sz w:val="21"/>
                <w:szCs w:val="21"/>
                <w:highlight w:val="none"/>
                <w:u w:val="none"/>
                <w:lang w:val="en-US" w:eastAsia="zh-CN" w:bidi="ar"/>
              </w:rPr>
              <w:t>112</w:t>
            </w:r>
          </w:p>
        </w:tc>
        <w:tc>
          <w:tcPr>
            <w:tcW w:w="1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iCs w:val="0"/>
                <w:color w:val="auto"/>
                <w:kern w:val="0"/>
                <w:sz w:val="21"/>
                <w:szCs w:val="21"/>
                <w:highlight w:val="none"/>
                <w:u w:val="none"/>
                <w:lang w:val="en-US" w:eastAsia="zh-CN" w:bidi="ar"/>
              </w:rPr>
            </w:pPr>
          </w:p>
        </w:tc>
        <w:tc>
          <w:tcPr>
            <w:tcW w:w="1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iCs w:val="0"/>
                <w:color w:val="auto"/>
                <w:kern w:val="0"/>
                <w:sz w:val="21"/>
                <w:szCs w:val="21"/>
                <w:highlight w:val="none"/>
                <w:u w:val="none"/>
                <w:lang w:val="en-US" w:eastAsia="zh-CN" w:bidi="ar"/>
              </w:rPr>
            </w:pPr>
          </w:p>
        </w:tc>
        <w:tc>
          <w:tcPr>
            <w:tcW w:w="1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40"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iCs w:val="0"/>
                <w:color w:val="auto"/>
                <w:kern w:val="0"/>
                <w:sz w:val="22"/>
                <w:szCs w:val="22"/>
                <w:highlight w:val="none"/>
                <w:u w:val="none"/>
                <w:lang w:val="en-US" w:eastAsia="zh-CN" w:bidi="ar"/>
              </w:rPr>
              <w:t>3</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iCs w:val="0"/>
                <w:color w:val="auto"/>
                <w:kern w:val="0"/>
                <w:sz w:val="21"/>
                <w:szCs w:val="21"/>
                <w:highlight w:val="none"/>
                <w:u w:val="none"/>
                <w:lang w:val="en-US" w:eastAsia="zh-CN" w:bidi="ar"/>
              </w:rPr>
              <w:t>镇流器</w:t>
            </w:r>
          </w:p>
        </w:tc>
        <w:tc>
          <w:tcPr>
            <w:tcW w:w="13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iCs w:val="0"/>
                <w:color w:val="auto"/>
                <w:kern w:val="0"/>
                <w:sz w:val="21"/>
                <w:szCs w:val="21"/>
                <w:highlight w:val="none"/>
                <w:u w:val="none"/>
                <w:lang w:val="en-US" w:eastAsia="zh-CN" w:bidi="ar"/>
              </w:rPr>
              <w:t>个</w:t>
            </w:r>
          </w:p>
        </w:tc>
        <w:tc>
          <w:tcPr>
            <w:tcW w:w="1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iCs w:val="0"/>
                <w:color w:val="auto"/>
                <w:kern w:val="0"/>
                <w:sz w:val="21"/>
                <w:szCs w:val="21"/>
                <w:highlight w:val="none"/>
                <w:u w:val="none"/>
                <w:lang w:val="en-US" w:eastAsia="zh-CN" w:bidi="ar"/>
              </w:rPr>
              <w:t>10</w:t>
            </w:r>
          </w:p>
        </w:tc>
        <w:tc>
          <w:tcPr>
            <w:tcW w:w="1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iCs w:val="0"/>
                <w:color w:val="auto"/>
                <w:kern w:val="0"/>
                <w:sz w:val="21"/>
                <w:szCs w:val="21"/>
                <w:highlight w:val="none"/>
                <w:u w:val="none"/>
                <w:lang w:val="en-US" w:eastAsia="zh-CN" w:bidi="ar"/>
              </w:rPr>
            </w:pPr>
          </w:p>
        </w:tc>
        <w:tc>
          <w:tcPr>
            <w:tcW w:w="1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iCs w:val="0"/>
                <w:color w:val="auto"/>
                <w:kern w:val="0"/>
                <w:sz w:val="21"/>
                <w:szCs w:val="21"/>
                <w:highlight w:val="none"/>
                <w:u w:val="none"/>
                <w:lang w:val="en-US" w:eastAsia="zh-CN" w:bidi="ar"/>
              </w:rPr>
            </w:pPr>
          </w:p>
        </w:tc>
        <w:tc>
          <w:tcPr>
            <w:tcW w:w="1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5"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iCs w:val="0"/>
                <w:color w:val="auto"/>
                <w:kern w:val="0"/>
                <w:sz w:val="22"/>
                <w:szCs w:val="22"/>
                <w:highlight w:val="none"/>
                <w:u w:val="none"/>
                <w:lang w:val="en-US" w:eastAsia="zh-CN" w:bidi="ar"/>
              </w:rPr>
              <w:t>4</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0"/>
                <w:szCs w:val="20"/>
                <w:highlight w:val="none"/>
                <w:u w:val="none"/>
                <w:lang w:val="en-US" w:eastAsia="zh-CN" w:bidi="ar"/>
              </w:rPr>
              <w:t>6A保险管</w:t>
            </w:r>
          </w:p>
        </w:tc>
        <w:tc>
          <w:tcPr>
            <w:tcW w:w="13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iCs w:val="0"/>
                <w:color w:val="auto"/>
                <w:kern w:val="0"/>
                <w:sz w:val="21"/>
                <w:szCs w:val="21"/>
                <w:highlight w:val="none"/>
                <w:u w:val="none"/>
                <w:lang w:val="en-US" w:eastAsia="zh-CN" w:bidi="ar"/>
              </w:rPr>
              <w:t>条</w:t>
            </w:r>
          </w:p>
        </w:tc>
        <w:tc>
          <w:tcPr>
            <w:tcW w:w="1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iCs w:val="0"/>
                <w:color w:val="auto"/>
                <w:kern w:val="0"/>
                <w:sz w:val="21"/>
                <w:szCs w:val="21"/>
                <w:highlight w:val="none"/>
                <w:u w:val="none"/>
                <w:lang w:val="en-US" w:eastAsia="zh-CN" w:bidi="ar"/>
              </w:rPr>
              <w:t>10</w:t>
            </w:r>
          </w:p>
        </w:tc>
        <w:tc>
          <w:tcPr>
            <w:tcW w:w="1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iCs w:val="0"/>
                <w:color w:val="auto"/>
                <w:kern w:val="0"/>
                <w:sz w:val="21"/>
                <w:szCs w:val="21"/>
                <w:highlight w:val="none"/>
                <w:u w:val="none"/>
                <w:lang w:val="en-US" w:eastAsia="zh-CN" w:bidi="ar"/>
              </w:rPr>
            </w:pPr>
          </w:p>
        </w:tc>
        <w:tc>
          <w:tcPr>
            <w:tcW w:w="1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iCs w:val="0"/>
                <w:color w:val="auto"/>
                <w:kern w:val="0"/>
                <w:sz w:val="21"/>
                <w:szCs w:val="21"/>
                <w:highlight w:val="none"/>
                <w:u w:val="none"/>
                <w:lang w:val="en-US" w:eastAsia="zh-CN" w:bidi="ar"/>
              </w:rPr>
            </w:pPr>
          </w:p>
        </w:tc>
        <w:tc>
          <w:tcPr>
            <w:tcW w:w="1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40"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iCs w:val="0"/>
                <w:color w:val="auto"/>
                <w:kern w:val="0"/>
                <w:sz w:val="22"/>
                <w:szCs w:val="22"/>
                <w:highlight w:val="none"/>
                <w:u w:val="none"/>
                <w:lang w:val="en-US" w:eastAsia="zh-CN" w:bidi="ar"/>
              </w:rPr>
              <w:t>5</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0"/>
                <w:szCs w:val="20"/>
                <w:highlight w:val="none"/>
                <w:u w:val="none"/>
                <w:lang w:val="en-US" w:eastAsia="zh-CN" w:bidi="ar"/>
              </w:rPr>
              <w:t>15A保险管</w:t>
            </w:r>
          </w:p>
        </w:tc>
        <w:tc>
          <w:tcPr>
            <w:tcW w:w="13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iCs w:val="0"/>
                <w:color w:val="auto"/>
                <w:kern w:val="0"/>
                <w:sz w:val="21"/>
                <w:szCs w:val="21"/>
                <w:highlight w:val="none"/>
                <w:u w:val="none"/>
                <w:lang w:val="en-US" w:eastAsia="zh-CN" w:bidi="ar"/>
              </w:rPr>
              <w:t>条</w:t>
            </w:r>
          </w:p>
        </w:tc>
        <w:tc>
          <w:tcPr>
            <w:tcW w:w="1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iCs w:val="0"/>
                <w:color w:val="auto"/>
                <w:kern w:val="0"/>
                <w:sz w:val="21"/>
                <w:szCs w:val="21"/>
                <w:highlight w:val="none"/>
                <w:u w:val="none"/>
                <w:lang w:val="en-US" w:eastAsia="zh-CN" w:bidi="ar"/>
              </w:rPr>
              <w:t>10</w:t>
            </w:r>
          </w:p>
        </w:tc>
        <w:tc>
          <w:tcPr>
            <w:tcW w:w="1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iCs w:val="0"/>
                <w:color w:val="auto"/>
                <w:kern w:val="0"/>
                <w:sz w:val="21"/>
                <w:szCs w:val="21"/>
                <w:highlight w:val="none"/>
                <w:u w:val="none"/>
                <w:lang w:val="en-US" w:eastAsia="zh-CN" w:bidi="ar"/>
              </w:rPr>
            </w:pPr>
          </w:p>
        </w:tc>
        <w:tc>
          <w:tcPr>
            <w:tcW w:w="1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iCs w:val="0"/>
                <w:color w:val="auto"/>
                <w:kern w:val="0"/>
                <w:sz w:val="21"/>
                <w:szCs w:val="21"/>
                <w:highlight w:val="none"/>
                <w:u w:val="none"/>
                <w:lang w:val="en-US" w:eastAsia="zh-CN" w:bidi="ar"/>
              </w:rPr>
            </w:pPr>
          </w:p>
        </w:tc>
        <w:tc>
          <w:tcPr>
            <w:tcW w:w="1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30"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iCs w:val="0"/>
                <w:color w:val="auto"/>
                <w:kern w:val="0"/>
                <w:sz w:val="22"/>
                <w:szCs w:val="22"/>
                <w:highlight w:val="none"/>
                <w:u w:val="none"/>
                <w:lang w:val="en-US" w:eastAsia="zh-CN" w:bidi="ar"/>
              </w:rPr>
              <w:t>6</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0"/>
                <w:szCs w:val="20"/>
                <w:highlight w:val="none"/>
                <w:u w:val="none"/>
                <w:lang w:val="en-US" w:eastAsia="zh-CN" w:bidi="ar"/>
              </w:rPr>
              <w:t>液压过滤器</w:t>
            </w:r>
          </w:p>
        </w:tc>
        <w:tc>
          <w:tcPr>
            <w:tcW w:w="13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iCs w:val="0"/>
                <w:color w:val="auto"/>
                <w:kern w:val="0"/>
                <w:sz w:val="21"/>
                <w:szCs w:val="21"/>
                <w:highlight w:val="none"/>
                <w:u w:val="none"/>
                <w:lang w:val="en-US" w:eastAsia="zh-CN" w:bidi="ar"/>
              </w:rPr>
              <w:t>个</w:t>
            </w:r>
          </w:p>
        </w:tc>
        <w:tc>
          <w:tcPr>
            <w:tcW w:w="1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iCs w:val="0"/>
                <w:color w:val="auto"/>
                <w:kern w:val="0"/>
                <w:sz w:val="21"/>
                <w:szCs w:val="21"/>
                <w:highlight w:val="none"/>
                <w:u w:val="none"/>
                <w:lang w:val="en-US" w:eastAsia="zh-CN" w:bidi="ar"/>
              </w:rPr>
              <w:t>2</w:t>
            </w:r>
          </w:p>
        </w:tc>
        <w:tc>
          <w:tcPr>
            <w:tcW w:w="1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iCs w:val="0"/>
                <w:color w:val="auto"/>
                <w:kern w:val="0"/>
                <w:sz w:val="21"/>
                <w:szCs w:val="21"/>
                <w:highlight w:val="none"/>
                <w:u w:val="none"/>
                <w:lang w:val="en-US" w:eastAsia="zh-CN" w:bidi="ar"/>
              </w:rPr>
            </w:pPr>
          </w:p>
        </w:tc>
        <w:tc>
          <w:tcPr>
            <w:tcW w:w="1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iCs w:val="0"/>
                <w:color w:val="auto"/>
                <w:kern w:val="0"/>
                <w:sz w:val="21"/>
                <w:szCs w:val="21"/>
                <w:highlight w:val="none"/>
                <w:u w:val="none"/>
                <w:lang w:val="en-US" w:eastAsia="zh-CN" w:bidi="ar"/>
              </w:rPr>
            </w:pPr>
          </w:p>
        </w:tc>
        <w:tc>
          <w:tcPr>
            <w:tcW w:w="1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lang w:val="en-US" w:eastAsia="zh-CN"/>
              </w:rPr>
            </w:pPr>
            <w:r>
              <w:rPr>
                <w:rFonts w:hint="eastAsia" w:ascii="宋体" w:hAnsi="宋体" w:eastAsia="宋体" w:cs="宋体"/>
                <w:i w:val="0"/>
                <w:color w:val="auto"/>
                <w:sz w:val="21"/>
                <w:szCs w:val="21"/>
                <w:highlight w:val="none"/>
                <w:u w:val="none"/>
                <w:lang w:val="en-US" w:eastAsia="zh-CN"/>
              </w:rPr>
              <w:t>7</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液压杆润滑油脂</w:t>
            </w:r>
          </w:p>
        </w:tc>
        <w:tc>
          <w:tcPr>
            <w:tcW w:w="13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iCs w:val="0"/>
                <w:color w:val="auto"/>
                <w:kern w:val="0"/>
                <w:sz w:val="21"/>
                <w:szCs w:val="21"/>
                <w:highlight w:val="none"/>
                <w:u w:val="none"/>
                <w:lang w:val="en-US" w:eastAsia="zh-CN" w:bidi="ar"/>
              </w:rPr>
              <w:t>箱</w:t>
            </w:r>
          </w:p>
        </w:tc>
        <w:tc>
          <w:tcPr>
            <w:tcW w:w="1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lang w:val="en-US" w:eastAsia="zh-CN"/>
              </w:rPr>
            </w:pPr>
            <w:r>
              <w:rPr>
                <w:rFonts w:hint="eastAsia" w:ascii="宋体" w:hAnsi="宋体" w:eastAsia="宋体" w:cs="宋体"/>
                <w:i w:val="0"/>
                <w:color w:val="auto"/>
                <w:sz w:val="21"/>
                <w:szCs w:val="21"/>
                <w:highlight w:val="none"/>
                <w:u w:val="none"/>
                <w:lang w:val="en-US" w:eastAsia="zh-CN"/>
              </w:rPr>
              <w:t>2</w:t>
            </w:r>
          </w:p>
        </w:tc>
        <w:tc>
          <w:tcPr>
            <w:tcW w:w="1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lang w:val="en-US" w:eastAsia="zh-CN"/>
              </w:rPr>
            </w:pPr>
          </w:p>
        </w:tc>
        <w:tc>
          <w:tcPr>
            <w:tcW w:w="1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lang w:val="en-US" w:eastAsia="zh-CN"/>
              </w:rPr>
            </w:pPr>
          </w:p>
        </w:tc>
        <w:tc>
          <w:tcPr>
            <w:tcW w:w="1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70"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iCs w:val="0"/>
                <w:color w:val="auto"/>
                <w:kern w:val="0"/>
                <w:sz w:val="22"/>
                <w:szCs w:val="22"/>
                <w:highlight w:val="none"/>
                <w:u w:val="none"/>
                <w:lang w:val="en-US" w:eastAsia="zh-CN" w:bidi="ar"/>
              </w:rPr>
              <w:t>8</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灯头插座</w:t>
            </w:r>
          </w:p>
        </w:tc>
        <w:tc>
          <w:tcPr>
            <w:tcW w:w="13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1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iCs w:val="0"/>
                <w:color w:val="auto"/>
                <w:kern w:val="0"/>
                <w:sz w:val="21"/>
                <w:szCs w:val="21"/>
                <w:highlight w:val="none"/>
                <w:u w:val="none"/>
                <w:lang w:val="en-US" w:eastAsia="zh-CN" w:bidi="ar"/>
              </w:rPr>
              <w:t>112</w:t>
            </w:r>
          </w:p>
        </w:tc>
        <w:tc>
          <w:tcPr>
            <w:tcW w:w="1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iCs w:val="0"/>
                <w:color w:val="auto"/>
                <w:kern w:val="0"/>
                <w:sz w:val="21"/>
                <w:szCs w:val="21"/>
                <w:highlight w:val="none"/>
                <w:u w:val="none"/>
                <w:lang w:val="en-US" w:eastAsia="zh-CN" w:bidi="ar"/>
              </w:rPr>
            </w:pPr>
          </w:p>
        </w:tc>
        <w:tc>
          <w:tcPr>
            <w:tcW w:w="1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iCs w:val="0"/>
                <w:color w:val="auto"/>
                <w:kern w:val="0"/>
                <w:sz w:val="21"/>
                <w:szCs w:val="21"/>
                <w:highlight w:val="none"/>
                <w:u w:val="none"/>
                <w:lang w:val="en-US" w:eastAsia="zh-CN" w:bidi="ar"/>
              </w:rPr>
            </w:pPr>
          </w:p>
        </w:tc>
        <w:tc>
          <w:tcPr>
            <w:tcW w:w="1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5"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21"/>
                <w:szCs w:val="21"/>
                <w:highlight w:val="none"/>
                <w:u w:val="none"/>
                <w:lang w:val="en-US"/>
              </w:rPr>
            </w:pPr>
            <w:r>
              <w:rPr>
                <w:rFonts w:hint="eastAsia" w:ascii="宋体" w:hAnsi="宋体" w:cs="宋体"/>
                <w:i w:val="0"/>
                <w:iCs w:val="0"/>
                <w:color w:val="auto"/>
                <w:kern w:val="0"/>
                <w:sz w:val="22"/>
                <w:szCs w:val="22"/>
                <w:highlight w:val="none"/>
                <w:u w:val="none"/>
                <w:lang w:val="en-US" w:eastAsia="zh-CN" w:bidi="ar"/>
              </w:rPr>
              <w:t>9</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一期触摸操作显示屏</w:t>
            </w:r>
          </w:p>
        </w:tc>
        <w:tc>
          <w:tcPr>
            <w:tcW w:w="13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iCs w:val="0"/>
                <w:color w:val="auto"/>
                <w:kern w:val="0"/>
                <w:sz w:val="21"/>
                <w:szCs w:val="21"/>
                <w:highlight w:val="none"/>
                <w:u w:val="none"/>
                <w:lang w:val="en-US" w:eastAsia="zh-CN" w:bidi="ar"/>
              </w:rPr>
              <w:t>套</w:t>
            </w:r>
          </w:p>
        </w:tc>
        <w:tc>
          <w:tcPr>
            <w:tcW w:w="1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iCs w:val="0"/>
                <w:color w:val="auto"/>
                <w:kern w:val="0"/>
                <w:sz w:val="21"/>
                <w:szCs w:val="21"/>
                <w:highlight w:val="none"/>
                <w:u w:val="none"/>
                <w:lang w:val="en-US" w:eastAsia="zh-CN" w:bidi="ar"/>
              </w:rPr>
              <w:t>1</w:t>
            </w:r>
          </w:p>
        </w:tc>
        <w:tc>
          <w:tcPr>
            <w:tcW w:w="1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iCs w:val="0"/>
                <w:color w:val="auto"/>
                <w:kern w:val="0"/>
                <w:sz w:val="21"/>
                <w:szCs w:val="21"/>
                <w:highlight w:val="none"/>
                <w:u w:val="none"/>
                <w:lang w:val="en-US" w:eastAsia="zh-CN" w:bidi="ar"/>
              </w:rPr>
            </w:pPr>
          </w:p>
        </w:tc>
        <w:tc>
          <w:tcPr>
            <w:tcW w:w="1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iCs w:val="0"/>
                <w:color w:val="auto"/>
                <w:kern w:val="0"/>
                <w:sz w:val="21"/>
                <w:szCs w:val="21"/>
                <w:highlight w:val="none"/>
                <w:u w:val="none"/>
                <w:lang w:val="en-US" w:eastAsia="zh-CN" w:bidi="ar"/>
              </w:rPr>
            </w:pPr>
          </w:p>
        </w:tc>
        <w:tc>
          <w:tcPr>
            <w:tcW w:w="1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70"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21"/>
                <w:szCs w:val="21"/>
                <w:highlight w:val="none"/>
                <w:u w:val="none"/>
                <w:lang w:val="en-US"/>
              </w:rPr>
            </w:pPr>
            <w:r>
              <w:rPr>
                <w:rFonts w:hint="eastAsia" w:ascii="宋体" w:hAnsi="宋体" w:cs="宋体"/>
                <w:i w:val="0"/>
                <w:iCs w:val="0"/>
                <w:color w:val="auto"/>
                <w:kern w:val="0"/>
                <w:sz w:val="22"/>
                <w:szCs w:val="22"/>
                <w:highlight w:val="none"/>
                <w:u w:val="none"/>
                <w:lang w:val="en-US" w:eastAsia="zh-CN" w:bidi="ar"/>
              </w:rPr>
              <w:t>10</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液压油管</w:t>
            </w:r>
          </w:p>
        </w:tc>
        <w:tc>
          <w:tcPr>
            <w:tcW w:w="13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iCs w:val="0"/>
                <w:color w:val="auto"/>
                <w:kern w:val="0"/>
                <w:sz w:val="22"/>
                <w:szCs w:val="22"/>
                <w:highlight w:val="none"/>
                <w:u w:val="none"/>
                <w:lang w:val="en-US" w:eastAsia="zh-CN" w:bidi="ar"/>
              </w:rPr>
              <w:t>条</w:t>
            </w:r>
          </w:p>
        </w:tc>
        <w:tc>
          <w:tcPr>
            <w:tcW w:w="1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iCs w:val="0"/>
                <w:color w:val="auto"/>
                <w:kern w:val="0"/>
                <w:sz w:val="21"/>
                <w:szCs w:val="21"/>
                <w:highlight w:val="none"/>
                <w:u w:val="none"/>
                <w:lang w:val="en-US" w:eastAsia="zh-CN" w:bidi="ar"/>
              </w:rPr>
              <w:t>28</w:t>
            </w:r>
          </w:p>
        </w:tc>
        <w:tc>
          <w:tcPr>
            <w:tcW w:w="1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iCs w:val="0"/>
                <w:color w:val="auto"/>
                <w:kern w:val="0"/>
                <w:sz w:val="21"/>
                <w:szCs w:val="21"/>
                <w:highlight w:val="none"/>
                <w:u w:val="none"/>
                <w:lang w:val="en-US" w:eastAsia="zh-CN" w:bidi="ar"/>
              </w:rPr>
            </w:pPr>
          </w:p>
        </w:tc>
        <w:tc>
          <w:tcPr>
            <w:tcW w:w="1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iCs w:val="0"/>
                <w:color w:val="auto"/>
                <w:kern w:val="0"/>
                <w:sz w:val="21"/>
                <w:szCs w:val="21"/>
                <w:highlight w:val="none"/>
                <w:u w:val="none"/>
                <w:lang w:val="en-US" w:eastAsia="zh-CN" w:bidi="ar"/>
              </w:rPr>
            </w:pPr>
          </w:p>
        </w:tc>
        <w:tc>
          <w:tcPr>
            <w:tcW w:w="1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5"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21"/>
                <w:szCs w:val="21"/>
                <w:highlight w:val="none"/>
                <w:u w:val="none"/>
                <w:lang w:val="en-US"/>
              </w:rPr>
            </w:pPr>
            <w:r>
              <w:rPr>
                <w:rFonts w:hint="eastAsia" w:ascii="宋体" w:hAnsi="宋体" w:cs="宋体"/>
                <w:i w:val="0"/>
                <w:iCs w:val="0"/>
                <w:color w:val="auto"/>
                <w:kern w:val="0"/>
                <w:sz w:val="22"/>
                <w:szCs w:val="22"/>
                <w:highlight w:val="none"/>
                <w:u w:val="none"/>
                <w:lang w:val="en-US" w:eastAsia="zh-CN" w:bidi="ar"/>
              </w:rPr>
              <w:t>11</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清洗凝胶</w:t>
            </w:r>
          </w:p>
        </w:tc>
        <w:tc>
          <w:tcPr>
            <w:tcW w:w="13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箱</w:t>
            </w:r>
          </w:p>
        </w:tc>
        <w:tc>
          <w:tcPr>
            <w:tcW w:w="1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iCs w:val="0"/>
                <w:color w:val="auto"/>
                <w:kern w:val="0"/>
                <w:sz w:val="21"/>
                <w:szCs w:val="21"/>
                <w:highlight w:val="none"/>
                <w:u w:val="none"/>
                <w:lang w:val="en-US" w:eastAsia="zh-CN" w:bidi="ar"/>
              </w:rPr>
              <w:t>1</w:t>
            </w:r>
          </w:p>
        </w:tc>
        <w:tc>
          <w:tcPr>
            <w:tcW w:w="1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iCs w:val="0"/>
                <w:color w:val="auto"/>
                <w:kern w:val="0"/>
                <w:sz w:val="21"/>
                <w:szCs w:val="21"/>
                <w:highlight w:val="none"/>
                <w:u w:val="none"/>
                <w:lang w:val="en-US" w:eastAsia="zh-CN" w:bidi="ar"/>
              </w:rPr>
            </w:pPr>
          </w:p>
        </w:tc>
        <w:tc>
          <w:tcPr>
            <w:tcW w:w="1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iCs w:val="0"/>
                <w:color w:val="auto"/>
                <w:kern w:val="0"/>
                <w:sz w:val="21"/>
                <w:szCs w:val="21"/>
                <w:highlight w:val="none"/>
                <w:u w:val="none"/>
                <w:lang w:val="en-US" w:eastAsia="zh-CN" w:bidi="ar"/>
              </w:rPr>
            </w:pPr>
          </w:p>
        </w:tc>
        <w:tc>
          <w:tcPr>
            <w:tcW w:w="1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9443"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合计：  元</w:t>
            </w:r>
          </w:p>
        </w:tc>
      </w:tr>
    </w:tbl>
    <w:p>
      <w:pPr>
        <w:pStyle w:val="22"/>
        <w:rPr>
          <w:rFonts w:hint="eastAsia"/>
          <w:color w:val="auto"/>
          <w:highlight w:val="none"/>
          <w:lang w:val="en-US" w:eastAsia="zh-CN"/>
        </w:rPr>
      </w:pPr>
    </w:p>
    <w:p>
      <w:pPr>
        <w:adjustRightInd w:val="0"/>
        <w:snapToGrid w:val="0"/>
        <w:spacing w:line="600" w:lineRule="exact"/>
        <w:ind w:firstLine="570"/>
        <w:rPr>
          <w:rFonts w:ascii="仿宋_GB2312" w:eastAsia="仿宋_GB2312" w:hAnsiTheme="minorEastAsia"/>
          <w:color w:val="auto"/>
          <w:sz w:val="28"/>
          <w:szCs w:val="28"/>
          <w:highlight w:val="none"/>
        </w:rPr>
      </w:pPr>
      <w:r>
        <w:rPr>
          <w:rFonts w:hint="eastAsia" w:ascii="宋体" w:hAnsi="宋体" w:eastAsia="宋体" w:cs="宋体"/>
          <w:color w:val="auto"/>
          <w:sz w:val="24"/>
          <w:szCs w:val="24"/>
          <w:highlight w:val="none"/>
          <w:lang w:val="en-US" w:eastAsia="zh-CN"/>
        </w:rPr>
        <w:t>备注：</w:t>
      </w:r>
      <w:r>
        <w:rPr>
          <w:rFonts w:ascii="宋体" w:hAnsi="宋体" w:eastAsia="宋体" w:cs="宋体"/>
          <w:color w:val="auto"/>
          <w:sz w:val="24"/>
          <w:szCs w:val="24"/>
          <w:highlight w:val="none"/>
        </w:rPr>
        <w:t>报价清单（含不同分公司/子公司）中相同项目（或单项）的单价须保持一致，如单价不同的，按最低的单价执行。</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pStyle w:val="22"/>
        <w:ind w:firstLine="6720" w:firstLineChars="2800"/>
        <w:rPr>
          <w:rFonts w:hint="default"/>
          <w:color w:val="auto"/>
          <w:highlight w:val="none"/>
          <w:lang w:val="en-US"/>
        </w:rPr>
      </w:pPr>
      <w:r>
        <w:rPr>
          <w:rFonts w:hint="eastAsia" w:ascii="宋体" w:hAnsi="宋体" w:eastAsia="宋体" w:cs="宋体"/>
          <w:color w:val="auto"/>
          <w:kern w:val="2"/>
          <w:sz w:val="24"/>
          <w:szCs w:val="24"/>
          <w:highlight w:val="none"/>
          <w:lang w:val="en-GB"/>
        </w:rPr>
        <w:t>年  月  日</w:t>
      </w:r>
    </w:p>
    <w:p>
      <w:pPr>
        <w:pStyle w:val="5"/>
        <w:rPr>
          <w:rFonts w:hint="eastAsia" w:eastAsiaTheme="majorEastAsia"/>
          <w:color w:val="auto"/>
          <w:highlight w:val="none"/>
          <w:lang w:val="en-US" w:eastAsia="zh-CN"/>
        </w:rPr>
      </w:pPr>
      <w:bookmarkStart w:id="131" w:name="_Toc16386"/>
      <w:bookmarkStart w:id="132" w:name="_Toc6058"/>
      <w:bookmarkStart w:id="133" w:name="_Toc88209965"/>
      <w:bookmarkStart w:id="134" w:name="_Toc87616402"/>
    </w:p>
    <w:p>
      <w:pPr>
        <w:pStyle w:val="5"/>
        <w:rPr>
          <w:rFonts w:hint="eastAsia" w:eastAsiaTheme="majorEastAsia"/>
          <w:color w:val="auto"/>
          <w:highlight w:val="none"/>
          <w:lang w:val="en-US" w:eastAsia="zh-CN"/>
        </w:rPr>
      </w:pPr>
    </w:p>
    <w:p>
      <w:pPr>
        <w:pStyle w:val="5"/>
        <w:rPr>
          <w:rFonts w:hint="eastAsia" w:eastAsiaTheme="majorEastAsia"/>
          <w:color w:val="auto"/>
          <w:highlight w:val="none"/>
          <w:lang w:val="en-US" w:eastAsia="zh-CN"/>
        </w:rPr>
      </w:pPr>
      <w:r>
        <w:rPr>
          <w:rFonts w:hint="eastAsia" w:eastAsiaTheme="majorEastAsia"/>
          <w:color w:val="auto"/>
          <w:highlight w:val="none"/>
          <w:lang w:val="en-US" w:eastAsia="zh-CN"/>
        </w:rPr>
        <w:t>6</w:t>
      </w:r>
      <w:r>
        <w:rPr>
          <w:rFonts w:hint="eastAsia" w:asciiTheme="majorEastAsia" w:hAnsiTheme="majorEastAsia" w:eastAsiaTheme="majorEastAsia"/>
          <w:color w:val="auto"/>
          <w:sz w:val="28"/>
          <w:szCs w:val="28"/>
          <w:highlight w:val="none"/>
        </w:rPr>
        <w:t>.</w:t>
      </w:r>
      <w:r>
        <w:rPr>
          <w:rFonts w:hint="eastAsia" w:asciiTheme="majorEastAsia" w:hAnsiTheme="majorEastAsia" w:eastAsiaTheme="majorEastAsia"/>
          <w:color w:val="auto"/>
          <w:sz w:val="28"/>
          <w:szCs w:val="28"/>
          <w:highlight w:val="none"/>
          <w:lang w:val="en-US" w:eastAsia="zh-CN"/>
        </w:rPr>
        <w:t>承诺函（灯管寿命保证承诺书）</w:t>
      </w:r>
    </w:p>
    <w:p>
      <w:pPr>
        <w:pStyle w:val="5"/>
        <w:ind w:firstLine="482" w:firstLineChars="200"/>
        <w:rPr>
          <w:rFonts w:hint="eastAsia" w:eastAsiaTheme="majorEastAsia"/>
          <w:color w:val="auto"/>
          <w:highlight w:val="none"/>
          <w:lang w:val="en-US" w:eastAsia="zh-CN"/>
        </w:rPr>
      </w:pPr>
      <w:r>
        <w:rPr>
          <w:rFonts w:hint="eastAsia" w:ascii="宋体" w:hAnsi="宋体" w:eastAsia="宋体" w:cs="宋体"/>
          <w:color w:val="auto"/>
          <w:sz w:val="24"/>
          <w:highlight w:val="none"/>
          <w:lang w:val="en-US" w:eastAsia="zh-CN"/>
        </w:rPr>
        <w:t>我公司承诺</w:t>
      </w: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lang w:val="en-US" w:eastAsia="zh-CN"/>
        </w:rPr>
        <w:t>当灯管使用寿命不足 12000 小时或在 12000 小时内紫外系统剂量不足以保证系统消毒效果时，免费更换全新灯管，费用由我公司自行承担。如灯管寿命不满足要求所造成的经济损失及责任由我公司承担。质保期为自验收合格之日起紫外灯管质保寿命为12000小时，其他零配件一年。如灯管寿命不满足要求，所造成的经济损失及责任由我公司承担，在质保期内出现故障，我公司二十四小时内响应，进场维修。</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lang w:val="en-US" w:eastAsia="zh-CN"/>
        </w:rPr>
        <w:t>所提供报价货物/设备均为制造商全新原装产品</w:t>
      </w:r>
      <w:r>
        <w:rPr>
          <w:rFonts w:hint="eastAsia" w:ascii="宋体" w:hAnsi="宋体" w:cs="宋体"/>
          <w:color w:val="auto"/>
          <w:sz w:val="24"/>
          <w:highlight w:val="none"/>
          <w:lang w:val="en-US" w:eastAsia="zh-CN"/>
        </w:rPr>
        <w:t>，且适用于原系统使用</w:t>
      </w:r>
      <w:r>
        <w:rPr>
          <w:rFonts w:hint="eastAsia" w:ascii="宋体" w:hAnsi="宋体" w:eastAsia="宋体" w:cs="宋体"/>
          <w:color w:val="auto"/>
          <w:sz w:val="24"/>
          <w:highlight w:val="none"/>
          <w:lang w:val="en-US" w:eastAsia="zh-CN"/>
        </w:rPr>
        <w:t>。</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p>
    <w:p>
      <w:pPr>
        <w:adjustRightInd w:val="0"/>
        <w:snapToGrid w:val="0"/>
        <w:spacing w:line="360" w:lineRule="auto"/>
        <w:jc w:val="right"/>
        <w:rPr>
          <w:rFonts w:hint="eastAsia" w:eastAsiaTheme="majorEastAsia"/>
          <w:color w:val="auto"/>
          <w:highlight w:val="none"/>
          <w:lang w:val="en-US" w:eastAsia="zh-CN"/>
        </w:rPr>
      </w:pPr>
      <w:r>
        <w:rPr>
          <w:rFonts w:hint="eastAsia" w:ascii="宋体" w:hAnsi="宋体" w:eastAsia="宋体" w:cs="宋体"/>
          <w:color w:val="auto"/>
          <w:kern w:val="2"/>
          <w:sz w:val="24"/>
          <w:szCs w:val="24"/>
          <w:highlight w:val="none"/>
          <w:lang w:val="en-GB"/>
        </w:rPr>
        <w:t xml:space="preserve">供应商名称（加盖公章）： </w:t>
      </w:r>
      <w:r>
        <w:rPr>
          <w:rFonts w:hint="eastAsia" w:ascii="宋体" w:hAnsi="宋体" w:eastAsia="宋体" w:cs="宋体"/>
          <w:color w:val="auto"/>
          <w:kern w:val="2"/>
          <w:sz w:val="24"/>
          <w:szCs w:val="24"/>
          <w:highlight w:val="none"/>
          <w:lang w:val="en-GB"/>
        </w:rPr>
        <w:br w:type="textWrapping"/>
      </w:r>
      <w:r>
        <w:rPr>
          <w:rFonts w:hint="eastAsia" w:ascii="宋体" w:hAnsi="宋体" w:eastAsia="宋体" w:cs="宋体"/>
          <w:color w:val="auto"/>
          <w:kern w:val="2"/>
          <w:sz w:val="24"/>
          <w:szCs w:val="24"/>
          <w:highlight w:val="none"/>
          <w:lang w:val="en-GB"/>
        </w:rPr>
        <w:t>年  月  日</w:t>
      </w:r>
    </w:p>
    <w:p>
      <w:pPr>
        <w:pStyle w:val="5"/>
        <w:rPr>
          <w:rFonts w:hint="eastAsia" w:eastAsiaTheme="majorEastAsia"/>
          <w:color w:val="auto"/>
          <w:highlight w:val="none"/>
          <w:lang w:val="en-US" w:eastAsia="zh-CN"/>
        </w:rPr>
      </w:pPr>
    </w:p>
    <w:p>
      <w:pPr>
        <w:pStyle w:val="5"/>
        <w:rPr>
          <w:rFonts w:hint="eastAsia" w:eastAsiaTheme="majorEastAsia"/>
          <w:color w:val="auto"/>
          <w:highlight w:val="none"/>
          <w:lang w:val="en-US" w:eastAsia="zh-CN"/>
        </w:rPr>
      </w:pPr>
    </w:p>
    <w:p>
      <w:pPr>
        <w:pStyle w:val="5"/>
        <w:rPr>
          <w:rFonts w:hint="eastAsia" w:eastAsia="宋体"/>
          <w:color w:val="auto"/>
          <w:highlight w:val="none"/>
          <w:lang w:val="en-US" w:eastAsia="zh-CN"/>
        </w:rPr>
      </w:pPr>
      <w:r>
        <w:rPr>
          <w:rFonts w:hint="eastAsia" w:eastAsiaTheme="majorEastAsia"/>
          <w:color w:val="auto"/>
          <w:highlight w:val="none"/>
          <w:lang w:val="en-US" w:eastAsia="zh-CN"/>
        </w:rPr>
        <w:t>7.</w:t>
      </w:r>
      <w:r>
        <w:rPr>
          <w:rFonts w:hint="eastAsia" w:ascii="宋体" w:hAnsi="宋体" w:eastAsia="宋体" w:cs="宋体"/>
          <w:color w:val="auto"/>
          <w:kern w:val="2"/>
          <w:sz w:val="24"/>
          <w:szCs w:val="24"/>
          <w:highlight w:val="none"/>
          <w:u w:val="single"/>
        </w:rPr>
        <w:t>紫外灯管寿命不低于</w:t>
      </w:r>
      <w:r>
        <w:rPr>
          <w:rFonts w:ascii="宋体" w:hAnsi="宋体" w:eastAsia="宋体" w:cs="宋体"/>
          <w:color w:val="auto"/>
          <w:kern w:val="2"/>
          <w:sz w:val="24"/>
          <w:szCs w:val="24"/>
          <w:highlight w:val="none"/>
          <w:u w:val="single"/>
        </w:rPr>
        <w:t xml:space="preserve"> 12000 </w:t>
      </w:r>
      <w:r>
        <w:rPr>
          <w:rFonts w:hint="eastAsia" w:ascii="宋体" w:hAnsi="宋体" w:eastAsia="宋体" w:cs="宋体"/>
          <w:color w:val="auto"/>
          <w:kern w:val="2"/>
          <w:sz w:val="24"/>
          <w:szCs w:val="24"/>
          <w:highlight w:val="none"/>
          <w:u w:val="single"/>
        </w:rPr>
        <w:t>小时，提供具备CMA认证资质的第三方认证机构出具的认证证明报告</w:t>
      </w:r>
      <w:r>
        <w:rPr>
          <w:rFonts w:hint="eastAsia" w:ascii="宋体" w:hAnsi="宋体" w:cs="宋体"/>
          <w:color w:val="auto"/>
          <w:kern w:val="2"/>
          <w:sz w:val="24"/>
          <w:szCs w:val="24"/>
          <w:highlight w:val="none"/>
          <w:u w:val="single"/>
          <w:lang w:eastAsia="zh-CN"/>
        </w:rPr>
        <w:t>（</w:t>
      </w:r>
      <w:r>
        <w:rPr>
          <w:rFonts w:hint="eastAsia" w:ascii="宋体" w:hAnsi="宋体" w:cs="宋体"/>
          <w:color w:val="auto"/>
          <w:kern w:val="2"/>
          <w:sz w:val="24"/>
          <w:szCs w:val="24"/>
          <w:highlight w:val="none"/>
          <w:u w:val="single"/>
          <w:lang w:val="en-US" w:eastAsia="zh-CN"/>
        </w:rPr>
        <w:t>加盖单位公章</w:t>
      </w:r>
      <w:r>
        <w:rPr>
          <w:rFonts w:hint="eastAsia" w:ascii="宋体" w:hAnsi="宋体" w:cs="宋体"/>
          <w:color w:val="auto"/>
          <w:kern w:val="2"/>
          <w:sz w:val="24"/>
          <w:szCs w:val="24"/>
          <w:highlight w:val="none"/>
          <w:u w:val="single"/>
          <w:lang w:eastAsia="zh-CN"/>
        </w:rPr>
        <w:t>）。</w:t>
      </w:r>
    </w:p>
    <w:p>
      <w:pPr>
        <w:pStyle w:val="5"/>
        <w:rPr>
          <w:rFonts w:hint="eastAsia" w:eastAsiaTheme="majorEastAsia"/>
          <w:color w:val="auto"/>
          <w:highlight w:val="none"/>
          <w:lang w:val="en-US" w:eastAsia="zh-CN"/>
        </w:rPr>
      </w:pPr>
    </w:p>
    <w:p>
      <w:pPr>
        <w:pStyle w:val="5"/>
        <w:rPr>
          <w:rFonts w:hint="eastAsia" w:eastAsiaTheme="majorEastAsia"/>
          <w:color w:val="auto"/>
          <w:highlight w:val="none"/>
          <w:lang w:val="en-US" w:eastAsia="zh-CN"/>
        </w:rPr>
      </w:pPr>
    </w:p>
    <w:p>
      <w:pPr>
        <w:pStyle w:val="5"/>
        <w:rPr>
          <w:rFonts w:hint="eastAsia" w:eastAsiaTheme="majorEastAsia"/>
          <w:color w:val="auto"/>
          <w:highlight w:val="none"/>
          <w:lang w:val="en-US" w:eastAsia="zh-CN"/>
        </w:rPr>
      </w:pPr>
    </w:p>
    <w:p>
      <w:pPr>
        <w:pStyle w:val="5"/>
        <w:rPr>
          <w:rFonts w:hint="eastAsia" w:eastAsiaTheme="majorEastAsia"/>
          <w:color w:val="auto"/>
          <w:highlight w:val="none"/>
          <w:lang w:val="en-US" w:eastAsia="zh-CN"/>
        </w:rPr>
      </w:pPr>
    </w:p>
    <w:p>
      <w:pPr>
        <w:pStyle w:val="5"/>
        <w:rPr>
          <w:rFonts w:hint="eastAsia" w:eastAsiaTheme="majorEastAsia"/>
          <w:color w:val="auto"/>
          <w:highlight w:val="none"/>
          <w:lang w:val="en-US" w:eastAsia="zh-CN"/>
        </w:rPr>
      </w:pPr>
    </w:p>
    <w:p>
      <w:pPr>
        <w:pStyle w:val="5"/>
        <w:rPr>
          <w:rFonts w:hint="eastAsia" w:eastAsiaTheme="majorEastAsia"/>
          <w:color w:val="auto"/>
          <w:highlight w:val="none"/>
          <w:lang w:val="en-US" w:eastAsia="zh-CN"/>
        </w:rPr>
      </w:pPr>
    </w:p>
    <w:p>
      <w:pPr>
        <w:pStyle w:val="5"/>
        <w:rPr>
          <w:rFonts w:hint="eastAsia" w:eastAsiaTheme="majorEastAsia"/>
          <w:color w:val="auto"/>
          <w:highlight w:val="none"/>
          <w:lang w:val="en-US" w:eastAsia="zh-CN"/>
        </w:rPr>
      </w:pPr>
    </w:p>
    <w:p>
      <w:pPr>
        <w:pStyle w:val="5"/>
        <w:rPr>
          <w:rFonts w:asciiTheme="majorEastAsia" w:hAnsiTheme="majorEastAsia" w:eastAsiaTheme="majorEastAsia"/>
          <w:color w:val="auto"/>
          <w:sz w:val="28"/>
          <w:szCs w:val="28"/>
          <w:highlight w:val="none"/>
        </w:rPr>
      </w:pPr>
      <w:r>
        <w:rPr>
          <w:rFonts w:hint="eastAsia" w:eastAsiaTheme="majorEastAsia"/>
          <w:color w:val="auto"/>
          <w:highlight w:val="none"/>
          <w:lang w:val="en-US" w:eastAsia="zh-CN"/>
        </w:rPr>
        <w:t>8</w:t>
      </w:r>
      <w:r>
        <w:rPr>
          <w:rFonts w:hint="eastAsia" w:asciiTheme="majorEastAsia" w:hAnsiTheme="majorEastAsia" w:eastAsiaTheme="majorEastAsia"/>
          <w:color w:val="auto"/>
          <w:sz w:val="28"/>
          <w:szCs w:val="28"/>
          <w:highlight w:val="none"/>
        </w:rPr>
        <w:t>.其他资料</w:t>
      </w:r>
      <w:bookmarkEnd w:id="131"/>
      <w:bookmarkEnd w:id="132"/>
      <w:bookmarkEnd w:id="133"/>
      <w:bookmarkEnd w:id="134"/>
    </w:p>
    <w:p>
      <w:pPr>
        <w:adjustRightInd w:val="0"/>
        <w:snapToGrid w:val="0"/>
        <w:spacing w:line="600" w:lineRule="exact"/>
        <w:ind w:firstLine="570"/>
        <w:rPr>
          <w:rFonts w:ascii="仿宋_GB2312" w:eastAsia="仿宋_GB2312" w:hAnsiTheme="minorEastAsia"/>
          <w:color w:val="auto"/>
          <w:sz w:val="28"/>
          <w:szCs w:val="28"/>
          <w:highlight w:val="none"/>
        </w:rPr>
      </w:pPr>
      <w:r>
        <w:rPr>
          <w:rFonts w:ascii="仿宋_GB2312" w:eastAsia="仿宋_GB2312" w:hAnsiTheme="minorEastAsia"/>
          <w:color w:val="auto"/>
          <w:sz w:val="28"/>
          <w:szCs w:val="28"/>
          <w:highlight w:val="none"/>
        </w:rPr>
        <w:t>供应商须提交的其他资料</w:t>
      </w:r>
      <w:r>
        <w:rPr>
          <w:rFonts w:hint="eastAsia" w:ascii="仿宋_GB2312" w:eastAsia="仿宋_GB2312" w:hAnsiTheme="minorEastAsia"/>
          <w:color w:val="auto"/>
          <w:sz w:val="28"/>
          <w:szCs w:val="28"/>
          <w:highlight w:val="none"/>
        </w:rPr>
        <w:t>。</w:t>
      </w:r>
    </w:p>
    <w:p>
      <w:pPr>
        <w:rPr>
          <w:color w:val="auto"/>
          <w:highlight w:val="none"/>
        </w:rPr>
      </w:pPr>
    </w:p>
    <w:sectPr>
      <w:headerReference r:id="rId5" w:type="first"/>
      <w:footerReference r:id="rId8" w:type="first"/>
      <w:footerReference r:id="rId6" w:type="default"/>
      <w:footerReference r:id="rId7" w:type="even"/>
      <w:pgSz w:w="11906" w:h="16838"/>
      <w:pgMar w:top="2098" w:right="1474" w:bottom="1985" w:left="1588" w:header="851" w:footer="992"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E2hskBAACaAwAADgAAAGRycy9lMm9Eb2MueG1srVPNjtMwEL4j8Q6W&#10;79TZIqES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WEsctTvz888f515/z7+/k&#10;ddanD1Bj2m3AxDS89wPmzn5AZ6Y9qGjzFwkRjKO6p4u6ckhE5Eer5WpVYUhgbL4gPrt/HiKkD9Jb&#10;ko2GRhxfUZUfP0EaU+eUXM35G21MGaFx/zkQM3tY7n3sMVtp2A0ToZ1vT8inx8k31OGiU2I+OhQ2&#10;L8lsxNnYzcYhRL3vyhblehDeHRI2UXrLFUbYqTCOrLCb1ivvxL/3knX/S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f8TaGyQEAAJoDAAAOAAAAAAAAAAEAIAAAAB4BAABkcnMvZTJvRG9j&#10;LnhtbFBLBQYAAAAABgAGAFkBAABZBQAAAAA=&#10;">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uGkMkBAACaAwAADgAAAGRycy9lMm9Eb2MueG1srVPNjtMwEL4j8Q6W&#10;79TZC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WEsctTvz888f515/z7+/k&#10;ddanD1Bj2m3AxDS89wPmzn5AZ6Y9qGjzFwkRjKO6p4u6ckhE5Eer5WpVYUhgbL4gPrt/HiKkD9Jb&#10;ko2GRhxfUZUfP0EaU+eUXM35G21MGaFx/zkQM3tY7n3sMVtp2A0ToZ1vT8inx8k31OGiU2I+OhQ2&#10;L8lsxNnYzcYhRL3vyhblehDeHRI2UXrLFUbYqTCOrLCb1ivvxL/3knX/S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3+4aQyQEAAJoDAAAOAAAAAAAAAAEAIAAAAB4BAABkcnMvZTJvRG9j&#10;LnhtbFBLBQYAAAAABgAGAFkBAABZBQAAAAA=&#10;">
              <v:fill on="f" focussize="0,0"/>
              <v:stroke on="f"/>
              <v:imagedata o:title=""/>
              <o:lock v:ext="edit" aspectratio="f"/>
              <v:textbox inset="0mm,0mm,0mm,0mm" style="mso-fit-shape-to-text:t;">
                <w:txbxContent>
                  <w:p>
                    <w:pPr>
                      <w:pStyle w:val="17"/>
                    </w:pPr>
                  </w:p>
                  <w:p/>
                </w:txbxContent>
              </v:textbox>
            </v:shape>
          </w:pict>
        </mc:Fallback>
      </mc:AlternateContent>
    </w:r>
  </w:p>
  <w:p>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pPr>
          <w:pStyle w:val="17"/>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56</w:t>
                          </w:r>
                          <w:r>
                            <w:rPr>
                              <w:rFonts w:hint="eastAsia"/>
                              <w:lang w:eastAsia="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Fh0nMgBAACa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cC5O25x4pefPy6//lx+fyfL&#10;rE8foMa0+4CJaXjnB8yd/YDOTHtQ0eYvEiIYR3XPV3XlkIjIj9ar9brCkMDYfEF89vA8REjvpbck&#10;Gw2NOL6iKj99hDSmzim5mvN32pgyQuP+cSBm9rDc+9hjttKwHyZCe9+ekU+Pk2+ow0WnxHxwKGxe&#10;ktmIs7GfjWOI+tCVLcr1INweEzZRessVRtipMI6ssJvWK+/E43vJeviltn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KxYdJzIAQAAmgMAAA4AAAAAAAAAAQAgAAAAHgEAAGRycy9lMm9Eb2Mu&#10;eG1sUEsFBgAAAAAGAAYAWQEAAFgFAAAAAA==&#10;">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56</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02B05F"/>
    <w:multiLevelType w:val="singleLevel"/>
    <w:tmpl w:val="B302B05F"/>
    <w:lvl w:ilvl="0" w:tentative="0">
      <w:start w:val="1"/>
      <w:numFmt w:val="decimal"/>
      <w:suff w:val="nothing"/>
      <w:lvlText w:val="（%1）"/>
      <w:lvlJc w:val="left"/>
      <w:pPr>
        <w:ind w:left="0" w:firstLine="0"/>
      </w:pPr>
    </w:lvl>
  </w:abstractNum>
  <w:abstractNum w:abstractNumId="1">
    <w:nsid w:val="CC9CF724"/>
    <w:multiLevelType w:val="singleLevel"/>
    <w:tmpl w:val="CC9CF724"/>
    <w:lvl w:ilvl="0" w:tentative="0">
      <w:start w:val="1"/>
      <w:numFmt w:val="chineseCounting"/>
      <w:suff w:val="space"/>
      <w:lvlText w:val="第%1章"/>
      <w:lvlJc w:val="left"/>
      <w:rPr>
        <w:rFonts w:hint="eastAsia"/>
      </w:rPr>
    </w:lvl>
  </w:abstractNum>
  <w:abstractNum w:abstractNumId="2">
    <w:nsid w:val="F86B6C30"/>
    <w:multiLevelType w:val="singleLevel"/>
    <w:tmpl w:val="F86B6C30"/>
    <w:lvl w:ilvl="0" w:tentative="0">
      <w:start w:val="6"/>
      <w:numFmt w:val="chineseCounting"/>
      <w:suff w:val="space"/>
      <w:lvlText w:val="第%1条"/>
      <w:lvlJc w:val="left"/>
      <w:pPr>
        <w:ind w:left="0" w:firstLine="0"/>
      </w:pPr>
    </w:lvl>
  </w:abstractNum>
  <w:abstractNum w:abstractNumId="3">
    <w:nsid w:val="1DB3DCAD"/>
    <w:multiLevelType w:val="singleLevel"/>
    <w:tmpl w:val="1DB3DCAD"/>
    <w:lvl w:ilvl="0" w:tentative="0">
      <w:start w:val="1"/>
      <w:numFmt w:val="decimal"/>
      <w:lvlText w:val="%1."/>
      <w:lvlJc w:val="left"/>
      <w:pPr>
        <w:tabs>
          <w:tab w:val="left" w:pos="312"/>
        </w:tabs>
        <w:ind w:left="0" w:firstLine="0"/>
      </w:pPr>
    </w:lvl>
  </w:abstractNum>
  <w:abstractNum w:abstractNumId="4">
    <w:nsid w:val="4734DCE6"/>
    <w:multiLevelType w:val="singleLevel"/>
    <w:tmpl w:val="4734DCE6"/>
    <w:lvl w:ilvl="0" w:tentative="0">
      <w:start w:val="1"/>
      <w:numFmt w:val="decimal"/>
      <w:lvlText w:val="%1."/>
      <w:lvlJc w:val="left"/>
      <w:pPr>
        <w:tabs>
          <w:tab w:val="left" w:pos="312"/>
        </w:tabs>
      </w:pPr>
    </w:lvl>
  </w:abstractNum>
  <w:abstractNum w:abstractNumId="5">
    <w:nsid w:val="5D076128"/>
    <w:multiLevelType w:val="singleLevel"/>
    <w:tmpl w:val="5D076128"/>
    <w:lvl w:ilvl="0" w:tentative="0">
      <w:start w:val="2"/>
      <w:numFmt w:val="decimal"/>
      <w:lvlText w:val="%1."/>
      <w:lvlJc w:val="left"/>
      <w:pPr>
        <w:tabs>
          <w:tab w:val="left" w:pos="312"/>
        </w:tabs>
        <w:ind w:left="0" w:firstLine="0"/>
      </w:pPr>
    </w:lvl>
  </w:abstractNum>
  <w:abstractNum w:abstractNumId="6">
    <w:nsid w:val="705D32C3"/>
    <w:multiLevelType w:val="singleLevel"/>
    <w:tmpl w:val="705D32C3"/>
    <w:lvl w:ilvl="0" w:tentative="0">
      <w:start w:val="5"/>
      <w:numFmt w:val="decimal"/>
      <w:lvlText w:val="%1."/>
      <w:lvlJc w:val="left"/>
      <w:pPr>
        <w:tabs>
          <w:tab w:val="left" w:pos="312"/>
        </w:tabs>
      </w:pPr>
    </w:lvl>
  </w:abstractNum>
  <w:num w:numId="1">
    <w:abstractNumId w:val="1"/>
  </w:num>
  <w:num w:numId="2">
    <w:abstractNumId w:val="6"/>
  </w:num>
  <w:num w:numId="3">
    <w:abstractNumId w:val="4"/>
  </w:num>
  <w:num w:numId="4">
    <w:abstractNumId w:val="0"/>
    <w:lvlOverride w:ilvl="0">
      <w:startOverride w:val="1"/>
    </w:lvlOverride>
  </w:num>
  <w:num w:numId="5">
    <w:abstractNumId w:val="2"/>
    <w:lvlOverride w:ilvl="0">
      <w:startOverride w:val="6"/>
    </w:lvlOverride>
  </w:num>
  <w:num w:numId="6">
    <w:abstractNumId w:val="3"/>
    <w:lvlOverride w:ilvl="0">
      <w:startOverride w:val="1"/>
    </w:lvlOverride>
  </w:num>
  <w:num w:numId="7">
    <w:abstractNumId w:val="5"/>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BjOTRjOWMzMTM2YTA0OWJlZDMxYmQ1YzExZDY3ZmYifQ=="/>
  </w:docVars>
  <w:rsids>
    <w:rsidRoot w:val="005D618A"/>
    <w:rsid w:val="001565B3"/>
    <w:rsid w:val="003D60BA"/>
    <w:rsid w:val="00411689"/>
    <w:rsid w:val="005D618A"/>
    <w:rsid w:val="00911ECD"/>
    <w:rsid w:val="009E56B4"/>
    <w:rsid w:val="00A042E0"/>
    <w:rsid w:val="00B26BB1"/>
    <w:rsid w:val="00B26E21"/>
    <w:rsid w:val="00B741D7"/>
    <w:rsid w:val="00CB3927"/>
    <w:rsid w:val="00D4533C"/>
    <w:rsid w:val="00F83B64"/>
    <w:rsid w:val="013E3461"/>
    <w:rsid w:val="01BB0F13"/>
    <w:rsid w:val="02090C75"/>
    <w:rsid w:val="02A23A3C"/>
    <w:rsid w:val="02FB196F"/>
    <w:rsid w:val="035D130A"/>
    <w:rsid w:val="039110A9"/>
    <w:rsid w:val="03AC246A"/>
    <w:rsid w:val="03AE6061"/>
    <w:rsid w:val="03B23056"/>
    <w:rsid w:val="03C07931"/>
    <w:rsid w:val="03DA023E"/>
    <w:rsid w:val="03DC3EBA"/>
    <w:rsid w:val="03F9794D"/>
    <w:rsid w:val="046A2461"/>
    <w:rsid w:val="04C34D15"/>
    <w:rsid w:val="051C2970"/>
    <w:rsid w:val="05FE7B36"/>
    <w:rsid w:val="060C3611"/>
    <w:rsid w:val="06C64829"/>
    <w:rsid w:val="070E7B6E"/>
    <w:rsid w:val="071D62B7"/>
    <w:rsid w:val="077D16D2"/>
    <w:rsid w:val="082A69F3"/>
    <w:rsid w:val="08675FC8"/>
    <w:rsid w:val="09B713FD"/>
    <w:rsid w:val="09EF6ACC"/>
    <w:rsid w:val="0A315056"/>
    <w:rsid w:val="0A3E3B7B"/>
    <w:rsid w:val="0A694621"/>
    <w:rsid w:val="0AA213B4"/>
    <w:rsid w:val="0AF61C7E"/>
    <w:rsid w:val="0AFB45AD"/>
    <w:rsid w:val="0B351E9B"/>
    <w:rsid w:val="0B4C50D3"/>
    <w:rsid w:val="0B806B92"/>
    <w:rsid w:val="0B827E94"/>
    <w:rsid w:val="0B842F76"/>
    <w:rsid w:val="0BD070E1"/>
    <w:rsid w:val="0BD65B6B"/>
    <w:rsid w:val="0C2361E7"/>
    <w:rsid w:val="0C247926"/>
    <w:rsid w:val="0D37662E"/>
    <w:rsid w:val="0D794204"/>
    <w:rsid w:val="0D9D13BC"/>
    <w:rsid w:val="0E2125D1"/>
    <w:rsid w:val="0E214211"/>
    <w:rsid w:val="0E5E2451"/>
    <w:rsid w:val="0E5F2769"/>
    <w:rsid w:val="0E730852"/>
    <w:rsid w:val="0ED8332F"/>
    <w:rsid w:val="0F4D75A3"/>
    <w:rsid w:val="0F5B2DCA"/>
    <w:rsid w:val="0F714D08"/>
    <w:rsid w:val="0FA20605"/>
    <w:rsid w:val="0FED051E"/>
    <w:rsid w:val="0FEE4C29"/>
    <w:rsid w:val="0FFD33F6"/>
    <w:rsid w:val="10031608"/>
    <w:rsid w:val="10046082"/>
    <w:rsid w:val="101606D3"/>
    <w:rsid w:val="104974DD"/>
    <w:rsid w:val="10A97DB7"/>
    <w:rsid w:val="10CF50A9"/>
    <w:rsid w:val="111703D2"/>
    <w:rsid w:val="112B101A"/>
    <w:rsid w:val="11877731"/>
    <w:rsid w:val="119B53FC"/>
    <w:rsid w:val="11CC3D8B"/>
    <w:rsid w:val="1215733B"/>
    <w:rsid w:val="12424CDC"/>
    <w:rsid w:val="129A2738"/>
    <w:rsid w:val="12B56BF1"/>
    <w:rsid w:val="12CB1A89"/>
    <w:rsid w:val="12F83C31"/>
    <w:rsid w:val="131840FB"/>
    <w:rsid w:val="13467417"/>
    <w:rsid w:val="136E76CF"/>
    <w:rsid w:val="1424395D"/>
    <w:rsid w:val="145F08C6"/>
    <w:rsid w:val="14E43F59"/>
    <w:rsid w:val="15776308"/>
    <w:rsid w:val="15973CBB"/>
    <w:rsid w:val="15983294"/>
    <w:rsid w:val="15BC6B3C"/>
    <w:rsid w:val="15EC2C59"/>
    <w:rsid w:val="16360A7B"/>
    <w:rsid w:val="164D40B0"/>
    <w:rsid w:val="1694429A"/>
    <w:rsid w:val="169842B2"/>
    <w:rsid w:val="17635326"/>
    <w:rsid w:val="178D4AD1"/>
    <w:rsid w:val="17B803EA"/>
    <w:rsid w:val="1815096B"/>
    <w:rsid w:val="18236EFD"/>
    <w:rsid w:val="18377249"/>
    <w:rsid w:val="185D743E"/>
    <w:rsid w:val="189D5B1F"/>
    <w:rsid w:val="18A34CD0"/>
    <w:rsid w:val="19A53EA8"/>
    <w:rsid w:val="19B64DBC"/>
    <w:rsid w:val="19EC6A4A"/>
    <w:rsid w:val="1A373ACF"/>
    <w:rsid w:val="1A7B10BA"/>
    <w:rsid w:val="1A895341"/>
    <w:rsid w:val="1B0D071F"/>
    <w:rsid w:val="1B4568CE"/>
    <w:rsid w:val="1B9015B7"/>
    <w:rsid w:val="1B950DA6"/>
    <w:rsid w:val="1BAC7EEC"/>
    <w:rsid w:val="1BF54245"/>
    <w:rsid w:val="1C0F4E34"/>
    <w:rsid w:val="1C762AA7"/>
    <w:rsid w:val="1C7C0B84"/>
    <w:rsid w:val="1CB63A5C"/>
    <w:rsid w:val="1D0E6976"/>
    <w:rsid w:val="1D5A79EE"/>
    <w:rsid w:val="1E0E2CD0"/>
    <w:rsid w:val="1E164317"/>
    <w:rsid w:val="1E6E2769"/>
    <w:rsid w:val="1E831280"/>
    <w:rsid w:val="1E8A6AB3"/>
    <w:rsid w:val="1EBC4704"/>
    <w:rsid w:val="1EE522C8"/>
    <w:rsid w:val="1F172EB5"/>
    <w:rsid w:val="1F22070B"/>
    <w:rsid w:val="1F94592D"/>
    <w:rsid w:val="1FB860DE"/>
    <w:rsid w:val="203C5A02"/>
    <w:rsid w:val="209D4C94"/>
    <w:rsid w:val="20B44FCD"/>
    <w:rsid w:val="20C06A10"/>
    <w:rsid w:val="20E84705"/>
    <w:rsid w:val="21303941"/>
    <w:rsid w:val="218400BA"/>
    <w:rsid w:val="21AB1E2F"/>
    <w:rsid w:val="21D40498"/>
    <w:rsid w:val="22493963"/>
    <w:rsid w:val="22767047"/>
    <w:rsid w:val="23A05588"/>
    <w:rsid w:val="240476A1"/>
    <w:rsid w:val="2456449C"/>
    <w:rsid w:val="249F44CD"/>
    <w:rsid w:val="24CE463D"/>
    <w:rsid w:val="24E953B9"/>
    <w:rsid w:val="25431AEB"/>
    <w:rsid w:val="25B875EB"/>
    <w:rsid w:val="25BE3BFB"/>
    <w:rsid w:val="25BF43FD"/>
    <w:rsid w:val="25F86BCD"/>
    <w:rsid w:val="2605748B"/>
    <w:rsid w:val="260B2287"/>
    <w:rsid w:val="26396D26"/>
    <w:rsid w:val="264544A6"/>
    <w:rsid w:val="267702FB"/>
    <w:rsid w:val="269E416A"/>
    <w:rsid w:val="26C11C6B"/>
    <w:rsid w:val="272100D3"/>
    <w:rsid w:val="272C72FC"/>
    <w:rsid w:val="275131CB"/>
    <w:rsid w:val="277C64BE"/>
    <w:rsid w:val="278F6521"/>
    <w:rsid w:val="27D33279"/>
    <w:rsid w:val="27EB149D"/>
    <w:rsid w:val="27FD3E52"/>
    <w:rsid w:val="284130B3"/>
    <w:rsid w:val="28E11370"/>
    <w:rsid w:val="294A756A"/>
    <w:rsid w:val="29781BF8"/>
    <w:rsid w:val="297939E2"/>
    <w:rsid w:val="29C33ED0"/>
    <w:rsid w:val="29D13B82"/>
    <w:rsid w:val="29D5322D"/>
    <w:rsid w:val="2A025DD9"/>
    <w:rsid w:val="2A2619CB"/>
    <w:rsid w:val="2A7317D3"/>
    <w:rsid w:val="2A7C2231"/>
    <w:rsid w:val="2A920E4F"/>
    <w:rsid w:val="2ABB753D"/>
    <w:rsid w:val="2AFE6EC4"/>
    <w:rsid w:val="2B345DDC"/>
    <w:rsid w:val="2B7A49FA"/>
    <w:rsid w:val="2C615D26"/>
    <w:rsid w:val="2CB679ED"/>
    <w:rsid w:val="2CB73169"/>
    <w:rsid w:val="2CE83C37"/>
    <w:rsid w:val="2CEB2FFC"/>
    <w:rsid w:val="2D173C07"/>
    <w:rsid w:val="2D424A86"/>
    <w:rsid w:val="2D496D6B"/>
    <w:rsid w:val="2DDA66B7"/>
    <w:rsid w:val="2E6F2D11"/>
    <w:rsid w:val="2E7B52DB"/>
    <w:rsid w:val="2ED60115"/>
    <w:rsid w:val="2F324CFE"/>
    <w:rsid w:val="2FBA09F1"/>
    <w:rsid w:val="2FBB53CC"/>
    <w:rsid w:val="2FEF2ACF"/>
    <w:rsid w:val="2FF93D20"/>
    <w:rsid w:val="300813BC"/>
    <w:rsid w:val="30540211"/>
    <w:rsid w:val="30E45100"/>
    <w:rsid w:val="31112A0D"/>
    <w:rsid w:val="3118711F"/>
    <w:rsid w:val="311F4B20"/>
    <w:rsid w:val="312D7741"/>
    <w:rsid w:val="316F137F"/>
    <w:rsid w:val="31815AF3"/>
    <w:rsid w:val="31DF525F"/>
    <w:rsid w:val="31EC162B"/>
    <w:rsid w:val="32324C2E"/>
    <w:rsid w:val="327171DF"/>
    <w:rsid w:val="32843EBB"/>
    <w:rsid w:val="33133EB9"/>
    <w:rsid w:val="3337147A"/>
    <w:rsid w:val="33753321"/>
    <w:rsid w:val="3391569E"/>
    <w:rsid w:val="341E3434"/>
    <w:rsid w:val="34BB4442"/>
    <w:rsid w:val="3584136B"/>
    <w:rsid w:val="35EE5A04"/>
    <w:rsid w:val="35FF5AA4"/>
    <w:rsid w:val="360B7EBA"/>
    <w:rsid w:val="36416867"/>
    <w:rsid w:val="367D5DD4"/>
    <w:rsid w:val="369C32FD"/>
    <w:rsid w:val="37113086"/>
    <w:rsid w:val="37666E72"/>
    <w:rsid w:val="38081EA3"/>
    <w:rsid w:val="38167A04"/>
    <w:rsid w:val="381C3783"/>
    <w:rsid w:val="38D004A9"/>
    <w:rsid w:val="394B167A"/>
    <w:rsid w:val="39AD34EA"/>
    <w:rsid w:val="39DA2868"/>
    <w:rsid w:val="39DF6BF2"/>
    <w:rsid w:val="3A055F4B"/>
    <w:rsid w:val="3A0B2CE4"/>
    <w:rsid w:val="3A4E4336"/>
    <w:rsid w:val="3A6007FE"/>
    <w:rsid w:val="3A802587"/>
    <w:rsid w:val="3A852164"/>
    <w:rsid w:val="3AC34775"/>
    <w:rsid w:val="3AF93D6C"/>
    <w:rsid w:val="3AFD06C8"/>
    <w:rsid w:val="3B477B26"/>
    <w:rsid w:val="3B7C2CE4"/>
    <w:rsid w:val="3BAF716B"/>
    <w:rsid w:val="3BD258C9"/>
    <w:rsid w:val="3C0B5355"/>
    <w:rsid w:val="3C7E7F35"/>
    <w:rsid w:val="3CD4176B"/>
    <w:rsid w:val="3D1F44D9"/>
    <w:rsid w:val="3D5C38CD"/>
    <w:rsid w:val="3E5070F1"/>
    <w:rsid w:val="3E7569E0"/>
    <w:rsid w:val="3EC370CB"/>
    <w:rsid w:val="3F6C3589"/>
    <w:rsid w:val="3F850180"/>
    <w:rsid w:val="3F9004D6"/>
    <w:rsid w:val="3FEE7CFA"/>
    <w:rsid w:val="400E4D5E"/>
    <w:rsid w:val="40907BF7"/>
    <w:rsid w:val="40E1138C"/>
    <w:rsid w:val="41230975"/>
    <w:rsid w:val="412344D1"/>
    <w:rsid w:val="413814BA"/>
    <w:rsid w:val="41872511"/>
    <w:rsid w:val="41BF069E"/>
    <w:rsid w:val="41DF1251"/>
    <w:rsid w:val="424236D9"/>
    <w:rsid w:val="42466655"/>
    <w:rsid w:val="42C82F57"/>
    <w:rsid w:val="43266B47"/>
    <w:rsid w:val="433B4DFB"/>
    <w:rsid w:val="435707E5"/>
    <w:rsid w:val="439927E1"/>
    <w:rsid w:val="43C76AF7"/>
    <w:rsid w:val="43D54C8A"/>
    <w:rsid w:val="43E97E4A"/>
    <w:rsid w:val="440D65DA"/>
    <w:rsid w:val="446828F0"/>
    <w:rsid w:val="45093E85"/>
    <w:rsid w:val="450B3BFA"/>
    <w:rsid w:val="4521786D"/>
    <w:rsid w:val="45C13B4D"/>
    <w:rsid w:val="46054BCA"/>
    <w:rsid w:val="4649237D"/>
    <w:rsid w:val="464C6AFC"/>
    <w:rsid w:val="468B0091"/>
    <w:rsid w:val="46A107C3"/>
    <w:rsid w:val="46B02D60"/>
    <w:rsid w:val="46B15CE2"/>
    <w:rsid w:val="46BE113D"/>
    <w:rsid w:val="46E44B13"/>
    <w:rsid w:val="4703508A"/>
    <w:rsid w:val="4721080C"/>
    <w:rsid w:val="475023F8"/>
    <w:rsid w:val="479A1E7B"/>
    <w:rsid w:val="479D361E"/>
    <w:rsid w:val="47B74789"/>
    <w:rsid w:val="47C87B80"/>
    <w:rsid w:val="48032A55"/>
    <w:rsid w:val="480F2B9D"/>
    <w:rsid w:val="48102176"/>
    <w:rsid w:val="48282920"/>
    <w:rsid w:val="483E1347"/>
    <w:rsid w:val="485321E0"/>
    <w:rsid w:val="48546AD3"/>
    <w:rsid w:val="48CA4868"/>
    <w:rsid w:val="48F005D3"/>
    <w:rsid w:val="49356F7A"/>
    <w:rsid w:val="49466522"/>
    <w:rsid w:val="49547ADD"/>
    <w:rsid w:val="49732351"/>
    <w:rsid w:val="498F4AF1"/>
    <w:rsid w:val="49C05787"/>
    <w:rsid w:val="49CF518D"/>
    <w:rsid w:val="49D56585"/>
    <w:rsid w:val="4A7F3979"/>
    <w:rsid w:val="4ADA1F63"/>
    <w:rsid w:val="4AE23D89"/>
    <w:rsid w:val="4B2038D0"/>
    <w:rsid w:val="4B296E7D"/>
    <w:rsid w:val="4B79394E"/>
    <w:rsid w:val="4B877F28"/>
    <w:rsid w:val="4BCF78B7"/>
    <w:rsid w:val="4CD200BA"/>
    <w:rsid w:val="4D1D311C"/>
    <w:rsid w:val="4D2044E7"/>
    <w:rsid w:val="4D916BA6"/>
    <w:rsid w:val="4DC44169"/>
    <w:rsid w:val="4DE24E21"/>
    <w:rsid w:val="4E1B19A3"/>
    <w:rsid w:val="4E48787F"/>
    <w:rsid w:val="4E8D5680"/>
    <w:rsid w:val="4EF0709E"/>
    <w:rsid w:val="4F0469A4"/>
    <w:rsid w:val="4F9A05B9"/>
    <w:rsid w:val="4FBF5D0D"/>
    <w:rsid w:val="500E56F4"/>
    <w:rsid w:val="50540C73"/>
    <w:rsid w:val="50752AF8"/>
    <w:rsid w:val="513C6A7B"/>
    <w:rsid w:val="517300C9"/>
    <w:rsid w:val="51B26DDD"/>
    <w:rsid w:val="51B31D16"/>
    <w:rsid w:val="52EC6EC2"/>
    <w:rsid w:val="532D486F"/>
    <w:rsid w:val="5333545B"/>
    <w:rsid w:val="538D0E89"/>
    <w:rsid w:val="5450213C"/>
    <w:rsid w:val="546711F3"/>
    <w:rsid w:val="546C3825"/>
    <w:rsid w:val="546D000B"/>
    <w:rsid w:val="54D062C6"/>
    <w:rsid w:val="54D24048"/>
    <w:rsid w:val="54D64CD5"/>
    <w:rsid w:val="5532287C"/>
    <w:rsid w:val="55887D69"/>
    <w:rsid w:val="55EE5D11"/>
    <w:rsid w:val="561A0928"/>
    <w:rsid w:val="56423872"/>
    <w:rsid w:val="569E06BC"/>
    <w:rsid w:val="56A83D0D"/>
    <w:rsid w:val="56B279F0"/>
    <w:rsid w:val="56D32C59"/>
    <w:rsid w:val="56E74FBB"/>
    <w:rsid w:val="56F20F86"/>
    <w:rsid w:val="57554251"/>
    <w:rsid w:val="579D710E"/>
    <w:rsid w:val="57B859B3"/>
    <w:rsid w:val="581F22F6"/>
    <w:rsid w:val="586E1E17"/>
    <w:rsid w:val="58862C35"/>
    <w:rsid w:val="58C14957"/>
    <w:rsid w:val="58CC23D2"/>
    <w:rsid w:val="58E66050"/>
    <w:rsid w:val="593A578B"/>
    <w:rsid w:val="596B36B6"/>
    <w:rsid w:val="59B50D2B"/>
    <w:rsid w:val="59E63F07"/>
    <w:rsid w:val="59FC7994"/>
    <w:rsid w:val="5A1049A0"/>
    <w:rsid w:val="5A2541B2"/>
    <w:rsid w:val="5AA44B31"/>
    <w:rsid w:val="5AB24403"/>
    <w:rsid w:val="5AE83A50"/>
    <w:rsid w:val="5B353193"/>
    <w:rsid w:val="5B4D68C3"/>
    <w:rsid w:val="5BAB2917"/>
    <w:rsid w:val="5BFC33FA"/>
    <w:rsid w:val="5C3107A4"/>
    <w:rsid w:val="5C337866"/>
    <w:rsid w:val="5C3B1B93"/>
    <w:rsid w:val="5C9220DF"/>
    <w:rsid w:val="5D4A15F3"/>
    <w:rsid w:val="5D69542A"/>
    <w:rsid w:val="5D783B72"/>
    <w:rsid w:val="5E0930EF"/>
    <w:rsid w:val="5E0C470E"/>
    <w:rsid w:val="5E3D4D53"/>
    <w:rsid w:val="5E4717E6"/>
    <w:rsid w:val="5E55774C"/>
    <w:rsid w:val="5E5927C4"/>
    <w:rsid w:val="5E8A70FF"/>
    <w:rsid w:val="5E937E00"/>
    <w:rsid w:val="60045F96"/>
    <w:rsid w:val="60104DDC"/>
    <w:rsid w:val="605C0804"/>
    <w:rsid w:val="60913E6F"/>
    <w:rsid w:val="611F0045"/>
    <w:rsid w:val="61733C3E"/>
    <w:rsid w:val="6189617B"/>
    <w:rsid w:val="61B33298"/>
    <w:rsid w:val="61B52BB6"/>
    <w:rsid w:val="61B749C2"/>
    <w:rsid w:val="62280D20"/>
    <w:rsid w:val="629C50CC"/>
    <w:rsid w:val="62B4786E"/>
    <w:rsid w:val="62CA2457"/>
    <w:rsid w:val="631303F2"/>
    <w:rsid w:val="638240A1"/>
    <w:rsid w:val="63833423"/>
    <w:rsid w:val="63A5257B"/>
    <w:rsid w:val="63B903CF"/>
    <w:rsid w:val="63BD3DCC"/>
    <w:rsid w:val="63C61741"/>
    <w:rsid w:val="64560967"/>
    <w:rsid w:val="656B1D10"/>
    <w:rsid w:val="65B841F9"/>
    <w:rsid w:val="66022B28"/>
    <w:rsid w:val="664A38E2"/>
    <w:rsid w:val="66581E87"/>
    <w:rsid w:val="666F1DE3"/>
    <w:rsid w:val="66766EBB"/>
    <w:rsid w:val="66FA11D5"/>
    <w:rsid w:val="674302C7"/>
    <w:rsid w:val="679E7BFB"/>
    <w:rsid w:val="67CB09D8"/>
    <w:rsid w:val="67EE3B0F"/>
    <w:rsid w:val="680A5986"/>
    <w:rsid w:val="680D5F4B"/>
    <w:rsid w:val="68113F51"/>
    <w:rsid w:val="68B272C7"/>
    <w:rsid w:val="68E94770"/>
    <w:rsid w:val="68EC1CEF"/>
    <w:rsid w:val="68F949C9"/>
    <w:rsid w:val="695A4290"/>
    <w:rsid w:val="696F3649"/>
    <w:rsid w:val="6A267606"/>
    <w:rsid w:val="6A3240F1"/>
    <w:rsid w:val="6A334932"/>
    <w:rsid w:val="6A3353FF"/>
    <w:rsid w:val="6A5D63E6"/>
    <w:rsid w:val="6A5F24D1"/>
    <w:rsid w:val="6ACA70C4"/>
    <w:rsid w:val="6AE347EB"/>
    <w:rsid w:val="6B330365"/>
    <w:rsid w:val="6B434AF0"/>
    <w:rsid w:val="6B57675A"/>
    <w:rsid w:val="6B87098A"/>
    <w:rsid w:val="6BDD7B4D"/>
    <w:rsid w:val="6C267BE2"/>
    <w:rsid w:val="6D044CBB"/>
    <w:rsid w:val="6D52013C"/>
    <w:rsid w:val="6E7C021D"/>
    <w:rsid w:val="6EBC0B3A"/>
    <w:rsid w:val="6EED597D"/>
    <w:rsid w:val="6EF51C7D"/>
    <w:rsid w:val="6F8363E5"/>
    <w:rsid w:val="6F841DCF"/>
    <w:rsid w:val="6FA80CCD"/>
    <w:rsid w:val="6FAC3CC5"/>
    <w:rsid w:val="6FC746F5"/>
    <w:rsid w:val="6FD539E0"/>
    <w:rsid w:val="6FE33EF5"/>
    <w:rsid w:val="70317AC6"/>
    <w:rsid w:val="704B26F7"/>
    <w:rsid w:val="70697B21"/>
    <w:rsid w:val="70863262"/>
    <w:rsid w:val="70A76ED3"/>
    <w:rsid w:val="70BD39C1"/>
    <w:rsid w:val="714D51DA"/>
    <w:rsid w:val="71860B17"/>
    <w:rsid w:val="71B22797"/>
    <w:rsid w:val="723B27CC"/>
    <w:rsid w:val="72565C05"/>
    <w:rsid w:val="72687227"/>
    <w:rsid w:val="72A03FD9"/>
    <w:rsid w:val="73406CFF"/>
    <w:rsid w:val="7383028C"/>
    <w:rsid w:val="738B0309"/>
    <w:rsid w:val="73A25E44"/>
    <w:rsid w:val="741F68CF"/>
    <w:rsid w:val="75252DF3"/>
    <w:rsid w:val="753E29DA"/>
    <w:rsid w:val="75621536"/>
    <w:rsid w:val="75BF3154"/>
    <w:rsid w:val="75DA4A2D"/>
    <w:rsid w:val="7609337E"/>
    <w:rsid w:val="76400F7F"/>
    <w:rsid w:val="764A07CF"/>
    <w:rsid w:val="764F6B3D"/>
    <w:rsid w:val="7660610C"/>
    <w:rsid w:val="76CD2B7B"/>
    <w:rsid w:val="76D80645"/>
    <w:rsid w:val="76E03371"/>
    <w:rsid w:val="771211AA"/>
    <w:rsid w:val="77736C04"/>
    <w:rsid w:val="780E5898"/>
    <w:rsid w:val="782642CC"/>
    <w:rsid w:val="7894095E"/>
    <w:rsid w:val="78964555"/>
    <w:rsid w:val="78CF4963"/>
    <w:rsid w:val="79000679"/>
    <w:rsid w:val="7916258F"/>
    <w:rsid w:val="791C0FE5"/>
    <w:rsid w:val="79A416F0"/>
    <w:rsid w:val="79B03EB6"/>
    <w:rsid w:val="79B61437"/>
    <w:rsid w:val="7AE15A5C"/>
    <w:rsid w:val="7AF37579"/>
    <w:rsid w:val="7AF87F64"/>
    <w:rsid w:val="7B1C0C84"/>
    <w:rsid w:val="7B5A62DF"/>
    <w:rsid w:val="7B6359E1"/>
    <w:rsid w:val="7B7A04A8"/>
    <w:rsid w:val="7B8E4662"/>
    <w:rsid w:val="7BFC5A6F"/>
    <w:rsid w:val="7C0C3F6D"/>
    <w:rsid w:val="7C22163C"/>
    <w:rsid w:val="7C457B4B"/>
    <w:rsid w:val="7C595075"/>
    <w:rsid w:val="7C6358A5"/>
    <w:rsid w:val="7C6B07B2"/>
    <w:rsid w:val="7D133243"/>
    <w:rsid w:val="7D261EBF"/>
    <w:rsid w:val="7D2C2AD3"/>
    <w:rsid w:val="7D6B681E"/>
    <w:rsid w:val="7D945420"/>
    <w:rsid w:val="7D997857"/>
    <w:rsid w:val="7DD07A4B"/>
    <w:rsid w:val="7E394207"/>
    <w:rsid w:val="7E3A2F7A"/>
    <w:rsid w:val="7E4007A2"/>
    <w:rsid w:val="7E791CAD"/>
    <w:rsid w:val="7EA50DFB"/>
    <w:rsid w:val="7EAC6096"/>
    <w:rsid w:val="7EC86878"/>
    <w:rsid w:val="7F16390D"/>
    <w:rsid w:val="7F752917"/>
    <w:rsid w:val="7FD10FC1"/>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29"/>
    <w:qFormat/>
    <w:uiPriority w:val="9"/>
    <w:pPr>
      <w:keepNext/>
      <w:keepLines/>
      <w:spacing w:before="340" w:after="330" w:line="578" w:lineRule="auto"/>
      <w:jc w:val="center"/>
      <w:outlineLvl w:val="0"/>
    </w:pPr>
    <w:rPr>
      <w:rFonts w:eastAsia="方正小标宋简体"/>
      <w:bCs/>
      <w:kern w:val="44"/>
      <w:sz w:val="44"/>
      <w:szCs w:val="44"/>
    </w:rPr>
  </w:style>
  <w:style w:type="paragraph" w:styleId="4">
    <w:name w:val="heading 2"/>
    <w:basedOn w:val="1"/>
    <w:next w:val="1"/>
    <w:link w:val="30"/>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5">
    <w:name w:val="heading 3"/>
    <w:basedOn w:val="1"/>
    <w:next w:val="1"/>
    <w:link w:val="31"/>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5">
    <w:name w:val="Default Paragraph Font"/>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semiHidden/>
    <w:unhideWhenUsed/>
    <w:qFormat/>
    <w:uiPriority w:val="99"/>
    <w:pPr>
      <w:spacing w:after="120" w:line="480" w:lineRule="auto"/>
      <w:ind w:left="420" w:leftChars="200"/>
    </w:pPr>
  </w:style>
  <w:style w:type="paragraph" w:styleId="6">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7">
    <w:name w:val="annotation text"/>
    <w:basedOn w:val="1"/>
    <w:semiHidden/>
    <w:unhideWhenUsed/>
    <w:qFormat/>
    <w:uiPriority w:val="99"/>
  </w:style>
  <w:style w:type="paragraph" w:styleId="8">
    <w:name w:val="Body Text 3"/>
    <w:basedOn w:val="1"/>
    <w:link w:val="39"/>
    <w:unhideWhenUsed/>
    <w:qFormat/>
    <w:uiPriority w:val="99"/>
    <w:pPr>
      <w:spacing w:after="120"/>
    </w:pPr>
    <w:rPr>
      <w:sz w:val="16"/>
      <w:szCs w:val="16"/>
    </w:rPr>
  </w:style>
  <w:style w:type="paragraph" w:styleId="9">
    <w:name w:val="Body Text"/>
    <w:basedOn w:val="1"/>
    <w:next w:val="10"/>
    <w:qFormat/>
    <w:uiPriority w:val="99"/>
    <w:pPr>
      <w:spacing w:after="120"/>
    </w:pPr>
  </w:style>
  <w:style w:type="paragraph" w:styleId="10">
    <w:name w:val="Body Text 2"/>
    <w:basedOn w:val="1"/>
    <w:qFormat/>
    <w:uiPriority w:val="0"/>
    <w:pPr>
      <w:spacing w:after="120" w:line="480" w:lineRule="auto"/>
    </w:pPr>
  </w:style>
  <w:style w:type="paragraph" w:styleId="11">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12">
    <w:name w:val="toc 3"/>
    <w:basedOn w:val="1"/>
    <w:next w:val="1"/>
    <w:unhideWhenUsed/>
    <w:qFormat/>
    <w:uiPriority w:val="39"/>
    <w:pPr>
      <w:widowControl/>
      <w:spacing w:after="100" w:line="276" w:lineRule="auto"/>
      <w:ind w:left="440"/>
      <w:jc w:val="left"/>
    </w:pPr>
    <w:rPr>
      <w:kern w:val="0"/>
      <w:sz w:val="22"/>
    </w:rPr>
  </w:style>
  <w:style w:type="paragraph" w:styleId="13">
    <w:name w:val="Plain Text"/>
    <w:basedOn w:val="1"/>
    <w:next w:val="14"/>
    <w:qFormat/>
    <w:uiPriority w:val="0"/>
    <w:rPr>
      <w:rFonts w:ascii="宋体" w:hAnsi="Courier New"/>
      <w:szCs w:val="21"/>
    </w:rPr>
  </w:style>
  <w:style w:type="paragraph" w:customStyle="1" w:styleId="14">
    <w:name w:val="Default"/>
    <w:next w:val="15"/>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5">
    <w:name w:val="List"/>
    <w:basedOn w:val="1"/>
    <w:next w:val="1"/>
    <w:qFormat/>
    <w:uiPriority w:val="0"/>
    <w:pPr>
      <w:snapToGrid w:val="0"/>
    </w:pPr>
    <w:rPr>
      <w:szCs w:val="24"/>
    </w:rPr>
  </w:style>
  <w:style w:type="paragraph" w:styleId="16">
    <w:name w:val="Balloon Text"/>
    <w:basedOn w:val="1"/>
    <w:link w:val="34"/>
    <w:semiHidden/>
    <w:unhideWhenUsed/>
    <w:qFormat/>
    <w:uiPriority w:val="99"/>
    <w:rPr>
      <w:sz w:val="18"/>
      <w:szCs w:val="18"/>
    </w:rPr>
  </w:style>
  <w:style w:type="paragraph" w:styleId="17">
    <w:name w:val="footer"/>
    <w:basedOn w:val="1"/>
    <w:link w:val="28"/>
    <w:unhideWhenUsed/>
    <w:qFormat/>
    <w:uiPriority w:val="99"/>
    <w:pPr>
      <w:tabs>
        <w:tab w:val="center" w:pos="4153"/>
        <w:tab w:val="right" w:pos="8306"/>
      </w:tabs>
      <w:snapToGrid w:val="0"/>
      <w:jc w:val="left"/>
    </w:pPr>
    <w:rPr>
      <w:sz w:val="18"/>
      <w:szCs w:val="18"/>
    </w:rPr>
  </w:style>
  <w:style w:type="paragraph" w:styleId="18">
    <w:name w:val="header"/>
    <w:basedOn w:val="1"/>
    <w:link w:val="2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widowControl/>
      <w:spacing w:after="100" w:line="276" w:lineRule="auto"/>
      <w:jc w:val="left"/>
    </w:pPr>
    <w:rPr>
      <w:kern w:val="0"/>
      <w:sz w:val="22"/>
    </w:rPr>
  </w:style>
  <w:style w:type="paragraph" w:styleId="20">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1">
    <w:name w:val="Normal (Web)"/>
    <w:basedOn w:val="1"/>
    <w:semiHidden/>
    <w:unhideWhenUsed/>
    <w:qFormat/>
    <w:uiPriority w:val="99"/>
    <w:pPr>
      <w:spacing w:before="100" w:beforeAutospacing="1" w:after="100" w:afterAutospacing="1"/>
    </w:pPr>
    <w:rPr>
      <w:rFonts w:ascii="宋体" w:hAnsi="宋体" w:cs="宋体"/>
      <w:sz w:val="24"/>
      <w:szCs w:val="24"/>
    </w:rPr>
  </w:style>
  <w:style w:type="paragraph" w:styleId="22">
    <w:name w:val="Body Text First Indent 2"/>
    <w:basedOn w:val="11"/>
    <w:qFormat/>
    <w:uiPriority w:val="0"/>
    <w:pPr>
      <w:adjustRightInd w:val="0"/>
      <w:spacing w:line="360" w:lineRule="auto"/>
      <w:ind w:left="0" w:leftChars="0" w:firstLine="420"/>
      <w:textAlignment w:val="baseline"/>
    </w:pPr>
    <w:rPr>
      <w:rFonts w:eastAsia="等线" w:cs="Times New Roman"/>
      <w:color w:val="000000"/>
      <w:szCs w:val="24"/>
    </w:rPr>
  </w:style>
  <w:style w:type="table" w:styleId="24">
    <w:name w:val="Table Grid"/>
    <w:basedOn w:val="2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6">
    <w:name w:val="Hyperlink"/>
    <w:basedOn w:val="25"/>
    <w:unhideWhenUsed/>
    <w:qFormat/>
    <w:uiPriority w:val="99"/>
    <w:rPr>
      <w:color w:val="0000FF" w:themeColor="hyperlink"/>
      <w:u w:val="single"/>
      <w14:textFill>
        <w14:solidFill>
          <w14:schemeClr w14:val="hlink"/>
        </w14:solidFill>
      </w14:textFill>
    </w:rPr>
  </w:style>
  <w:style w:type="character" w:customStyle="1" w:styleId="27">
    <w:name w:val="页眉 Char"/>
    <w:basedOn w:val="25"/>
    <w:link w:val="18"/>
    <w:semiHidden/>
    <w:qFormat/>
    <w:uiPriority w:val="99"/>
    <w:rPr>
      <w:sz w:val="18"/>
      <w:szCs w:val="18"/>
    </w:rPr>
  </w:style>
  <w:style w:type="character" w:customStyle="1" w:styleId="28">
    <w:name w:val="页脚 Char"/>
    <w:basedOn w:val="25"/>
    <w:link w:val="17"/>
    <w:qFormat/>
    <w:uiPriority w:val="99"/>
    <w:rPr>
      <w:sz w:val="18"/>
      <w:szCs w:val="18"/>
    </w:rPr>
  </w:style>
  <w:style w:type="character" w:customStyle="1" w:styleId="29">
    <w:name w:val="标题 1 Char"/>
    <w:basedOn w:val="25"/>
    <w:link w:val="3"/>
    <w:qFormat/>
    <w:uiPriority w:val="9"/>
    <w:rPr>
      <w:rFonts w:eastAsia="方正小标宋简体"/>
      <w:bCs/>
      <w:kern w:val="44"/>
      <w:sz w:val="44"/>
      <w:szCs w:val="44"/>
    </w:rPr>
  </w:style>
  <w:style w:type="character" w:customStyle="1" w:styleId="30">
    <w:name w:val="标题 2 Char"/>
    <w:basedOn w:val="25"/>
    <w:link w:val="4"/>
    <w:qFormat/>
    <w:uiPriority w:val="9"/>
    <w:rPr>
      <w:rFonts w:eastAsia="方正小标宋简体" w:asciiTheme="majorHAnsi" w:hAnsiTheme="majorHAnsi" w:cstheme="majorBidi"/>
      <w:bCs/>
      <w:sz w:val="36"/>
      <w:szCs w:val="32"/>
    </w:rPr>
  </w:style>
  <w:style w:type="character" w:customStyle="1" w:styleId="31">
    <w:name w:val="标题 3 Char"/>
    <w:basedOn w:val="25"/>
    <w:link w:val="5"/>
    <w:qFormat/>
    <w:uiPriority w:val="9"/>
    <w:rPr>
      <w:rFonts w:ascii="Calibri" w:hAnsi="Calibri" w:eastAsia="宋体" w:cs="Times New Roman"/>
      <w:b/>
      <w:bCs/>
      <w:sz w:val="32"/>
      <w:szCs w:val="32"/>
    </w:rPr>
  </w:style>
  <w:style w:type="paragraph" w:styleId="32">
    <w:name w:val="List Paragraph"/>
    <w:basedOn w:val="1"/>
    <w:next w:val="1"/>
    <w:link w:val="40"/>
    <w:qFormat/>
    <w:uiPriority w:val="34"/>
    <w:pPr>
      <w:ind w:firstLine="420" w:firstLineChars="200"/>
    </w:pPr>
  </w:style>
  <w:style w:type="paragraph" w:customStyle="1" w:styleId="33">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4">
    <w:name w:val="批注框文本 Char"/>
    <w:basedOn w:val="25"/>
    <w:link w:val="16"/>
    <w:semiHidden/>
    <w:qFormat/>
    <w:uiPriority w:val="99"/>
    <w:rPr>
      <w:sz w:val="18"/>
      <w:szCs w:val="18"/>
    </w:rPr>
  </w:style>
  <w:style w:type="paragraph" w:styleId="35">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6">
    <w:name w:val="CM97"/>
    <w:basedOn w:val="14"/>
    <w:next w:val="14"/>
    <w:qFormat/>
    <w:uiPriority w:val="0"/>
    <w:pPr>
      <w:spacing w:after="373"/>
    </w:pPr>
    <w:rPr>
      <w:color w:val="auto"/>
    </w:rPr>
  </w:style>
  <w:style w:type="paragraph" w:customStyle="1" w:styleId="37">
    <w:name w:val="CM91"/>
    <w:basedOn w:val="14"/>
    <w:next w:val="14"/>
    <w:qFormat/>
    <w:uiPriority w:val="0"/>
    <w:pPr>
      <w:spacing w:after="160"/>
    </w:pPr>
    <w:rPr>
      <w:color w:val="auto"/>
    </w:rPr>
  </w:style>
  <w:style w:type="character" w:customStyle="1" w:styleId="38">
    <w:name w:val="正文文本 3 Char"/>
    <w:link w:val="8"/>
    <w:qFormat/>
    <w:uiPriority w:val="99"/>
    <w:rPr>
      <w:sz w:val="16"/>
      <w:szCs w:val="16"/>
    </w:rPr>
  </w:style>
  <w:style w:type="character" w:customStyle="1" w:styleId="39">
    <w:name w:val="正文文本 3 Char1"/>
    <w:basedOn w:val="25"/>
    <w:link w:val="8"/>
    <w:semiHidden/>
    <w:qFormat/>
    <w:uiPriority w:val="99"/>
    <w:rPr>
      <w:sz w:val="16"/>
      <w:szCs w:val="16"/>
    </w:rPr>
  </w:style>
  <w:style w:type="character" w:customStyle="1" w:styleId="40">
    <w:name w:val="列出段落 Char"/>
    <w:link w:val="32"/>
    <w:qFormat/>
    <w:uiPriority w:val="34"/>
  </w:style>
  <w:style w:type="paragraph" w:customStyle="1" w:styleId="41">
    <w:name w:val="1"/>
    <w:basedOn w:val="1"/>
    <w:next w:val="13"/>
    <w:qFormat/>
    <w:uiPriority w:val="99"/>
    <w:pPr>
      <w:widowControl w:val="0"/>
      <w:jc w:val="both"/>
    </w:pPr>
    <w:rPr>
      <w:rFonts w:ascii="宋体" w:hAnsi="Courier New"/>
      <w:kern w:val="2"/>
    </w:rPr>
  </w:style>
  <w:style w:type="paragraph" w:customStyle="1" w:styleId="42">
    <w:name w:val="WPSOffice手动目录 1"/>
    <w:qFormat/>
    <w:uiPriority w:val="0"/>
    <w:pPr>
      <w:ind w:leftChars="0"/>
    </w:pPr>
    <w:rPr>
      <w:rFonts w:asciiTheme="minorHAnsi" w:hAnsiTheme="minorHAnsi" w:eastAsiaTheme="minorEastAsia" w:cstheme="minorBidi"/>
      <w:sz w:val="20"/>
      <w:szCs w:val="20"/>
    </w:rPr>
  </w:style>
  <w:style w:type="paragraph" w:customStyle="1" w:styleId="43">
    <w:name w:val="WPSOffice手动目录 2"/>
    <w:qFormat/>
    <w:uiPriority w:val="0"/>
    <w:pPr>
      <w:ind w:leftChars="200"/>
    </w:pPr>
    <w:rPr>
      <w:rFonts w:asciiTheme="minorHAnsi" w:hAnsiTheme="minorHAnsi" w:eastAsiaTheme="minorEastAsia" w:cstheme="minorBidi"/>
      <w:sz w:val="20"/>
      <w:szCs w:val="20"/>
    </w:rPr>
  </w:style>
  <w:style w:type="paragraph" w:customStyle="1" w:styleId="44">
    <w:name w:val="WPSOffice手动目录 3"/>
    <w:qFormat/>
    <w:uiPriority w:val="0"/>
    <w:pPr>
      <w:ind w:leftChars="400"/>
    </w:pPr>
    <w:rPr>
      <w:rFonts w:asciiTheme="minorHAnsi" w:hAnsiTheme="minorHAnsi" w:eastAsiaTheme="minorEastAsia" w:cstheme="minorBidi"/>
      <w:sz w:val="20"/>
      <w:szCs w:val="20"/>
    </w:rPr>
  </w:style>
  <w:style w:type="paragraph" w:customStyle="1" w:styleId="45">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character" w:customStyle="1" w:styleId="46">
    <w:name w:val="p141"/>
    <w:qFormat/>
    <w:uiPriority w:val="0"/>
    <w:rPr>
      <w:sz w:val="21"/>
      <w:szCs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43</Pages>
  <Words>10264</Words>
  <Characters>10725</Characters>
  <Lines>300</Lines>
  <Paragraphs>84</Paragraphs>
  <TotalTime>7</TotalTime>
  <ScaleCrop>false</ScaleCrop>
  <LinksUpToDate>false</LinksUpToDate>
  <CharactersWithSpaces>12728</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琳</cp:lastModifiedBy>
  <cp:lastPrinted>2024-09-13T00:35:00Z</cp:lastPrinted>
  <dcterms:modified xsi:type="dcterms:W3CDTF">2024-09-19T08:14:00Z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A16D6DC8326945AC9168607D4B687526</vt:lpwstr>
  </property>
</Properties>
</file>