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广州市净水有限公司健康城分公司</w:t>
      </w: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2024年尾水管道探测及</w:t>
      </w: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地质隐患检测项目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广州市净水有限公司健康城分公司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二〇二四年九月</w:t>
      </w:r>
      <w:r>
        <w:rPr>
          <w:rFonts w:ascii="黑体" w:hAnsi="黑体" w:eastAsia="黑体" w:cs="仿宋_GB2312"/>
          <w:color w:val="auto"/>
          <w:sz w:val="32"/>
          <w:szCs w:val="32"/>
          <w:highlight w:val="none"/>
        </w:rPr>
        <w:br w:type="page"/>
      </w:r>
    </w:p>
    <w:p>
      <w:pPr>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lang w:eastAsia="zh-CN"/>
        </w:rPr>
      </w:pPr>
      <w:r>
        <w:rPr>
          <w:rFonts w:hint="eastAsia"/>
          <w:color w:val="auto"/>
          <w:highlight w:val="none"/>
          <w:lang w:eastAsia="zh-CN"/>
        </w:rPr>
        <w:t>、</w:t>
      </w:r>
    </w:p>
    <w:p>
      <w:pPr>
        <w:pStyle w:val="4"/>
        <w:jc w:val="both"/>
        <w:rPr>
          <w:rFonts w:hint="eastAsia"/>
          <w:color w:val="auto"/>
          <w:highlight w:val="none"/>
        </w:rPr>
      </w:pPr>
      <w:bookmarkStart w:id="4" w:name="_Toc7519"/>
      <w:bookmarkStart w:id="5" w:name="_Toc11322"/>
      <w:bookmarkStart w:id="6" w:name="_Toc1669"/>
      <w:bookmarkStart w:id="7" w:name="_Toc31938"/>
      <w:bookmarkStart w:id="8" w:name="_Toc17801"/>
      <w:bookmarkStart w:id="9" w:name="_Toc4275"/>
      <w:bookmarkStart w:id="10" w:name="_Toc19609"/>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color w:val="auto"/>
          <w:highlight w:val="none"/>
        </w:rPr>
      </w:pPr>
      <w:bookmarkStart w:id="11" w:name="_Toc30131"/>
      <w:bookmarkStart w:id="12" w:name="_Toc30989"/>
      <w:bookmarkStart w:id="13" w:name="_Toc5230"/>
      <w:bookmarkStart w:id="14" w:name="_Toc14238"/>
      <w:bookmarkStart w:id="15" w:name="_Toc26363"/>
      <w:bookmarkStart w:id="16" w:name="_Toc8201"/>
      <w:bookmarkStart w:id="17" w:name="_Toc2659"/>
      <w:bookmarkStart w:id="18" w:name="_Toc999"/>
      <w:bookmarkStart w:id="19" w:name="_Toc15709"/>
      <w:bookmarkStart w:id="20" w:name="_Toc28995"/>
      <w:bookmarkStart w:id="21" w:name="_Toc88209924"/>
      <w:bookmarkStart w:id="22" w:name="_Toc10122"/>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ascii="宋体" w:hAnsi="宋体" w:eastAsia="宋体" w:cs="宋体"/>
          <w:b/>
          <w:bCs w:val="0"/>
          <w:color w:val="auto"/>
          <w:highlight w:val="none"/>
          <w:u w:val="single"/>
          <w:lang w:eastAsia="zh-CN"/>
        </w:rPr>
        <w:t>广州市净水有限公司健康城分公司2024年尾水管道探测及地质隐患检测项目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广州市净水有限公司健康城分公司2024年尾水管道探测及地质隐患检测项目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广州市净水有限公司健康城分公司2024年尾水管道探测及地质隐患检测项目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032024071500002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37428.29</w:t>
      </w:r>
      <w:r>
        <w:rPr>
          <w:rFonts w:hint="eastAsia" w:ascii="仿宋_GB2312" w:eastAsia="仿宋_GB2312"/>
          <w:color w:val="auto"/>
          <w:sz w:val="28"/>
          <w:szCs w:val="28"/>
          <w:highlight w:val="none"/>
          <w:u w:val="single"/>
        </w:rPr>
        <w:t xml:space="preserve">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对广州市净水有限公司健康城</w:t>
      </w:r>
      <w:r>
        <w:rPr>
          <w:rFonts w:hint="eastAsia" w:ascii="仿宋_GB2312" w:eastAsia="仿宋_GB2312"/>
          <w:color w:val="auto"/>
          <w:sz w:val="28"/>
          <w:szCs w:val="28"/>
          <w:highlight w:val="none"/>
          <w:u w:val="none"/>
          <w:lang w:val="en-US" w:eastAsia="zh-CN"/>
        </w:rPr>
        <w:t>分公司进行</w:t>
      </w:r>
      <w:r>
        <w:rPr>
          <w:rFonts w:hint="eastAsia" w:ascii="仿宋_GB2312" w:eastAsia="仿宋_GB2312"/>
          <w:color w:val="auto"/>
          <w:sz w:val="28"/>
          <w:szCs w:val="28"/>
          <w:highlight w:val="none"/>
          <w:u w:val="none"/>
          <w:lang w:eastAsia="zh-CN"/>
        </w:rPr>
        <w:t>尾水管道探测及地质隐患排查</w:t>
      </w:r>
      <w:r>
        <w:rPr>
          <w:rFonts w:hint="eastAsia" w:ascii="仿宋_GB2312" w:eastAsia="仿宋_GB2312"/>
          <w:color w:val="auto"/>
          <w:sz w:val="28"/>
          <w:szCs w:val="28"/>
          <w:highlight w:val="none"/>
          <w:u w:val="none"/>
        </w:rPr>
        <w:t>。（1）管线探测应在管线现况调绘的基础上，采用实地调查和仪器探查相结合的方法进行。主要工作内容为控制点布设、管线调查、管线探测、管线点测量及管线图测绘等。（2）管道周边地质隐患排查包括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地质隐患排查需查明的项目包括所有地下空洞、脱空、疏松体的范围边界、平面尺寸、净空高度、病害中心点坐标等。（3）探测、地质隐患排查需出具报告成果包括：1.管线点成果表；2.综合管线数据库；2.综合管线探测成果图；3.地质病害成果表；4.数据U盘（电子版）。上述成果资料纸质版各5份，电子数据各2份。</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合同签订之日起30个日历天内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健康城净水厂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白云区钟落潭镇广陈路568号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尾水管道范围</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尾水管道</w:t>
      </w:r>
      <w:r>
        <w:rPr>
          <w:rFonts w:hint="eastAsia" w:ascii="仿宋_GB2312" w:eastAsia="仿宋_GB2312"/>
          <w:color w:val="auto"/>
          <w:sz w:val="28"/>
          <w:szCs w:val="28"/>
          <w:highlight w:val="none"/>
          <w:u w:val="single"/>
        </w:rPr>
        <w:t>探测、地质隐患排查需出具报告成果包括：1.管线点成果表；2.综合管线数据库；2.综合管线探测成果图；3.地质病害成果表；4.数据U盘（电子版）。上述成果资料纸质版各</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份，电子数据各2份。</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工程勘察专业</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一项类似管道探测和地质隐患排查</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17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17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spacing w:line="600" w:lineRule="exact"/>
        <w:ind w:firstLine="0" w:firstLineChars="0"/>
        <w:jc w:val="left"/>
        <w:rPr>
          <w:rFonts w:hint="eastAsia" w:ascii="仿宋_GB2312" w:eastAsia="仿宋_GB2312"/>
          <w:color w:val="auto"/>
          <w:sz w:val="28"/>
          <w:szCs w:val="28"/>
          <w:highlight w:val="none"/>
          <w:lang w:val="en-US" w:eastAsia="zh-CN"/>
        </w:rPr>
        <w:pPrChange w:id="0" w:author="刘彤昀" w:date="2024-09-09T11:18:17Z">
          <w:pPr>
            <w:spacing w:line="600" w:lineRule="exact"/>
            <w:ind w:firstLine="560" w:firstLineChars="200"/>
            <w:jc w:val="left"/>
          </w:pPr>
        </w:pPrChange>
      </w:pPr>
      <w:bookmarkStart w:id="164" w:name="_GoBack"/>
      <w:bookmarkEnd w:id="164"/>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广州市白云区钟落潭镇广陈路568号健康城净水厂</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响应文件须于递交截止时间前送达，并放置于分公司2号门保安处。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auto"/>
        <w:adjustRightInd w:val="0"/>
        <w:snapToGrid w:val="0"/>
        <w:spacing w:line="600" w:lineRule="exac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lang w:val="en-US" w:eastAsia="zh-CN"/>
        </w:rPr>
        <w:t>8</w:t>
      </w:r>
      <w:r>
        <w:rPr>
          <w:rFonts w:asciiTheme="minorEastAsia" w:hAnsiTheme="minorEastAsia"/>
          <w:b/>
          <w:color w:val="auto"/>
          <w:sz w:val="32"/>
          <w:szCs w:val="32"/>
          <w:highlight w:val="none"/>
          <w:shd w:val="clear" w:color="auto" w:fill="auto"/>
        </w:rPr>
        <w:t>.</w:t>
      </w:r>
      <w:r>
        <w:rPr>
          <w:rFonts w:hint="eastAsia" w:asciiTheme="minorEastAsia" w:hAnsiTheme="minorEastAsia"/>
          <w:b/>
          <w:color w:val="auto"/>
          <w:sz w:val="32"/>
          <w:szCs w:val="32"/>
          <w:highlight w:val="none"/>
          <w:shd w:val="clear" w:color="auto" w:fill="auto"/>
        </w:rPr>
        <w:t>异议及投诉的受理</w:t>
      </w:r>
    </w:p>
    <w:p>
      <w:pPr>
        <w:widowControl/>
        <w:shd w:val="clear" w:color="auto" w:fill="auto"/>
        <w:adjustRightInd w:val="0"/>
        <w:snapToGrid w:val="0"/>
        <w:spacing w:line="600" w:lineRule="exact"/>
        <w:ind w:left="1" w:firstLine="618" w:firstLineChars="221"/>
        <w:rPr>
          <w:rFonts w:ascii="仿宋_GB2312" w:hAnsi="仿宋" w:eastAsia="仿宋_GB2312"/>
          <w:color w:val="auto"/>
          <w:sz w:val="28"/>
          <w:szCs w:val="28"/>
          <w:highlight w:val="none"/>
          <w:shd w:val="clear" w:color="auto" w:fill="auto"/>
        </w:rPr>
      </w:pPr>
      <w:r>
        <w:rPr>
          <w:rFonts w:ascii="仿宋_GB2312" w:hAnsi="仿宋" w:eastAsia="仿宋_GB2312"/>
          <w:color w:val="auto"/>
          <w:sz w:val="28"/>
          <w:szCs w:val="28"/>
          <w:highlight w:val="none"/>
          <w:shd w:val="clear" w:color="auto" w:fill="auto"/>
        </w:rPr>
        <w:t>潜在供应商或利害关系人对本</w:t>
      </w:r>
      <w:r>
        <w:rPr>
          <w:rFonts w:hint="eastAsia" w:ascii="仿宋_GB2312" w:hAnsi="仿宋" w:eastAsia="仿宋_GB2312"/>
          <w:color w:val="auto"/>
          <w:sz w:val="28"/>
          <w:szCs w:val="28"/>
          <w:highlight w:val="none"/>
          <w:shd w:val="clear" w:color="auto" w:fill="auto"/>
        </w:rPr>
        <w:t>采购</w:t>
      </w:r>
      <w:r>
        <w:rPr>
          <w:rFonts w:ascii="仿宋_GB2312" w:hAnsi="仿宋" w:eastAsia="仿宋_GB2312"/>
          <w:color w:val="auto"/>
          <w:sz w:val="28"/>
          <w:szCs w:val="28"/>
          <w:highlight w:val="none"/>
          <w:shd w:val="clear" w:color="auto" w:fill="auto"/>
        </w:rPr>
        <w:t>公告及采购文件中任何违法及不公平内容有异议的，可以在提交</w:t>
      </w:r>
      <w:r>
        <w:rPr>
          <w:rFonts w:hint="eastAsia" w:ascii="仿宋_GB2312" w:hAnsi="仿宋" w:eastAsia="仿宋_GB2312"/>
          <w:color w:val="auto"/>
          <w:sz w:val="28"/>
          <w:szCs w:val="28"/>
          <w:highlight w:val="none"/>
          <w:shd w:val="clear" w:color="auto" w:fill="auto"/>
        </w:rPr>
        <w:t>响应文件截止之日</w:t>
      </w:r>
      <w:r>
        <w:rPr>
          <w:rFonts w:hint="eastAsia" w:ascii="仿宋_GB2312" w:hAnsi="仿宋" w:eastAsia="仿宋_GB2312"/>
          <w:color w:val="auto"/>
          <w:sz w:val="28"/>
          <w:szCs w:val="28"/>
          <w:highlight w:val="none"/>
          <w:u w:val="single"/>
          <w:shd w:val="clear" w:color="auto" w:fill="auto"/>
          <w:lang w:val="en-US" w:eastAsia="zh-CN"/>
        </w:rPr>
        <w:t>2</w:t>
      </w:r>
      <w:r>
        <w:rPr>
          <w:rFonts w:hint="eastAsia" w:ascii="仿宋_GB2312" w:hAnsi="仿宋" w:eastAsia="仿宋_GB2312"/>
          <w:color w:val="auto"/>
          <w:sz w:val="28"/>
          <w:szCs w:val="28"/>
          <w:highlight w:val="none"/>
          <w:shd w:val="clear" w:color="auto" w:fill="auto"/>
        </w:rPr>
        <w:t>个工作日前</w:t>
      </w:r>
      <w:r>
        <w:rPr>
          <w:rFonts w:ascii="仿宋_GB2312" w:hAnsi="仿宋" w:eastAsia="仿宋_GB2312"/>
          <w:color w:val="auto"/>
          <w:sz w:val="28"/>
          <w:szCs w:val="28"/>
          <w:highlight w:val="none"/>
          <w:shd w:val="clear" w:color="auto" w:fill="auto"/>
        </w:rPr>
        <w:t>书面提出异议。如潜在响应人或其他利害关系人对采购人答复仍持有异议的，可按相关规定进行投诉。</w:t>
      </w:r>
    </w:p>
    <w:p>
      <w:pPr>
        <w:widowControl/>
        <w:shd w:val="clear" w:color="auto" w:fill="auto"/>
        <w:adjustRightInd w:val="0"/>
        <w:snapToGrid w:val="0"/>
        <w:spacing w:line="600" w:lineRule="exact"/>
        <w:ind w:left="1" w:firstLine="480"/>
        <w:rPr>
          <w:rFonts w:ascii="仿宋_GB2312" w:hAnsi="仿宋" w:eastAsia="仿宋_GB2312"/>
          <w:color w:val="auto"/>
          <w:sz w:val="28"/>
          <w:szCs w:val="28"/>
          <w:highlight w:val="none"/>
          <w:shd w:val="clear" w:color="auto" w:fill="auto"/>
        </w:rPr>
      </w:pPr>
      <w:r>
        <w:rPr>
          <w:rFonts w:ascii="仿宋_GB2312" w:hAnsi="仿宋" w:eastAsia="仿宋_GB2312"/>
          <w:color w:val="auto"/>
          <w:sz w:val="28"/>
          <w:szCs w:val="28"/>
          <w:highlight w:val="none"/>
          <w:shd w:val="clear" w:color="auto" w:fill="auto"/>
        </w:rPr>
        <w:t>异议受理部门：</w:t>
      </w:r>
      <w:r>
        <w:rPr>
          <w:rFonts w:hint="eastAsia" w:ascii="仿宋_GB2312" w:hAnsi="仿宋" w:eastAsia="仿宋_GB2312"/>
          <w:color w:val="auto"/>
          <w:sz w:val="28"/>
          <w:szCs w:val="28"/>
          <w:highlight w:val="none"/>
          <w:u w:val="single"/>
          <w:shd w:val="clear" w:color="auto" w:fill="auto"/>
          <w:lang w:val="en-US" w:eastAsia="zh-CN"/>
        </w:rPr>
        <w:t>广州市净水有限公司</w:t>
      </w:r>
      <w:r>
        <w:rPr>
          <w:rFonts w:ascii="仿宋_GB2312" w:hAnsi="仿宋" w:eastAsia="仿宋_GB2312"/>
          <w:color w:val="auto"/>
          <w:sz w:val="28"/>
          <w:szCs w:val="28"/>
          <w:highlight w:val="none"/>
          <w:shd w:val="clear" w:color="auto" w:fill="auto"/>
        </w:rPr>
        <w:t>，电话：</w:t>
      </w:r>
      <w:r>
        <w:rPr>
          <w:rFonts w:hint="eastAsia" w:ascii="仿宋_GB2312" w:hAnsi="仿宋" w:eastAsia="仿宋_GB2312"/>
          <w:color w:val="auto"/>
          <w:sz w:val="28"/>
          <w:szCs w:val="28"/>
          <w:highlight w:val="none"/>
          <w:u w:val="single"/>
          <w:shd w:val="clear" w:color="auto" w:fill="auto"/>
          <w:lang w:val="en-US" w:eastAsia="zh-CN"/>
        </w:rPr>
        <w:t>020-</w:t>
      </w:r>
      <w:r>
        <w:rPr>
          <w:rFonts w:hint="eastAsia" w:ascii="仿宋_GB2312" w:eastAsia="仿宋_GB2312"/>
          <w:color w:val="auto"/>
          <w:sz w:val="28"/>
          <w:szCs w:val="28"/>
          <w:highlight w:val="none"/>
          <w:u w:val="single"/>
          <w:shd w:val="clear" w:color="auto" w:fill="auto"/>
          <w:lang w:val="en-US" w:eastAsia="zh-CN"/>
        </w:rPr>
        <w:t>38890467/</w:t>
      </w:r>
      <w:r>
        <w:rPr>
          <w:rFonts w:hint="eastAsia" w:ascii="仿宋_GB2312" w:hAnsi="仿宋" w:eastAsia="仿宋_GB2312"/>
          <w:color w:val="auto"/>
          <w:sz w:val="28"/>
          <w:szCs w:val="28"/>
          <w:highlight w:val="none"/>
          <w:u w:val="single"/>
          <w:shd w:val="clear" w:color="auto" w:fill="auto"/>
          <w:lang w:val="en-US" w:eastAsia="zh-CN"/>
        </w:rPr>
        <w:t>38890841</w:t>
      </w:r>
      <w:r>
        <w:rPr>
          <w:rFonts w:ascii="仿宋_GB2312" w:hAnsi="仿宋" w:eastAsia="仿宋_GB2312"/>
          <w:color w:val="auto"/>
          <w:sz w:val="28"/>
          <w:szCs w:val="28"/>
          <w:highlight w:val="none"/>
          <w:u w:val="none"/>
          <w:shd w:val="clear" w:color="auto" w:fill="auto"/>
        </w:rPr>
        <w:t>。</w:t>
      </w:r>
    </w:p>
    <w:p>
      <w:pPr>
        <w:widowControl/>
        <w:shd w:val="clear" w:color="auto" w:fill="auto"/>
        <w:adjustRightInd w:val="0"/>
        <w:snapToGrid w:val="0"/>
        <w:spacing w:line="600" w:lineRule="exact"/>
        <w:ind w:left="1" w:firstLine="480"/>
        <w:rPr>
          <w:rFonts w:ascii="仿宋_GB2312" w:hAnsi="仿宋" w:eastAsia="仿宋_GB2312"/>
          <w:color w:val="auto"/>
          <w:sz w:val="28"/>
          <w:szCs w:val="28"/>
          <w:highlight w:val="none"/>
          <w:shd w:val="clear" w:color="auto" w:fill="auto"/>
        </w:rPr>
      </w:pPr>
      <w:r>
        <w:rPr>
          <w:rFonts w:ascii="仿宋_GB2312" w:hAnsi="仿宋" w:eastAsia="仿宋_GB2312"/>
          <w:color w:val="auto"/>
          <w:sz w:val="28"/>
          <w:szCs w:val="28"/>
          <w:highlight w:val="none"/>
          <w:shd w:val="clear" w:color="auto" w:fill="auto"/>
        </w:rPr>
        <w:t>地址：</w:t>
      </w:r>
      <w:r>
        <w:rPr>
          <w:rFonts w:hint="eastAsia" w:ascii="仿宋_GB2312" w:hAnsi="仿宋" w:eastAsia="仿宋_GB2312"/>
          <w:color w:val="auto"/>
          <w:sz w:val="28"/>
          <w:szCs w:val="28"/>
          <w:highlight w:val="none"/>
          <w:u w:val="single"/>
          <w:shd w:val="clear" w:color="auto" w:fill="auto"/>
          <w:lang w:val="en-US" w:eastAsia="zh-CN"/>
        </w:rPr>
        <w:t>广州市天河区临江大道501号广州市净水有限公司</w:t>
      </w:r>
      <w:r>
        <w:rPr>
          <w:rFonts w:ascii="仿宋_GB2312" w:hAnsi="仿宋" w:eastAsia="仿宋_GB2312"/>
          <w:color w:val="auto"/>
          <w:sz w:val="28"/>
          <w:szCs w:val="28"/>
          <w:highlight w:val="none"/>
          <w:shd w:val="clear" w:color="auto" w:fill="auto"/>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79"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广州市净水有限公司健康城分公司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79"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广州市白云区钟落潭镇广陈路568号健康城净水厂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79"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79"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13690819397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79"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single"/>
                <w:lang w:val="en-US" w:eastAsia="zh-CN"/>
              </w:rPr>
              <w:t xml:space="preserve"> 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rPr>
          <w:rFonts w:hint="eastAsia"/>
          <w:color w:val="auto"/>
          <w:highlight w:val="none"/>
        </w:rPr>
      </w:pPr>
      <w:bookmarkStart w:id="25" w:name="_Toc10891"/>
    </w:p>
    <w:p>
      <w:pPr>
        <w:pStyle w:val="23"/>
        <w:rPr>
          <w:rFonts w:hint="eastAsia"/>
          <w:color w:val="auto"/>
          <w:highlight w:val="none"/>
        </w:rPr>
      </w:pPr>
    </w:p>
    <w:p>
      <w:pPr>
        <w:pStyle w:val="2"/>
        <w:rPr>
          <w:rFonts w:hint="eastAsia"/>
          <w:color w:val="auto"/>
          <w:highlight w:val="none"/>
        </w:rPr>
      </w:pPr>
    </w:p>
    <w:p>
      <w:pPr>
        <w:pStyle w:val="4"/>
        <w:rPr>
          <w:color w:val="auto"/>
          <w:highlight w:val="none"/>
        </w:rPr>
      </w:pPr>
      <w:bookmarkStart w:id="26" w:name="_Toc25603"/>
      <w:bookmarkStart w:id="27" w:name="_Toc19295"/>
      <w:bookmarkStart w:id="28" w:name="_Toc23749"/>
      <w:bookmarkStart w:id="29" w:name="_Toc2324"/>
      <w:bookmarkStart w:id="30" w:name="_Toc16705"/>
      <w:bookmarkStart w:id="31" w:name="_Toc2331"/>
      <w:bookmarkStart w:id="32" w:name="_Toc7340"/>
      <w:bookmarkStart w:id="33" w:name="_Toc9448"/>
      <w:bookmarkStart w:id="34" w:name="_Toc32588"/>
      <w:bookmarkStart w:id="35" w:name="_Toc1655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0" w:firstLine="0" w:firstLineChars="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1455"/>
      <w:bookmarkStart w:id="39"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9"/>
        <w:rPr>
          <w:color w:val="auto"/>
          <w:highlight w:val="none"/>
        </w:rPr>
      </w:pPr>
    </w:p>
    <w:p>
      <w:pPr>
        <w:pStyle w:val="5"/>
        <w:rPr>
          <w:color w:val="auto"/>
          <w:highlight w:val="none"/>
        </w:rPr>
      </w:pPr>
      <w:bookmarkStart w:id="40" w:name="_Toc7303"/>
      <w:bookmarkStart w:id="41" w:name="_Toc7040"/>
      <w:bookmarkStart w:id="42" w:name="_Toc87616371"/>
      <w:bookmarkStart w:id="43" w:name="_Toc88209934"/>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广州市白云区钟落潭镇广陈路568号健康城净水厂</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vAlign w:val="center"/>
          </w:tcPr>
          <w:p>
            <w:pPr>
              <w:adjustRightInd w:val="0"/>
              <w:snapToGrid w:val="0"/>
              <w:ind w:left="0" w:firstLine="0" w:firstLineChars="0"/>
              <w:rPr>
                <w:rFonts w:hint="eastAsia"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sym w:font="Wingdings 2" w:char="0052"/>
            </w:r>
            <w:r>
              <w:rPr>
                <w:rFonts w:hint="eastAsia" w:ascii="仿宋_GB2312" w:eastAsia="仿宋_GB2312" w:hAnsiTheme="minorEastAsia"/>
                <w:color w:val="auto"/>
                <w:sz w:val="24"/>
                <w:szCs w:val="24"/>
                <w:highlight w:val="none"/>
                <w:u w:val="single"/>
              </w:rPr>
              <w:t>采购人确定满足采购文件</w:t>
            </w:r>
            <w:r>
              <w:rPr>
                <w:rFonts w:hint="eastAsia" w:ascii="仿宋_GB2312" w:eastAsia="仿宋_GB2312" w:hAnsiTheme="minorEastAsia"/>
                <w:color w:val="auto"/>
                <w:sz w:val="24"/>
                <w:szCs w:val="24"/>
                <w:highlight w:val="none"/>
                <w:u w:val="single"/>
                <w:lang w:val="en-US" w:eastAsia="zh-CN"/>
              </w:rPr>
              <w:t>资格性、响应性</w:t>
            </w:r>
            <w:r>
              <w:rPr>
                <w:rFonts w:hint="eastAsia" w:ascii="仿宋_GB2312" w:eastAsia="仿宋_GB2312" w:hAnsiTheme="minorEastAsia"/>
                <w:color w:val="auto"/>
                <w:sz w:val="24"/>
                <w:szCs w:val="24"/>
                <w:highlight w:val="none"/>
                <w:u w:val="single"/>
              </w:rPr>
              <w:t>要求，并且经评审的报价最低的为成交供应商</w:t>
            </w:r>
          </w:p>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u w:val="single"/>
              </w:rPr>
              <w:sym w:font="Wingdings 2" w:char="00A3"/>
            </w:r>
            <w:r>
              <w:rPr>
                <w:rFonts w:hint="eastAsia" w:ascii="仿宋_GB2312" w:eastAsia="仿宋_GB2312" w:hAnsiTheme="minorEastAsia"/>
                <w:color w:val="auto"/>
                <w:sz w:val="24"/>
                <w:szCs w:val="24"/>
                <w:highlight w:val="none"/>
                <w:u w:val="singl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3"/>
        <w:rPr>
          <w:color w:val="auto"/>
          <w:highlight w:val="none"/>
        </w:rPr>
      </w:pPr>
    </w:p>
    <w:p>
      <w:pPr>
        <w:pStyle w:val="4"/>
        <w:rPr>
          <w:color w:val="auto"/>
          <w:highlight w:val="none"/>
        </w:rPr>
      </w:pPr>
      <w:bookmarkStart w:id="46" w:name="_Toc4952"/>
      <w:bookmarkStart w:id="47" w:name="_Toc14870"/>
      <w:bookmarkStart w:id="48" w:name="_Toc19050"/>
      <w:bookmarkStart w:id="49" w:name="_Toc10930"/>
      <w:bookmarkStart w:id="50" w:name="_Toc20594"/>
      <w:bookmarkStart w:id="51" w:name="_Toc19759"/>
      <w:bookmarkStart w:id="52" w:name="_Toc7437"/>
      <w:bookmarkStart w:id="53" w:name="_Toc23581"/>
      <w:bookmarkStart w:id="54" w:name="_Toc7118"/>
      <w:bookmarkStart w:id="55" w:name="_Toc14552"/>
      <w:bookmarkStart w:id="56"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9"/>
        <w:rPr>
          <w:color w:val="auto"/>
          <w:highlight w:val="none"/>
        </w:rPr>
      </w:pPr>
    </w:p>
    <w:p>
      <w:pPr>
        <w:pStyle w:val="4"/>
        <w:rPr>
          <w:color w:val="auto"/>
          <w:highlight w:val="none"/>
        </w:rPr>
      </w:pPr>
      <w:bookmarkStart w:id="57" w:name="_Toc22212"/>
      <w:bookmarkStart w:id="58" w:name="_Toc7831"/>
      <w:bookmarkStart w:id="59" w:name="_Toc32607"/>
      <w:bookmarkStart w:id="60" w:name="_Toc21840"/>
      <w:bookmarkStart w:id="61" w:name="_Toc21079"/>
      <w:bookmarkStart w:id="62" w:name="_Toc6308"/>
      <w:bookmarkStart w:id="63" w:name="_Toc29484"/>
      <w:bookmarkStart w:id="64" w:name="_Toc87616378"/>
      <w:bookmarkStart w:id="65" w:name="_Toc30530"/>
      <w:bookmarkStart w:id="66" w:name="_Toc88209941"/>
      <w:bookmarkStart w:id="67" w:name="_Toc13898"/>
      <w:bookmarkStart w:id="68" w:name="_Toc12177"/>
      <w:bookmarkStart w:id="69" w:name="_Toc29345"/>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72"/>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.1项目名称： </w:t>
      </w:r>
      <w:r>
        <w:rPr>
          <w:rFonts w:hint="eastAsia" w:ascii="仿宋_GB2312" w:eastAsia="仿宋_GB2312" w:hAnsiTheme="minorEastAsia"/>
          <w:color w:val="auto"/>
          <w:sz w:val="28"/>
          <w:szCs w:val="28"/>
          <w:highlight w:val="none"/>
          <w:lang w:eastAsia="zh-CN"/>
        </w:rPr>
        <w:t>广州市净水有限公司健康城分公司2024年尾水管道探测及地质隐患检测项目</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.2项目地点： </w:t>
      </w:r>
      <w:r>
        <w:rPr>
          <w:rFonts w:hint="eastAsia" w:ascii="仿宋_GB2312" w:eastAsia="仿宋_GB2312" w:hAnsiTheme="minorEastAsia"/>
          <w:color w:val="auto"/>
          <w:sz w:val="28"/>
          <w:szCs w:val="28"/>
          <w:highlight w:val="none"/>
          <w:lang w:val="en-US" w:eastAsia="zh-CN"/>
        </w:rPr>
        <w:t>健康城净水厂尾水管道范围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sectPr>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管线点成果表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上述成果</w:t>
      </w:r>
      <w:r>
        <w:rPr>
          <w:rFonts w:hint="eastAsia" w:ascii="仿宋_GB2312" w:eastAsia="仿宋_GB2312" w:hAnsiTheme="minorEastAsia"/>
          <w:color w:val="auto"/>
          <w:sz w:val="28"/>
          <w:szCs w:val="28"/>
          <w:highlight w:val="none"/>
        </w:rPr>
        <w:t>资料纸质版各</w:t>
      </w: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p>
      <w:pPr>
        <w:pStyle w:val="2"/>
        <w:rPr>
          <w:rFonts w:hint="eastAsia"/>
          <w:lang w:val="en-US" w:eastAsia="zh-CN"/>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555"/>
        <w:gridCol w:w="657"/>
        <w:gridCol w:w="824"/>
        <w:gridCol w:w="1277"/>
        <w:gridCol w:w="971"/>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收费基价（元）</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管线探测</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“02标准”31页\表7.2-1\地下管线探测\金属管道\中等复杂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管线测量</w:t>
            </w:r>
          </w:p>
        </w:tc>
        <w:tc>
          <w:tcPr>
            <w:tcW w:w="370"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“02标准”7页\表2.4-2\地下管线测量\上下水及暖气管道\中等复杂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地下管道上方空洞及疏松区检测</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长度为管道长度，据实结算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技术工作费</w:t>
            </w:r>
          </w:p>
        </w:tc>
        <w:tc>
          <w:tcPr>
            <w:tcW w:w="1553" w:type="pct"/>
            <w:gridSpan w:val="3"/>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（1+2+3）*22%</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02标准”P29页\2工程测量2.1技术工作费 22%(其中管线探测、测量空洞雷达检测收技术工作费，管线检测不收技术工作费)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钻探验证</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根据实际工作量结算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3" w:type="pct"/>
            <w:gridSpan w:val="3"/>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1+2+3+4+5+6</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含6%增值税</w:t>
            </w:r>
          </w:p>
        </w:tc>
      </w:tr>
    </w:tbl>
    <w:p>
      <w:pPr>
        <w:rPr>
          <w:rFonts w:hint="eastAsia" w:ascii="宋体" w:hAnsi="宋体" w:cs="宋体"/>
          <w:b/>
          <w:color w:val="auto"/>
          <w:szCs w:val="21"/>
          <w:highlight w:val="none"/>
        </w:rPr>
      </w:pPr>
    </w:p>
    <w:p>
      <w:pPr>
        <w:pStyle w:val="23"/>
        <w:rPr>
          <w:rFonts w:hint="eastAsia"/>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color w:val="auto"/>
          <w:highlight w:val="none"/>
        </w:rPr>
      </w:pPr>
    </w:p>
    <w:p>
      <w:pPr>
        <w:pStyle w:val="4"/>
        <w:rPr>
          <w:color w:val="auto"/>
          <w:highlight w:val="none"/>
        </w:rPr>
      </w:pPr>
      <w:bookmarkStart w:id="73" w:name="_Toc15570"/>
      <w:bookmarkStart w:id="74" w:name="_Toc1284"/>
      <w:bookmarkStart w:id="75" w:name="_Toc23330"/>
      <w:bookmarkStart w:id="76" w:name="_Toc23353"/>
      <w:bookmarkStart w:id="77" w:name="_Toc18538"/>
      <w:bookmarkStart w:id="78" w:name="_Toc25925"/>
      <w:bookmarkStart w:id="79" w:name="_Toc29835"/>
      <w:bookmarkStart w:id="80" w:name="_Toc4680"/>
      <w:bookmarkStart w:id="81" w:name="_Toc1496"/>
      <w:bookmarkStart w:id="82" w:name="_Toc12135"/>
      <w:bookmarkStart w:id="83" w:name="_Toc53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合同</w:t>
      </w:r>
    </w:p>
    <w:p>
      <w:pPr>
        <w:spacing w:line="400" w:lineRule="atLeast"/>
        <w:jc w:val="center"/>
        <w:rPr>
          <w:rFonts w:ascii="宋体" w:hAnsi="宋体"/>
          <w:b/>
          <w:color w:val="auto"/>
          <w:sz w:val="28"/>
          <w:highlight w:val="none"/>
        </w:rPr>
      </w:pPr>
    </w:p>
    <w:p>
      <w:pPr>
        <w:spacing w:line="0" w:lineRule="atLeast"/>
        <w:rPr>
          <w:rFonts w:ascii="仿宋_GB2312" w:hAnsi="宋体" w:eastAsia="仿宋_GB2312"/>
          <w:b/>
          <w:color w:val="auto"/>
          <w:sz w:val="30"/>
          <w:szCs w:val="30"/>
          <w:highlight w:val="none"/>
        </w:rPr>
      </w:pPr>
    </w:p>
    <w:p>
      <w:pPr>
        <w:widowControl w:val="0"/>
        <w:spacing w:after="0" w:line="400" w:lineRule="atLeast"/>
        <w:jc w:val="center"/>
        <w:rPr>
          <w:rFonts w:ascii="宋体" w:hAnsi="宋体" w:eastAsia="宋体" w:cs="Times New Roman"/>
          <w:b/>
          <w:color w:val="000000"/>
          <w:sz w:val="48"/>
          <w:szCs w:val="48"/>
          <w14:shadow w14:blurRad="50800" w14:dist="38100" w14:dir="2700000" w14:sx="100000" w14:sy="100000" w14:kx="0" w14:ky="0" w14:algn="tl">
            <w14:srgbClr w14:val="000000">
              <w14:alpha w14:val="60000"/>
            </w14:srgbClr>
          </w14:shadow>
        </w:rPr>
      </w:pPr>
      <w:r>
        <w:rPr>
          <w:rFonts w:hint="eastAsia" w:ascii="宋体" w:hAnsi="宋体" w:eastAsia="宋体" w:cs="Times New Roman"/>
          <w:b/>
          <w:color w:val="000000"/>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eastAsia="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eastAsia="宋体" w:cs="Times New Roman"/>
          <w:b/>
          <w:color w:val="000000"/>
          <w:sz w:val="48"/>
          <w:szCs w:val="48"/>
          <w14:shadow w14:blurRad="50800" w14:dist="38100" w14:dir="2700000" w14:sx="100000" w14:sy="100000" w14:kx="0" w14:ky="0" w14:algn="tl">
            <w14:srgbClr w14:val="000000">
              <w14:alpha w14:val="60000"/>
            </w14:srgbClr>
          </w14:shadow>
        </w:rPr>
        <w:t>健康城分公司</w:t>
      </w:r>
      <w:r>
        <w:rPr>
          <w:rFonts w:hint="eastAsia" w:ascii="宋体" w:hAnsi="宋体" w:eastAsia="宋体" w:cs="Times New Roman"/>
          <w:b/>
          <w:color w:val="000000"/>
          <w:sz w:val="48"/>
          <w:szCs w:val="48"/>
          <w:lang w:eastAsia="zh-CN"/>
          <w14:shadow w14:blurRad="50800" w14:dist="38100" w14:dir="2700000" w14:sx="100000" w14:sy="100000" w14:kx="0" w14:ky="0" w14:algn="tl">
            <w14:srgbClr w14:val="000000">
              <w14:alpha w14:val="60000"/>
            </w14:srgbClr>
          </w14:shadow>
        </w:rPr>
        <w:t>2024年尾水管道探测及地质隐患排查</w:t>
      </w:r>
      <w:r>
        <w:rPr>
          <w:rFonts w:hint="eastAsia" w:ascii="宋体" w:hAnsi="宋体" w:eastAsia="宋体" w:cs="Times New Roman"/>
          <w:b/>
          <w:color w:val="000000"/>
          <w:sz w:val="48"/>
          <w:szCs w:val="48"/>
          <w14:shadow w14:blurRad="50800" w14:dist="38100" w14:dir="2700000" w14:sx="100000" w14:sy="100000" w14:kx="0" w14:ky="0" w14:algn="tl">
            <w14:srgbClr w14:val="000000">
              <w14:alpha w14:val="60000"/>
            </w14:srgbClr>
          </w14:shadow>
        </w:rPr>
        <w:t>项目服务合同</w:t>
      </w:r>
    </w:p>
    <w:p>
      <w:pPr>
        <w:widowControl w:val="0"/>
        <w:adjustRightInd/>
        <w:snapToGrid/>
        <w:spacing w:after="0" w:line="360" w:lineRule="auto"/>
        <w:ind w:firstLine="0" w:firstLineChars="0"/>
        <w:jc w:val="both"/>
        <w:textAlignment w:val="auto"/>
        <w:rPr>
          <w:rFonts w:hint="default" w:ascii="宋体" w:hAnsi="Times New Roman" w:eastAsia="宋体" w:cs="Times New Roman"/>
          <w:color w:val="auto"/>
          <w:kern w:val="2"/>
          <w:sz w:val="24"/>
          <w:szCs w:val="20"/>
          <w:lang w:val="en-US" w:eastAsia="zh-CN" w:bidi="ar-SA"/>
        </w:rPr>
      </w:pPr>
    </w:p>
    <w:p>
      <w:pPr>
        <w:widowControl/>
        <w:spacing w:after="160" w:line="480" w:lineRule="auto"/>
        <w:jc w:val="left"/>
        <w:rPr>
          <w:rFonts w:hint="eastAsia" w:ascii="宋体" w:hAnsi="宋体" w:eastAsia="宋体" w:cs="宋体"/>
          <w:b/>
          <w:bCs/>
          <w:color w:val="auto"/>
          <w:sz w:val="30"/>
        </w:rPr>
      </w:pPr>
      <w:r>
        <w:rPr>
          <w:rFonts w:hint="eastAsia" w:ascii="宋体" w:hAnsi="宋体" w:eastAsia="宋体" w:cs="宋体"/>
          <w:b/>
          <w:bCs/>
          <w:color w:val="auto"/>
          <w:sz w:val="30"/>
        </w:rPr>
        <w:t>项目名称：健康城分公司</w:t>
      </w:r>
      <w:r>
        <w:rPr>
          <w:rFonts w:hint="eastAsia" w:ascii="宋体" w:hAnsi="宋体" w:eastAsia="宋体" w:cs="宋体"/>
          <w:b/>
          <w:bCs/>
          <w:color w:val="auto"/>
          <w:sz w:val="30"/>
          <w:lang w:eastAsia="zh-CN"/>
        </w:rPr>
        <w:t>2024年尾水管道探测及地质隐患排查</w:t>
      </w:r>
      <w:r>
        <w:rPr>
          <w:rFonts w:hint="eastAsia" w:ascii="宋体" w:hAnsi="宋体" w:eastAsia="宋体" w:cs="宋体"/>
          <w:b/>
          <w:bCs/>
          <w:color w:val="auto"/>
          <w:sz w:val="30"/>
        </w:rPr>
        <w:t>项目</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项目编号：</w:t>
      </w:r>
      <w:r>
        <w:rPr>
          <w:rFonts w:hint="eastAsia" w:ascii="宋体" w:hAnsi="宋体" w:eastAsia="宋体" w:cs="宋体"/>
          <w:b/>
          <w:bCs/>
          <w:color w:val="auto"/>
          <w:sz w:val="30"/>
          <w:lang w:val="en-US" w:eastAsia="zh-CN"/>
        </w:rPr>
        <w:t>032024071500002</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合同编号：</w:t>
      </w:r>
      <w:r>
        <w:rPr>
          <w:rFonts w:hint="eastAsia" w:ascii="宋体" w:hAnsi="宋体" w:eastAsia="宋体" w:cs="宋体"/>
          <w:b/>
          <w:bCs/>
          <w:color w:val="auto"/>
          <w:sz w:val="30"/>
          <w:szCs w:val="30"/>
        </w:rPr>
        <w:t>穗净水合[     ]    号</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甲方（买方）：广州市净水有限公司</w:t>
      </w:r>
    </w:p>
    <w:p>
      <w:pPr>
        <w:widowControl/>
        <w:spacing w:after="160" w:line="480" w:lineRule="auto"/>
        <w:jc w:val="left"/>
        <w:rPr>
          <w:rFonts w:hint="default" w:ascii="宋体" w:hAnsi="宋体" w:eastAsia="宋体" w:cs="宋体"/>
          <w:b/>
          <w:bCs/>
          <w:color w:val="auto"/>
          <w:sz w:val="30"/>
          <w:lang w:val="en-US" w:eastAsia="zh-CN"/>
        </w:rPr>
      </w:pPr>
      <w:r>
        <w:rPr>
          <w:rFonts w:hint="eastAsia" w:ascii="宋体" w:hAnsi="宋体" w:eastAsia="宋体" w:cs="宋体"/>
          <w:b/>
          <w:bCs/>
          <w:color w:val="auto"/>
          <w:sz w:val="30"/>
        </w:rPr>
        <w:t>乙方（卖方）：</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签订日期：    年  月  日</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签约地点：广州市</w:t>
      </w:r>
      <w:r>
        <w:rPr>
          <w:rFonts w:hint="eastAsia" w:ascii="宋体" w:hAnsi="宋体" w:eastAsia="宋体" w:cs="宋体"/>
          <w:b/>
          <w:bCs/>
          <w:color w:val="auto"/>
          <w:sz w:val="30"/>
        </w:rPr>
        <w:br w:type="page"/>
      </w:r>
    </w:p>
    <w:p>
      <w:pPr>
        <w:rPr>
          <w:color w:val="auto"/>
        </w:rPr>
        <w:sectPr>
          <w:footerReference r:id="rId8" w:type="default"/>
          <w:headerReference r:id="rId7" w:type="even"/>
          <w:footerReference r:id="rId9" w:type="even"/>
          <w:pgSz w:w="11907" w:h="16840"/>
          <w:pgMar w:top="1440" w:right="1746" w:bottom="1440" w:left="1746" w:header="851" w:footer="992" w:gutter="0"/>
          <w:cols w:space="0" w:num="1"/>
          <w:docGrid w:type="linesAndChars" w:linePitch="381" w:charSpace="0"/>
        </w:sectPr>
      </w:pPr>
    </w:p>
    <w:p>
      <w:pPr>
        <w:widowControl/>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根据《中华人民共和国民法典》及其他有关法律、行政法规，</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rPr>
        <w:t>（以下简称“甲方”）与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（以下简称“乙方”）就</w:t>
      </w:r>
      <w:r>
        <w:rPr>
          <w:rFonts w:hint="eastAsia" w:ascii="宋体" w:hAnsi="宋体" w:eastAsia="宋体" w:cs="宋体"/>
          <w:b w:val="0"/>
          <w:bCs w:val="0"/>
          <w:color w:val="auto"/>
          <w:sz w:val="24"/>
          <w:szCs w:val="24"/>
          <w:u w:val="single"/>
        </w:rPr>
        <w:t>健康城分公司</w:t>
      </w:r>
      <w:r>
        <w:rPr>
          <w:rFonts w:hint="eastAsia" w:ascii="宋体" w:hAnsi="宋体" w:eastAsia="宋体" w:cs="宋体"/>
          <w:b w:val="0"/>
          <w:bCs w:val="0"/>
          <w:color w:val="auto"/>
          <w:sz w:val="24"/>
          <w:szCs w:val="24"/>
          <w:u w:val="single"/>
          <w:lang w:eastAsia="zh-CN"/>
        </w:rPr>
        <w:t>2024年尾水管道探测及地质隐患排查</w:t>
      </w:r>
      <w:r>
        <w:rPr>
          <w:rFonts w:hint="eastAsia" w:ascii="宋体" w:hAnsi="宋体" w:eastAsia="宋体" w:cs="宋体"/>
          <w:b w:val="0"/>
          <w:bCs w:val="0"/>
          <w:color w:val="auto"/>
          <w:sz w:val="24"/>
          <w:szCs w:val="24"/>
          <w:u w:val="single"/>
        </w:rPr>
        <w:t>项目</w:t>
      </w:r>
      <w:r>
        <w:rPr>
          <w:rFonts w:hint="eastAsia" w:ascii="宋体" w:hAnsi="宋体" w:eastAsia="宋体" w:cs="宋体"/>
          <w:color w:val="auto"/>
          <w:sz w:val="24"/>
          <w:szCs w:val="24"/>
        </w:rPr>
        <w:t>服务事宜，遵循平等、自愿、公平和诚实信用的原则，双方协商一致，订立本合同。</w:t>
      </w:r>
      <w:bookmarkStart w:id="84" w:name="_Toc520190026"/>
      <w:bookmarkStart w:id="85" w:name="_Toc1018"/>
      <w:bookmarkStart w:id="86" w:name="_Toc518992986"/>
      <w:bookmarkStart w:id="87" w:name="_Toc474245210"/>
      <w:bookmarkStart w:id="88" w:name="_Toc183666513"/>
    </w:p>
    <w:p>
      <w:pPr>
        <w:widowControl w:val="0"/>
        <w:tabs>
          <w:tab w:val="left" w:pos="720"/>
        </w:tabs>
        <w:adjustRightInd w:val="0"/>
        <w:spacing w:after="0" w:line="440" w:lineRule="exact"/>
        <w:ind w:firstLine="482" w:firstLineChars="200"/>
        <w:jc w:val="both"/>
        <w:textAlignment w:val="baseline"/>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第一条</w:t>
      </w: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b/>
          <w:bCs/>
          <w:color w:val="auto"/>
          <w:kern w:val="0"/>
          <w:sz w:val="24"/>
          <w:szCs w:val="24"/>
          <w:lang w:val="en-US" w:eastAsia="zh-CN" w:bidi="ar-SA"/>
        </w:rPr>
        <w:t>组成合同的文件及优先顺序</w:t>
      </w:r>
    </w:p>
    <w:p>
      <w:pPr>
        <w:widowControl w:val="0"/>
        <w:tabs>
          <w:tab w:val="left" w:pos="720"/>
        </w:tabs>
        <w:adjustRightInd w:val="0"/>
        <w:spacing w:after="0" w:line="440" w:lineRule="exact"/>
        <w:ind w:firstLine="480" w:firstLineChars="200"/>
        <w:jc w:val="both"/>
        <w:textAlignment w:val="baseline"/>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下列文件（如有）均为本合同的组成部分，可视为能相互说明和补充的，如果合同文件存在歧义或相矛盾的地方，则根据以下次序判断：</w:t>
      </w:r>
    </w:p>
    <w:p>
      <w:pPr>
        <w:widowControl/>
        <w:spacing w:after="160" w:line="440" w:lineRule="exact"/>
        <w:ind w:firstLine="482"/>
        <w:jc w:val="left"/>
        <w:rPr>
          <w:rFonts w:ascii="宋体" w:hAnsi="宋体" w:eastAsia="宋体" w:cs="宋体"/>
          <w:color w:val="auto"/>
          <w:sz w:val="24"/>
          <w:szCs w:val="24"/>
        </w:rPr>
      </w:pPr>
      <w:r>
        <w:rPr>
          <w:rFonts w:hint="eastAsia" w:ascii="宋体" w:hAnsi="宋体" w:eastAsia="宋体" w:cs="宋体"/>
          <w:color w:val="auto"/>
          <w:sz w:val="24"/>
          <w:szCs w:val="24"/>
        </w:rPr>
        <w:t>⑴</w:t>
      </w:r>
      <w:r>
        <w:rPr>
          <w:rFonts w:ascii="宋体" w:hAnsi="宋体" w:eastAsia="宋体" w:cs="宋体"/>
          <w:color w:val="auto"/>
          <w:sz w:val="24"/>
          <w:szCs w:val="24"/>
        </w:rPr>
        <w:t xml:space="preserve"> </w:t>
      </w:r>
      <w:r>
        <w:rPr>
          <w:rFonts w:hint="eastAsia" w:ascii="宋体" w:hAnsi="宋体" w:eastAsia="宋体" w:cs="宋体"/>
          <w:color w:val="auto"/>
          <w:sz w:val="24"/>
          <w:szCs w:val="24"/>
        </w:rPr>
        <w:t>在本合同实施过程双方签署的补充与修正文件；</w:t>
      </w:r>
    </w:p>
    <w:p>
      <w:pPr>
        <w:widowControl/>
        <w:spacing w:after="160" w:line="320" w:lineRule="exact"/>
        <w:ind w:firstLine="482"/>
        <w:jc w:val="left"/>
        <w:rPr>
          <w:rFonts w:ascii="宋体" w:hAnsi="宋体" w:eastAsia="宋体" w:cs="宋体"/>
          <w:color w:val="auto"/>
          <w:sz w:val="24"/>
          <w:szCs w:val="24"/>
        </w:rPr>
      </w:pPr>
      <w:r>
        <w:rPr>
          <w:rFonts w:hint="eastAsia" w:ascii="宋体" w:hAnsi="宋体" w:eastAsia="宋体" w:cs="宋体"/>
          <w:color w:val="auto"/>
          <w:sz w:val="24"/>
          <w:szCs w:val="24"/>
        </w:rPr>
        <w:t>⑵</w:t>
      </w:r>
      <w:r>
        <w:rPr>
          <w:rFonts w:ascii="宋体" w:hAnsi="宋体" w:eastAsia="宋体" w:cs="宋体"/>
          <w:color w:val="auto"/>
          <w:sz w:val="24"/>
          <w:szCs w:val="24"/>
        </w:rPr>
        <w:t xml:space="preserve"> </w:t>
      </w:r>
      <w:r>
        <w:rPr>
          <w:rFonts w:hint="eastAsia" w:ascii="宋体" w:hAnsi="宋体" w:eastAsia="宋体" w:cs="宋体"/>
          <w:color w:val="auto"/>
          <w:sz w:val="24"/>
          <w:szCs w:val="24"/>
        </w:rPr>
        <w:t>本合同书；</w:t>
      </w:r>
    </w:p>
    <w:p>
      <w:pPr>
        <w:widowControl/>
        <w:spacing w:after="160" w:line="320" w:lineRule="exact"/>
        <w:ind w:firstLine="482"/>
        <w:jc w:val="left"/>
        <w:rPr>
          <w:rFonts w:ascii="宋体" w:hAnsi="宋体" w:eastAsia="宋体" w:cs="宋体"/>
          <w:bCs/>
          <w:color w:val="auto"/>
          <w:sz w:val="24"/>
        </w:rPr>
      </w:pPr>
      <w:r>
        <w:rPr>
          <w:rFonts w:hint="eastAsia" w:ascii="宋体" w:hAnsi="宋体" w:eastAsia="宋体" w:cs="宋体"/>
          <w:bCs/>
          <w:color w:val="auto"/>
          <w:sz w:val="24"/>
        </w:rPr>
        <w:t>⑶ 发包通知书/成交通知书/委托函；</w:t>
      </w:r>
    </w:p>
    <w:bookmarkEnd w:id="84"/>
    <w:bookmarkEnd w:id="85"/>
    <w:bookmarkEnd w:id="86"/>
    <w:bookmarkEnd w:id="87"/>
    <w:bookmarkEnd w:id="88"/>
    <w:p>
      <w:pPr>
        <w:widowControl w:val="0"/>
        <w:numPr>
          <w:ilvl w:val="0"/>
          <w:numId w:val="5"/>
        </w:numPr>
        <w:spacing w:after="0" w:line="460" w:lineRule="exact"/>
        <w:ind w:firstLine="482" w:firstLineChars="200"/>
        <w:jc w:val="both"/>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服务内容：</w:t>
      </w:r>
    </w:p>
    <w:p>
      <w:pPr>
        <w:widowControl w:val="0"/>
        <w:numPr>
          <w:ilvl w:val="-1"/>
          <w:numId w:val="0"/>
        </w:numPr>
        <w:spacing w:after="0" w:line="460" w:lineRule="exact"/>
        <w:ind w:firstLine="480" w:firstLineChars="200"/>
        <w:jc w:val="both"/>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为</w:t>
      </w:r>
      <w:r>
        <w:rPr>
          <w:rFonts w:hint="eastAsia" w:ascii="宋体" w:hAnsi="宋体" w:eastAsia="宋体" w:cs="宋体"/>
          <w:b w:val="0"/>
          <w:bCs w:val="0"/>
          <w:color w:val="auto"/>
          <w:sz w:val="24"/>
          <w:szCs w:val="24"/>
          <w:u w:val="single"/>
        </w:rPr>
        <w:t>健康城分公司</w:t>
      </w:r>
      <w:r>
        <w:rPr>
          <w:rFonts w:hint="eastAsia" w:ascii="宋体" w:hAnsi="宋体" w:eastAsia="宋体" w:cs="宋体"/>
          <w:b w:val="0"/>
          <w:bCs w:val="0"/>
          <w:color w:val="auto"/>
          <w:sz w:val="24"/>
          <w:szCs w:val="24"/>
          <w:u w:val="single"/>
          <w:lang w:eastAsia="zh-CN"/>
        </w:rPr>
        <w:t>2024年尾水管道探测及地质隐患排查</w:t>
      </w:r>
      <w:r>
        <w:rPr>
          <w:rFonts w:hint="eastAsia" w:ascii="宋体" w:hAnsi="宋体" w:eastAsia="宋体" w:cs="宋体"/>
          <w:b w:val="0"/>
          <w:bCs w:val="0"/>
          <w:color w:val="auto"/>
          <w:sz w:val="24"/>
          <w:szCs w:val="24"/>
          <w:u w:val="single"/>
        </w:rPr>
        <w:t>项目</w:t>
      </w:r>
      <w:r>
        <w:rPr>
          <w:rFonts w:hint="eastAsia" w:ascii="宋体" w:hAnsi="宋体" w:eastAsia="宋体" w:cs="宋体"/>
          <w:color w:val="auto"/>
          <w:sz w:val="24"/>
          <w:szCs w:val="24"/>
          <w:u w:val="single"/>
          <w:lang w:val="en-US" w:eastAsia="zh-CN"/>
        </w:rPr>
        <w:t>提供服务工作（以下简称：“服务项目”），具体服务项目详见下表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555"/>
        <w:gridCol w:w="657"/>
        <w:gridCol w:w="824"/>
        <w:gridCol w:w="1277"/>
        <w:gridCol w:w="971"/>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收费基价（元）</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管线探测</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“02标准”31页\表7.2-1\地下管线探测\金属管道\中等复杂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管线测量</w:t>
            </w:r>
          </w:p>
        </w:tc>
        <w:tc>
          <w:tcPr>
            <w:tcW w:w="370"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“02标准”7页\表2.4-2\地下管线测量\上下水及暖气管道\中等复杂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地下管道上方空洞及疏松区检测</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长度为管道长度，据实结算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技术工作费</w:t>
            </w:r>
          </w:p>
        </w:tc>
        <w:tc>
          <w:tcPr>
            <w:tcW w:w="1553" w:type="pct"/>
            <w:gridSpan w:val="3"/>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（1+2+3）*22%</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02标准”P29页\2工程测量2.1技术工作费 22%(其中管线探测、测量空洞雷达检测收技术工作费，管线检测不收技术工作费)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钻探验证</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根据实际工作量结算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3" w:type="pct"/>
            <w:gridSpan w:val="3"/>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1+2+3+4+5+6</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含6%增值税</w:t>
            </w:r>
          </w:p>
        </w:tc>
      </w:tr>
    </w:tbl>
    <w:p>
      <w:pPr>
        <w:pStyle w:val="2"/>
        <w:rPr>
          <w:rFonts w:hint="eastAsia"/>
          <w:lang w:val="en-US" w:eastAsia="zh-CN"/>
        </w:rPr>
      </w:pPr>
    </w:p>
    <w:p>
      <w:pPr>
        <w:widowControl/>
        <w:adjustRightInd w:val="0"/>
        <w:snapToGrid w:val="0"/>
        <w:spacing w:after="160" w:line="460" w:lineRule="exact"/>
        <w:ind w:firstLine="482" w:firstLineChars="200"/>
        <w:jc w:val="left"/>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 xml:space="preserve">第三条 </w:t>
      </w:r>
      <w:r>
        <w:rPr>
          <w:rFonts w:hint="eastAsia" w:ascii="宋体" w:hAnsi="宋体" w:eastAsia="宋体" w:cs="宋体"/>
          <w:b/>
          <w:bCs/>
          <w:color w:val="auto"/>
          <w:kern w:val="0"/>
          <w:sz w:val="24"/>
          <w:szCs w:val="24"/>
        </w:rPr>
        <w:t>服务</w:t>
      </w:r>
      <w:r>
        <w:rPr>
          <w:rFonts w:hint="eastAsia" w:ascii="宋体" w:hAnsi="宋体" w:eastAsia="宋体" w:cs="宋体"/>
          <w:b/>
          <w:bCs/>
          <w:color w:val="auto"/>
          <w:kern w:val="0"/>
          <w:sz w:val="24"/>
          <w:szCs w:val="24"/>
          <w:lang w:val="zh-CN"/>
        </w:rPr>
        <w:t>日期及地点</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本合同生效后，乙方在</w:t>
      </w:r>
      <w:r>
        <w:rPr>
          <w:rFonts w:hint="eastAsia" w:ascii="宋体" w:hAnsi="宋体" w:eastAsia="宋体" w:cs="宋体"/>
          <w:color w:val="auto"/>
          <w:sz w:val="24"/>
          <w:szCs w:val="24"/>
          <w:highlight w:val="none"/>
        </w:rPr>
        <w:t>起</w:t>
      </w:r>
      <w:r>
        <w:rPr>
          <w:rFonts w:hint="eastAsia" w:ascii="宋体" w:hAnsi="宋体" w:eastAsia="宋体" w:cs="宋体"/>
          <w:color w:val="auto"/>
          <w:sz w:val="24"/>
          <w:szCs w:val="24"/>
          <w:highlight w:val="none"/>
          <w:lang w:val="en-US" w:eastAsia="zh-CN"/>
        </w:rPr>
        <w:t>30个日历天</w:t>
      </w:r>
      <w:r>
        <w:rPr>
          <w:rFonts w:hint="eastAsia" w:ascii="宋体" w:hAnsi="宋体" w:eastAsia="宋体" w:cs="宋体"/>
          <w:color w:val="auto"/>
          <w:sz w:val="24"/>
          <w:szCs w:val="24"/>
          <w:highlight w:val="none"/>
        </w:rPr>
        <w:t>内</w:t>
      </w:r>
      <w:r>
        <w:rPr>
          <w:rFonts w:ascii="宋体" w:hAnsi="宋体" w:eastAsia="宋体" w:cs="宋体"/>
          <w:color w:val="auto"/>
          <w:sz w:val="24"/>
          <w:szCs w:val="24"/>
        </w:rPr>
        <w:t>前完成</w:t>
      </w:r>
      <w:r>
        <w:rPr>
          <w:rFonts w:hint="eastAsia" w:ascii="宋体" w:hAnsi="宋体" w:eastAsia="宋体" w:cs="宋体"/>
          <w:color w:val="auto"/>
          <w:sz w:val="24"/>
          <w:szCs w:val="24"/>
        </w:rPr>
        <w:t>项目工作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具体服务时间以甲方通知为准</w:t>
      </w:r>
      <w:r>
        <w:rPr>
          <w:rFonts w:hint="eastAsia" w:ascii="宋体" w:hAnsi="宋体" w:eastAsia="宋体" w:cs="宋体"/>
          <w:color w:val="auto"/>
          <w:sz w:val="24"/>
          <w:szCs w:val="24"/>
          <w:lang w:eastAsia="zh-CN"/>
        </w:rPr>
        <w:t>。</w:t>
      </w:r>
    </w:p>
    <w:p>
      <w:pPr>
        <w:widowControl/>
        <w:spacing w:after="12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广州市净水有限公司健康城分公司（钟落潭镇广陈路568号）</w:t>
      </w:r>
      <w:r>
        <w:rPr>
          <w:rFonts w:hint="eastAsia" w:ascii="宋体" w:hAnsi="宋体" w:eastAsia="宋体" w:cs="宋体"/>
          <w:bCs/>
          <w:color w:val="auto"/>
          <w:sz w:val="24"/>
          <w:szCs w:val="24"/>
        </w:rPr>
        <w:t>（包括甲方指定的任一地点），最终具体提交地点以甲方通知为准。</w:t>
      </w:r>
      <w:r>
        <w:rPr>
          <w:rFonts w:hint="eastAsia" w:ascii="宋体" w:hAnsi="宋体" w:eastAsia="宋体" w:cs="宋体"/>
          <w:color w:val="auto"/>
          <w:sz w:val="24"/>
          <w:szCs w:val="24"/>
        </w:rPr>
        <w:t xml:space="preserve"> </w:t>
      </w:r>
    </w:p>
    <w:p>
      <w:pPr>
        <w:widowControl/>
        <w:numPr>
          <w:ilvl w:val="0"/>
          <w:numId w:val="6"/>
        </w:numPr>
        <w:adjustRightInd w:val="0"/>
        <w:snapToGrid w:val="0"/>
        <w:spacing w:after="160" w:line="460" w:lineRule="exact"/>
        <w:ind w:firstLine="480" w:firstLineChars="200"/>
        <w:jc w:val="both"/>
        <w:rPr>
          <w:rFonts w:ascii="宋体" w:hAnsi="宋体" w:eastAsia="宋体" w:cs="宋体"/>
          <w:b/>
          <w:color w:val="auto"/>
          <w:sz w:val="24"/>
          <w:szCs w:val="24"/>
        </w:rPr>
      </w:pPr>
      <w:r>
        <w:rPr>
          <w:rFonts w:hint="eastAsia" w:ascii="宋体" w:hAnsi="宋体" w:eastAsia="宋体" w:cs="宋体"/>
          <w:color w:val="auto"/>
          <w:kern w:val="0"/>
          <w:sz w:val="24"/>
          <w:szCs w:val="24"/>
          <w:lang w:val="en-US" w:eastAsia="zh-CN"/>
        </w:rPr>
        <w:t>合同暂定总价为人民币</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元（大写：人民币</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），经甲方或甲方委托有资质第三方机构审核后，审核价作为合同结算价。若合同结算价超合同暂定总价，双方另行签订补充协议。最终按实际服务项目结算。</w:t>
      </w:r>
    </w:p>
    <w:p>
      <w:pPr>
        <w:widowControl/>
        <w:numPr>
          <w:ilvl w:val="-1"/>
          <w:numId w:val="0"/>
        </w:numPr>
        <w:adjustRightInd w:val="0"/>
        <w:snapToGrid w:val="0"/>
        <w:spacing w:after="160" w:line="460" w:lineRule="exact"/>
        <w:ind w:firstLine="480" w:firstLineChars="200"/>
        <w:jc w:val="both"/>
        <w:rPr>
          <w:rFonts w:ascii="宋体" w:hAnsi="宋体" w:eastAsia="宋体" w:cs="宋体"/>
          <w:b/>
          <w:color w:val="auto"/>
          <w:sz w:val="24"/>
          <w:szCs w:val="24"/>
        </w:rPr>
      </w:pPr>
      <w:r>
        <w:rPr>
          <w:rFonts w:hint="eastAsia" w:ascii="宋体" w:hAnsi="宋体" w:eastAsia="宋体" w:cs="宋体"/>
          <w:color w:val="auto"/>
          <w:kern w:val="0"/>
          <w:sz w:val="24"/>
          <w:szCs w:val="24"/>
        </w:rPr>
        <w:t>合同</w:t>
      </w:r>
      <w:r>
        <w:rPr>
          <w:rFonts w:hint="eastAsia" w:ascii="宋体" w:hAnsi="宋体" w:eastAsia="宋体" w:cs="宋体"/>
          <w:color w:val="auto"/>
          <w:sz w:val="24"/>
          <w:szCs w:val="24"/>
        </w:rPr>
        <w:t>单价为综合单价，</w:t>
      </w:r>
      <w:r>
        <w:rPr>
          <w:rFonts w:hint="eastAsia" w:ascii="宋体" w:hAnsi="宋体" w:eastAsia="宋体" w:cs="宋体"/>
          <w:color w:val="auto"/>
          <w:sz w:val="24"/>
          <w:szCs w:val="24"/>
          <w:lang w:val="en-US" w:eastAsia="zh-CN"/>
        </w:rPr>
        <w:t>包括但不限于设计方案、运输及装卸、人工、税费、系统调试、现场应急等全部费用。</w:t>
      </w:r>
      <w:r>
        <w:rPr>
          <w:rFonts w:hint="eastAsia" w:ascii="宋体" w:hAnsi="宋体" w:eastAsia="宋体" w:cs="宋体"/>
          <w:color w:val="auto"/>
          <w:sz w:val="24"/>
          <w:szCs w:val="24"/>
        </w:rPr>
        <w:t>本合同约定的价格为含税价价格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税率</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合同履行期间国家税率调整或乙方开票的实际税率与前述税率不一致的，不含税价不变，价税合计按实际税率相应调整，以开具发票时间为准。</w:t>
      </w:r>
    </w:p>
    <w:p>
      <w:pPr>
        <w:widowControl/>
        <w:autoSpaceDE w:val="0"/>
        <w:autoSpaceDN w:val="0"/>
        <w:adjustRightInd w:val="0"/>
        <w:spacing w:after="160" w:line="460" w:lineRule="exact"/>
        <w:ind w:firstLine="600" w:firstLineChars="250"/>
        <w:jc w:val="left"/>
        <w:rPr>
          <w:rFonts w:ascii="宋体" w:hAnsi="宋体" w:eastAsia="宋体" w:cs="宋体"/>
          <w:color w:val="auto"/>
          <w:sz w:val="24"/>
          <w:szCs w:val="24"/>
        </w:rPr>
      </w:pPr>
      <w:r>
        <w:rPr>
          <w:rFonts w:hint="eastAsia" w:ascii="宋体" w:hAnsi="宋体" w:eastAsia="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89" w:name="_Toc474245212"/>
      <w:bookmarkStart w:id="90" w:name="_Toc518992988"/>
      <w:bookmarkStart w:id="91" w:name="_Toc520190028"/>
      <w:bookmarkStart w:id="92" w:name="_Toc27425"/>
      <w:bookmarkStart w:id="93" w:name="_Toc107446843"/>
      <w:bookmarkStart w:id="94" w:name="_Toc107447236"/>
    </w:p>
    <w:bookmarkEnd w:id="89"/>
    <w:bookmarkEnd w:id="90"/>
    <w:bookmarkEnd w:id="91"/>
    <w:bookmarkEnd w:id="92"/>
    <w:p>
      <w:pPr>
        <w:widowControl/>
        <w:autoSpaceDE w:val="0"/>
        <w:autoSpaceDN w:val="0"/>
        <w:adjustRightInd w:val="0"/>
        <w:spacing w:after="160" w:line="460" w:lineRule="exact"/>
        <w:ind w:left="420"/>
        <w:jc w:val="left"/>
        <w:rPr>
          <w:rFonts w:ascii="宋体" w:hAnsi="宋体" w:eastAsia="宋体" w:cs="宋体"/>
          <w:bCs/>
          <w:color w:val="auto"/>
          <w:sz w:val="24"/>
          <w:szCs w:val="24"/>
        </w:rPr>
      </w:pPr>
      <w:bookmarkStart w:id="95" w:name="_Toc520190029"/>
      <w:bookmarkStart w:id="96" w:name="_Toc474245213"/>
      <w:bookmarkStart w:id="97" w:name="_Toc518992989"/>
      <w:r>
        <w:rPr>
          <w:rFonts w:hint="eastAsia" w:ascii="宋体" w:hAnsi="宋体" w:eastAsia="宋体" w:cs="宋体"/>
          <w:b/>
          <w:color w:val="auto"/>
          <w:sz w:val="24"/>
          <w:szCs w:val="24"/>
        </w:rPr>
        <w:t>第五条</w:t>
      </w:r>
      <w:r>
        <w:rPr>
          <w:rFonts w:ascii="宋体" w:hAnsi="宋体" w:eastAsia="宋体" w:cs="宋体"/>
          <w:b/>
          <w:color w:val="auto"/>
          <w:sz w:val="24"/>
          <w:szCs w:val="24"/>
        </w:rPr>
        <w:t xml:space="preserve"> </w:t>
      </w:r>
      <w:r>
        <w:rPr>
          <w:rFonts w:hint="eastAsia" w:ascii="宋体" w:hAnsi="宋体" w:eastAsia="宋体" w:cs="宋体"/>
          <w:b/>
          <w:color w:val="auto"/>
          <w:sz w:val="24"/>
          <w:szCs w:val="24"/>
        </w:rPr>
        <w:t>支付</w:t>
      </w:r>
      <w:bookmarkEnd w:id="95"/>
      <w:bookmarkEnd w:id="96"/>
      <w:bookmarkEnd w:id="97"/>
      <w:r>
        <w:rPr>
          <w:rFonts w:hint="eastAsia" w:ascii="宋体" w:hAnsi="宋体" w:eastAsia="宋体" w:cs="宋体"/>
          <w:b/>
          <w:color w:val="auto"/>
          <w:sz w:val="24"/>
          <w:szCs w:val="24"/>
        </w:rPr>
        <w:t>方式</w:t>
      </w:r>
    </w:p>
    <w:bookmarkEnd w:id="93"/>
    <w:bookmarkEnd w:id="94"/>
    <w:p>
      <w:pPr>
        <w:widowControl/>
        <w:spacing w:after="160" w:line="460" w:lineRule="exact"/>
        <w:ind w:firstLine="480" w:firstLineChars="200"/>
        <w:jc w:val="left"/>
        <w:rPr>
          <w:rFonts w:ascii="宋体" w:hAnsi="宋体" w:eastAsia="宋体" w:cs="宋体"/>
          <w:color w:val="auto"/>
          <w:sz w:val="24"/>
          <w:szCs w:val="24"/>
          <w:u w:val="single"/>
        </w:rPr>
      </w:pPr>
      <w:bookmarkStart w:id="98" w:name="_Toc14703"/>
      <w:bookmarkStart w:id="99" w:name="_Toc183666516"/>
      <w:r>
        <w:rPr>
          <w:rFonts w:ascii="宋体" w:hAnsi="宋体" w:eastAsia="宋体" w:cs="宋体"/>
          <w:color w:val="auto"/>
          <w:sz w:val="24"/>
          <w:szCs w:val="24"/>
        </w:rPr>
        <w:t>5.1</w:t>
      </w:r>
      <w:r>
        <w:rPr>
          <w:rFonts w:hint="eastAsia" w:ascii="宋体" w:hAnsi="宋体" w:eastAsia="宋体" w:cs="宋体"/>
          <w:bCs/>
          <w:color w:val="auto"/>
          <w:sz w:val="24"/>
          <w:szCs w:val="24"/>
        </w:rPr>
        <w:t>预付款支付：</w:t>
      </w:r>
      <w:r>
        <w:rPr>
          <w:rFonts w:ascii="宋体" w:hAnsi="宋体" w:eastAsia="宋体" w:cs="宋体"/>
          <w:bCs/>
          <w:color w:val="auto"/>
          <w:sz w:val="24"/>
          <w:szCs w:val="24"/>
        </w:rPr>
        <w:sym w:font="Wingdings" w:char="00FE"/>
      </w:r>
      <w:r>
        <w:rPr>
          <w:rFonts w:hint="eastAsia" w:ascii="宋体" w:hAnsi="宋体" w:eastAsia="宋体" w:cs="宋体"/>
          <w:bCs/>
          <w:color w:val="auto"/>
          <w:sz w:val="24"/>
          <w:szCs w:val="24"/>
        </w:rPr>
        <w:t>无；</w:t>
      </w:r>
      <w:r>
        <w:rPr>
          <w:rFonts w:ascii="宋体" w:hAnsi="宋体" w:eastAsia="宋体" w:cs="宋体"/>
          <w:bCs/>
          <w:color w:val="auto"/>
          <w:sz w:val="24"/>
          <w:szCs w:val="24"/>
        </w:rPr>
        <w:sym w:font="Wingdings" w:char="00A8"/>
      </w:r>
      <w:r>
        <w:rPr>
          <w:rFonts w:hint="eastAsia" w:ascii="宋体" w:hAnsi="宋体" w:eastAsia="宋体" w:cs="宋体"/>
          <w:bCs/>
          <w:color w:val="auto"/>
          <w:sz w:val="24"/>
          <w:szCs w:val="24"/>
        </w:rPr>
        <w:t>有。</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5.2</w:t>
      </w:r>
      <w:r>
        <w:rPr>
          <w:rFonts w:hint="eastAsia" w:ascii="宋体" w:hAnsi="宋体" w:eastAsia="宋体" w:cs="宋体"/>
          <w:color w:val="auto"/>
          <w:sz w:val="24"/>
          <w:szCs w:val="24"/>
        </w:rPr>
        <w:t>支付方式：</w:t>
      </w:r>
    </w:p>
    <w:p>
      <w:pPr>
        <w:widowControl/>
        <w:adjustRightInd w:val="0"/>
        <w:snapToGrid w:val="0"/>
        <w:spacing w:after="160" w:line="460" w:lineRule="exact"/>
        <w:ind w:firstLine="360" w:firstLineChars="150"/>
        <w:jc w:val="left"/>
        <w:rPr>
          <w:rFonts w:ascii="宋体" w:hAnsi="宋体" w:eastAsia="宋体" w:cs="宋体"/>
          <w:color w:val="auto"/>
          <w:sz w:val="24"/>
          <w:szCs w:val="24"/>
        </w:rPr>
      </w:pPr>
      <w:r>
        <w:rPr>
          <w:rFonts w:hint="eastAsia" w:ascii="宋体" w:hAnsi="宋体" w:eastAsia="宋体" w:cs="宋体"/>
          <w:color w:val="auto"/>
          <w:sz w:val="24"/>
          <w:szCs w:val="24"/>
        </w:rPr>
        <w:t>本合同生效后，乙方按</w:t>
      </w:r>
      <w:r>
        <w:rPr>
          <w:rFonts w:hint="eastAsia" w:ascii="宋体" w:hAnsi="宋体" w:eastAsia="宋体" w:cs="宋体"/>
          <w:color w:val="auto"/>
          <w:sz w:val="24"/>
          <w:szCs w:val="24"/>
          <w:lang w:val="en-US" w:eastAsia="zh-CN"/>
        </w:rPr>
        <w:t>甲方要求完成</w:t>
      </w:r>
      <w:r>
        <w:rPr>
          <w:rFonts w:hint="eastAsia" w:ascii="宋体" w:hAnsi="宋体" w:eastAsia="宋体" w:cs="宋体"/>
          <w:color w:val="auto"/>
          <w:sz w:val="24"/>
          <w:szCs w:val="24"/>
        </w:rPr>
        <w:t>服务项目工作</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验收合格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经甲方相关部门结算</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乙方提交请款资料及等额增值税专用发票后</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个工作日内，甲方向乙方支付至结算审定价的100</w:t>
      </w:r>
      <w:r>
        <w:rPr>
          <w:rFonts w:ascii="宋体" w:hAnsi="宋体" w:eastAsia="宋体" w:cs="宋体"/>
          <w:color w:val="auto"/>
          <w:sz w:val="24"/>
          <w:szCs w:val="24"/>
        </w:rPr>
        <w:t>%</w:t>
      </w:r>
      <w:r>
        <w:rPr>
          <w:rFonts w:hint="eastAsia" w:ascii="宋体" w:hAnsi="宋体" w:eastAsia="宋体" w:cs="宋体"/>
          <w:color w:val="auto"/>
          <w:sz w:val="24"/>
          <w:szCs w:val="24"/>
        </w:rPr>
        <w:t>。</w:t>
      </w:r>
    </w:p>
    <w:p>
      <w:pPr>
        <w:widowControl/>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5.3</w:t>
      </w:r>
      <w:r>
        <w:rPr>
          <w:rFonts w:hint="eastAsia" w:ascii="宋体" w:hAnsi="宋体" w:eastAsia="宋体" w:cs="宋体"/>
          <w:color w:val="auto"/>
          <w:sz w:val="24"/>
          <w:szCs w:val="24"/>
        </w:rPr>
        <w:t>乙方收款账户：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widowControl/>
        <w:spacing w:after="160" w:line="460" w:lineRule="exact"/>
        <w:ind w:firstLine="960" w:firstLineChars="400"/>
        <w:jc w:val="left"/>
        <w:rPr>
          <w:rFonts w:ascii="宋体" w:hAnsi="宋体" w:eastAsia="宋体" w:cs="宋体"/>
          <w:color w:val="auto"/>
          <w:sz w:val="24"/>
          <w:szCs w:val="24"/>
        </w:rPr>
      </w:pPr>
      <w:r>
        <w:rPr>
          <w:rFonts w:hint="eastAsia" w:ascii="宋体" w:hAnsi="宋体" w:eastAsia="宋体" w:cs="宋体"/>
          <w:color w:val="auto"/>
          <w:sz w:val="24"/>
          <w:szCs w:val="24"/>
        </w:rPr>
        <w:t>收款账号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p>
    <w:p>
      <w:pPr>
        <w:widowControl/>
        <w:spacing w:after="160" w:line="460" w:lineRule="exact"/>
        <w:ind w:firstLine="960" w:firstLineChars="400"/>
        <w:jc w:val="left"/>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widowControl/>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乙方在收款前需向甲方提交等额增值税专用发票，增值税专用发票信息：</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广州市净水有限公司</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税号：</w:t>
      </w:r>
      <w:r>
        <w:rPr>
          <w:rFonts w:hint="eastAsia" w:ascii="宋体" w:hAnsi="宋体" w:eastAsia="宋体" w:cs="宋体"/>
          <w:color w:val="000000"/>
          <w:sz w:val="24"/>
          <w:szCs w:val="24"/>
          <w:u w:val="single"/>
        </w:rPr>
        <w:t>91440101755584729Q</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广州市天河区临江大道501号</w:t>
      </w:r>
    </w:p>
    <w:p>
      <w:pPr>
        <w:widowControl w:val="0"/>
        <w:adjustRightInd/>
        <w:snapToGrid/>
        <w:spacing w:after="0" w:line="360" w:lineRule="auto"/>
        <w:ind w:firstLine="480" w:firstLineChars="200"/>
        <w:jc w:val="both"/>
        <w:textAlignment w:val="auto"/>
        <w:rPr>
          <w:rFonts w:hint="default" w:ascii="宋体" w:hAnsi="Times New Roman" w:eastAsia="宋体" w:cs="Times New Roman"/>
          <w:color w:val="auto"/>
          <w:kern w:val="2"/>
          <w:sz w:val="24"/>
          <w:szCs w:val="20"/>
          <w:lang w:val="en-US" w:eastAsia="zh-CN" w:bidi="ar-SA"/>
        </w:rPr>
      </w:pPr>
      <w:r>
        <w:rPr>
          <w:rFonts w:hint="eastAsia" w:ascii="宋体" w:hAnsi="宋体" w:eastAsia="宋体" w:cs="宋体"/>
          <w:color w:val="auto"/>
          <w:kern w:val="2"/>
          <w:sz w:val="24"/>
          <w:szCs w:val="24"/>
          <w:lang w:val="en-US" w:eastAsia="zh-CN" w:bidi="ar-SA"/>
        </w:rPr>
        <w:t>开户银行及账号：</w:t>
      </w:r>
      <w:r>
        <w:rPr>
          <w:rFonts w:hint="eastAsia" w:ascii="宋体" w:hAnsi="宋体" w:eastAsia="宋体" w:cs="宋体"/>
          <w:color w:val="auto"/>
          <w:kern w:val="2"/>
          <w:sz w:val="24"/>
          <w:szCs w:val="24"/>
          <w:u w:val="single"/>
          <w:lang w:val="en-US" w:eastAsia="zh-CN" w:bidi="ar-SA"/>
        </w:rPr>
        <w:t>民生银行广州分行  0301 0141 4000 6932</w:t>
      </w:r>
    </w:p>
    <w:p>
      <w:pPr>
        <w:widowControl/>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5.4</w:t>
      </w:r>
      <w:r>
        <w:rPr>
          <w:rFonts w:hint="eastAsia" w:ascii="宋体" w:hAnsi="宋体" w:eastAsia="宋体" w:cs="宋体"/>
          <w:color w:val="auto"/>
          <w:sz w:val="24"/>
          <w:szCs w:val="24"/>
        </w:rPr>
        <w:t>付款方式：</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FE"/>
      </w:r>
      <w:r>
        <w:rPr>
          <w:rFonts w:hint="eastAsia" w:ascii="宋体" w:hAnsi="宋体" w:eastAsia="宋体" w:cs="宋体"/>
          <w:color w:val="auto"/>
          <w:sz w:val="24"/>
          <w:szCs w:val="24"/>
        </w:rPr>
        <w:t>网银支付；</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支票；</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其他：</w:t>
      </w:r>
      <w:r>
        <w:rPr>
          <w:rFonts w:ascii="宋体" w:hAnsi="宋体" w:eastAsia="宋体" w:cs="宋体"/>
          <w:color w:val="auto"/>
          <w:sz w:val="24"/>
          <w:szCs w:val="24"/>
        </w:rPr>
        <w:t xml:space="preserve">       </w:t>
      </w:r>
    </w:p>
    <w:bookmarkEnd w:id="98"/>
    <w:bookmarkEnd w:id="99"/>
    <w:p>
      <w:pPr>
        <w:widowControl/>
        <w:adjustRightInd w:val="0"/>
        <w:snapToGrid w:val="0"/>
        <w:spacing w:after="160" w:line="460" w:lineRule="exact"/>
        <w:ind w:firstLine="482" w:firstLineChars="200"/>
        <w:jc w:val="left"/>
        <w:rPr>
          <w:rFonts w:ascii="宋体" w:hAnsi="宋体" w:eastAsia="宋体" w:cs="宋体"/>
          <w:color w:val="auto"/>
          <w:sz w:val="24"/>
          <w:szCs w:val="24"/>
        </w:rPr>
      </w:pPr>
      <w:bookmarkStart w:id="100" w:name="_Toc107447254"/>
      <w:bookmarkStart w:id="101" w:name="_Toc5166"/>
      <w:bookmarkStart w:id="102" w:name="_Toc183666529"/>
      <w:bookmarkStart w:id="103" w:name="_Toc107447253"/>
      <w:bookmarkStart w:id="104" w:name="_Toc107446860"/>
      <w:bookmarkStart w:id="105" w:name="_Toc306350465"/>
      <w:bookmarkStart w:id="106" w:name="_Toc474245224"/>
      <w:bookmarkStart w:id="107" w:name="_Toc118086592"/>
      <w:bookmarkStart w:id="108" w:name="_Toc107446861"/>
      <w:bookmarkStart w:id="109" w:name="_Toc257"/>
      <w:bookmarkStart w:id="110" w:name="_Toc518992998"/>
      <w:bookmarkStart w:id="111" w:name="_Toc183666534"/>
      <w:bookmarkStart w:id="112" w:name="_Toc520190038"/>
      <w:r>
        <w:rPr>
          <w:rFonts w:hint="eastAsia" w:ascii="宋体" w:hAnsi="宋体" w:eastAsia="宋体" w:cs="宋体"/>
          <w:b/>
          <w:bCs/>
          <w:color w:val="auto"/>
          <w:sz w:val="24"/>
          <w:szCs w:val="24"/>
        </w:rPr>
        <w:t>第六条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违约责任</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6.1</w:t>
      </w:r>
      <w:r>
        <w:rPr>
          <w:rFonts w:hint="eastAsia" w:ascii="宋体" w:hAnsi="宋体" w:eastAsia="宋体" w:cs="宋体"/>
          <w:color w:val="auto"/>
          <w:sz w:val="24"/>
          <w:szCs w:val="24"/>
        </w:rPr>
        <w:t>单方面取消合同：任意一方未经对方同意单方面取消合同，应按</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30%</w:t>
      </w:r>
      <w:r>
        <w:rPr>
          <w:rFonts w:hint="eastAsia" w:ascii="宋体" w:hAnsi="宋体" w:eastAsia="宋体" w:cs="宋体"/>
          <w:color w:val="auto"/>
          <w:sz w:val="24"/>
          <w:szCs w:val="24"/>
        </w:rPr>
        <w:t>向对方赔偿。</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6.2</w:t>
      </w:r>
      <w:r>
        <w:rPr>
          <w:rFonts w:hint="eastAsia" w:ascii="宋体" w:hAnsi="宋体" w:eastAsia="宋体" w:cs="宋体"/>
          <w:color w:val="auto"/>
          <w:sz w:val="24"/>
          <w:szCs w:val="24"/>
        </w:rPr>
        <w:t>在甲方提供的资料（如企业基本情况、相关图片文字资料等）满足开展服务项目工作的前提下，乙方不能按时</w:t>
      </w:r>
      <w:r>
        <w:rPr>
          <w:rFonts w:hint="eastAsia" w:ascii="宋体" w:hAnsi="宋体" w:eastAsia="宋体" w:cs="宋体"/>
          <w:color w:val="auto"/>
          <w:sz w:val="24"/>
          <w:szCs w:val="24"/>
          <w:lang w:val="en-US" w:eastAsia="zh-CN"/>
        </w:rPr>
        <w:t>按质（经甲方验收通过）</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每逾期</w:t>
      </w:r>
      <w:r>
        <w:rPr>
          <w:rFonts w:ascii="宋体" w:hAnsi="宋体" w:eastAsia="宋体" w:cs="宋体"/>
          <w:color w:val="auto"/>
          <w:sz w:val="24"/>
          <w:szCs w:val="24"/>
        </w:rPr>
        <w:t>1</w:t>
      </w:r>
      <w:r>
        <w:rPr>
          <w:rFonts w:hint="eastAsia" w:ascii="宋体" w:hAnsi="宋体" w:eastAsia="宋体" w:cs="宋体"/>
          <w:color w:val="auto"/>
          <w:sz w:val="24"/>
          <w:szCs w:val="24"/>
        </w:rPr>
        <w:t>日，按</w:t>
      </w:r>
      <w:r>
        <w:rPr>
          <w:rFonts w:hint="eastAsia" w:ascii="宋体" w:hAnsi="宋体" w:eastAsia="宋体" w:cs="宋体"/>
          <w:color w:val="auto"/>
          <w:sz w:val="24"/>
          <w:szCs w:val="24"/>
          <w:u w:val="single"/>
        </w:rPr>
        <w:t>合同</w:t>
      </w:r>
      <w:r>
        <w:rPr>
          <w:rFonts w:hint="eastAsia" w:ascii="宋体" w:hAnsi="宋体" w:eastAsia="宋体" w:cs="宋体"/>
          <w:color w:val="auto"/>
          <w:sz w:val="24"/>
          <w:szCs w:val="24"/>
          <w:u w:val="single"/>
          <w:lang w:val="en-US" w:eastAsia="zh-CN"/>
        </w:rPr>
        <w:t>暂定总价</w:t>
      </w:r>
      <w:r>
        <w:rPr>
          <w:rFonts w:hint="eastAsia" w:ascii="宋体" w:hAnsi="宋体" w:eastAsia="宋体" w:cs="宋体"/>
          <w:color w:val="auto"/>
          <w:sz w:val="24"/>
          <w:szCs w:val="24"/>
          <w:u w:val="single"/>
        </w:rPr>
        <w:t>的</w:t>
      </w:r>
      <w:r>
        <w:rPr>
          <w:rFonts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/天</w:t>
      </w:r>
      <w:r>
        <w:rPr>
          <w:rFonts w:ascii="宋体" w:hAnsi="宋体" w:eastAsia="宋体" w:cs="宋体"/>
          <w:color w:val="auto"/>
          <w:sz w:val="24"/>
          <w:szCs w:val="24"/>
          <w:u w:val="single"/>
        </w:rPr>
        <w:t>支付违约金</w:t>
      </w:r>
      <w:r>
        <w:rPr>
          <w:rFonts w:hint="eastAsia" w:ascii="宋体" w:hAnsi="宋体" w:eastAsia="宋体" w:cs="宋体"/>
          <w:color w:val="auto"/>
          <w:sz w:val="24"/>
          <w:szCs w:val="24"/>
        </w:rPr>
        <w:t>，逾期达到</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天及以上的，甲方有权解除合同并要求乙方支付</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20%</w:t>
      </w:r>
      <w:r>
        <w:rPr>
          <w:rFonts w:ascii="宋体" w:hAnsi="宋体" w:eastAsia="宋体" w:cs="宋体"/>
          <w:color w:val="auto"/>
          <w:sz w:val="24"/>
          <w:szCs w:val="24"/>
        </w:rPr>
        <w:t>作为违约金</w:t>
      </w:r>
      <w:r>
        <w:rPr>
          <w:rFonts w:hint="eastAsia" w:ascii="宋体" w:hAnsi="宋体" w:eastAsia="宋体" w:cs="宋体"/>
          <w:color w:val="auto"/>
          <w:sz w:val="24"/>
          <w:szCs w:val="24"/>
        </w:rPr>
        <w:t>。</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6.3 </w:t>
      </w:r>
      <w:r>
        <w:rPr>
          <w:rFonts w:hint="eastAsia" w:ascii="宋体" w:hAnsi="宋体" w:eastAsia="宋体" w:cs="宋体"/>
          <w:color w:val="auto"/>
          <w:sz w:val="24"/>
          <w:szCs w:val="24"/>
        </w:rPr>
        <w:t>在甲方提供的资料（如企业基本情况、相关图片文字资料等）满足开展服务项目工作的前提下，</w:t>
      </w:r>
      <w:r>
        <w:rPr>
          <w:rFonts w:hint="eastAsia" w:ascii="宋体" w:hAnsi="宋体" w:eastAsia="宋体" w:cs="宋体"/>
          <w:color w:val="auto"/>
          <w:sz w:val="24"/>
          <w:szCs w:val="24"/>
          <w:lang w:val="en-US" w:eastAsia="zh-CN"/>
        </w:rPr>
        <w:t>如乙方提供服务未能通过甲方</w:t>
      </w:r>
      <w:r>
        <w:rPr>
          <w:rFonts w:hint="eastAsia" w:ascii="宋体" w:hAnsi="宋体" w:eastAsia="宋体" w:cs="宋体"/>
          <w:color w:val="auto"/>
          <w:sz w:val="24"/>
          <w:szCs w:val="24"/>
        </w:rPr>
        <w:t>验收合格的，甲方有权要求乙方按要求进行整改直至通过验收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期间造成费用增加及违约责任由乙方自行承担。</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6.4 </w:t>
      </w:r>
      <w:r>
        <w:rPr>
          <w:rFonts w:hint="eastAsia" w:ascii="宋体" w:hAnsi="宋体" w:eastAsia="宋体" w:cs="宋体"/>
          <w:color w:val="auto"/>
          <w:sz w:val="24"/>
          <w:szCs w:val="24"/>
        </w:rPr>
        <w:t>乙方不履行合同义务、或履行合同义务不符合合同约定、或违反国家、省、市行业标准的，甲方有权要求乙方限期整改。乙方逾期未完成整改的，每超过</w:t>
      </w:r>
      <w:r>
        <w:rPr>
          <w:rFonts w:ascii="宋体" w:hAnsi="宋体" w:eastAsia="宋体" w:cs="宋体"/>
          <w:color w:val="auto"/>
          <w:sz w:val="24"/>
          <w:szCs w:val="24"/>
        </w:rPr>
        <w:t>1日支付违约金人民币1万元，超过</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日，甲方有权解除合同并要求乙方支付</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20%</w:t>
      </w:r>
      <w:r>
        <w:rPr>
          <w:rFonts w:ascii="宋体" w:hAnsi="宋体" w:eastAsia="宋体" w:cs="宋体"/>
          <w:color w:val="auto"/>
          <w:sz w:val="24"/>
          <w:szCs w:val="24"/>
        </w:rPr>
        <w:t>作为违约金</w:t>
      </w:r>
      <w:r>
        <w:rPr>
          <w:rFonts w:hint="eastAsia" w:ascii="宋体" w:hAnsi="宋体" w:eastAsia="宋体" w:cs="宋体"/>
          <w:color w:val="auto"/>
          <w:sz w:val="24"/>
          <w:szCs w:val="24"/>
        </w:rPr>
        <w:t>（</w:t>
      </w:r>
      <w:r>
        <w:rPr>
          <w:rFonts w:hint="eastAsia" w:ascii="Calibri" w:hAnsi="Calibri" w:eastAsia="宋体" w:cs="宋体"/>
          <w:color w:val="auto"/>
          <w:sz w:val="24"/>
        </w:rPr>
        <w:t>如合同另行约定违约责任，从其约定</w:t>
      </w:r>
      <w:r>
        <w:rPr>
          <w:rFonts w:hint="eastAsia" w:ascii="宋体" w:hAnsi="宋体" w:eastAsia="宋体" w:cs="宋体"/>
          <w:color w:val="auto"/>
          <w:sz w:val="24"/>
          <w:szCs w:val="24"/>
        </w:rPr>
        <w:t>）</w:t>
      </w:r>
      <w:r>
        <w:rPr>
          <w:rFonts w:ascii="宋体" w:hAnsi="宋体" w:eastAsia="宋体" w:cs="宋体"/>
          <w:color w:val="auto"/>
          <w:sz w:val="24"/>
          <w:szCs w:val="24"/>
        </w:rPr>
        <w:t>。</w:t>
      </w:r>
    </w:p>
    <w:p>
      <w:pPr>
        <w:widowControl/>
        <w:adjustRightInd w:val="0"/>
        <w:snapToGrid w:val="0"/>
        <w:spacing w:after="160" w:line="460" w:lineRule="exact"/>
        <w:ind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第七条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不可抗力</w:t>
      </w:r>
    </w:p>
    <w:p>
      <w:pPr>
        <w:widowControl w:val="0"/>
        <w:numPr>
          <w:ilvl w:val="255"/>
          <w:numId w:val="0"/>
        </w:numPr>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7.1 </w:t>
      </w:r>
      <w:r>
        <w:rPr>
          <w:rFonts w:hint="eastAsia" w:ascii="宋体" w:hAnsi="宋体" w:eastAsia="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2）战争行为、入侵、武装冲突或外敌行为、封锁、暴乱、恐怖行为或军事演习；</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7.2 </w:t>
      </w:r>
      <w:r>
        <w:rPr>
          <w:rFonts w:hint="eastAsia" w:ascii="宋体" w:hAnsi="宋体" w:eastAsia="宋体" w:cs="宋体"/>
          <w:color w:val="auto"/>
          <w:sz w:val="24"/>
          <w:szCs w:val="24"/>
        </w:rPr>
        <w:t>声称受到不可抗力影响的一方，应在发生不可抗力或知道发生不可抗力之后</w:t>
      </w:r>
      <w:r>
        <w:rPr>
          <w:rFonts w:ascii="宋体" w:hAnsi="宋体" w:eastAsia="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7.3 </w:t>
      </w:r>
      <w:r>
        <w:rPr>
          <w:rFonts w:hint="eastAsia" w:ascii="宋体" w:hAnsi="宋体" w:eastAsia="宋体" w:cs="宋体"/>
          <w:color w:val="auto"/>
          <w:sz w:val="24"/>
          <w:szCs w:val="24"/>
        </w:rPr>
        <w:t>因不可抗力导致合同无法履行的时间自该不可抗力发生日起连续超过玖拾</w:t>
      </w:r>
      <w:r>
        <w:rPr>
          <w:rFonts w:ascii="宋体" w:hAnsi="宋体" w:eastAsia="宋体" w:cs="宋体"/>
          <w:color w:val="auto"/>
          <w:sz w:val="24"/>
          <w:szCs w:val="24"/>
        </w:rPr>
        <w:t>(90)天，双方应协商决定继续履行本合同的条件或者变更本合同。如果自不可抗力发生后壹佰捌拾(180)天之内双方不能达成一致意见，任何一方有权解除本合同。</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7.4 </w:t>
      </w:r>
      <w:r>
        <w:rPr>
          <w:rFonts w:hint="eastAsia" w:ascii="宋体" w:hAnsi="宋体" w:eastAsia="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eastAsia="宋体" w:cs="宋体"/>
          <w:bCs/>
          <w:color w:val="auto"/>
          <w:sz w:val="24"/>
          <w:szCs w:val="24"/>
        </w:rPr>
      </w:pPr>
      <w:r>
        <w:rPr>
          <w:rFonts w:hint="eastAsia" w:ascii="宋体" w:hAnsi="宋体" w:eastAsia="宋体" w:cs="宋体"/>
          <w:b/>
          <w:bCs/>
          <w:color w:val="auto"/>
          <w:sz w:val="24"/>
          <w:szCs w:val="24"/>
        </w:rPr>
        <w:t>第八条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争议解决</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bCs/>
          <w:color w:val="auto"/>
          <w:sz w:val="24"/>
          <w:szCs w:val="24"/>
        </w:rPr>
        <w:t>8.1</w:t>
      </w:r>
      <w:r>
        <w:rPr>
          <w:rFonts w:hint="eastAsia" w:ascii="宋体" w:hAnsi="宋体" w:eastAsia="宋体" w:cs="宋体"/>
          <w:bCs/>
          <w:color w:val="auto"/>
          <w:sz w:val="24"/>
          <w:szCs w:val="24"/>
        </w:rPr>
        <w:t>因本合同引起的或与本合同有关的任何争议，甲乙双方应友好协商解决，如协商不成，任何一方可依法向甲方所在地</w:t>
      </w:r>
      <w:r>
        <w:rPr>
          <w:rFonts w:hint="eastAsia" w:ascii="宋体" w:hAnsi="宋体" w:eastAsia="宋体" w:cs="宋体"/>
          <w:bCs/>
          <w:color w:val="auto"/>
          <w:sz w:val="24"/>
          <w:szCs w:val="24"/>
          <w:u w:val="single"/>
        </w:rPr>
        <w:t>人民法院</w:t>
      </w:r>
      <w:r>
        <w:rPr>
          <w:rFonts w:hint="eastAsia" w:ascii="宋体" w:hAnsi="宋体" w:eastAsia="宋体" w:cs="宋体"/>
          <w:bCs/>
          <w:color w:val="auto"/>
          <w:sz w:val="24"/>
          <w:szCs w:val="24"/>
        </w:rPr>
        <w:t>提起诉讼</w:t>
      </w:r>
      <w:r>
        <w:rPr>
          <w:rFonts w:hint="eastAsia" w:ascii="宋体" w:hAnsi="宋体" w:eastAsia="宋体" w:cs="宋体"/>
          <w:color w:val="auto"/>
          <w:sz w:val="24"/>
          <w:szCs w:val="24"/>
        </w:rPr>
        <w:t>。</w:t>
      </w:r>
    </w:p>
    <w:p>
      <w:pPr>
        <w:widowControl/>
        <w:adjustRightInd/>
        <w:snapToGrid/>
        <w:spacing w:after="160" w:line="460" w:lineRule="exact"/>
        <w:ind w:firstLine="638" w:firstLineChars="266"/>
        <w:jc w:val="left"/>
        <w:textAlignment w:val="auto"/>
        <w:rPr>
          <w:rFonts w:hint="eastAsia" w:ascii="宋体" w:hAnsi="宋体" w:eastAsia="宋体" w:cs="宋体"/>
          <w:color w:val="auto"/>
          <w:kern w:val="2"/>
          <w:sz w:val="24"/>
          <w:szCs w:val="24"/>
          <w:lang w:val="en-US" w:eastAsia="zh-CN" w:bidi="ar-SA"/>
        </w:rPr>
      </w:pPr>
      <w:r>
        <w:rPr>
          <w:rFonts w:ascii="宋体" w:hAnsi="宋体" w:eastAsia="宋体" w:cs="宋体"/>
          <w:color w:val="auto"/>
          <w:sz w:val="24"/>
          <w:szCs w:val="24"/>
        </w:rPr>
        <w:t>8.2</w:t>
      </w:r>
      <w:r>
        <w:rPr>
          <w:rFonts w:hint="eastAsia" w:ascii="宋体" w:hAnsi="宋体" w:eastAsia="宋体" w:cs="宋体"/>
          <w:color w:val="auto"/>
          <w:sz w:val="24"/>
          <w:szCs w:val="24"/>
        </w:rPr>
        <w:t>在甲方同意的情况下，除有争端之外的合同其它部分在争端解决前应继续执行。</w:t>
      </w:r>
    </w:p>
    <w:p>
      <w:pPr>
        <w:widowControl/>
        <w:numPr>
          <w:ilvl w:val="255"/>
          <w:numId w:val="0"/>
        </w:numPr>
        <w:spacing w:after="160" w:line="460" w:lineRule="exact"/>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rPr>
        <w:t>第九条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其他</w:t>
      </w:r>
    </w:p>
    <w:p>
      <w:pPr>
        <w:widowControl/>
        <w:spacing w:after="160" w:line="460" w:lineRule="exact"/>
        <w:ind w:firstLine="638" w:firstLineChars="266"/>
        <w:jc w:val="left"/>
        <w:rPr>
          <w:rFonts w:ascii="宋体" w:hAnsi="宋体" w:eastAsia="宋体" w:cs="宋体"/>
          <w:b/>
          <w:color w:val="auto"/>
          <w:sz w:val="24"/>
          <w:szCs w:val="24"/>
        </w:rPr>
      </w:pPr>
      <w:r>
        <w:rPr>
          <w:rFonts w:ascii="宋体" w:hAnsi="宋体" w:eastAsia="宋体" w:cs="宋体"/>
          <w:color w:val="auto"/>
          <w:sz w:val="24"/>
          <w:szCs w:val="24"/>
        </w:rPr>
        <w:t>9.1</w:t>
      </w:r>
      <w:r>
        <w:rPr>
          <w:rFonts w:hint="eastAsia" w:ascii="宋体" w:hAnsi="宋体" w:eastAsia="宋体" w:cs="宋体"/>
          <w:color w:val="auto"/>
          <w:sz w:val="24"/>
          <w:szCs w:val="24"/>
        </w:rPr>
        <w:t>本协议未尽事宜，可由甲乙双方另行签订补充协议。补充协议与本合同具有同等法律效力。</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9.2</w:t>
      </w:r>
      <w:r>
        <w:rPr>
          <w:rFonts w:hint="eastAsia" w:ascii="宋体" w:hAnsi="宋体" w:eastAsia="宋体" w:cs="宋体"/>
          <w:color w:val="auto"/>
          <w:sz w:val="24"/>
          <w:szCs w:val="24"/>
        </w:rPr>
        <w:t>本合同自甲乙双方法定代表人或授权代理人签字并加盖公章之日起生效。</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9.3</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6</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份。均具有同等法律效力。</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9.4</w:t>
      </w:r>
      <w:r>
        <w:rPr>
          <w:rFonts w:hint="eastAsia" w:ascii="宋体" w:hAnsi="宋体" w:eastAsia="宋体" w:cs="宋体"/>
          <w:color w:val="auto"/>
          <w:sz w:val="24"/>
          <w:szCs w:val="24"/>
        </w:rPr>
        <w:t>补充条款：</w:t>
      </w:r>
      <w:r>
        <w:rPr>
          <w:rFonts w:hint="eastAsia" w:ascii="宋体" w:hAnsi="宋体" w:eastAsia="宋体" w:cs="宋体"/>
          <w:color w:val="auto"/>
          <w:sz w:val="24"/>
          <w:szCs w:val="24"/>
          <w:u w:val="single"/>
        </w:rPr>
        <w:t>无。</w:t>
      </w:r>
    </w:p>
    <w:bookmarkEnd w:id="100"/>
    <w:bookmarkEnd w:id="101"/>
    <w:bookmarkEnd w:id="102"/>
    <w:bookmarkEnd w:id="103"/>
    <w:bookmarkEnd w:id="104"/>
    <w:bookmarkEnd w:id="105"/>
    <w:bookmarkEnd w:id="106"/>
    <w:bookmarkEnd w:id="107"/>
    <w:bookmarkEnd w:id="108"/>
    <w:bookmarkEnd w:id="109"/>
    <w:bookmarkEnd w:id="110"/>
    <w:bookmarkEnd w:id="111"/>
    <w:bookmarkEnd w:id="112"/>
    <w:p>
      <w:pPr>
        <w:widowControl/>
        <w:spacing w:after="160" w:line="46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p>
    <w:p>
      <w:pPr>
        <w:widowControl/>
        <w:spacing w:after="160" w:line="46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廉洁协议</w:t>
      </w:r>
    </w:p>
    <w:p>
      <w:pPr>
        <w:widowControl w:val="0"/>
        <w:adjustRightInd w:val="0"/>
        <w:spacing w:after="0" w:line="312" w:lineRule="atLeast"/>
        <w:ind w:firstLine="420"/>
        <w:jc w:val="both"/>
        <w:textAlignment w:val="baseline"/>
        <w:rPr>
          <w:rFonts w:hint="default" w:ascii="Times New Roman" w:hAnsi="Times New Roman" w:eastAsia="宋体" w:cs="Times New Roman"/>
          <w:color w:val="auto"/>
          <w:kern w:val="0"/>
          <w:sz w:val="21"/>
          <w:szCs w:val="20"/>
          <w:lang w:val="en-US" w:eastAsia="zh-CN" w:bidi="ar-SA"/>
        </w:rPr>
      </w:pPr>
      <w:r>
        <w:rPr>
          <w:rFonts w:hint="eastAsia" w:ascii="宋体" w:hAnsi="宋体" w:eastAsia="宋体" w:cs="宋体"/>
          <w:color w:val="auto"/>
          <w:kern w:val="0"/>
          <w:sz w:val="24"/>
          <w:szCs w:val="24"/>
          <w:lang w:val="en-US" w:eastAsia="zh-CN" w:bidi="ar-SA"/>
        </w:rPr>
        <w:t>2.安全管理协议书</w:t>
      </w:r>
    </w:p>
    <w:p>
      <w:pPr>
        <w:widowControl/>
        <w:spacing w:after="160" w:line="259" w:lineRule="auto"/>
        <w:jc w:val="left"/>
        <w:rPr>
          <w:rFonts w:hint="eastAsia" w:ascii="Calibri" w:hAnsi="Calibri" w:eastAsia="宋体" w:cs="Calibri"/>
          <w:color w:val="000000"/>
        </w:rPr>
      </w:pPr>
    </w:p>
    <w:tbl>
      <w:tblPr>
        <w:tblStyle w:val="24"/>
        <w:tblpPr w:leftFromText="180" w:rightFromText="180" w:vertAnchor="text" w:horzAnchor="page" w:tblpX="1450" w:tblpY="447"/>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4"/>
        <w:gridCol w:w="5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674"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b w:val="0"/>
                <w:color w:val="auto"/>
                <w:sz w:val="24"/>
                <w:szCs w:val="24"/>
              </w:rPr>
              <w:t>甲方</w:t>
            </w:r>
            <w:r>
              <w:rPr>
                <w:rFonts w:hint="eastAsia" w:ascii="宋体" w:hAnsi="宋体" w:eastAsia="宋体" w:cs="宋体"/>
                <w:color w:val="auto"/>
                <w:sz w:val="24"/>
                <w:szCs w:val="24"/>
              </w:rPr>
              <w:t>：广州市净水有限公司（盖章）</w:t>
            </w:r>
          </w:p>
        </w:tc>
        <w:tc>
          <w:tcPr>
            <w:tcW w:w="5286"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b w:val="0"/>
                <w:color w:val="auto"/>
                <w:sz w:val="24"/>
                <w:szCs w:val="24"/>
              </w:rPr>
              <w:t>乙方</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4"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p>
        </w:tc>
        <w:tc>
          <w:tcPr>
            <w:tcW w:w="5286"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4"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经办人：</w:t>
            </w:r>
          </w:p>
        </w:tc>
        <w:tc>
          <w:tcPr>
            <w:tcW w:w="5286"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4" w:type="dxa"/>
            <w:tcBorders>
              <w:top w:val="nil"/>
              <w:left w:val="nil"/>
              <w:bottom w:val="nil"/>
              <w:right w:val="nil"/>
            </w:tcBorders>
          </w:tcPr>
          <w:p>
            <w:pPr>
              <w:widowControl/>
              <w:adjustRightInd w:val="0"/>
              <w:snapToGrid w:val="0"/>
              <w:spacing w:after="160" w:line="46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13690819397</w:t>
            </w:r>
          </w:p>
        </w:tc>
        <w:tc>
          <w:tcPr>
            <w:tcW w:w="5286"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4"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5286" w:type="dxa"/>
            <w:tcBorders>
              <w:top w:val="nil"/>
              <w:left w:val="nil"/>
              <w:bottom w:val="nil"/>
              <w:right w:val="nil"/>
            </w:tcBorders>
          </w:tcPr>
          <w:p>
            <w:pPr>
              <w:widowControl/>
              <w:adjustRightInd w:val="0"/>
              <w:snapToGrid w:val="0"/>
              <w:spacing w:after="160"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674" w:type="dxa"/>
            <w:tcBorders>
              <w:top w:val="nil"/>
              <w:left w:val="nil"/>
              <w:bottom w:val="nil"/>
              <w:right w:val="nil"/>
            </w:tcBorders>
          </w:tcPr>
          <w:p>
            <w:pPr>
              <w:widowControl/>
              <w:adjustRightInd w:val="0"/>
              <w:snapToGrid w:val="0"/>
              <w:spacing w:after="0" w:line="4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签订日期：     年   月   日                      </w:t>
            </w:r>
          </w:p>
        </w:tc>
        <w:tc>
          <w:tcPr>
            <w:tcW w:w="5286" w:type="dxa"/>
            <w:tcBorders>
              <w:top w:val="nil"/>
              <w:left w:val="nil"/>
              <w:bottom w:val="nil"/>
              <w:right w:val="nil"/>
            </w:tcBorders>
          </w:tcPr>
          <w:p>
            <w:pPr>
              <w:widowControl/>
              <w:adjustRightInd w:val="0"/>
              <w:snapToGrid w:val="0"/>
              <w:spacing w:after="160" w:line="4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签订日期：     年   月   日 </w:t>
            </w:r>
          </w:p>
        </w:tc>
      </w:tr>
    </w:tbl>
    <w:p>
      <w:pPr>
        <w:widowControl/>
        <w:spacing w:after="160" w:line="360" w:lineRule="auto"/>
        <w:jc w:val="both"/>
        <w:rPr>
          <w:rFonts w:ascii="宋体" w:hAnsi="宋体" w:eastAsia="宋体" w:cs="宋体"/>
          <w:b/>
          <w:bCs/>
          <w:color w:val="auto"/>
          <w:szCs w:val="21"/>
        </w:rPr>
      </w:pPr>
    </w:p>
    <w:p>
      <w:pPr>
        <w:widowControl/>
        <w:spacing w:after="160" w:line="240" w:lineRule="auto"/>
        <w:jc w:val="left"/>
        <w:rPr>
          <w:rFonts w:ascii="宋体" w:hAnsi="宋体" w:eastAsia="宋体" w:cs="宋体"/>
          <w:b/>
          <w:bCs/>
          <w:color w:val="auto"/>
          <w:szCs w:val="21"/>
        </w:rPr>
      </w:pPr>
      <w:r>
        <w:rPr>
          <w:rFonts w:hint="eastAsia" w:ascii="宋体" w:hAnsi="宋体" w:eastAsia="宋体" w:cs="宋体"/>
          <w:b/>
          <w:bCs/>
          <w:color w:val="auto"/>
          <w:szCs w:val="21"/>
        </w:rPr>
        <w:br w:type="page"/>
      </w:r>
    </w:p>
    <w:p>
      <w:pPr>
        <w:widowControl/>
        <w:spacing w:after="160" w:line="360" w:lineRule="auto"/>
        <w:jc w:val="both"/>
        <w:rPr>
          <w:rFonts w:ascii="宋体" w:hAnsi="宋体" w:eastAsia="宋体" w:cs="宋体"/>
          <w:b/>
          <w:bCs/>
          <w:color w:val="auto"/>
          <w:szCs w:val="21"/>
        </w:rPr>
      </w:pPr>
      <w:r>
        <w:rPr>
          <w:rFonts w:hint="eastAsia" w:ascii="宋体" w:hAnsi="宋体" w:eastAsia="宋体" w:cs="宋体"/>
          <w:b/>
          <w:bCs/>
          <w:color w:val="auto"/>
          <w:szCs w:val="21"/>
        </w:rPr>
        <w:t>附件</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：廉洁协议</w:t>
      </w:r>
    </w:p>
    <w:p>
      <w:pPr>
        <w:widowControl/>
        <w:spacing w:after="160" w:line="520" w:lineRule="exact"/>
        <w:ind w:firstLine="3640" w:firstLineChars="1300"/>
        <w:jc w:val="both"/>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廉洁协议</w:t>
      </w:r>
    </w:p>
    <w:p>
      <w:pPr>
        <w:widowControl/>
        <w:spacing w:after="160" w:line="520" w:lineRule="exact"/>
        <w:ind w:firstLine="630" w:firstLineChars="225"/>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u w:val="single"/>
        </w:rPr>
        <w:t>广州市净水有限公司</w:t>
      </w:r>
      <w:r>
        <w:rPr>
          <w:rFonts w:hint="eastAsia" w:ascii="仿宋_GB2312" w:hAnsi="仿宋_GB2312" w:eastAsia="仿宋_GB2312" w:cs="仿宋_GB2312"/>
          <w:bCs/>
          <w:color w:val="auto"/>
          <w:sz w:val="28"/>
          <w:szCs w:val="28"/>
        </w:rPr>
        <w:t>(以下称甲方)与</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rPr>
        <w:t>(以下称乙方)，特此订立本协议共同遵照执行。</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第一条 甲乙双方的权利和义务</w:t>
      </w:r>
    </w:p>
    <w:p>
      <w:pPr>
        <w:widowControl/>
        <w:spacing w:after="160" w:line="520" w:lineRule="exact"/>
        <w:ind w:firstLine="420" w:firstLineChars="15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（一）甲乙双方严格遵守国家关于市场准入、项目招标投标、市场经营活动等有关法律、法规相关政策及廉政建设的各项规定。</w:t>
      </w:r>
    </w:p>
    <w:p>
      <w:pPr>
        <w:widowControl/>
        <w:spacing w:after="160" w:line="520" w:lineRule="exact"/>
        <w:ind w:firstLine="420" w:firstLineChars="15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（二）严格执行</w:t>
      </w:r>
      <w:r>
        <w:rPr>
          <w:rFonts w:hint="eastAsia" w:ascii="仿宋_GB2312" w:hAnsi="仿宋_GB2312" w:eastAsia="仿宋_GB2312" w:cs="仿宋_GB2312"/>
          <w:bCs/>
          <w:color w:val="auto"/>
          <w:sz w:val="28"/>
          <w:szCs w:val="28"/>
          <w:u w:val="single"/>
        </w:rPr>
        <w:t>健康城分公司</w:t>
      </w:r>
      <w:r>
        <w:rPr>
          <w:rFonts w:hint="eastAsia" w:ascii="仿宋_GB2312" w:hAnsi="仿宋_GB2312" w:eastAsia="仿宋_GB2312" w:cs="仿宋_GB2312"/>
          <w:bCs/>
          <w:color w:val="auto"/>
          <w:sz w:val="28"/>
          <w:szCs w:val="28"/>
          <w:u w:val="single"/>
          <w:lang w:eastAsia="zh-CN"/>
        </w:rPr>
        <w:t>2024年尾水管道探测及地质隐患排查</w:t>
      </w:r>
      <w:r>
        <w:rPr>
          <w:rFonts w:hint="eastAsia" w:ascii="仿宋_GB2312" w:hAnsi="仿宋_GB2312" w:eastAsia="仿宋_GB2312" w:cs="仿宋_GB2312"/>
          <w:bCs/>
          <w:color w:val="auto"/>
          <w:sz w:val="28"/>
          <w:szCs w:val="28"/>
          <w:u w:val="single"/>
        </w:rPr>
        <w:t>项目</w:t>
      </w:r>
      <w:r>
        <w:rPr>
          <w:rFonts w:hint="eastAsia" w:ascii="仿宋_GB2312" w:hAnsi="仿宋_GB2312" w:eastAsia="仿宋_GB2312" w:cs="仿宋_GB2312"/>
          <w:bCs/>
          <w:color w:val="auto"/>
          <w:sz w:val="28"/>
          <w:szCs w:val="28"/>
        </w:rPr>
        <w:t>合同（以下简称：主合同），自觉履行合同约定的相关义务。</w:t>
      </w:r>
    </w:p>
    <w:p>
      <w:pPr>
        <w:widowControl/>
        <w:spacing w:after="160" w:line="520" w:lineRule="exact"/>
        <w:ind w:firstLine="420" w:firstLineChars="15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（三）在业务活动中坚持公开、公正、诚信、透明的原则，不得损害国家、集体利益。</w:t>
      </w:r>
    </w:p>
    <w:p>
      <w:pPr>
        <w:widowControl/>
        <w:spacing w:after="160" w:line="520" w:lineRule="exact"/>
        <w:ind w:firstLine="420" w:firstLineChars="15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（四）建立健全廉洁从业制度，开展廉洁教育，公布举报电话，监督并认真查处不廉洁及违法违纪行为。</w:t>
      </w:r>
    </w:p>
    <w:p>
      <w:pPr>
        <w:widowControl/>
        <w:spacing w:after="160" w:line="520" w:lineRule="exact"/>
        <w:ind w:firstLine="420" w:firstLineChars="15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（五）发现对方在业务活动中有不廉洁行为，应及时提醒对方纠正。情节严重的，应向其有关监督部门检举。</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第二条甲方的义务</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（一）甲方及其工作人员不得索要或接受乙方的礼金、有价证券和贵重物品，不得在乙方报销任何应由甲方或个人支付的费用等。</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widowControl/>
        <w:spacing w:after="160" w:line="520" w:lineRule="exact"/>
        <w:ind w:left="15" w:leftChars="7"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（三）甲方及其工作人员不得要求或者接受乙方为其住房装修、婚丧嫁娶活动、配偶子女工作安排以及出国出境、旅游等提供方便等。</w:t>
      </w:r>
    </w:p>
    <w:p>
      <w:pPr>
        <w:widowControl/>
        <w:spacing w:after="160" w:line="520" w:lineRule="exact"/>
        <w:ind w:left="15" w:leftChars="7"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（四）甲方工作人员不得在乙方或与乙方有股权关联的企业兼职，不得向乙方介绍家属或者亲友从事与甲方业务有关的经济活动。</w:t>
      </w:r>
    </w:p>
    <w:p>
      <w:pPr>
        <w:widowControl/>
        <w:spacing w:after="160" w:line="520" w:lineRule="exact"/>
        <w:ind w:left="15" w:leftChars="7"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widowControl/>
        <w:spacing w:after="160" w:line="520" w:lineRule="exact"/>
        <w:ind w:left="15" w:leftChars="7"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（六）甲方工作人员不得利用职务之便收受乙方以回扣、手续费、加班费、咨询费、劳务费、协调费、辛苦费等各种名义给予或赠送的钱物。</w:t>
      </w:r>
    </w:p>
    <w:p>
      <w:pPr>
        <w:widowControl/>
        <w:spacing w:after="160" w:line="520" w:lineRule="exact"/>
        <w:ind w:left="15" w:leftChars="7"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（七）甲方工作人员不得接受乙方给予或赠送的干股或红利。</w:t>
      </w:r>
    </w:p>
    <w:p>
      <w:pPr>
        <w:widowControl/>
        <w:spacing w:after="160" w:line="520" w:lineRule="exact"/>
        <w:ind w:left="15" w:leftChars="7"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(八）不得存在其他违反廉洁规定的行为。</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第三条乙方的义务</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（一）乙方不得以任何理由向甲方及其工作人员行贿或馈赠礼金、有价证券、贵重礼品。</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（二)乙方不得以任何名义为甲方及其工作人员报销应由甲方单位或个人支付的任何费用。</w:t>
      </w:r>
    </w:p>
    <w:p>
      <w:pPr>
        <w:widowControl/>
        <w:spacing w:after="160" w:line="520" w:lineRule="exact"/>
        <w:ind w:left="25" w:leftChars="12"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（三）乙方不得以任何理由安排甲方工作人员参加可能影响相关业务公开、公正、公平性的宴请及娱乐活动。</w:t>
      </w:r>
    </w:p>
    <w:p>
      <w:pPr>
        <w:widowControl w:val="0"/>
        <w:adjustRightInd w:val="0"/>
        <w:spacing w:after="120" w:line="520" w:lineRule="exact"/>
        <w:ind w:left="420"/>
        <w:jc w:val="both"/>
        <w:textAlignment w:val="baseline"/>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（四）乙方不得为甲方单位和个人购置或提供通讯工具和高档办公用品等物品，也不得为甲方提供与工作无关的房屋、汽车等。</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（五）乙方不得擅自与甲方工作人员就主合同中的质量、数量、价格、工程量、验收等条款进行私下商谈或者达成默契。</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（六）乙方不得以回扣、手续费、加班费、咨询费、劳务费、协调费、辛苦费等各种名义向甲方工作人员给予或赠送钱物。</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（七）乙方不得向甲方工作人员提供干股或红利。</w:t>
      </w:r>
    </w:p>
    <w:p>
      <w:pPr>
        <w:widowControl/>
        <w:spacing w:after="160" w:line="520" w:lineRule="exact"/>
        <w:ind w:left="15" w:leftChars="7"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(八）不得存在其他违反廉洁规定的行为。</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第四条违约责任</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（一）甲方及其工作人员违反本协议第一、二条。甲方按管理权限，对相关责任人依据有关规定给予处理；涉嫌犯罪的，移交司法机关追究刑事责任；给乙方单位造成经济损失的，应予以赔偿。</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甲方举报投诉联系部门：广州市净水有限公司</w:t>
      </w:r>
      <w:r>
        <w:rPr>
          <w:rFonts w:hint="eastAsia" w:ascii="仿宋_GB2312" w:hAnsi="仿宋_GB2312" w:eastAsia="仿宋_GB2312" w:cs="仿宋_GB2312"/>
          <w:bCs/>
          <w:color w:val="auto"/>
          <w:sz w:val="28"/>
          <w:szCs w:val="28"/>
          <w:u w:val="single"/>
        </w:rPr>
        <w:t>纪检室</w:t>
      </w:r>
      <w:r>
        <w:rPr>
          <w:rFonts w:hint="eastAsia" w:ascii="仿宋_GB2312" w:hAnsi="仿宋_GB2312" w:eastAsia="仿宋_GB2312" w:cs="仿宋_GB2312"/>
          <w:bCs/>
          <w:color w:val="auto"/>
          <w:sz w:val="28"/>
          <w:szCs w:val="28"/>
        </w:rPr>
        <w:t>，联系电话：</w:t>
      </w:r>
      <w:r>
        <w:rPr>
          <w:rFonts w:hint="eastAsia" w:ascii="仿宋_GB2312" w:hAnsi="仿宋_GB2312" w:eastAsia="仿宋_GB2312" w:cs="仿宋_GB2312"/>
          <w:bCs/>
          <w:color w:val="auto"/>
          <w:sz w:val="28"/>
          <w:szCs w:val="28"/>
          <w:u w:val="single"/>
        </w:rPr>
        <w:t xml:space="preserve"> 020-38890265</w:t>
      </w:r>
      <w:r>
        <w:rPr>
          <w:rFonts w:hint="eastAsia" w:ascii="仿宋_GB2312" w:hAnsi="仿宋_GB2312" w:eastAsia="仿宋_GB2312" w:cs="仿宋_GB2312"/>
          <w:bCs/>
          <w:color w:val="auto"/>
          <w:sz w:val="28"/>
          <w:szCs w:val="28"/>
        </w:rPr>
        <w:t>。</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1、扣除主合同的全部履约保证金；</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2、解除主合同；</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3、追究乙方其他违约责任；</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4、根据甲方的有关规章制度，在一定时间内暂停乙方参与甲方及下属单位所有项目的交易资格；</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5、根据甲方的有关规章制度，将乙方清退出甲方相关企业库；</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6、根据甲方上级单位、行政主管部门的意见、决定执行；</w:t>
      </w:r>
    </w:p>
    <w:p>
      <w:pPr>
        <w:spacing w:before="100" w:beforeAutospacing="1" w:after="100" w:afterAutospacing="1" w:line="520" w:lineRule="exac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7、按规定向有关行政监督部门、乙方业务管理部门进行投诉、报告。</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乙方无条件接受甲方的处理决定并承担给甲方造成的损失，全额返还通过不正当手段获取的非法所得，并承担相应的法律责任。</w:t>
      </w:r>
    </w:p>
    <w:p>
      <w:pPr>
        <w:widowControl/>
        <w:spacing w:after="0" w:line="520" w:lineRule="exact"/>
        <w:ind w:firstLine="560" w:firstLineChars="200"/>
        <w:jc w:val="left"/>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sz w:val="28"/>
          <w:szCs w:val="28"/>
        </w:rPr>
        <w:t xml:space="preserve">第五条 </w:t>
      </w:r>
      <w:r>
        <w:rPr>
          <w:rFonts w:hint="eastAsia" w:ascii="仿宋_GB2312" w:hAnsi="仿宋_GB2312" w:eastAsia="仿宋_GB2312" w:cs="仿宋_GB2312"/>
          <w:bCs/>
          <w:color w:val="auto"/>
          <w:kern w:val="0"/>
          <w:sz w:val="28"/>
          <w:szCs w:val="28"/>
        </w:rPr>
        <w:t>本协议执行情况，接受有管辖权的纪检、监察部门的监督，双方应予以配合检查调查。</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第六条本协议作为</w:t>
      </w:r>
      <w:r>
        <w:rPr>
          <w:rFonts w:hint="eastAsia" w:ascii="仿宋_GB2312" w:hAnsi="仿宋_GB2312" w:eastAsia="仿宋_GB2312" w:cs="仿宋_GB2312"/>
          <w:bCs/>
          <w:color w:val="auto"/>
          <w:sz w:val="28"/>
          <w:szCs w:val="28"/>
          <w:u w:val="none"/>
          <w:lang w:eastAsia="zh-CN"/>
        </w:rPr>
        <w:t>健康城分公司2024年尾水管道探测及地质隐患排查项目</w:t>
      </w:r>
      <w:r>
        <w:rPr>
          <w:rFonts w:hint="eastAsia" w:ascii="仿宋_GB2312" w:hAnsi="仿宋_GB2312" w:eastAsia="仿宋_GB2312" w:cs="仿宋_GB2312"/>
          <w:bCs/>
          <w:color w:val="auto"/>
          <w:sz w:val="28"/>
          <w:szCs w:val="28"/>
        </w:rPr>
        <w:t>合同</w:t>
      </w:r>
      <w:r>
        <w:rPr>
          <w:rFonts w:hint="eastAsia" w:ascii="仿宋_GB2312" w:hAnsi="仿宋_GB2312" w:eastAsia="仿宋_GB2312" w:cs="仿宋_GB2312"/>
          <w:bCs/>
          <w:color w:val="auto"/>
          <w:sz w:val="28"/>
          <w:szCs w:val="28"/>
          <w:u w:val="single"/>
        </w:rPr>
        <w:t>（穗净水合[    ]    号）</w:t>
      </w:r>
      <w:r>
        <w:rPr>
          <w:rFonts w:hint="eastAsia" w:ascii="仿宋_GB2312" w:hAnsi="仿宋_GB2312" w:eastAsia="仿宋_GB2312" w:cs="仿宋_GB2312"/>
          <w:bCs/>
          <w:color w:val="auto"/>
          <w:sz w:val="28"/>
          <w:szCs w:val="28"/>
        </w:rPr>
        <w:t>合同的附件，并具有同等的法律效力，本协议自双方签字盖章之日起生效，与主合同同时终止。</w:t>
      </w:r>
    </w:p>
    <w:p>
      <w:pPr>
        <w:widowControl/>
        <w:spacing w:after="160" w:line="52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第七条本协议一式</w:t>
      </w:r>
      <w:r>
        <w:rPr>
          <w:rFonts w:hint="eastAsia" w:ascii="仿宋_GB2312" w:hAnsi="仿宋_GB2312" w:eastAsia="仿宋_GB2312" w:cs="仿宋_GB2312"/>
          <w:bCs/>
          <w:color w:val="auto"/>
          <w:sz w:val="28"/>
          <w:szCs w:val="28"/>
          <w:u w:val="single"/>
        </w:rPr>
        <w:t>6</w:t>
      </w:r>
      <w:r>
        <w:rPr>
          <w:rFonts w:hint="eastAsia" w:ascii="仿宋_GB2312" w:hAnsi="仿宋_GB2312" w:eastAsia="仿宋_GB2312" w:cs="仿宋_GB2312"/>
          <w:bCs/>
          <w:color w:val="auto"/>
          <w:sz w:val="28"/>
          <w:szCs w:val="28"/>
        </w:rPr>
        <w:t>份，甲方</w:t>
      </w:r>
      <w:r>
        <w:rPr>
          <w:rFonts w:hint="eastAsia" w:ascii="仿宋_GB2312" w:hAnsi="仿宋_GB2312" w:eastAsia="仿宋_GB2312" w:cs="仿宋_GB2312"/>
          <w:bCs/>
          <w:color w:val="auto"/>
          <w:sz w:val="28"/>
          <w:szCs w:val="28"/>
          <w:u w:val="single"/>
        </w:rPr>
        <w:t>5</w:t>
      </w:r>
      <w:r>
        <w:rPr>
          <w:rFonts w:hint="eastAsia" w:ascii="仿宋_GB2312" w:hAnsi="仿宋_GB2312" w:eastAsia="仿宋_GB2312" w:cs="仿宋_GB2312"/>
          <w:bCs/>
          <w:color w:val="auto"/>
          <w:sz w:val="28"/>
          <w:szCs w:val="28"/>
        </w:rPr>
        <w:t>份，乙方</w:t>
      </w:r>
      <w:r>
        <w:rPr>
          <w:rFonts w:hint="eastAsia" w:ascii="仿宋_GB2312" w:hAnsi="仿宋_GB2312" w:eastAsia="仿宋_GB2312" w:cs="仿宋_GB2312"/>
          <w:bCs/>
          <w:color w:val="auto"/>
          <w:sz w:val="28"/>
          <w:szCs w:val="28"/>
          <w:u w:val="single"/>
        </w:rPr>
        <w:t>1</w:t>
      </w:r>
      <w:r>
        <w:rPr>
          <w:rFonts w:hint="eastAsia" w:ascii="仿宋_GB2312" w:hAnsi="仿宋_GB2312" w:eastAsia="仿宋_GB2312" w:cs="仿宋_GB2312"/>
          <w:bCs/>
          <w:color w:val="auto"/>
          <w:sz w:val="28"/>
          <w:szCs w:val="28"/>
        </w:rPr>
        <w:t>份。</w:t>
      </w:r>
    </w:p>
    <w:tbl>
      <w:tblPr>
        <w:tblStyle w:val="24"/>
        <w:tblpPr w:leftFromText="180" w:rightFromText="180" w:vertAnchor="text" w:horzAnchor="page" w:tblpXSpec="center" w:tblpY="447"/>
        <w:tblOverlap w:val="never"/>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5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4933" w:type="dxa"/>
            <w:tcBorders>
              <w:top w:val="nil"/>
              <w:left w:val="nil"/>
              <w:bottom w:val="nil"/>
              <w:right w:val="nil"/>
            </w:tcBorders>
          </w:tcPr>
          <w:p>
            <w:pPr>
              <w:widowControl/>
              <w:adjustRightInd/>
              <w:snapToGrid/>
              <w:spacing w:after="160" w:line="520" w:lineRule="exact"/>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val="0"/>
                <w:bCs/>
                <w:color w:val="auto"/>
                <w:sz w:val="28"/>
                <w:szCs w:val="28"/>
              </w:rPr>
              <w:t>甲方</w:t>
            </w:r>
            <w:r>
              <w:rPr>
                <w:rFonts w:hint="eastAsia" w:ascii="仿宋_GB2312" w:hAnsi="仿宋_GB2312" w:eastAsia="仿宋_GB2312" w:cs="仿宋_GB2312"/>
                <w:bCs/>
                <w:color w:val="auto"/>
                <w:sz w:val="28"/>
                <w:szCs w:val="28"/>
              </w:rPr>
              <w:t>：广州市净水有限公司（盖章）</w:t>
            </w:r>
          </w:p>
        </w:tc>
        <w:tc>
          <w:tcPr>
            <w:tcW w:w="5434" w:type="dxa"/>
            <w:tcBorders>
              <w:top w:val="nil"/>
              <w:left w:val="nil"/>
              <w:bottom w:val="nil"/>
              <w:right w:val="nil"/>
            </w:tcBorders>
          </w:tcPr>
          <w:p>
            <w:pPr>
              <w:widowControl/>
              <w:adjustRightInd/>
              <w:snapToGrid/>
              <w:spacing w:after="160" w:line="520" w:lineRule="exact"/>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val="0"/>
                <w:bCs/>
                <w:color w:val="auto"/>
                <w:sz w:val="28"/>
                <w:szCs w:val="28"/>
              </w:rPr>
              <w:t>乙方</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4933" w:type="dxa"/>
            <w:tcBorders>
              <w:top w:val="nil"/>
              <w:left w:val="nil"/>
              <w:bottom w:val="nil"/>
              <w:right w:val="nil"/>
            </w:tcBorders>
          </w:tcPr>
          <w:p>
            <w:pPr>
              <w:widowControl/>
              <w:adjustRightInd/>
              <w:snapToGrid/>
              <w:spacing w:after="160" w:line="520" w:lineRule="exact"/>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签约代表</w:t>
            </w:r>
            <w:r>
              <w:rPr>
                <w:rFonts w:hint="eastAsia" w:ascii="仿宋_GB2312" w:hAnsi="仿宋_GB2312" w:eastAsia="仿宋_GB2312" w:cs="仿宋_GB2312"/>
                <w:bCs/>
                <w:color w:val="auto"/>
                <w:sz w:val="28"/>
                <w:szCs w:val="28"/>
              </w:rPr>
              <w:t>：</w:t>
            </w:r>
          </w:p>
        </w:tc>
        <w:tc>
          <w:tcPr>
            <w:tcW w:w="5434" w:type="dxa"/>
            <w:tcBorders>
              <w:top w:val="nil"/>
              <w:left w:val="nil"/>
              <w:bottom w:val="nil"/>
              <w:right w:val="nil"/>
            </w:tcBorders>
          </w:tcPr>
          <w:p>
            <w:pPr>
              <w:widowControl/>
              <w:adjustRightInd/>
              <w:snapToGrid/>
              <w:spacing w:after="160" w:line="520" w:lineRule="exact"/>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签约代表</w:t>
            </w:r>
            <w:r>
              <w:rPr>
                <w:rFonts w:hint="eastAsia" w:ascii="仿宋_GB2312" w:hAnsi="仿宋_GB2312" w:eastAsia="仿宋_GB2312" w:cs="仿宋_GB2312"/>
                <w:bCs/>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933" w:type="dxa"/>
            <w:tcBorders>
              <w:top w:val="nil"/>
              <w:left w:val="nil"/>
              <w:bottom w:val="nil"/>
              <w:right w:val="nil"/>
            </w:tcBorders>
          </w:tcPr>
          <w:p>
            <w:pPr>
              <w:widowControl/>
              <w:adjustRightInd/>
              <w:snapToGrid/>
              <w:spacing w:after="0" w:line="520" w:lineRule="exact"/>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签订日期：     年   月   日</w:t>
            </w:r>
          </w:p>
        </w:tc>
        <w:tc>
          <w:tcPr>
            <w:tcW w:w="5434" w:type="dxa"/>
            <w:tcBorders>
              <w:top w:val="nil"/>
              <w:left w:val="nil"/>
              <w:bottom w:val="nil"/>
              <w:right w:val="nil"/>
            </w:tcBorders>
          </w:tcPr>
          <w:p>
            <w:pPr>
              <w:widowControl/>
              <w:adjustRightInd/>
              <w:snapToGrid/>
              <w:spacing w:after="160" w:line="520" w:lineRule="exact"/>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签订日期：     年   月   日 </w:t>
            </w:r>
          </w:p>
        </w:tc>
      </w:tr>
    </w:tbl>
    <w:p>
      <w:pPr>
        <w:widowControl/>
        <w:spacing w:after="160" w:line="240" w:lineRule="auto"/>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br w:type="page"/>
      </w:r>
    </w:p>
    <w:p>
      <w:pPr>
        <w:widowControl w:val="0"/>
        <w:spacing w:after="0" w:line="360" w:lineRule="auto"/>
        <w:jc w:val="both"/>
        <w:rPr>
          <w:rFonts w:ascii="宋体" w:hAnsi="宋体" w:eastAsia="宋体" w:cs="宋体"/>
          <w:b/>
          <w:color w:val="000000"/>
          <w:szCs w:val="21"/>
        </w:rPr>
      </w:pPr>
      <w:r>
        <w:rPr>
          <w:rFonts w:hint="eastAsia" w:ascii="宋体" w:hAnsi="宋体" w:eastAsia="宋体" w:cs="宋体"/>
          <w:b/>
          <w:color w:val="000000"/>
          <w:szCs w:val="21"/>
        </w:rPr>
        <w:t>附件2：安全管理协议书</w:t>
      </w:r>
    </w:p>
    <w:p>
      <w:pPr>
        <w:widowControl w:val="0"/>
        <w:spacing w:after="0" w:line="360" w:lineRule="auto"/>
        <w:jc w:val="center"/>
        <w:rPr>
          <w:rFonts w:ascii="宋体" w:hAnsi="宋体" w:eastAsia="宋体" w:cs="宋体"/>
          <w:b/>
          <w:bCs/>
          <w:color w:val="000000"/>
          <w:sz w:val="24"/>
          <w:szCs w:val="24"/>
        </w:rPr>
      </w:pPr>
    </w:p>
    <w:p>
      <w:pPr>
        <w:widowControl w:val="0"/>
        <w:spacing w:after="0" w:line="560" w:lineRule="exact"/>
        <w:jc w:val="center"/>
        <w:rPr>
          <w:rFonts w:ascii="黑体" w:hAnsi="Batang" w:eastAsia="黑体" w:cs="Batang"/>
          <w:bCs/>
          <w:color w:val="000000"/>
          <w:kern w:val="0"/>
          <w:sz w:val="44"/>
          <w:szCs w:val="44"/>
        </w:rPr>
      </w:pPr>
      <w:r>
        <w:rPr>
          <w:rFonts w:hint="eastAsia" w:ascii="黑体" w:hAnsi="Batang" w:eastAsia="黑体" w:cs="Batang"/>
          <w:bCs/>
          <w:color w:val="000000"/>
          <w:kern w:val="0"/>
          <w:sz w:val="44"/>
          <w:szCs w:val="44"/>
        </w:rPr>
        <w:t>营运场所施工安全协议书</w:t>
      </w:r>
    </w:p>
    <w:p>
      <w:pPr>
        <w:widowControl w:val="0"/>
        <w:spacing w:after="0" w:line="560" w:lineRule="exact"/>
        <w:jc w:val="both"/>
        <w:rPr>
          <w:rFonts w:ascii="仿宋_GB2312" w:hAnsi="宋体" w:eastAsia="仿宋_GB2312" w:cs="Times New Roman"/>
          <w:color w:val="000000"/>
          <w:sz w:val="24"/>
          <w:szCs w:val="24"/>
        </w:rPr>
      </w:pPr>
    </w:p>
    <w:p>
      <w:pPr>
        <w:widowControl w:val="0"/>
        <w:spacing w:after="0" w:line="560" w:lineRule="exact"/>
        <w:jc w:val="both"/>
        <w:rPr>
          <w:rFonts w:ascii="宋体" w:hAnsi="宋体" w:eastAsia="宋体" w:cs="Arial"/>
          <w:color w:val="000000"/>
          <w:kern w:val="0"/>
          <w:sz w:val="24"/>
          <w:szCs w:val="24"/>
        </w:rPr>
      </w:pPr>
      <w:bookmarkStart w:id="113" w:name="_Toc21391"/>
      <w:r>
        <w:rPr>
          <w:rFonts w:hint="eastAsia" w:ascii="宋体" w:hAnsi="宋体" w:eastAsia="宋体" w:cs="Arial"/>
          <w:color w:val="000000"/>
          <w:kern w:val="0"/>
          <w:sz w:val="24"/>
          <w:szCs w:val="24"/>
        </w:rPr>
        <w:t>甲方：</w:t>
      </w:r>
      <w:r>
        <w:rPr>
          <w:rFonts w:hint="eastAsia" w:ascii="Times New Roman" w:hAnsi="Times New Roman" w:eastAsia="宋体" w:cs="Times New Roman"/>
          <w:color w:val="000000"/>
          <w:sz w:val="24"/>
          <w:szCs w:val="24"/>
        </w:rPr>
        <w:t>广州市净水有限公司</w:t>
      </w:r>
    </w:p>
    <w:p>
      <w:pPr>
        <w:widowControl w:val="0"/>
        <w:spacing w:after="0" w:line="560" w:lineRule="exact"/>
        <w:jc w:val="both"/>
        <w:rPr>
          <w:rFonts w:hint="eastAsia" w:ascii="宋体" w:hAnsi="宋体" w:eastAsia="宋体" w:cs="Arial"/>
          <w:color w:val="000000"/>
          <w:kern w:val="0"/>
          <w:sz w:val="24"/>
          <w:szCs w:val="24"/>
          <w:lang w:eastAsia="zh-CN"/>
        </w:rPr>
      </w:pPr>
      <w:r>
        <w:rPr>
          <w:rFonts w:hint="eastAsia" w:ascii="宋体" w:hAnsi="宋体" w:eastAsia="宋体" w:cs="Arial"/>
          <w:color w:val="000000"/>
          <w:kern w:val="0"/>
          <w:sz w:val="24"/>
          <w:szCs w:val="24"/>
        </w:rPr>
        <w:t>乙方：</w:t>
      </w:r>
      <w:r>
        <w:rPr>
          <w:rFonts w:hint="eastAsia" w:ascii="Times New Roman" w:hAnsi="Times New Roman" w:eastAsia="宋体" w:cs="Times New Roman"/>
          <w:bCs w:val="0"/>
          <w:color w:val="000000"/>
          <w:sz w:val="24"/>
          <w:szCs w:val="24"/>
          <w:lang w:val="en-US" w:eastAsia="zh-CN"/>
        </w:rPr>
        <w:t xml:space="preserve">          </w:t>
      </w:r>
    </w:p>
    <w:p>
      <w:pPr>
        <w:widowControl w:val="0"/>
        <w:adjustRightInd w:val="0"/>
        <w:snapToGrid w:val="0"/>
        <w:spacing w:after="0" w:line="560" w:lineRule="exact"/>
        <w:jc w:val="left"/>
        <w:rPr>
          <w:rFonts w:ascii="宋体" w:hAnsi="宋体" w:eastAsia="宋体" w:cs="Times New Roman"/>
          <w:b w:val="0"/>
          <w:color w:val="000000"/>
          <w:szCs w:val="24"/>
          <w:u w:val="single"/>
        </w:rPr>
      </w:pPr>
    </w:p>
    <w:bookmarkEnd w:id="113"/>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一、本协议与主合同的关系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本协议作为</w:t>
      </w:r>
      <w:r>
        <w:rPr>
          <w:rFonts w:hint="eastAsia" w:ascii="仿宋_GB2312" w:hAnsi="仿宋_GB2312" w:eastAsia="仿宋_GB2312" w:cs="仿宋_GB2312"/>
          <w:bCs/>
          <w:color w:val="000000"/>
          <w:sz w:val="28"/>
          <w:szCs w:val="28"/>
          <w:u w:val="single"/>
          <w:lang w:eastAsia="zh-CN"/>
        </w:rPr>
        <w:t>健康城分公司2024年尾水管道探测及地质隐患排查项目</w:t>
      </w:r>
      <w:r>
        <w:rPr>
          <w:rFonts w:hint="eastAsia" w:ascii="宋体" w:hAnsi="宋体" w:eastAsia="宋体" w:cs="Times New Roman"/>
          <w:color w:val="000000"/>
          <w:sz w:val="24"/>
          <w:szCs w:val="24"/>
        </w:rPr>
        <w:t>的组成部分，与主合同具有同等法律效力。</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ascii="宋体" w:hAnsi="宋体" w:eastAsia="宋体" w:cs="Times New Roman"/>
          <w:b/>
          <w:color w:val="000000"/>
          <w:sz w:val="24"/>
          <w:szCs w:val="24"/>
        </w:rPr>
        <w:t xml:space="preserve"> 二、</w:t>
      </w:r>
      <w:r>
        <w:rPr>
          <w:rFonts w:hint="eastAsia" w:ascii="宋体" w:hAnsi="宋体" w:eastAsia="宋体" w:cs="Times New Roman"/>
          <w:b/>
          <w:color w:val="000000"/>
          <w:sz w:val="24"/>
          <w:szCs w:val="24"/>
        </w:rPr>
        <w:t>甲方权责</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（一）在甲方生产营运场所内施工的，告知乙方该场所已知存在的安全风险，并要求乙方在作业前应重新识别现场的安全风险并采取措施进行管控。</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（二）落实生产营运等相关配合措施，提供必要的施工条件。</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（三）要求乙方遵守的甲方安全管理要求。</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（四）有权对乙方安全措施投入、现场安全施工情况等进行安全监督检查，并提出整改。</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（五）按照《广州市净水有限公司工程项目安全管理规范》等办法对乙方进行施工安全管理评价。</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（六）对于乙方不服从甲方管理，违反安全生产管理规定等违约行为的，甲方有权对乙方采取以下一种或以上的方式处理：</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按主合同相关条款进行经济扣罚；</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根据《广州市水务局关于印发广州市水务工程施工和监理企业诚信评价管理办法的通知》（穗水建设〔2</w:t>
      </w:r>
      <w:r>
        <w:rPr>
          <w:rFonts w:ascii="宋体" w:hAnsi="宋体" w:eastAsia="宋体" w:cs="Times New Roman"/>
          <w:color w:val="000000"/>
          <w:sz w:val="24"/>
          <w:szCs w:val="24"/>
        </w:rPr>
        <w:t>014</w:t>
      </w:r>
      <w:r>
        <w:rPr>
          <w:rFonts w:hint="eastAsia" w:ascii="宋体" w:hAnsi="宋体" w:eastAsia="宋体" w:cs="Times New Roman"/>
          <w:color w:val="000000"/>
          <w:sz w:val="24"/>
          <w:szCs w:val="24"/>
        </w:rPr>
        <w:t>〕1</w:t>
      </w:r>
      <w:r>
        <w:rPr>
          <w:rFonts w:ascii="宋体" w:hAnsi="宋体" w:eastAsia="宋体" w:cs="Times New Roman"/>
          <w:color w:val="000000"/>
          <w:sz w:val="24"/>
          <w:szCs w:val="24"/>
        </w:rPr>
        <w:t>0</w:t>
      </w:r>
      <w:r>
        <w:rPr>
          <w:rFonts w:hint="eastAsia" w:ascii="宋体" w:hAnsi="宋体" w:eastAsia="宋体" w:cs="Times New Roman"/>
          <w:color w:val="000000"/>
          <w:sz w:val="24"/>
          <w:szCs w:val="24"/>
        </w:rPr>
        <w:t>号）、《市净水公司关于印发施工和监理企业诚信评价工作实施办法的通知》（穗净水〔201</w:t>
      </w:r>
      <w:r>
        <w:rPr>
          <w:rFonts w:ascii="宋体" w:hAnsi="宋体" w:eastAsia="宋体" w:cs="Times New Roman"/>
          <w:color w:val="000000"/>
          <w:sz w:val="24"/>
          <w:szCs w:val="24"/>
        </w:rPr>
        <w:t>5</w:t>
      </w:r>
      <w:r>
        <w:rPr>
          <w:rFonts w:hint="eastAsia" w:ascii="宋体" w:hAnsi="宋体" w:eastAsia="宋体" w:cs="Times New Roman"/>
          <w:color w:val="000000"/>
          <w:sz w:val="24"/>
          <w:szCs w:val="24"/>
        </w:rPr>
        <w:t>〕2</w:t>
      </w:r>
      <w:r>
        <w:rPr>
          <w:rFonts w:ascii="宋体" w:hAnsi="宋体" w:eastAsia="宋体" w:cs="Times New Roman"/>
          <w:color w:val="000000"/>
          <w:sz w:val="24"/>
          <w:szCs w:val="24"/>
        </w:rPr>
        <w:t>40</w:t>
      </w:r>
      <w:r>
        <w:rPr>
          <w:rFonts w:hint="eastAsia" w:ascii="宋体" w:hAnsi="宋体" w:eastAsia="宋体" w:cs="Times New Roman"/>
          <w:color w:val="000000"/>
          <w:sz w:val="24"/>
          <w:szCs w:val="24"/>
        </w:rPr>
        <w:t>号），进行诚信扣分（合同期内有新的文件印发的，按照最新的文件执行）；</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w:t>
      </w:r>
      <w:r>
        <w:rPr>
          <w:rFonts w:hint="eastAsia" w:ascii="宋体" w:hAnsi="宋体" w:eastAsia="宋体" w:cs="Times New Roman"/>
          <w:color w:val="000000"/>
          <w:sz w:val="24"/>
          <w:szCs w:val="24"/>
        </w:rPr>
        <w:t>限制投保，或经其他单位承包后以分别方参与项目实施；</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向上级进行反映，包括但不限于广东省市政行业协会、广州市市政公路协会等。</w:t>
      </w:r>
    </w:p>
    <w:p>
      <w:pPr>
        <w:widowControl w:val="0"/>
        <w:spacing w:after="0" w:line="560" w:lineRule="exact"/>
        <w:ind w:firstLine="480" w:firstLineChars="200"/>
        <w:jc w:val="both"/>
        <w:rPr>
          <w:rFonts w:ascii="宋体" w:hAnsi="宋体" w:eastAsia="宋体" w:cs="Arial"/>
          <w:color w:val="000000"/>
          <w:kern w:val="0"/>
          <w:sz w:val="24"/>
          <w:szCs w:val="24"/>
        </w:rPr>
      </w:pPr>
      <w:r>
        <w:rPr>
          <w:rFonts w:hint="eastAsia" w:ascii="宋体" w:hAnsi="宋体" w:eastAsia="宋体" w:cs="Arial"/>
          <w:color w:val="000000"/>
          <w:kern w:val="0"/>
          <w:sz w:val="24"/>
          <w:szCs w:val="24"/>
        </w:rPr>
        <w:t>（七）乙方对存在问题拒不整改的，或存在弄虚作假情况的，视为违约，甲方有权按主合同相关条款对乙方进行违约金扣罚。如乙方拒不缴纳违约金的，甲方有权在履约保证金中扣除。</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三、乙方权责</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（一）在施工前重新识别现场的安全风险并采取措施进行管控。大型机械设备进场，需提前对设备行走、运输路线进行勘查，确保行走、运输过程中不会造成各种设施的破坏或二次事故。</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（二）严格执行国家、地方和行业主管部门关于施工的强制性标准、地方行政法规、管理要求。</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依法为施工现场作业的人员办理意外伤害保险、购买安全生产责任保险。</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（三）乙方应在合同签订后</w:t>
      </w:r>
      <w:r>
        <w:rPr>
          <w:rFonts w:hint="eastAsia" w:ascii="宋体" w:hAnsi="宋体" w:eastAsia="宋体" w:cs="Times New Roman"/>
          <w:color w:val="000000"/>
          <w:sz w:val="24"/>
          <w:szCs w:val="24"/>
          <w:u w:val="single"/>
        </w:rPr>
        <w:t>10</w:t>
      </w:r>
      <w:r>
        <w:rPr>
          <w:rFonts w:hint="eastAsia" w:ascii="宋体" w:hAnsi="宋体" w:eastAsia="宋体" w:cs="Times New Roman"/>
          <w:color w:val="000000"/>
          <w:sz w:val="24"/>
          <w:szCs w:val="24"/>
        </w:rPr>
        <w:t>日内制定安全生产文明施工措施费投入使用计划，并提交甲方备案，保证施工安全措施投入。</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（四）严格按照甲方制定的《广州市净水有限公司工程项目安全管理规范》要求，落实各项安全管理工作。</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根据当前国家、行业或甲方近期安全管理的突出方面，或针对项目实际，有针对性地开展安全管理工作，接受甲方的安全管理评价。</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配合甲方的安全监督检查，并立即对提出的问题隐患进行整改。</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（五）落实人员实名制，在签订主合同前提供本项目全体人员已通过三级安全教育及职业健康体检的证明，确保全员没有职业病，禁止有职业禁忌证的人员从事禁忌证相关工作。</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乙方该项目的管理人员、作业人员（包括分包人员）每年由乙方单位依法开展安全生产教育培训，并保存好相关培训证明备查。</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施工过程中，项目管理人员、作业人员（包括分包人员）需进行调整的，必须书面向甲方请示，并获得甲方批准后方可执行变更。</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（六）建立应急管理体系，编制应急预案和现场处置方案，并定期组织开展应急演练。施工现场，乙方应根据施工方案在施工现场配置应急救援物资，并做好应急救援物资的定期检查，确保完好、有效。</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（七）发生突发事件时，应立即报甲方，并同时积极主动地开展应急救援，采取有效措施将事故影响控制在最小范围内。</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（八）严格履行本协议，遵守甲方各项管理规定，服从管理。</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（九）对甲方的违章指挥，拒绝执行，但需书面明确指出甲方所违反的具体法律法规、标准规范等。</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（十）乙方委托的第三方运输单位或个人，违反本协议的，全部责任均由乙方承担。</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四、事故责任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（一）在乙方承包范围内，由于乙方责任发生生产安全事故时，造成的甲方、乙方或者第三方人身伤害事故，乙方负全部责任。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（二）乙方人员违规进入甲方或第三方承包区域，造成事故的，乙方负全部事故责任；乙方人员遭受人身伤害的，乙方负全部责任。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（四）乙方在甲方生产区域内发生生产安全事故后，必须在第一时间向甲方报告，迟报或者隐瞒不报生产安全事故，承担事故的全部责任。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（五）乙方各类人员在甲方生产区域内发生人身伤害事故和其他事故，乙方应开展调查、处理、统计、上报并向甲方报告，配合甲方及有关部门开展事故调查。</w:t>
      </w:r>
    </w:p>
    <w:p>
      <w:pPr>
        <w:widowControl w:val="0"/>
        <w:spacing w:after="0" w:line="560" w:lineRule="exact"/>
        <w:ind w:firstLine="480" w:firstLineChars="200"/>
        <w:jc w:val="both"/>
        <w:rPr>
          <w:rFonts w:ascii="宋体" w:hAnsi="宋体" w:eastAsia="宋体" w:cs="Times New Roman"/>
          <w:color w:val="000000"/>
          <w:sz w:val="24"/>
          <w:szCs w:val="24"/>
        </w:rPr>
      </w:pPr>
      <w:r>
        <w:rPr>
          <w:rFonts w:hint="eastAsia" w:ascii="宋体" w:hAnsi="宋体" w:eastAsia="宋体" w:cs="Times New Roman"/>
          <w:color w:val="000000"/>
          <w:sz w:val="24"/>
          <w:szCs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after="160" w:line="560" w:lineRule="exact"/>
        <w:ind w:firstLine="482" w:firstLineChars="200"/>
        <w:jc w:val="left"/>
        <w:rPr>
          <w:rFonts w:ascii="宋体" w:hAnsi="宋体" w:eastAsia="宋体" w:cs="Times New Roman"/>
          <w:color w:val="000000"/>
          <w:sz w:val="24"/>
          <w:szCs w:val="22"/>
          <w:lang w:val="en-US" w:eastAsia="zh-CN" w:bidi="ar-SA"/>
        </w:rPr>
      </w:pPr>
      <w:r>
        <w:rPr>
          <w:rFonts w:hint="eastAsia" w:ascii="宋体" w:hAnsi="宋体" w:eastAsia="宋体" w:cs="Times New Roman"/>
          <w:b/>
          <w:color w:val="000000"/>
          <w:sz w:val="24"/>
          <w:szCs w:val="22"/>
          <w:lang w:val="en-US" w:eastAsia="zh-CN" w:bidi="ar-SA"/>
        </w:rPr>
        <w:t>五、补充条款：</w:t>
      </w:r>
      <w:r>
        <w:rPr>
          <w:rFonts w:ascii="宋体" w:hAnsi="宋体" w:eastAsia="宋体" w:cs="Times New Roman"/>
          <w:color w:val="000000"/>
          <w:sz w:val="24"/>
          <w:szCs w:val="22"/>
          <w:u w:val="single"/>
          <w:lang w:val="en-US" w:eastAsia="zh-CN" w:bidi="ar-SA"/>
        </w:rPr>
        <w:t xml:space="preserve"> </w:t>
      </w:r>
      <w:r>
        <w:rPr>
          <w:rFonts w:hint="eastAsia" w:ascii="宋体" w:hAnsi="宋体" w:eastAsia="宋体" w:cs="Times New Roman"/>
          <w:color w:val="000000"/>
          <w:sz w:val="24"/>
          <w:szCs w:val="22"/>
          <w:u w:val="single"/>
          <w:lang w:val="en-US" w:eastAsia="zh-CN" w:bidi="ar-SA"/>
        </w:rPr>
        <w:t>/</w:t>
      </w:r>
      <w:r>
        <w:rPr>
          <w:rFonts w:ascii="宋体" w:hAnsi="宋体" w:eastAsia="宋体" w:cs="Times New Roman"/>
          <w:color w:val="000000"/>
          <w:sz w:val="24"/>
          <w:szCs w:val="22"/>
          <w:u w:val="single"/>
          <w:lang w:val="en-US" w:eastAsia="zh-CN" w:bidi="ar-SA"/>
        </w:rPr>
        <w:t xml:space="preserve">  </w:t>
      </w:r>
      <w:r>
        <w:rPr>
          <w:rFonts w:hint="eastAsia" w:ascii="宋体" w:hAnsi="宋体" w:eastAsia="宋体" w:cs="Times New Roman"/>
          <w:color w:val="000000"/>
          <w:sz w:val="24"/>
          <w:szCs w:val="22"/>
          <w:lang w:val="en-US" w:eastAsia="zh-CN" w:bidi="ar-SA"/>
        </w:rPr>
        <w:t>。</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六、附则</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（一）本协议未尽事宜，依据有关法律、法规、规章处理。法律、法规、规章没有明确规定的，经双方协商处理解决。</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（二）本协议与主合同同时签订、同时终止、同时生效，具有相同的法律效力，自甲方、乙方双方签字、盖章生效，甲方、乙方双方执持数量与主合同一致。</w:t>
      </w:r>
    </w:p>
    <w:p>
      <w:pPr>
        <w:widowControl w:val="0"/>
        <w:adjustRightInd w:val="0"/>
        <w:snapToGrid w:val="0"/>
        <w:spacing w:after="0" w:line="560" w:lineRule="exact"/>
        <w:jc w:val="both"/>
        <w:rPr>
          <w:rFonts w:ascii="仿宋_GB2312" w:hAnsi="宋体" w:eastAsia="仿宋_GB2312" w:cs="Times New Roman"/>
          <w:color w:val="000000"/>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甲方：广州市净水有限公司（盖章）</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签约代表：</w:t>
            </w:r>
          </w:p>
          <w:p>
            <w:pPr>
              <w:widowControl w:val="0"/>
              <w:adjustRightInd w:val="0"/>
              <w:snapToGrid w:val="0"/>
              <w:spacing w:after="0" w:line="560" w:lineRule="exact"/>
              <w:jc w:val="both"/>
              <w:textAlignment w:val="baseline"/>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联系电话：</w:t>
            </w:r>
            <w:r>
              <w:rPr>
                <w:rFonts w:hint="eastAsia" w:ascii="宋体" w:hAnsi="宋体" w:eastAsia="宋体" w:cs="Times New Roman"/>
                <w:color w:val="000000"/>
                <w:sz w:val="24"/>
                <w:szCs w:val="24"/>
                <w:lang w:val="en-US" w:eastAsia="zh-CN"/>
              </w:rPr>
              <w:t>13690819397</w:t>
            </w:r>
          </w:p>
          <w:p>
            <w:pPr>
              <w:widowControl w:val="0"/>
              <w:adjustRightInd w:val="0"/>
              <w:snapToGrid w:val="0"/>
              <w:spacing w:after="0" w:line="560" w:lineRule="exact"/>
              <w:ind w:firstLine="240" w:firstLineChars="100"/>
              <w:jc w:val="right"/>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tc>
        <w:tc>
          <w:tcPr>
            <w:tcW w:w="4474" w:type="dxa"/>
          </w:tcPr>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乙方：          （盖章）</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签约代表：</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联系电话：</w:t>
            </w:r>
          </w:p>
          <w:p>
            <w:pPr>
              <w:widowControl w:val="0"/>
              <w:adjustRightInd w:val="0"/>
              <w:snapToGrid w:val="0"/>
              <w:spacing w:after="0" w:line="560" w:lineRule="exact"/>
              <w:jc w:val="right"/>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tc>
      </w:tr>
    </w:tbl>
    <w:p>
      <w:pPr>
        <w:widowControl w:val="0"/>
        <w:spacing w:after="160" w:line="259" w:lineRule="auto"/>
        <w:jc w:val="both"/>
        <w:rPr>
          <w:rFonts w:ascii="宋体" w:hAnsi="宋体" w:eastAsia="宋体" w:cs="仿宋_GB2312"/>
          <w:color w:val="000000"/>
          <w:kern w:val="2"/>
          <w:sz w:val="24"/>
          <w:szCs w:val="24"/>
          <w:lang w:val="en-US" w:eastAsia="zh-CN" w:bidi="ar-SA"/>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2"/>
        <w:rPr>
          <w:rFonts w:ascii="仿宋_GB2312" w:eastAsia="仿宋_GB2312"/>
          <w:color w:val="auto"/>
          <w:sz w:val="28"/>
          <w:szCs w:val="28"/>
          <w:highlight w:val="none"/>
        </w:rPr>
      </w:pPr>
    </w:p>
    <w:p>
      <w:pPr>
        <w:pStyle w:val="4"/>
        <w:rPr>
          <w:color w:val="auto"/>
          <w:highlight w:val="none"/>
        </w:rPr>
      </w:pPr>
      <w:bookmarkStart w:id="114" w:name="_Toc21847"/>
      <w:bookmarkStart w:id="115" w:name="_Toc28358"/>
      <w:bookmarkStart w:id="116" w:name="_Toc16552"/>
      <w:bookmarkStart w:id="117" w:name="_Toc12169"/>
      <w:bookmarkStart w:id="118" w:name="_Toc23515"/>
      <w:bookmarkStart w:id="119" w:name="_Toc8147"/>
      <w:bookmarkStart w:id="120" w:name="_Toc3723"/>
      <w:bookmarkStart w:id="121" w:name="_Toc1563"/>
      <w:bookmarkStart w:id="122" w:name="_Toc30824"/>
      <w:bookmarkStart w:id="123" w:name="_Toc6230"/>
      <w:bookmarkStart w:id="124" w:name="_Toc512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4"/>
      <w:bookmarkEnd w:id="115"/>
      <w:bookmarkEnd w:id="116"/>
      <w:bookmarkEnd w:id="117"/>
      <w:bookmarkEnd w:id="118"/>
      <w:bookmarkEnd w:id="119"/>
      <w:bookmarkEnd w:id="120"/>
      <w:bookmarkEnd w:id="121"/>
      <w:bookmarkEnd w:id="122"/>
      <w:bookmarkEnd w:id="123"/>
      <w:bookmarkEnd w:id="124"/>
    </w:p>
    <w:p>
      <w:pPr>
        <w:pStyle w:val="39"/>
        <w:rPr>
          <w:color w:val="auto"/>
          <w:highlight w:val="none"/>
        </w:rPr>
      </w:pPr>
    </w:p>
    <w:p>
      <w:pPr>
        <w:pStyle w:val="4"/>
        <w:rPr>
          <w:color w:val="auto"/>
          <w:highlight w:val="none"/>
        </w:rPr>
      </w:pPr>
      <w:bookmarkStart w:id="125" w:name="_Toc10840"/>
      <w:bookmarkStart w:id="126" w:name="_Toc88209951"/>
      <w:bookmarkStart w:id="127" w:name="_Toc24490"/>
      <w:bookmarkStart w:id="128" w:name="_Toc24815"/>
      <w:bookmarkStart w:id="129" w:name="_Toc31564"/>
      <w:bookmarkStart w:id="130" w:name="_Toc87616388"/>
      <w:bookmarkStart w:id="131" w:name="_Toc12610"/>
      <w:bookmarkStart w:id="132" w:name="_Toc30157"/>
      <w:bookmarkStart w:id="133" w:name="_Toc12769"/>
      <w:bookmarkStart w:id="134" w:name="_Toc22764"/>
      <w:bookmarkStart w:id="135" w:name="_Toc5342"/>
      <w:bookmarkStart w:id="136" w:name="_Toc17119"/>
      <w:bookmarkStart w:id="137" w:name="_Toc21675"/>
      <w:r>
        <w:rPr>
          <w:rFonts w:hint="eastAsia"/>
          <w:color w:val="auto"/>
          <w:highlight w:val="none"/>
        </w:rPr>
        <w:t>响应文件</w:t>
      </w:r>
      <w:r>
        <w:rPr>
          <w:rFonts w:hint="eastAsia"/>
          <w:color w:val="auto"/>
          <w:highlight w:val="none"/>
          <w:lang w:val="en-US" w:eastAsia="zh-CN"/>
        </w:rPr>
        <w:t>格式要求</w:t>
      </w:r>
      <w:bookmarkEnd w:id="125"/>
      <w:bookmarkEnd w:id="126"/>
      <w:bookmarkEnd w:id="127"/>
      <w:bookmarkEnd w:id="128"/>
      <w:bookmarkEnd w:id="129"/>
      <w:bookmarkEnd w:id="130"/>
      <w:bookmarkEnd w:id="131"/>
      <w:bookmarkEnd w:id="132"/>
      <w:bookmarkEnd w:id="133"/>
      <w:bookmarkEnd w:id="134"/>
      <w:bookmarkEnd w:id="135"/>
      <w:bookmarkEnd w:id="136"/>
      <w:bookmarkEnd w:id="13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广州市净水有限公司健康城分公司2024年尾水管道探测及地质隐患检测项目</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（项目编号：032024071500002）</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8" w:name="_Toc88209952"/>
      <w:bookmarkStart w:id="139" w:name="_Toc87616389"/>
      <w:r>
        <w:rPr>
          <w:rFonts w:hint="eastAsia" w:ascii="仿宋_GB2312" w:eastAsia="仿宋_GB2312"/>
          <w:color w:val="auto"/>
          <w:sz w:val="28"/>
          <w:szCs w:val="28"/>
          <w:highlight w:val="none"/>
        </w:rPr>
        <w:t>1.响应函</w:t>
      </w:r>
      <w:bookmarkEnd w:id="138"/>
      <w:bookmarkEnd w:id="139"/>
    </w:p>
    <w:p>
      <w:pPr>
        <w:spacing w:line="600" w:lineRule="exact"/>
        <w:rPr>
          <w:rFonts w:hint="eastAsia" w:ascii="仿宋_GB2312" w:eastAsia="仿宋_GB2312"/>
          <w:color w:val="auto"/>
          <w:sz w:val="28"/>
          <w:szCs w:val="28"/>
          <w:highlight w:val="none"/>
        </w:rPr>
      </w:pPr>
      <w:bookmarkStart w:id="140" w:name="_Toc87616390"/>
      <w:bookmarkStart w:id="141" w:name="_Toc88209953"/>
      <w:r>
        <w:rPr>
          <w:rFonts w:hint="eastAsia" w:ascii="仿宋_GB2312" w:eastAsia="仿宋_GB2312"/>
          <w:color w:val="auto"/>
          <w:sz w:val="28"/>
          <w:szCs w:val="28"/>
          <w:highlight w:val="none"/>
        </w:rPr>
        <w:t>2.法定代表人证明或授权委托书</w:t>
      </w:r>
      <w:bookmarkEnd w:id="140"/>
      <w:bookmarkEnd w:id="141"/>
      <w:bookmarkStart w:id="142" w:name="_Toc88209956"/>
      <w:bookmarkStart w:id="143"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2"/>
      <w:bookmarkEnd w:id="143"/>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
        <w:rPr>
          <w:color w:val="auto"/>
          <w:highlight w:val="none"/>
        </w:rPr>
      </w:pPr>
    </w:p>
    <w:p>
      <w:pPr>
        <w:pStyle w:val="23"/>
        <w:ind w:firstLine="0" w:firstLineChars="0"/>
        <w:rPr>
          <w:color w:val="auto"/>
          <w:highlight w:val="none"/>
        </w:rPr>
      </w:pPr>
    </w:p>
    <w:p>
      <w:pPr>
        <w:pStyle w:val="6"/>
        <w:rPr>
          <w:rFonts w:asciiTheme="minorEastAsia" w:hAnsiTheme="minorEastAsia" w:eastAsiaTheme="minorEastAsia"/>
          <w:color w:val="auto"/>
          <w:sz w:val="28"/>
          <w:szCs w:val="28"/>
          <w:highlight w:val="none"/>
        </w:rPr>
      </w:pPr>
      <w:bookmarkStart w:id="144" w:name="_Toc28619645"/>
      <w:bookmarkStart w:id="145" w:name="_Toc88209957"/>
      <w:bookmarkStart w:id="146" w:name="_Toc6313"/>
      <w:bookmarkStart w:id="147" w:name="_Toc87616394"/>
      <w:bookmarkStart w:id="148" w:name="_Toc12665"/>
      <w:r>
        <w:rPr>
          <w:rFonts w:hint="eastAsia" w:asciiTheme="minorEastAsia" w:hAnsiTheme="minorEastAsia" w:eastAsiaTheme="minorEastAsia"/>
          <w:color w:val="auto"/>
          <w:sz w:val="28"/>
          <w:szCs w:val="28"/>
          <w:highlight w:val="none"/>
        </w:rPr>
        <w:t>1.响应函</w:t>
      </w:r>
      <w:bookmarkEnd w:id="144"/>
      <w:bookmarkEnd w:id="145"/>
      <w:bookmarkEnd w:id="146"/>
      <w:bookmarkEnd w:id="147"/>
      <w:bookmarkEnd w:id="14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49" w:name="_Toc88209958"/>
      <w:bookmarkStart w:id="150" w:name="_Toc87616395"/>
      <w:bookmarkStart w:id="151" w:name="_Toc29833"/>
      <w:bookmarkStart w:id="152" w:name="_Toc22527"/>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6"/>
        <w:spacing w:line="3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9"/>
      <w:bookmarkEnd w:id="150"/>
      <w:bookmarkEnd w:id="151"/>
      <w:bookmarkEnd w:id="152"/>
    </w:p>
    <w:p>
      <w:pPr>
        <w:spacing w:line="36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3" w:name="_Toc19830"/>
      <w:bookmarkStart w:id="154" w:name="_Toc8086"/>
      <w:bookmarkStart w:id="155" w:name="_Toc88209963"/>
      <w:bookmarkStart w:id="156"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3"/>
      <w:bookmarkEnd w:id="154"/>
      <w:bookmarkEnd w:id="155"/>
      <w:bookmarkEnd w:id="15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57"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广州市净水有限公司健康城分公司2024年尾水管道探测及地质隐患检测项目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032024071500002</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3"/>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13"/>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7"/>
        </w:numPr>
        <w:rPr>
          <w:rFonts w:hint="eastAsia" w:asciiTheme="minorEastAsia" w:hAnsiTheme="minorEastAsia" w:eastAsiaTheme="minorEastAsia"/>
          <w:color w:val="auto"/>
          <w:sz w:val="28"/>
          <w:szCs w:val="28"/>
          <w:highlight w:val="none"/>
        </w:rPr>
      </w:pPr>
      <w:bookmarkStart w:id="158" w:name="_Toc19423"/>
      <w:bookmarkStart w:id="159" w:name="_Toc32430"/>
      <w:r>
        <w:rPr>
          <w:rFonts w:hint="eastAsia" w:asciiTheme="minorEastAsia" w:hAnsiTheme="minorEastAsia" w:eastAsiaTheme="minorEastAsia"/>
          <w:color w:val="auto"/>
          <w:sz w:val="28"/>
          <w:szCs w:val="28"/>
          <w:highlight w:val="none"/>
        </w:rPr>
        <w:t>报价表</w:t>
      </w:r>
      <w:bookmarkEnd w:id="158"/>
      <w:bookmarkEnd w:id="159"/>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555"/>
        <w:gridCol w:w="657"/>
        <w:gridCol w:w="824"/>
        <w:gridCol w:w="1277"/>
        <w:gridCol w:w="971"/>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收费基价（元）</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管线探测</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“02标准”31页\表7.2-1\地下管线探测\金属管道\中等复杂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管线测量</w:t>
            </w:r>
          </w:p>
        </w:tc>
        <w:tc>
          <w:tcPr>
            <w:tcW w:w="370"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“02标准”7页\表2.4-2\地下管线测量\上下水及暖气管道\中等复杂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地下管道上方空洞及疏松区检测</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长度为管道长度，据实结算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技术工作费</w:t>
            </w:r>
          </w:p>
        </w:tc>
        <w:tc>
          <w:tcPr>
            <w:tcW w:w="1553" w:type="pct"/>
            <w:gridSpan w:val="3"/>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（1+2+3）*22%</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02标准”P29页\2工程测量2.1技术工作费 22%(其中管线探测、测量空洞雷达检测收技术工作费，管线检测不收技术工作费)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钻探验证</w:t>
            </w:r>
          </w:p>
        </w:tc>
        <w:tc>
          <w:tcPr>
            <w:tcW w:w="37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w:t>
            </w:r>
          </w:p>
        </w:tc>
        <w:tc>
          <w:tcPr>
            <w:tcW w:w="464"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根据实际工作量结算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12"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76"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3" w:type="pct"/>
            <w:gridSpan w:val="3"/>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1+2+3+4+5+6</w:t>
            </w:r>
          </w:p>
        </w:tc>
        <w:tc>
          <w:tcPr>
            <w:tcW w:w="547" w:type="pc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含6%增值税</w:t>
            </w:r>
          </w:p>
        </w:tc>
      </w:tr>
    </w:tbl>
    <w:p>
      <w:pPr>
        <w:pStyle w:val="7"/>
        <w:ind w:firstLine="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60" w:name="_Toc87616402"/>
      <w:bookmarkStart w:id="161" w:name="_Toc88209965"/>
      <w:bookmarkStart w:id="162" w:name="_Toc6058"/>
      <w:bookmarkStart w:id="163"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0"/>
      <w:bookmarkEnd w:id="161"/>
      <w:bookmarkEnd w:id="162"/>
      <w:bookmarkEnd w:id="163"/>
    </w:p>
    <w:p>
      <w:pPr>
        <w:adjustRightInd w:val="0"/>
        <w:snapToGrid w:val="0"/>
        <w:spacing w:line="600" w:lineRule="exact"/>
        <w:ind w:left="0" w:leftChars="0" w:firstLine="570" w:firstLineChars="0"/>
        <w:jc w:val="left"/>
        <w:rPr>
          <w:rFonts w:hint="eastAsia" w:eastAsia="仿宋_GB2312"/>
          <w:color w:val="auto"/>
          <w:highlight w:val="none"/>
          <w:lang w:val="en-US" w:eastAsia="zh-CN"/>
        </w:rPr>
      </w:pPr>
      <w:r>
        <w:rPr>
          <w:rFonts w:hint="eastAsia" w:ascii="仿宋_GB2312" w:eastAsia="仿宋_GB2312" w:hAnsiTheme="minorEastAsia"/>
          <w:color w:val="auto"/>
          <w:sz w:val="28"/>
          <w:szCs w:val="28"/>
          <w:highlight w:val="none"/>
          <w:lang w:val="en-US" w:eastAsia="zh-CN"/>
        </w:rPr>
        <w:t>供应商提交的其他资料。</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3SgMWAgAAFg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it0oDFgIAABYEAAAOAAAAAAAA&#10;AAEAIAAAAB8BAABkcnMvZTJvRG9jLnhtbFBLBQYAAAAABgAGAFkBAACnBQ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RW7U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NRW7UVAgAAFwQAAA4AAAAAAAAA&#10;AQAgAAAAHwEAAGRycy9lMm9Eb2MueG1sUEsFBgAAAAAGAAYAWQEAAKYFAAAAAA==&#10;">
              <v:fill on="f" focussize="0,0"/>
              <v:stroke on="f" weight="0.5pt"/>
              <v:imagedata o:title=""/>
              <o:lock v:ext="edit" aspectratio="f"/>
              <v:textbox inset="0mm,0mm,0mm,0mm" style="mso-fit-shape-to-text:t;">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Times New Roman" w:hAnsi="Times New Roman"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Times New Roman" w:hAnsi="Times New Roman"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0FCC501"/>
    <w:multiLevelType w:val="singleLevel"/>
    <w:tmpl w:val="C0FCC50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6EC85CA1"/>
    <w:multiLevelType w:val="singleLevel"/>
    <w:tmpl w:val="6EC85CA1"/>
    <w:lvl w:ilvl="0" w:tentative="0">
      <w:start w:val="2"/>
      <w:numFmt w:val="chineseCounting"/>
      <w:suff w:val="space"/>
      <w:lvlText w:val="第%1条"/>
      <w:lvlJc w:val="left"/>
      <w:rPr>
        <w:rFonts w:hint="eastAsia"/>
      </w:r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彤昀">
    <w15:presenceInfo w15:providerId="None" w15:userId="刘彤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A4357B"/>
    <w:rsid w:val="00B26BB1"/>
    <w:rsid w:val="00B26E21"/>
    <w:rsid w:val="00F83B64"/>
    <w:rsid w:val="01114DE5"/>
    <w:rsid w:val="01882CE0"/>
    <w:rsid w:val="01C16457"/>
    <w:rsid w:val="01CB6C50"/>
    <w:rsid w:val="01DC3D60"/>
    <w:rsid w:val="02090C75"/>
    <w:rsid w:val="02203B3A"/>
    <w:rsid w:val="02775E4F"/>
    <w:rsid w:val="028547BB"/>
    <w:rsid w:val="02A23A3C"/>
    <w:rsid w:val="033F3AD7"/>
    <w:rsid w:val="036E7F18"/>
    <w:rsid w:val="03913FE6"/>
    <w:rsid w:val="03AC246A"/>
    <w:rsid w:val="03B23056"/>
    <w:rsid w:val="03CE2382"/>
    <w:rsid w:val="03D30BA0"/>
    <w:rsid w:val="03DC3EBA"/>
    <w:rsid w:val="03F9794D"/>
    <w:rsid w:val="045F34D6"/>
    <w:rsid w:val="046A2461"/>
    <w:rsid w:val="058C7FB0"/>
    <w:rsid w:val="05EF233E"/>
    <w:rsid w:val="05F8628F"/>
    <w:rsid w:val="06107EF7"/>
    <w:rsid w:val="06A91040"/>
    <w:rsid w:val="06C64829"/>
    <w:rsid w:val="075303D4"/>
    <w:rsid w:val="077D16D2"/>
    <w:rsid w:val="07CE1F12"/>
    <w:rsid w:val="08675FC8"/>
    <w:rsid w:val="08C97481"/>
    <w:rsid w:val="09AE14B1"/>
    <w:rsid w:val="09B5523A"/>
    <w:rsid w:val="09B713FD"/>
    <w:rsid w:val="09C91841"/>
    <w:rsid w:val="09EF6ACC"/>
    <w:rsid w:val="0A315056"/>
    <w:rsid w:val="0ADB1C5D"/>
    <w:rsid w:val="0AFB45AD"/>
    <w:rsid w:val="0B297F03"/>
    <w:rsid w:val="0B351E9B"/>
    <w:rsid w:val="0B4C50D3"/>
    <w:rsid w:val="0B5221BD"/>
    <w:rsid w:val="0B806B92"/>
    <w:rsid w:val="0B827E94"/>
    <w:rsid w:val="0BD070E1"/>
    <w:rsid w:val="0C247926"/>
    <w:rsid w:val="0D794204"/>
    <w:rsid w:val="0E2125D1"/>
    <w:rsid w:val="0E214211"/>
    <w:rsid w:val="0E3602B4"/>
    <w:rsid w:val="0E5F2769"/>
    <w:rsid w:val="0EBB09B1"/>
    <w:rsid w:val="0F3B7A87"/>
    <w:rsid w:val="0F4D75A3"/>
    <w:rsid w:val="0F5B2DCA"/>
    <w:rsid w:val="0FED051E"/>
    <w:rsid w:val="0FEE4C29"/>
    <w:rsid w:val="10031ECE"/>
    <w:rsid w:val="10046082"/>
    <w:rsid w:val="100475F3"/>
    <w:rsid w:val="105C5B5E"/>
    <w:rsid w:val="109E6999"/>
    <w:rsid w:val="10AF4A89"/>
    <w:rsid w:val="110D4267"/>
    <w:rsid w:val="112B101A"/>
    <w:rsid w:val="1170021C"/>
    <w:rsid w:val="119B53FC"/>
    <w:rsid w:val="11AC60E9"/>
    <w:rsid w:val="12424CDC"/>
    <w:rsid w:val="12510F76"/>
    <w:rsid w:val="129A2738"/>
    <w:rsid w:val="12B56BF1"/>
    <w:rsid w:val="12CB1A89"/>
    <w:rsid w:val="131840FB"/>
    <w:rsid w:val="133845C5"/>
    <w:rsid w:val="13467417"/>
    <w:rsid w:val="136E76CF"/>
    <w:rsid w:val="13B975C3"/>
    <w:rsid w:val="13FF14DE"/>
    <w:rsid w:val="14195348"/>
    <w:rsid w:val="146626F5"/>
    <w:rsid w:val="15BC6B3C"/>
    <w:rsid w:val="16067EB0"/>
    <w:rsid w:val="162F7443"/>
    <w:rsid w:val="166E4B63"/>
    <w:rsid w:val="1694429A"/>
    <w:rsid w:val="16985257"/>
    <w:rsid w:val="16CA140D"/>
    <w:rsid w:val="16D276A1"/>
    <w:rsid w:val="170C0A39"/>
    <w:rsid w:val="17635326"/>
    <w:rsid w:val="17E07254"/>
    <w:rsid w:val="18236EFD"/>
    <w:rsid w:val="18414C94"/>
    <w:rsid w:val="189D5B1F"/>
    <w:rsid w:val="18A34CD0"/>
    <w:rsid w:val="19B64DBC"/>
    <w:rsid w:val="19DE78D9"/>
    <w:rsid w:val="1A373ACF"/>
    <w:rsid w:val="1A895341"/>
    <w:rsid w:val="1AB268DB"/>
    <w:rsid w:val="1B0D071F"/>
    <w:rsid w:val="1B4568CE"/>
    <w:rsid w:val="1B9015B7"/>
    <w:rsid w:val="1D5A79EE"/>
    <w:rsid w:val="1D69272D"/>
    <w:rsid w:val="1D720AD7"/>
    <w:rsid w:val="1E0E2CD0"/>
    <w:rsid w:val="1E831280"/>
    <w:rsid w:val="1EBC4704"/>
    <w:rsid w:val="1F172EB5"/>
    <w:rsid w:val="1F6339C9"/>
    <w:rsid w:val="1F94592D"/>
    <w:rsid w:val="1F9C5A4F"/>
    <w:rsid w:val="1FB860DE"/>
    <w:rsid w:val="20376F8E"/>
    <w:rsid w:val="203C5A02"/>
    <w:rsid w:val="209D4C94"/>
    <w:rsid w:val="20E84705"/>
    <w:rsid w:val="20F3161C"/>
    <w:rsid w:val="217A48B8"/>
    <w:rsid w:val="218400BA"/>
    <w:rsid w:val="21AB1E2F"/>
    <w:rsid w:val="21D40498"/>
    <w:rsid w:val="221A2760"/>
    <w:rsid w:val="22767047"/>
    <w:rsid w:val="228F36AF"/>
    <w:rsid w:val="22B42700"/>
    <w:rsid w:val="22C04851"/>
    <w:rsid w:val="232752AB"/>
    <w:rsid w:val="234F377E"/>
    <w:rsid w:val="23A05588"/>
    <w:rsid w:val="251413CE"/>
    <w:rsid w:val="25431AEB"/>
    <w:rsid w:val="25BF43FD"/>
    <w:rsid w:val="25C2567E"/>
    <w:rsid w:val="25F86BCD"/>
    <w:rsid w:val="261F2AC1"/>
    <w:rsid w:val="266F7BF7"/>
    <w:rsid w:val="267C3C7F"/>
    <w:rsid w:val="269E416A"/>
    <w:rsid w:val="272100D3"/>
    <w:rsid w:val="272C72FC"/>
    <w:rsid w:val="273706D8"/>
    <w:rsid w:val="27C9064C"/>
    <w:rsid w:val="27E612C5"/>
    <w:rsid w:val="27EB149D"/>
    <w:rsid w:val="27FD3E52"/>
    <w:rsid w:val="28E11370"/>
    <w:rsid w:val="29305EF6"/>
    <w:rsid w:val="294A756A"/>
    <w:rsid w:val="29A91603"/>
    <w:rsid w:val="29C80E18"/>
    <w:rsid w:val="29D5322D"/>
    <w:rsid w:val="2A025DD9"/>
    <w:rsid w:val="2A7C2231"/>
    <w:rsid w:val="2AAB539C"/>
    <w:rsid w:val="2ABB753D"/>
    <w:rsid w:val="2B7A49FA"/>
    <w:rsid w:val="2BA37F58"/>
    <w:rsid w:val="2C497046"/>
    <w:rsid w:val="2C615D26"/>
    <w:rsid w:val="2CB679ED"/>
    <w:rsid w:val="2D05262D"/>
    <w:rsid w:val="2D173C07"/>
    <w:rsid w:val="2D424A86"/>
    <w:rsid w:val="2D5035BA"/>
    <w:rsid w:val="2D5D62C1"/>
    <w:rsid w:val="2D897AF1"/>
    <w:rsid w:val="2D953FD8"/>
    <w:rsid w:val="2E0151DF"/>
    <w:rsid w:val="2E404925"/>
    <w:rsid w:val="2E603147"/>
    <w:rsid w:val="2E7B52DB"/>
    <w:rsid w:val="2ED021E7"/>
    <w:rsid w:val="2ED41A35"/>
    <w:rsid w:val="2F324CFE"/>
    <w:rsid w:val="2F40199E"/>
    <w:rsid w:val="2F554573"/>
    <w:rsid w:val="2F766F87"/>
    <w:rsid w:val="2FBA09F1"/>
    <w:rsid w:val="2FEF2ACF"/>
    <w:rsid w:val="30215E61"/>
    <w:rsid w:val="30540211"/>
    <w:rsid w:val="30A60FDC"/>
    <w:rsid w:val="30C33E4F"/>
    <w:rsid w:val="31247FF0"/>
    <w:rsid w:val="312D7741"/>
    <w:rsid w:val="31574FA4"/>
    <w:rsid w:val="316F137F"/>
    <w:rsid w:val="31DF525F"/>
    <w:rsid w:val="31E611C0"/>
    <w:rsid w:val="32324C2E"/>
    <w:rsid w:val="327171DF"/>
    <w:rsid w:val="330D264C"/>
    <w:rsid w:val="34051594"/>
    <w:rsid w:val="341E3434"/>
    <w:rsid w:val="348750D8"/>
    <w:rsid w:val="355A6169"/>
    <w:rsid w:val="3598340C"/>
    <w:rsid w:val="35FA2A60"/>
    <w:rsid w:val="360B7EBA"/>
    <w:rsid w:val="36762A72"/>
    <w:rsid w:val="369C32FD"/>
    <w:rsid w:val="37305FF2"/>
    <w:rsid w:val="37666E72"/>
    <w:rsid w:val="38167A04"/>
    <w:rsid w:val="389D0675"/>
    <w:rsid w:val="38DC0327"/>
    <w:rsid w:val="394B167A"/>
    <w:rsid w:val="39741B02"/>
    <w:rsid w:val="39F42BBE"/>
    <w:rsid w:val="39F6789E"/>
    <w:rsid w:val="3A4E4336"/>
    <w:rsid w:val="3A6007FE"/>
    <w:rsid w:val="3ABE59A5"/>
    <w:rsid w:val="3B4A684E"/>
    <w:rsid w:val="3B7C2CE4"/>
    <w:rsid w:val="3B9724AE"/>
    <w:rsid w:val="3BDC325D"/>
    <w:rsid w:val="3C0B5355"/>
    <w:rsid w:val="3CD4176B"/>
    <w:rsid w:val="3D1F44D9"/>
    <w:rsid w:val="3D5C38CD"/>
    <w:rsid w:val="3E5070F1"/>
    <w:rsid w:val="3E9A0A99"/>
    <w:rsid w:val="3EE10344"/>
    <w:rsid w:val="3F6C3589"/>
    <w:rsid w:val="3F850180"/>
    <w:rsid w:val="3F9004D6"/>
    <w:rsid w:val="3FA806EF"/>
    <w:rsid w:val="400E4D5E"/>
    <w:rsid w:val="40E1138C"/>
    <w:rsid w:val="413814BA"/>
    <w:rsid w:val="41685A44"/>
    <w:rsid w:val="41872511"/>
    <w:rsid w:val="42466655"/>
    <w:rsid w:val="42C82F57"/>
    <w:rsid w:val="43117CF9"/>
    <w:rsid w:val="43280429"/>
    <w:rsid w:val="435C413E"/>
    <w:rsid w:val="43C76AF7"/>
    <w:rsid w:val="43E660E2"/>
    <w:rsid w:val="446828F0"/>
    <w:rsid w:val="45C13B4D"/>
    <w:rsid w:val="46054BCA"/>
    <w:rsid w:val="462A3474"/>
    <w:rsid w:val="464C6AFC"/>
    <w:rsid w:val="4669690E"/>
    <w:rsid w:val="468B0091"/>
    <w:rsid w:val="46A107C3"/>
    <w:rsid w:val="46B15CE2"/>
    <w:rsid w:val="46BE113D"/>
    <w:rsid w:val="46E44B13"/>
    <w:rsid w:val="4703508A"/>
    <w:rsid w:val="471D4DD5"/>
    <w:rsid w:val="475023F8"/>
    <w:rsid w:val="479D361E"/>
    <w:rsid w:val="47B74789"/>
    <w:rsid w:val="47D65077"/>
    <w:rsid w:val="47F8009F"/>
    <w:rsid w:val="480F2B9D"/>
    <w:rsid w:val="48282920"/>
    <w:rsid w:val="48305E5B"/>
    <w:rsid w:val="485321E0"/>
    <w:rsid w:val="48546AD3"/>
    <w:rsid w:val="48877BCA"/>
    <w:rsid w:val="48CA4868"/>
    <w:rsid w:val="48F005D3"/>
    <w:rsid w:val="490954E8"/>
    <w:rsid w:val="498F4AF1"/>
    <w:rsid w:val="49C05787"/>
    <w:rsid w:val="49CF518D"/>
    <w:rsid w:val="4ADA1F63"/>
    <w:rsid w:val="4AE23D89"/>
    <w:rsid w:val="4B09687F"/>
    <w:rsid w:val="4B2038D0"/>
    <w:rsid w:val="4B296E7D"/>
    <w:rsid w:val="4B877F28"/>
    <w:rsid w:val="4BA72625"/>
    <w:rsid w:val="4C8F0267"/>
    <w:rsid w:val="4CBE0EE4"/>
    <w:rsid w:val="4D1B6571"/>
    <w:rsid w:val="4D4144B0"/>
    <w:rsid w:val="4D916BA6"/>
    <w:rsid w:val="4DC44169"/>
    <w:rsid w:val="4E170BB3"/>
    <w:rsid w:val="4E5671D9"/>
    <w:rsid w:val="4E7306E3"/>
    <w:rsid w:val="4E9F54A5"/>
    <w:rsid w:val="4EF0709E"/>
    <w:rsid w:val="504D2C43"/>
    <w:rsid w:val="513C6A7B"/>
    <w:rsid w:val="51512855"/>
    <w:rsid w:val="51E23F34"/>
    <w:rsid w:val="524A3823"/>
    <w:rsid w:val="528622E2"/>
    <w:rsid w:val="5333545B"/>
    <w:rsid w:val="53605FFD"/>
    <w:rsid w:val="539408F1"/>
    <w:rsid w:val="5450213C"/>
    <w:rsid w:val="549750D7"/>
    <w:rsid w:val="54CE2FF3"/>
    <w:rsid w:val="54D24048"/>
    <w:rsid w:val="54D64CD5"/>
    <w:rsid w:val="54FE279E"/>
    <w:rsid w:val="551729DF"/>
    <w:rsid w:val="5535530B"/>
    <w:rsid w:val="55887D69"/>
    <w:rsid w:val="559847A3"/>
    <w:rsid w:val="55D44A4D"/>
    <w:rsid w:val="5601787F"/>
    <w:rsid w:val="561A0928"/>
    <w:rsid w:val="56423872"/>
    <w:rsid w:val="56666EE2"/>
    <w:rsid w:val="56B279F0"/>
    <w:rsid w:val="57007679"/>
    <w:rsid w:val="57204F56"/>
    <w:rsid w:val="579D710E"/>
    <w:rsid w:val="581F22F6"/>
    <w:rsid w:val="5856384F"/>
    <w:rsid w:val="586E1E17"/>
    <w:rsid w:val="58862C35"/>
    <w:rsid w:val="58C14957"/>
    <w:rsid w:val="58E650A3"/>
    <w:rsid w:val="5AE83A50"/>
    <w:rsid w:val="5B0922EB"/>
    <w:rsid w:val="5B547C51"/>
    <w:rsid w:val="5B885AB1"/>
    <w:rsid w:val="5BAB2917"/>
    <w:rsid w:val="5BCC12C9"/>
    <w:rsid w:val="5BFC33FA"/>
    <w:rsid w:val="5C3107A4"/>
    <w:rsid w:val="5C3B1B93"/>
    <w:rsid w:val="5C4557EC"/>
    <w:rsid w:val="5C9220DF"/>
    <w:rsid w:val="5D4A15F3"/>
    <w:rsid w:val="5D69542A"/>
    <w:rsid w:val="5E0930EF"/>
    <w:rsid w:val="5E3D4D53"/>
    <w:rsid w:val="5E4717E6"/>
    <w:rsid w:val="5E4E31FB"/>
    <w:rsid w:val="5E55774C"/>
    <w:rsid w:val="5EA62C18"/>
    <w:rsid w:val="5F010D24"/>
    <w:rsid w:val="5F087C79"/>
    <w:rsid w:val="60104DDC"/>
    <w:rsid w:val="601312D0"/>
    <w:rsid w:val="601D1FEC"/>
    <w:rsid w:val="602C0A6C"/>
    <w:rsid w:val="605C0804"/>
    <w:rsid w:val="60B747AF"/>
    <w:rsid w:val="611C48B7"/>
    <w:rsid w:val="61646714"/>
    <w:rsid w:val="6189617B"/>
    <w:rsid w:val="61A06574"/>
    <w:rsid w:val="61B52BB6"/>
    <w:rsid w:val="61B749C2"/>
    <w:rsid w:val="62065DEE"/>
    <w:rsid w:val="62280D20"/>
    <w:rsid w:val="62593F2E"/>
    <w:rsid w:val="62CA2457"/>
    <w:rsid w:val="638240A1"/>
    <w:rsid w:val="63A5257B"/>
    <w:rsid w:val="63BD3DCC"/>
    <w:rsid w:val="63C61741"/>
    <w:rsid w:val="63D25DD4"/>
    <w:rsid w:val="640767D0"/>
    <w:rsid w:val="64560967"/>
    <w:rsid w:val="64BB50E9"/>
    <w:rsid w:val="652C12F7"/>
    <w:rsid w:val="652C58D1"/>
    <w:rsid w:val="656B1D10"/>
    <w:rsid w:val="657C22AB"/>
    <w:rsid w:val="65A80DC3"/>
    <w:rsid w:val="66022B28"/>
    <w:rsid w:val="66581E87"/>
    <w:rsid w:val="66FA11D5"/>
    <w:rsid w:val="67062557"/>
    <w:rsid w:val="674302C7"/>
    <w:rsid w:val="67A62F6D"/>
    <w:rsid w:val="680A5986"/>
    <w:rsid w:val="680D5F4B"/>
    <w:rsid w:val="68113F51"/>
    <w:rsid w:val="68236C75"/>
    <w:rsid w:val="683A46EC"/>
    <w:rsid w:val="68E94770"/>
    <w:rsid w:val="68F34467"/>
    <w:rsid w:val="68F949C9"/>
    <w:rsid w:val="695A4290"/>
    <w:rsid w:val="6A183ED7"/>
    <w:rsid w:val="6A334932"/>
    <w:rsid w:val="6A3353FF"/>
    <w:rsid w:val="6A3A0012"/>
    <w:rsid w:val="6A4B0CCD"/>
    <w:rsid w:val="6A5D63E6"/>
    <w:rsid w:val="6A5F24D1"/>
    <w:rsid w:val="6AAF0A00"/>
    <w:rsid w:val="6ACE17BE"/>
    <w:rsid w:val="6AE347EB"/>
    <w:rsid w:val="6B434AF0"/>
    <w:rsid w:val="6B57675A"/>
    <w:rsid w:val="6BDD7B4D"/>
    <w:rsid w:val="6CC56C6B"/>
    <w:rsid w:val="6D1C6473"/>
    <w:rsid w:val="6E107DE1"/>
    <w:rsid w:val="6E3E5B37"/>
    <w:rsid w:val="6E585785"/>
    <w:rsid w:val="6EA83F1E"/>
    <w:rsid w:val="6EAC59CC"/>
    <w:rsid w:val="6EBC0B3A"/>
    <w:rsid w:val="6EC151A6"/>
    <w:rsid w:val="6EDE7B06"/>
    <w:rsid w:val="6EF51C7D"/>
    <w:rsid w:val="6F7D1984"/>
    <w:rsid w:val="6F8363E5"/>
    <w:rsid w:val="6F9D3BF2"/>
    <w:rsid w:val="6FC746F5"/>
    <w:rsid w:val="6FCA3BE6"/>
    <w:rsid w:val="6FDF206B"/>
    <w:rsid w:val="70317AC6"/>
    <w:rsid w:val="70367A85"/>
    <w:rsid w:val="70863262"/>
    <w:rsid w:val="70A76ED3"/>
    <w:rsid w:val="712E4652"/>
    <w:rsid w:val="71860B17"/>
    <w:rsid w:val="7204424F"/>
    <w:rsid w:val="723B27CC"/>
    <w:rsid w:val="72681F06"/>
    <w:rsid w:val="72687227"/>
    <w:rsid w:val="727B08EF"/>
    <w:rsid w:val="72A03FD9"/>
    <w:rsid w:val="72BC3370"/>
    <w:rsid w:val="73406CFF"/>
    <w:rsid w:val="737D2B98"/>
    <w:rsid w:val="7383028C"/>
    <w:rsid w:val="73A25E44"/>
    <w:rsid w:val="741F68CF"/>
    <w:rsid w:val="74774108"/>
    <w:rsid w:val="747E0D47"/>
    <w:rsid w:val="750A20B7"/>
    <w:rsid w:val="75252DF3"/>
    <w:rsid w:val="75621536"/>
    <w:rsid w:val="75BF3154"/>
    <w:rsid w:val="764A07CF"/>
    <w:rsid w:val="764F6B3D"/>
    <w:rsid w:val="76CD2B7B"/>
    <w:rsid w:val="76D80645"/>
    <w:rsid w:val="76DE1B9D"/>
    <w:rsid w:val="76E03371"/>
    <w:rsid w:val="780E5898"/>
    <w:rsid w:val="782642CC"/>
    <w:rsid w:val="78531599"/>
    <w:rsid w:val="788122F2"/>
    <w:rsid w:val="7894095E"/>
    <w:rsid w:val="78AC657F"/>
    <w:rsid w:val="78BA6AD9"/>
    <w:rsid w:val="78C12B3B"/>
    <w:rsid w:val="79000679"/>
    <w:rsid w:val="794471FE"/>
    <w:rsid w:val="79500D22"/>
    <w:rsid w:val="79A416F0"/>
    <w:rsid w:val="79B03EB6"/>
    <w:rsid w:val="7AB25FAD"/>
    <w:rsid w:val="7AE33D54"/>
    <w:rsid w:val="7AF37579"/>
    <w:rsid w:val="7AF87F64"/>
    <w:rsid w:val="7B073F40"/>
    <w:rsid w:val="7B1C0C84"/>
    <w:rsid w:val="7B2325CE"/>
    <w:rsid w:val="7B5A62DF"/>
    <w:rsid w:val="7B5B080D"/>
    <w:rsid w:val="7B7A04A8"/>
    <w:rsid w:val="7B8B0296"/>
    <w:rsid w:val="7C016AEA"/>
    <w:rsid w:val="7C0C3F6D"/>
    <w:rsid w:val="7C22163C"/>
    <w:rsid w:val="7C595075"/>
    <w:rsid w:val="7C6B07B2"/>
    <w:rsid w:val="7D133243"/>
    <w:rsid w:val="7E394207"/>
    <w:rsid w:val="7E4007A2"/>
    <w:rsid w:val="7E6E63EA"/>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3"/>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w:basedOn w:val="10"/>
    <w:next w:val="2"/>
    <w:qFormat/>
    <w:uiPriority w:val="0"/>
    <w:pPr>
      <w:ind w:firstLine="420" w:firstLineChars="1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customStyle="1" w:styleId="31">
    <w:name w:val="页眉 Char"/>
    <w:basedOn w:val="26"/>
    <w:link w:val="18"/>
    <w:semiHidden/>
    <w:qFormat/>
    <w:uiPriority w:val="99"/>
    <w:rPr>
      <w:sz w:val="18"/>
      <w:szCs w:val="18"/>
    </w:rPr>
  </w:style>
  <w:style w:type="character" w:customStyle="1" w:styleId="32">
    <w:name w:val="页脚 Char"/>
    <w:basedOn w:val="26"/>
    <w:link w:val="17"/>
    <w:qFormat/>
    <w:uiPriority w:val="99"/>
    <w:rPr>
      <w:sz w:val="18"/>
      <w:szCs w:val="18"/>
    </w:rPr>
  </w:style>
  <w:style w:type="character" w:customStyle="1" w:styleId="33">
    <w:name w:val="标题 1 Char"/>
    <w:basedOn w:val="26"/>
    <w:link w:val="4"/>
    <w:qFormat/>
    <w:uiPriority w:val="9"/>
    <w:rPr>
      <w:rFonts w:eastAsia="方正小标宋简体"/>
      <w:bCs/>
      <w:kern w:val="44"/>
      <w:sz w:val="44"/>
      <w:szCs w:val="44"/>
    </w:rPr>
  </w:style>
  <w:style w:type="character" w:customStyle="1" w:styleId="34">
    <w:name w:val="标题 2 Char"/>
    <w:basedOn w:val="26"/>
    <w:link w:val="5"/>
    <w:qFormat/>
    <w:uiPriority w:val="9"/>
    <w:rPr>
      <w:rFonts w:eastAsia="方正小标宋简体" w:asciiTheme="majorHAnsi" w:hAnsiTheme="majorHAnsi" w:cstheme="majorBidi"/>
      <w:bCs/>
      <w:sz w:val="36"/>
      <w:szCs w:val="32"/>
    </w:rPr>
  </w:style>
  <w:style w:type="character" w:customStyle="1" w:styleId="35">
    <w:name w:val="标题 3 Char"/>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9"/>
    <w:qFormat/>
    <w:uiPriority w:val="99"/>
    <w:rPr>
      <w:sz w:val="16"/>
      <w:szCs w:val="16"/>
    </w:rPr>
  </w:style>
  <w:style w:type="character" w:customStyle="1" w:styleId="43">
    <w:name w:val="正文文本 3 Char1"/>
    <w:basedOn w:val="26"/>
    <w:link w:val="9"/>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1">
    <w:name w:val="progress_done"/>
    <w:basedOn w:val="26"/>
    <w:qFormat/>
    <w:uiPriority w:val="0"/>
    <w:rPr>
      <w:shd w:val="clear" w:fill="009900"/>
    </w:rPr>
  </w:style>
  <w:style w:type="character" w:customStyle="1" w:styleId="52">
    <w:name w:val="icon_search"/>
    <w:basedOn w:val="26"/>
    <w:qFormat/>
    <w:uiPriority w:val="0"/>
  </w:style>
  <w:style w:type="character" w:customStyle="1" w:styleId="53">
    <w:name w:val="icon_search1"/>
    <w:basedOn w:val="26"/>
    <w:qFormat/>
    <w:uiPriority w:val="0"/>
  </w:style>
  <w:style w:type="character" w:customStyle="1" w:styleId="54">
    <w:name w:val="fl2"/>
    <w:basedOn w:val="26"/>
    <w:qFormat/>
    <w:uiPriority w:val="0"/>
    <w:rPr>
      <w:color w:val="999999"/>
    </w:rPr>
  </w:style>
  <w:style w:type="character" w:customStyle="1" w:styleId="55">
    <w:name w:val="fl3"/>
    <w:basedOn w:val="26"/>
    <w:qFormat/>
    <w:uiPriority w:val="0"/>
  </w:style>
  <w:style w:type="character" w:customStyle="1" w:styleId="56">
    <w:name w:val="progress_loading6"/>
    <w:basedOn w:val="26"/>
    <w:qFormat/>
    <w:uiPriority w:val="0"/>
    <w:rPr>
      <w:shd w:val="clear" w:fill="5089C0"/>
    </w:rPr>
  </w:style>
  <w:style w:type="character" w:customStyle="1" w:styleId="57">
    <w:name w:val="space"/>
    <w:basedOn w:val="26"/>
    <w:qFormat/>
    <w:uiPriority w:val="0"/>
  </w:style>
  <w:style w:type="character" w:customStyle="1" w:styleId="58">
    <w:name w:val="media_progress_loading"/>
    <w:basedOn w:val="26"/>
    <w:qFormat/>
    <w:uiPriority w:val="0"/>
    <w:rPr>
      <w:shd w:val="clear" w:fill="5089C0"/>
    </w:rPr>
  </w:style>
  <w:style w:type="character" w:customStyle="1" w:styleId="59">
    <w:name w:val="media_progress_loading1"/>
    <w:basedOn w:val="26"/>
    <w:qFormat/>
    <w:uiPriority w:val="0"/>
    <w:rPr>
      <w:shd w:val="clear" w:fill="5089C0"/>
    </w:rPr>
  </w:style>
  <w:style w:type="character" w:customStyle="1" w:styleId="60">
    <w:name w:val="media_progress_done"/>
    <w:basedOn w:val="26"/>
    <w:qFormat/>
    <w:uiPriority w:val="0"/>
    <w:rPr>
      <w:shd w:val="clear" w:fill="009900"/>
    </w:rPr>
  </w:style>
  <w:style w:type="character" w:customStyle="1" w:styleId="61">
    <w:name w:val="media_progress_done1"/>
    <w:basedOn w:val="26"/>
    <w:qFormat/>
    <w:uiPriority w:val="0"/>
    <w:rPr>
      <w:shd w:val="clear" w:fill="009900"/>
    </w:rPr>
  </w:style>
  <w:style w:type="character" w:customStyle="1" w:styleId="62">
    <w:name w:val="look_show_list"/>
    <w:basedOn w:val="26"/>
    <w:qFormat/>
    <w:uiPriority w:val="0"/>
  </w:style>
  <w:style w:type="character" w:customStyle="1" w:styleId="63">
    <w:name w:val="fe-font2"/>
    <w:basedOn w:val="26"/>
    <w:qFormat/>
    <w:uiPriority w:val="0"/>
    <w:rPr>
      <w:sz w:val="30"/>
      <w:szCs w:val="30"/>
    </w:rPr>
  </w:style>
  <w:style w:type="character" w:customStyle="1" w:styleId="64">
    <w:name w:val="fe-font3"/>
    <w:basedOn w:val="26"/>
    <w:qFormat/>
    <w:uiPriority w:val="0"/>
    <w:rPr>
      <w:color w:val="00B4FF"/>
      <w:sz w:val="27"/>
      <w:szCs w:val="27"/>
    </w:rPr>
  </w:style>
  <w:style w:type="character" w:customStyle="1" w:styleId="65">
    <w:name w:val="delete_con"/>
    <w:basedOn w:val="26"/>
    <w:qFormat/>
    <w:uiPriority w:val="0"/>
  </w:style>
  <w:style w:type="character" w:customStyle="1" w:styleId="66">
    <w:name w:val="cdropright"/>
    <w:basedOn w:val="26"/>
    <w:qFormat/>
    <w:uiPriority w:val="0"/>
  </w:style>
  <w:style w:type="character" w:customStyle="1" w:styleId="67">
    <w:name w:val="cdropleft"/>
    <w:basedOn w:val="26"/>
    <w:qFormat/>
    <w:uiPriority w:val="0"/>
  </w:style>
  <w:style w:type="character" w:customStyle="1" w:styleId="68">
    <w:name w:val="layui-laypage-curr"/>
    <w:basedOn w:val="26"/>
    <w:qFormat/>
    <w:uiPriority w:val="0"/>
  </w:style>
  <w:style w:type="character" w:customStyle="1" w:styleId="69">
    <w:name w:val="fl"/>
    <w:basedOn w:val="26"/>
    <w:qFormat/>
    <w:uiPriority w:val="0"/>
    <w:rPr>
      <w:color w:val="999999"/>
    </w:rPr>
  </w:style>
  <w:style w:type="character" w:customStyle="1" w:styleId="70">
    <w:name w:val="fl1"/>
    <w:basedOn w:val="26"/>
    <w:qFormat/>
    <w:uiPriority w:val="0"/>
  </w:style>
  <w:style w:type="character" w:customStyle="1" w:styleId="71">
    <w:name w:val="progress_loading"/>
    <w:basedOn w:val="26"/>
    <w:qFormat/>
    <w:uiPriority w:val="0"/>
    <w:rPr>
      <w:shd w:val="clear" w:fill="5089C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18818</Words>
  <Characters>19853</Characters>
  <Lines>300</Lines>
  <Paragraphs>84</Paragraphs>
  <TotalTime>13</TotalTime>
  <ScaleCrop>false</ScaleCrop>
  <LinksUpToDate>false</LinksUpToDate>
  <CharactersWithSpaces>22571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刘彤昀</cp:lastModifiedBy>
  <cp:lastPrinted>2022-08-10T09:26:00Z</cp:lastPrinted>
  <dcterms:modified xsi:type="dcterms:W3CDTF">2024-09-09T03:18:20Z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4E67A594F16B4561A7B229839F07D06A</vt:lpwstr>
  </property>
</Properties>
</file>